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56513" w14:textId="50D1764C" w:rsidR="00D21A6E" w:rsidRPr="0001615D" w:rsidRDefault="00D21A6E" w:rsidP="00D21A6E">
      <w:pPr>
        <w:tabs>
          <w:tab w:val="center" w:pos="3600"/>
          <w:tab w:val="left" w:pos="4455"/>
        </w:tabs>
        <w:spacing w:line="480" w:lineRule="auto"/>
        <w:rPr>
          <w:rFonts w:cs="Times New Roman"/>
          <w:szCs w:val="24"/>
        </w:rPr>
      </w:pPr>
      <w:bookmarkStart w:id="0" w:name="_Toc468995899"/>
      <w:bookmarkStart w:id="1" w:name="_Hlk26864641"/>
      <w:r w:rsidRPr="004C46FF">
        <w:rPr>
          <w:noProof/>
        </w:rPr>
        <w:drawing>
          <wp:anchor distT="0" distB="0" distL="114300" distR="114300" simplePos="0" relativeHeight="251680768" behindDoc="0" locked="0" layoutInCell="1" allowOverlap="1" wp14:anchorId="7A58968F" wp14:editId="20DDF9AB">
            <wp:simplePos x="0" y="0"/>
            <wp:positionH relativeFrom="margin">
              <wp:align>center</wp:align>
            </wp:positionH>
            <wp:positionV relativeFrom="paragraph">
              <wp:posOffset>7620</wp:posOffset>
            </wp:positionV>
            <wp:extent cx="1028700" cy="1028700"/>
            <wp:effectExtent l="0" t="0" r="0" b="0"/>
            <wp:wrapSquare wrapText="bothSides"/>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u.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14:sizeRelH relativeFrom="page">
              <wp14:pctWidth>0</wp14:pctWidth>
            </wp14:sizeRelH>
            <wp14:sizeRelV relativeFrom="page">
              <wp14:pctHeight>0</wp14:pctHeight>
            </wp14:sizeRelV>
          </wp:anchor>
        </w:drawing>
      </w:r>
    </w:p>
    <w:p w14:paraId="46F35A60" w14:textId="4BE950E6" w:rsidR="00D21A6E" w:rsidRPr="0001615D" w:rsidRDefault="00D21A6E" w:rsidP="00D21A6E">
      <w:pPr>
        <w:spacing w:line="480" w:lineRule="auto"/>
        <w:jc w:val="center"/>
        <w:rPr>
          <w:rFonts w:cs="Times New Roman"/>
          <w:szCs w:val="24"/>
        </w:rPr>
      </w:pPr>
    </w:p>
    <w:p w14:paraId="00DEFD5E" w14:textId="77777777" w:rsidR="00D21A6E" w:rsidRPr="0001615D" w:rsidRDefault="00D21A6E" w:rsidP="00D21A6E">
      <w:pPr>
        <w:pStyle w:val="ecxmsonormal"/>
        <w:shd w:val="clear" w:color="auto" w:fill="FFFFFF"/>
        <w:spacing w:after="0" w:line="480" w:lineRule="auto"/>
        <w:jc w:val="center"/>
        <w:rPr>
          <w:b/>
          <w:bCs/>
        </w:rPr>
      </w:pPr>
    </w:p>
    <w:p w14:paraId="7F6B631D" w14:textId="77777777" w:rsidR="00D21A6E" w:rsidRDefault="00D21A6E" w:rsidP="00D21A6E">
      <w:pPr>
        <w:spacing w:line="480" w:lineRule="auto"/>
        <w:rPr>
          <w:rFonts w:eastAsia="Times New Roman" w:cs="Times New Roman"/>
          <w:b/>
          <w:bCs/>
          <w:sz w:val="32"/>
          <w:szCs w:val="32"/>
          <w:highlight w:val="yellow"/>
        </w:rPr>
      </w:pPr>
    </w:p>
    <w:p w14:paraId="4D15D75B" w14:textId="12280AB2" w:rsidR="004F3A31" w:rsidRPr="002A7627" w:rsidRDefault="00D21A6E" w:rsidP="004F3A31">
      <w:pPr>
        <w:spacing w:line="480" w:lineRule="auto"/>
        <w:jc w:val="center"/>
        <w:rPr>
          <w:rFonts w:asciiTheme="majorBidi" w:hAnsiTheme="majorBidi" w:cstheme="majorBidi"/>
          <w:b/>
          <w:color w:val="000000" w:themeColor="text1"/>
          <w:sz w:val="28"/>
        </w:rPr>
      </w:pPr>
      <w:bookmarkStart w:id="2" w:name="_GoBack"/>
      <w:r>
        <w:rPr>
          <w:rFonts w:asciiTheme="majorBidi" w:hAnsiTheme="majorBidi" w:cstheme="majorBidi"/>
          <w:b/>
          <w:color w:val="000000" w:themeColor="text1"/>
          <w:sz w:val="28"/>
        </w:rPr>
        <w:t xml:space="preserve">Investigating </w:t>
      </w:r>
      <w:r w:rsidR="00E67B74">
        <w:rPr>
          <w:rFonts w:asciiTheme="majorBidi" w:hAnsiTheme="majorBidi" w:cstheme="majorBidi"/>
          <w:b/>
          <w:color w:val="000000" w:themeColor="text1"/>
          <w:sz w:val="28"/>
        </w:rPr>
        <w:t xml:space="preserve">the Impact </w:t>
      </w:r>
      <w:r w:rsidR="004F3A31">
        <w:rPr>
          <w:rFonts w:asciiTheme="majorBidi" w:hAnsiTheme="majorBidi" w:cstheme="majorBidi"/>
          <w:b/>
          <w:color w:val="000000" w:themeColor="text1"/>
          <w:sz w:val="28"/>
        </w:rPr>
        <w:t xml:space="preserve">of Knowledge Management Capabilities </w:t>
      </w:r>
      <w:bookmarkEnd w:id="2"/>
      <w:r w:rsidR="004F3A31">
        <w:rPr>
          <w:rFonts w:asciiTheme="majorBidi" w:hAnsiTheme="majorBidi" w:cstheme="majorBidi"/>
          <w:b/>
          <w:color w:val="000000" w:themeColor="text1"/>
          <w:sz w:val="28"/>
        </w:rPr>
        <w:t>and Human Resources Practices on Knowledge Management Benefits with the Lens of Organizational Learning: Empirical Evidence from a Policing Organization</w:t>
      </w:r>
    </w:p>
    <w:p w14:paraId="71956942" w14:textId="7C062272" w:rsidR="00D21A6E" w:rsidRPr="002A7627" w:rsidRDefault="00D21A6E" w:rsidP="00D21A6E">
      <w:pPr>
        <w:spacing w:line="480" w:lineRule="auto"/>
        <w:jc w:val="center"/>
        <w:rPr>
          <w:rFonts w:asciiTheme="majorBidi" w:hAnsiTheme="majorBidi" w:cstheme="majorBidi"/>
          <w:b/>
          <w:color w:val="000000" w:themeColor="text1"/>
          <w:sz w:val="28"/>
        </w:rPr>
      </w:pPr>
    </w:p>
    <w:p w14:paraId="002CD9E1" w14:textId="77777777" w:rsidR="00D21A6E" w:rsidRPr="0001615D" w:rsidRDefault="00D21A6E" w:rsidP="00D21A6E">
      <w:pPr>
        <w:spacing w:line="480" w:lineRule="auto"/>
        <w:rPr>
          <w:rFonts w:eastAsia="PMingLiU" w:cs="Times New Roman"/>
          <w:b/>
          <w:bCs/>
          <w:szCs w:val="24"/>
        </w:rPr>
      </w:pPr>
    </w:p>
    <w:p w14:paraId="53AF3AF8" w14:textId="77777777" w:rsidR="00D21A6E" w:rsidRPr="0001615D" w:rsidRDefault="00D21A6E" w:rsidP="00D21A6E">
      <w:pPr>
        <w:spacing w:line="480" w:lineRule="auto"/>
        <w:rPr>
          <w:rFonts w:eastAsia="PMingLiU" w:cs="Times New Roman"/>
          <w:b/>
          <w:bCs/>
          <w:szCs w:val="24"/>
        </w:rPr>
      </w:pPr>
    </w:p>
    <w:p w14:paraId="047618B6" w14:textId="77777777" w:rsidR="00D21A6E" w:rsidRPr="0001615D" w:rsidRDefault="00D21A6E" w:rsidP="00D21A6E">
      <w:pPr>
        <w:spacing w:line="480" w:lineRule="auto"/>
        <w:jc w:val="center"/>
        <w:rPr>
          <w:rFonts w:eastAsia="PMingLiU" w:cs="Times New Roman"/>
          <w:b/>
          <w:bCs/>
          <w:szCs w:val="24"/>
        </w:rPr>
      </w:pPr>
    </w:p>
    <w:p w14:paraId="419EAD19" w14:textId="77777777" w:rsidR="00D21A6E" w:rsidRPr="0001615D" w:rsidRDefault="00D21A6E" w:rsidP="00D21A6E">
      <w:pPr>
        <w:spacing w:line="360" w:lineRule="auto"/>
        <w:contextualSpacing/>
        <w:jc w:val="center"/>
        <w:rPr>
          <w:rFonts w:cs="Times New Roman"/>
          <w:szCs w:val="24"/>
        </w:rPr>
      </w:pPr>
      <w:r w:rsidRPr="0001615D">
        <w:rPr>
          <w:rFonts w:cs="Times New Roman"/>
          <w:szCs w:val="24"/>
        </w:rPr>
        <w:t>Dissertation</w:t>
      </w:r>
    </w:p>
    <w:p w14:paraId="7F636DA6" w14:textId="77777777" w:rsidR="00D21A6E" w:rsidRPr="0001615D" w:rsidRDefault="00D21A6E" w:rsidP="00D21A6E">
      <w:pPr>
        <w:spacing w:line="360" w:lineRule="auto"/>
        <w:contextualSpacing/>
        <w:jc w:val="center"/>
        <w:rPr>
          <w:rFonts w:cs="Times New Roman"/>
          <w:szCs w:val="24"/>
        </w:rPr>
      </w:pPr>
      <w:r w:rsidRPr="0001615D">
        <w:rPr>
          <w:rFonts w:cs="Times New Roman"/>
          <w:szCs w:val="24"/>
        </w:rPr>
        <w:t xml:space="preserve">Presented to </w:t>
      </w:r>
    </w:p>
    <w:p w14:paraId="247263C8" w14:textId="77777777" w:rsidR="00D21A6E" w:rsidRPr="0001615D" w:rsidRDefault="00D21A6E" w:rsidP="00D21A6E">
      <w:pPr>
        <w:spacing w:line="360" w:lineRule="auto"/>
        <w:contextualSpacing/>
        <w:jc w:val="center"/>
        <w:rPr>
          <w:rFonts w:cs="Times New Roman"/>
          <w:szCs w:val="24"/>
        </w:rPr>
      </w:pPr>
      <w:r w:rsidRPr="0001615D">
        <w:rPr>
          <w:rFonts w:cs="Times New Roman"/>
          <w:szCs w:val="24"/>
        </w:rPr>
        <w:t>The Academic Faculty</w:t>
      </w:r>
    </w:p>
    <w:p w14:paraId="536AA77A" w14:textId="77777777" w:rsidR="00D21A6E" w:rsidRPr="0001615D" w:rsidRDefault="00D21A6E" w:rsidP="00D21A6E">
      <w:pPr>
        <w:spacing w:line="480" w:lineRule="auto"/>
        <w:rPr>
          <w:rFonts w:cs="Times New Roman"/>
          <w:szCs w:val="24"/>
        </w:rPr>
      </w:pPr>
    </w:p>
    <w:p w14:paraId="3DA7D986" w14:textId="77777777" w:rsidR="00D21A6E" w:rsidRPr="0001615D" w:rsidRDefault="00D21A6E" w:rsidP="00D21A6E">
      <w:pPr>
        <w:spacing w:line="360" w:lineRule="auto"/>
        <w:jc w:val="center"/>
        <w:rPr>
          <w:rFonts w:cs="Times New Roman"/>
          <w:szCs w:val="24"/>
        </w:rPr>
      </w:pPr>
      <w:r w:rsidRPr="0001615D">
        <w:rPr>
          <w:rFonts w:cs="Times New Roman"/>
          <w:szCs w:val="24"/>
        </w:rPr>
        <w:t xml:space="preserve">By </w:t>
      </w:r>
    </w:p>
    <w:p w14:paraId="6B50BA3A" w14:textId="7B2E260B" w:rsidR="00D21A6E" w:rsidRPr="0001615D" w:rsidRDefault="00D21A6E" w:rsidP="00D21A6E">
      <w:pPr>
        <w:spacing w:line="360" w:lineRule="auto"/>
        <w:contextualSpacing/>
        <w:jc w:val="center"/>
        <w:rPr>
          <w:rFonts w:cs="Times New Roman"/>
          <w:szCs w:val="24"/>
        </w:rPr>
      </w:pPr>
      <w:r>
        <w:rPr>
          <w:rFonts w:cs="Times New Roman"/>
          <w:szCs w:val="24"/>
        </w:rPr>
        <w:t>Taghreed</w:t>
      </w:r>
      <w:r w:rsidRPr="0001615D">
        <w:rPr>
          <w:rFonts w:cs="Times New Roman"/>
          <w:szCs w:val="24"/>
        </w:rPr>
        <w:t xml:space="preserve"> Al D</w:t>
      </w:r>
      <w:r>
        <w:rPr>
          <w:rFonts w:cs="Times New Roman"/>
          <w:szCs w:val="24"/>
        </w:rPr>
        <w:t>ari</w:t>
      </w:r>
      <w:r w:rsidRPr="0001615D">
        <w:rPr>
          <w:rFonts w:cs="Times New Roman"/>
          <w:szCs w:val="24"/>
        </w:rPr>
        <w:t xml:space="preserve"> </w:t>
      </w:r>
    </w:p>
    <w:p w14:paraId="13052707" w14:textId="18B3B0F2" w:rsidR="00D21A6E" w:rsidRPr="0001615D" w:rsidRDefault="00D21A6E" w:rsidP="00D21A6E">
      <w:pPr>
        <w:spacing w:line="360" w:lineRule="auto"/>
        <w:contextualSpacing/>
        <w:jc w:val="center"/>
        <w:rPr>
          <w:rFonts w:cs="Times New Roman"/>
          <w:szCs w:val="24"/>
        </w:rPr>
      </w:pPr>
      <w:r w:rsidRPr="0001615D">
        <w:rPr>
          <w:rFonts w:cs="Times New Roman"/>
          <w:szCs w:val="24"/>
        </w:rPr>
        <w:t>10</w:t>
      </w:r>
      <w:r>
        <w:rPr>
          <w:rFonts w:cs="Times New Roman"/>
          <w:szCs w:val="24"/>
        </w:rPr>
        <w:t>55292</w:t>
      </w:r>
    </w:p>
    <w:p w14:paraId="47B6F702" w14:textId="77777777" w:rsidR="00D21A6E" w:rsidRPr="0001615D" w:rsidRDefault="00D21A6E" w:rsidP="00D21A6E">
      <w:pPr>
        <w:spacing w:line="480" w:lineRule="auto"/>
        <w:contextualSpacing/>
        <w:jc w:val="center"/>
        <w:rPr>
          <w:rFonts w:cs="Times New Roman"/>
          <w:szCs w:val="24"/>
        </w:rPr>
      </w:pPr>
    </w:p>
    <w:p w14:paraId="512EDBCC" w14:textId="77777777" w:rsidR="00D21A6E" w:rsidRPr="0001615D" w:rsidRDefault="00D21A6E" w:rsidP="00D21A6E">
      <w:pPr>
        <w:spacing w:line="360" w:lineRule="auto"/>
        <w:contextualSpacing/>
        <w:jc w:val="center"/>
        <w:rPr>
          <w:rFonts w:cs="Times New Roman"/>
          <w:szCs w:val="24"/>
        </w:rPr>
      </w:pPr>
      <w:r w:rsidRPr="0001615D">
        <w:rPr>
          <w:rFonts w:cs="Times New Roman"/>
          <w:szCs w:val="24"/>
        </w:rPr>
        <w:t>In Partial Fulfilment</w:t>
      </w:r>
    </w:p>
    <w:p w14:paraId="0DB2F34F" w14:textId="77777777" w:rsidR="00D21A6E" w:rsidRPr="0001615D" w:rsidRDefault="00D21A6E" w:rsidP="00D21A6E">
      <w:pPr>
        <w:spacing w:line="360" w:lineRule="auto"/>
        <w:contextualSpacing/>
        <w:jc w:val="center"/>
        <w:rPr>
          <w:rFonts w:cs="Times New Roman"/>
          <w:szCs w:val="24"/>
        </w:rPr>
      </w:pPr>
      <w:r w:rsidRPr="0001615D">
        <w:rPr>
          <w:rFonts w:cs="Times New Roman"/>
          <w:szCs w:val="24"/>
        </w:rPr>
        <w:t xml:space="preserve">of the Requirements for the Degree </w:t>
      </w:r>
    </w:p>
    <w:p w14:paraId="252CDB24" w14:textId="77777777" w:rsidR="00D21A6E" w:rsidRPr="0001615D" w:rsidRDefault="00D21A6E" w:rsidP="00D21A6E">
      <w:pPr>
        <w:spacing w:line="360" w:lineRule="auto"/>
        <w:contextualSpacing/>
        <w:jc w:val="center"/>
        <w:rPr>
          <w:rFonts w:cs="Times New Roman"/>
          <w:szCs w:val="24"/>
        </w:rPr>
      </w:pPr>
      <w:r w:rsidRPr="0001615D">
        <w:rPr>
          <w:rFonts w:cs="Times New Roman"/>
          <w:szCs w:val="24"/>
        </w:rPr>
        <w:t>of Doctor of Business Administration</w:t>
      </w:r>
    </w:p>
    <w:p w14:paraId="44DFCBD2" w14:textId="77777777" w:rsidR="00D21A6E" w:rsidRPr="0001615D" w:rsidRDefault="00D21A6E" w:rsidP="00D21A6E">
      <w:pPr>
        <w:spacing w:line="360" w:lineRule="auto"/>
        <w:jc w:val="center"/>
        <w:rPr>
          <w:rFonts w:cs="Times New Roman"/>
          <w:szCs w:val="24"/>
        </w:rPr>
      </w:pPr>
    </w:p>
    <w:p w14:paraId="589B05AA" w14:textId="77777777" w:rsidR="00D21A6E" w:rsidRPr="0001615D" w:rsidRDefault="00D21A6E" w:rsidP="00D21A6E">
      <w:pPr>
        <w:spacing w:line="360" w:lineRule="auto"/>
        <w:jc w:val="center"/>
        <w:rPr>
          <w:rFonts w:cs="Times New Roman"/>
          <w:szCs w:val="24"/>
        </w:rPr>
      </w:pPr>
      <w:r w:rsidRPr="0001615D">
        <w:rPr>
          <w:rFonts w:cs="Times New Roman"/>
          <w:szCs w:val="24"/>
        </w:rPr>
        <w:t>Abu Dhabi University</w:t>
      </w:r>
    </w:p>
    <w:p w14:paraId="4E352472" w14:textId="77777777" w:rsidR="00D21A6E" w:rsidRPr="0001615D" w:rsidRDefault="00D21A6E" w:rsidP="00D21A6E">
      <w:pPr>
        <w:spacing w:line="360" w:lineRule="auto"/>
        <w:jc w:val="center"/>
        <w:rPr>
          <w:rFonts w:cs="Times New Roman"/>
          <w:szCs w:val="24"/>
        </w:rPr>
      </w:pPr>
      <w:r w:rsidRPr="0001615D">
        <w:rPr>
          <w:rFonts w:cs="Times New Roman"/>
          <w:szCs w:val="24"/>
        </w:rPr>
        <w:t xml:space="preserve">College of Business </w:t>
      </w:r>
    </w:p>
    <w:p w14:paraId="67C41383" w14:textId="77777777" w:rsidR="00D21A6E" w:rsidRPr="0001615D" w:rsidRDefault="00D21A6E" w:rsidP="00D21A6E">
      <w:pPr>
        <w:spacing w:line="360" w:lineRule="auto"/>
        <w:jc w:val="center"/>
        <w:rPr>
          <w:rFonts w:cs="Times New Roman"/>
          <w:szCs w:val="24"/>
        </w:rPr>
      </w:pPr>
    </w:p>
    <w:p w14:paraId="682D6A38" w14:textId="77777777" w:rsidR="00D21A6E" w:rsidRPr="0001615D" w:rsidRDefault="00D21A6E" w:rsidP="00D21A6E">
      <w:pPr>
        <w:spacing w:line="360" w:lineRule="auto"/>
        <w:jc w:val="center"/>
        <w:rPr>
          <w:rFonts w:eastAsia="PMingLiU" w:cs="Times New Roman"/>
          <w:b/>
          <w:bCs/>
          <w:szCs w:val="24"/>
        </w:rPr>
      </w:pPr>
    </w:p>
    <w:p w14:paraId="3150DA2F" w14:textId="77777777" w:rsidR="00D21A6E" w:rsidRPr="0001615D" w:rsidRDefault="00D21A6E" w:rsidP="00D21A6E">
      <w:pPr>
        <w:spacing w:line="360" w:lineRule="auto"/>
        <w:jc w:val="center"/>
        <w:rPr>
          <w:rFonts w:cs="Times New Roman"/>
          <w:szCs w:val="24"/>
        </w:rPr>
      </w:pPr>
      <w:r w:rsidRPr="0001615D">
        <w:rPr>
          <w:rFonts w:cs="Times New Roman"/>
          <w:szCs w:val="24"/>
        </w:rPr>
        <w:t>Abu Dhabi, UAE</w:t>
      </w:r>
    </w:p>
    <w:p w14:paraId="05CF0FE0" w14:textId="1CF487C5" w:rsidR="00D21A6E" w:rsidRPr="0001615D" w:rsidRDefault="009457A2" w:rsidP="00D21A6E">
      <w:pPr>
        <w:spacing w:line="360" w:lineRule="auto"/>
        <w:jc w:val="center"/>
        <w:rPr>
          <w:rFonts w:cs="Times New Roman"/>
          <w:szCs w:val="24"/>
        </w:rPr>
      </w:pPr>
      <w:r>
        <w:rPr>
          <w:rFonts w:cs="Times New Roman"/>
          <w:szCs w:val="24"/>
        </w:rPr>
        <w:t>December</w:t>
      </w:r>
      <w:r w:rsidR="00D21A6E" w:rsidRPr="0001615D">
        <w:rPr>
          <w:rFonts w:cs="Times New Roman"/>
          <w:szCs w:val="24"/>
        </w:rPr>
        <w:t xml:space="preserve"> </w:t>
      </w:r>
      <w:r w:rsidR="00D21A6E">
        <w:rPr>
          <w:rFonts w:cs="Times New Roman"/>
          <w:szCs w:val="24"/>
        </w:rPr>
        <w:t>2019</w:t>
      </w:r>
    </w:p>
    <w:p w14:paraId="73A0ACD5" w14:textId="77777777" w:rsidR="00D21A6E" w:rsidRPr="0001615D" w:rsidRDefault="00D21A6E" w:rsidP="00D21A6E">
      <w:pPr>
        <w:spacing w:line="480" w:lineRule="auto"/>
        <w:jc w:val="center"/>
        <w:rPr>
          <w:rFonts w:cs="Times New Roman"/>
          <w:szCs w:val="24"/>
        </w:rPr>
      </w:pPr>
    </w:p>
    <w:p w14:paraId="76136AE0" w14:textId="77777777" w:rsidR="00D21A6E" w:rsidRPr="0001615D" w:rsidRDefault="00D21A6E" w:rsidP="00D21A6E">
      <w:pPr>
        <w:spacing w:line="480" w:lineRule="auto"/>
        <w:rPr>
          <w:rFonts w:cs="Times New Roman"/>
          <w:szCs w:val="24"/>
        </w:rPr>
      </w:pPr>
    </w:p>
    <w:p w14:paraId="61F80B2F" w14:textId="77777777" w:rsidR="00D21A6E" w:rsidRPr="0001615D" w:rsidRDefault="00D21A6E" w:rsidP="00D21A6E">
      <w:pPr>
        <w:spacing w:line="480" w:lineRule="auto"/>
        <w:rPr>
          <w:rFonts w:cs="Times New Roman"/>
          <w:szCs w:val="24"/>
        </w:rPr>
        <w:sectPr w:rsidR="00D21A6E" w:rsidRPr="0001615D" w:rsidSect="00030E83">
          <w:footerReference w:type="even" r:id="rId10"/>
          <w:footerReference w:type="default" r:id="rId11"/>
          <w:pgSz w:w="11900" w:h="16840"/>
          <w:pgMar w:top="709" w:right="851" w:bottom="709" w:left="851" w:header="708" w:footer="708" w:gutter="0"/>
          <w:pgNumType w:fmt="lowerRoman" w:start="1"/>
          <w:cols w:space="708"/>
          <w:titlePg/>
          <w:docGrid w:linePitch="360"/>
        </w:sectPr>
      </w:pPr>
    </w:p>
    <w:p w14:paraId="29117DEA" w14:textId="73EADD9E" w:rsidR="00D21A6E" w:rsidRPr="002A7627" w:rsidRDefault="00D21A6E" w:rsidP="00D21A6E">
      <w:pPr>
        <w:spacing w:line="480" w:lineRule="auto"/>
        <w:jc w:val="center"/>
        <w:rPr>
          <w:rFonts w:asciiTheme="majorBidi" w:hAnsiTheme="majorBidi" w:cstheme="majorBidi"/>
          <w:b/>
          <w:color w:val="000000" w:themeColor="text1"/>
          <w:sz w:val="28"/>
        </w:rPr>
      </w:pPr>
      <w:r>
        <w:rPr>
          <w:rFonts w:asciiTheme="majorBidi" w:hAnsiTheme="majorBidi" w:cstheme="majorBidi"/>
          <w:b/>
          <w:color w:val="000000" w:themeColor="text1"/>
          <w:sz w:val="28"/>
        </w:rPr>
        <w:lastRenderedPageBreak/>
        <w:t xml:space="preserve">Investigating </w:t>
      </w:r>
      <w:r w:rsidR="005F1824">
        <w:rPr>
          <w:rFonts w:asciiTheme="majorBidi" w:hAnsiTheme="majorBidi" w:cstheme="majorBidi"/>
          <w:b/>
          <w:color w:val="000000" w:themeColor="text1"/>
          <w:sz w:val="28"/>
        </w:rPr>
        <w:t xml:space="preserve">the Impact of </w:t>
      </w:r>
      <w:r>
        <w:rPr>
          <w:rFonts w:asciiTheme="majorBidi" w:hAnsiTheme="majorBidi" w:cstheme="majorBidi"/>
          <w:b/>
          <w:color w:val="000000" w:themeColor="text1"/>
          <w:sz w:val="28"/>
        </w:rPr>
        <w:t>Knowledge Management Capabilities and Human Resources Practices on Knowledge Management Benefits with the Lens of Organizational Learning: Empirical Evidence from a Policing Organization</w:t>
      </w:r>
    </w:p>
    <w:p w14:paraId="582B634E" w14:textId="77777777" w:rsidR="00D21A6E" w:rsidRPr="0001615D" w:rsidRDefault="00D21A6E" w:rsidP="00D21A6E">
      <w:pPr>
        <w:spacing w:line="480" w:lineRule="auto"/>
        <w:rPr>
          <w:rFonts w:cs="Times New Roman"/>
          <w:szCs w:val="24"/>
        </w:rPr>
      </w:pPr>
    </w:p>
    <w:p w14:paraId="138D8D77" w14:textId="77777777" w:rsidR="00D21A6E" w:rsidRPr="0001615D" w:rsidRDefault="00D21A6E" w:rsidP="00D21A6E">
      <w:pPr>
        <w:tabs>
          <w:tab w:val="right" w:pos="9720"/>
        </w:tabs>
        <w:spacing w:line="480" w:lineRule="auto"/>
        <w:jc w:val="right"/>
        <w:rPr>
          <w:rFonts w:eastAsiaTheme="minorEastAsia" w:cs="Times New Roman"/>
          <w:szCs w:val="24"/>
        </w:rPr>
      </w:pPr>
      <w:r w:rsidRPr="0001615D">
        <w:rPr>
          <w:rFonts w:eastAsiaTheme="minorEastAsia" w:cs="Times New Roman"/>
          <w:szCs w:val="24"/>
        </w:rPr>
        <w:t>_________________________</w:t>
      </w:r>
    </w:p>
    <w:p w14:paraId="3878D7D0" w14:textId="25D6F4A6" w:rsidR="00D21A6E" w:rsidRPr="0001615D" w:rsidRDefault="00D21A6E" w:rsidP="00D21A6E">
      <w:pPr>
        <w:tabs>
          <w:tab w:val="right" w:pos="9720"/>
        </w:tabs>
        <w:spacing w:line="480" w:lineRule="auto"/>
        <w:jc w:val="right"/>
        <w:rPr>
          <w:rFonts w:eastAsiaTheme="minorEastAsia" w:cs="Times New Roman"/>
          <w:szCs w:val="24"/>
        </w:rPr>
      </w:pPr>
      <w:r>
        <w:rPr>
          <w:rFonts w:eastAsiaTheme="minorEastAsia" w:cs="Times New Roman"/>
          <w:szCs w:val="24"/>
        </w:rPr>
        <w:t>Taghreed Al Dari</w:t>
      </w:r>
    </w:p>
    <w:p w14:paraId="0EFC0847" w14:textId="77777777" w:rsidR="00D21A6E" w:rsidRPr="0001615D" w:rsidRDefault="00D21A6E" w:rsidP="00D21A6E">
      <w:pPr>
        <w:tabs>
          <w:tab w:val="right" w:pos="9720"/>
        </w:tabs>
        <w:spacing w:line="480" w:lineRule="auto"/>
        <w:jc w:val="right"/>
        <w:rPr>
          <w:rFonts w:eastAsiaTheme="minorEastAsia" w:cs="Times New Roman"/>
          <w:b/>
          <w:bCs/>
          <w:szCs w:val="24"/>
        </w:rPr>
      </w:pPr>
      <w:r w:rsidRPr="0001615D">
        <w:rPr>
          <w:rFonts w:eastAsiaTheme="minorEastAsia" w:cs="Times New Roman"/>
          <w:b/>
          <w:bCs/>
          <w:szCs w:val="24"/>
        </w:rPr>
        <w:t>Approved:</w:t>
      </w:r>
    </w:p>
    <w:p w14:paraId="75D64ABB" w14:textId="77777777" w:rsidR="00D21A6E" w:rsidRPr="0001615D" w:rsidRDefault="00D21A6E" w:rsidP="00D21A6E">
      <w:pPr>
        <w:tabs>
          <w:tab w:val="right" w:pos="9720"/>
        </w:tabs>
        <w:spacing w:line="480" w:lineRule="auto"/>
        <w:rPr>
          <w:rFonts w:eastAsiaTheme="minorEastAsia" w:cs="Times New Roman"/>
          <w:b/>
          <w:bCs/>
          <w:szCs w:val="24"/>
        </w:rPr>
      </w:pPr>
    </w:p>
    <w:p w14:paraId="38FDD7F4" w14:textId="77777777" w:rsidR="00D21A6E" w:rsidRPr="0001615D" w:rsidRDefault="00D21A6E" w:rsidP="00D21A6E">
      <w:pPr>
        <w:spacing w:line="480" w:lineRule="auto"/>
        <w:jc w:val="right"/>
        <w:rPr>
          <w:rFonts w:eastAsiaTheme="minorEastAsia" w:cs="Times New Roman"/>
          <w:b/>
          <w:bCs/>
          <w:szCs w:val="24"/>
        </w:rPr>
      </w:pPr>
      <w:r w:rsidRPr="0001615D">
        <w:rPr>
          <w:rFonts w:eastAsiaTheme="minorEastAsia" w:cs="Times New Roman"/>
          <w:b/>
          <w:bCs/>
          <w:szCs w:val="24"/>
        </w:rPr>
        <w:t>________________________</w:t>
      </w:r>
    </w:p>
    <w:p w14:paraId="7D527465" w14:textId="77777777" w:rsidR="00D21A6E" w:rsidRPr="0001615D" w:rsidRDefault="00D21A6E" w:rsidP="00D21A6E">
      <w:pPr>
        <w:tabs>
          <w:tab w:val="right" w:pos="9720"/>
        </w:tabs>
        <w:jc w:val="right"/>
        <w:rPr>
          <w:rFonts w:eastAsiaTheme="minorEastAsia" w:cs="Times New Roman"/>
          <w:szCs w:val="24"/>
        </w:rPr>
      </w:pPr>
      <w:r w:rsidRPr="0001615D">
        <w:rPr>
          <w:rFonts w:eastAsiaTheme="minorEastAsia" w:cs="Times New Roman"/>
          <w:szCs w:val="24"/>
        </w:rPr>
        <w:t>Fauzia Jabeen, PhD</w:t>
      </w:r>
    </w:p>
    <w:p w14:paraId="5F482ED7" w14:textId="77777777" w:rsidR="00D21A6E" w:rsidRPr="0001615D" w:rsidRDefault="00D21A6E" w:rsidP="00D21A6E">
      <w:pPr>
        <w:tabs>
          <w:tab w:val="right" w:pos="8640"/>
        </w:tabs>
        <w:jc w:val="right"/>
        <w:rPr>
          <w:rFonts w:eastAsiaTheme="minorEastAsia" w:cs="Times New Roman"/>
          <w:szCs w:val="24"/>
        </w:rPr>
      </w:pPr>
      <w:r w:rsidRPr="0001615D">
        <w:rPr>
          <w:rFonts w:eastAsiaTheme="minorEastAsia" w:cs="Times New Roman"/>
          <w:szCs w:val="24"/>
        </w:rPr>
        <w:t xml:space="preserve">Associate Professor, College of Business </w:t>
      </w:r>
    </w:p>
    <w:p w14:paraId="6F39DA86" w14:textId="77777777" w:rsidR="00D21A6E" w:rsidRPr="0001615D" w:rsidRDefault="00D21A6E" w:rsidP="00D21A6E">
      <w:pPr>
        <w:tabs>
          <w:tab w:val="right" w:pos="8640"/>
        </w:tabs>
        <w:jc w:val="right"/>
        <w:rPr>
          <w:rFonts w:eastAsiaTheme="minorEastAsia" w:cs="Times New Roman"/>
          <w:szCs w:val="24"/>
        </w:rPr>
      </w:pPr>
      <w:r w:rsidRPr="0001615D">
        <w:rPr>
          <w:rFonts w:eastAsiaTheme="minorEastAsia" w:cs="Times New Roman"/>
          <w:szCs w:val="24"/>
        </w:rPr>
        <w:t>Abu Dhabi University</w:t>
      </w:r>
    </w:p>
    <w:p w14:paraId="19814084" w14:textId="77777777" w:rsidR="00D21A6E" w:rsidRPr="0001615D" w:rsidRDefault="00D21A6E" w:rsidP="00D21A6E">
      <w:pPr>
        <w:tabs>
          <w:tab w:val="right" w:pos="8640"/>
        </w:tabs>
        <w:jc w:val="right"/>
        <w:rPr>
          <w:rFonts w:eastAsiaTheme="minorEastAsia" w:cs="Times New Roman"/>
          <w:szCs w:val="24"/>
        </w:rPr>
      </w:pPr>
      <w:r w:rsidRPr="0001615D">
        <w:rPr>
          <w:rFonts w:eastAsiaTheme="minorEastAsia" w:cs="Times New Roman"/>
          <w:szCs w:val="24"/>
        </w:rPr>
        <w:t>Committee Chair</w:t>
      </w:r>
    </w:p>
    <w:p w14:paraId="0E94C8EB" w14:textId="77777777" w:rsidR="00D21A6E" w:rsidRPr="0001615D" w:rsidRDefault="00D21A6E" w:rsidP="00D21A6E">
      <w:pPr>
        <w:tabs>
          <w:tab w:val="right" w:pos="8640"/>
        </w:tabs>
        <w:spacing w:line="480" w:lineRule="auto"/>
        <w:jc w:val="right"/>
        <w:rPr>
          <w:rFonts w:eastAsiaTheme="minorEastAsia" w:cs="Times New Roman"/>
          <w:szCs w:val="24"/>
        </w:rPr>
      </w:pPr>
    </w:p>
    <w:p w14:paraId="7CECA55A" w14:textId="77777777" w:rsidR="00D21A6E" w:rsidRPr="0001615D" w:rsidRDefault="00D21A6E" w:rsidP="00D21A6E">
      <w:pPr>
        <w:tabs>
          <w:tab w:val="right" w:pos="8640"/>
        </w:tabs>
        <w:spacing w:line="480" w:lineRule="auto"/>
        <w:jc w:val="right"/>
        <w:rPr>
          <w:rFonts w:eastAsiaTheme="minorEastAsia" w:cs="Times New Roman"/>
          <w:szCs w:val="24"/>
        </w:rPr>
      </w:pPr>
      <w:r w:rsidRPr="0001615D">
        <w:rPr>
          <w:rFonts w:eastAsiaTheme="minorEastAsia" w:cs="Times New Roman"/>
          <w:szCs w:val="24"/>
        </w:rPr>
        <w:tab/>
      </w:r>
    </w:p>
    <w:p w14:paraId="1D906090" w14:textId="77777777" w:rsidR="00D21A6E" w:rsidRPr="0001615D" w:rsidRDefault="00D21A6E" w:rsidP="00D21A6E">
      <w:pPr>
        <w:tabs>
          <w:tab w:val="right" w:pos="9720"/>
        </w:tabs>
        <w:spacing w:line="480" w:lineRule="auto"/>
        <w:jc w:val="right"/>
        <w:rPr>
          <w:rFonts w:eastAsiaTheme="minorEastAsia" w:cs="Times New Roman"/>
          <w:szCs w:val="24"/>
        </w:rPr>
      </w:pPr>
      <w:r w:rsidRPr="0001615D">
        <w:rPr>
          <w:rFonts w:eastAsiaTheme="minorEastAsia" w:cs="Times New Roman"/>
          <w:szCs w:val="24"/>
        </w:rPr>
        <w:t>_________________________</w:t>
      </w:r>
    </w:p>
    <w:p w14:paraId="46D53952" w14:textId="23DE007B" w:rsidR="00D21A6E" w:rsidRPr="0001615D" w:rsidRDefault="00D21A6E" w:rsidP="00D21A6E">
      <w:pPr>
        <w:jc w:val="right"/>
        <w:rPr>
          <w:rFonts w:eastAsiaTheme="minorEastAsia" w:cs="Times New Roman"/>
          <w:szCs w:val="24"/>
        </w:rPr>
      </w:pPr>
      <w:r>
        <w:rPr>
          <w:rFonts w:eastAsiaTheme="minorEastAsia" w:cs="Times New Roman"/>
          <w:szCs w:val="24"/>
        </w:rPr>
        <w:t>Matloub Hussain</w:t>
      </w:r>
      <w:r w:rsidRPr="0001615D">
        <w:rPr>
          <w:rFonts w:eastAsiaTheme="minorEastAsia" w:cs="Times New Roman"/>
          <w:szCs w:val="24"/>
        </w:rPr>
        <w:t>, PhD</w:t>
      </w:r>
    </w:p>
    <w:p w14:paraId="7D04E3CA" w14:textId="77777777" w:rsidR="00D21A6E" w:rsidRPr="0001615D" w:rsidRDefault="00D21A6E" w:rsidP="00D21A6E">
      <w:pPr>
        <w:tabs>
          <w:tab w:val="right" w:pos="8640"/>
        </w:tabs>
        <w:jc w:val="right"/>
        <w:rPr>
          <w:rFonts w:eastAsiaTheme="minorEastAsia" w:cs="Times New Roman"/>
          <w:szCs w:val="24"/>
        </w:rPr>
      </w:pPr>
      <w:r w:rsidRPr="0001615D">
        <w:rPr>
          <w:rFonts w:eastAsiaTheme="minorEastAsia" w:cs="Times New Roman"/>
          <w:szCs w:val="24"/>
        </w:rPr>
        <w:t>Associate Professor, College of Business,</w:t>
      </w:r>
    </w:p>
    <w:p w14:paraId="3FA3B6E4" w14:textId="77777777" w:rsidR="00D21A6E" w:rsidRPr="0001615D" w:rsidRDefault="00D21A6E" w:rsidP="00D21A6E">
      <w:pPr>
        <w:tabs>
          <w:tab w:val="right" w:pos="8640"/>
        </w:tabs>
        <w:jc w:val="right"/>
        <w:rPr>
          <w:rFonts w:eastAsiaTheme="minorEastAsia" w:cs="Times New Roman"/>
          <w:szCs w:val="24"/>
        </w:rPr>
      </w:pPr>
      <w:r w:rsidRPr="0001615D">
        <w:rPr>
          <w:rFonts w:eastAsiaTheme="minorEastAsia" w:cs="Times New Roman"/>
          <w:szCs w:val="24"/>
        </w:rPr>
        <w:t>Abu Dhabi University</w:t>
      </w:r>
    </w:p>
    <w:p w14:paraId="06AC2212" w14:textId="77777777" w:rsidR="00D21A6E" w:rsidRPr="0001615D" w:rsidRDefault="00D21A6E" w:rsidP="00D21A6E">
      <w:pPr>
        <w:tabs>
          <w:tab w:val="right" w:pos="8640"/>
        </w:tabs>
        <w:jc w:val="right"/>
        <w:rPr>
          <w:rFonts w:eastAsiaTheme="minorEastAsia" w:cs="Times New Roman"/>
          <w:szCs w:val="24"/>
        </w:rPr>
      </w:pPr>
      <w:r w:rsidRPr="0001615D">
        <w:rPr>
          <w:rFonts w:eastAsiaTheme="minorEastAsia" w:cs="Times New Roman"/>
          <w:szCs w:val="24"/>
        </w:rPr>
        <w:t>Committee Member</w:t>
      </w:r>
    </w:p>
    <w:p w14:paraId="6AF5B502" w14:textId="77777777" w:rsidR="00D21A6E" w:rsidRPr="0001615D" w:rsidRDefault="00D21A6E" w:rsidP="00D21A6E">
      <w:pPr>
        <w:tabs>
          <w:tab w:val="right" w:pos="9720"/>
        </w:tabs>
        <w:spacing w:line="480" w:lineRule="auto"/>
        <w:rPr>
          <w:rFonts w:eastAsiaTheme="minorEastAsia" w:cs="Times New Roman"/>
          <w:szCs w:val="24"/>
        </w:rPr>
      </w:pPr>
    </w:p>
    <w:p w14:paraId="530ACCF0" w14:textId="16C52D07" w:rsidR="00D21A6E" w:rsidRPr="0001615D" w:rsidRDefault="00D21A6E" w:rsidP="00D21A6E">
      <w:pPr>
        <w:tabs>
          <w:tab w:val="right" w:pos="9720"/>
        </w:tabs>
        <w:jc w:val="right"/>
        <w:rPr>
          <w:rFonts w:eastAsiaTheme="minorEastAsia" w:cs="Times New Roman"/>
          <w:szCs w:val="24"/>
        </w:rPr>
      </w:pPr>
    </w:p>
    <w:p w14:paraId="6064FBC9" w14:textId="77777777" w:rsidR="00D21A6E" w:rsidRPr="0001615D" w:rsidRDefault="00D21A6E" w:rsidP="00D21A6E">
      <w:pPr>
        <w:spacing w:line="480" w:lineRule="auto"/>
        <w:rPr>
          <w:rFonts w:eastAsiaTheme="minorEastAsia" w:cs="Times New Roman"/>
          <w:szCs w:val="24"/>
        </w:rPr>
      </w:pPr>
      <w:r w:rsidRPr="0001615D">
        <w:rPr>
          <w:rFonts w:eastAsiaTheme="minorEastAsia" w:cs="Times New Roman"/>
          <w:szCs w:val="24"/>
        </w:rPr>
        <w:t>_________________________</w:t>
      </w:r>
    </w:p>
    <w:p w14:paraId="1D1C3DBD" w14:textId="77777777" w:rsidR="00D21A6E" w:rsidRPr="0001615D" w:rsidRDefault="00D21A6E" w:rsidP="00D21A6E">
      <w:pPr>
        <w:rPr>
          <w:rFonts w:eastAsiaTheme="minorEastAsia" w:cs="Times New Roman"/>
          <w:szCs w:val="24"/>
        </w:rPr>
      </w:pPr>
      <w:r w:rsidRPr="0001615D">
        <w:rPr>
          <w:rFonts w:eastAsiaTheme="minorEastAsia" w:cs="Times New Roman"/>
          <w:szCs w:val="24"/>
        </w:rPr>
        <w:t>Christos Pitelis, PhD</w:t>
      </w:r>
    </w:p>
    <w:p w14:paraId="5F794ED4" w14:textId="77777777" w:rsidR="00D21A6E" w:rsidRPr="0001615D" w:rsidRDefault="00D21A6E" w:rsidP="00D21A6E">
      <w:pPr>
        <w:rPr>
          <w:rFonts w:eastAsiaTheme="minorEastAsia" w:cs="Times New Roman"/>
          <w:szCs w:val="24"/>
        </w:rPr>
      </w:pPr>
      <w:r w:rsidRPr="0001615D">
        <w:rPr>
          <w:rFonts w:eastAsiaTheme="minorEastAsia" w:cs="Times New Roman"/>
          <w:szCs w:val="24"/>
        </w:rPr>
        <w:t xml:space="preserve">Dean, College of Business </w:t>
      </w:r>
    </w:p>
    <w:p w14:paraId="4BD20CAE" w14:textId="77777777" w:rsidR="00D21A6E" w:rsidRPr="0001615D" w:rsidRDefault="00D21A6E" w:rsidP="00D21A6E">
      <w:pPr>
        <w:rPr>
          <w:rFonts w:eastAsiaTheme="minorEastAsia" w:cs="Times New Roman"/>
          <w:szCs w:val="24"/>
        </w:rPr>
      </w:pPr>
      <w:r w:rsidRPr="0001615D">
        <w:rPr>
          <w:rFonts w:eastAsiaTheme="minorEastAsia" w:cs="Times New Roman"/>
          <w:szCs w:val="24"/>
        </w:rPr>
        <w:t>Abu Dhabi University</w:t>
      </w:r>
    </w:p>
    <w:p w14:paraId="75747853" w14:textId="77777777" w:rsidR="008377FA" w:rsidRPr="002A7627" w:rsidRDefault="008377FA" w:rsidP="008377FA">
      <w:pPr>
        <w:spacing w:line="480" w:lineRule="auto"/>
        <w:jc w:val="center"/>
        <w:rPr>
          <w:rFonts w:asciiTheme="majorBidi" w:hAnsiTheme="majorBidi" w:cstheme="majorBidi"/>
          <w:szCs w:val="24"/>
        </w:rPr>
      </w:pPr>
    </w:p>
    <w:p w14:paraId="5E4567FD" w14:textId="10A20730" w:rsidR="008377FA" w:rsidRPr="00390B30" w:rsidRDefault="008377FA" w:rsidP="00390B30">
      <w:pPr>
        <w:spacing w:line="480" w:lineRule="auto"/>
        <w:jc w:val="both"/>
        <w:rPr>
          <w:rFonts w:asciiTheme="majorBidi" w:hAnsiTheme="majorBidi" w:cstheme="majorBidi"/>
        </w:rPr>
        <w:sectPr w:rsidR="008377FA" w:rsidRPr="00390B30" w:rsidSect="005C2441">
          <w:headerReference w:type="even" r:id="rId12"/>
          <w:footerReference w:type="default" r:id="rId13"/>
          <w:pgSz w:w="12240" w:h="15840" w:code="9"/>
          <w:pgMar w:top="1800" w:right="2160" w:bottom="1800" w:left="2160" w:header="1620" w:footer="360" w:gutter="0"/>
          <w:pgNumType w:fmt="lowerRoman" w:start="1"/>
          <w:cols w:space="720"/>
          <w:titlePg/>
          <w:docGrid w:linePitch="360"/>
        </w:sectPr>
      </w:pPr>
    </w:p>
    <w:p w14:paraId="477FA03B" w14:textId="77777777" w:rsidR="00030E83" w:rsidRDefault="00030E83" w:rsidP="00030E83">
      <w:pPr>
        <w:pStyle w:val="ecxmsonormal"/>
        <w:shd w:val="clear" w:color="auto" w:fill="FFFFFF"/>
        <w:spacing w:after="0" w:line="480" w:lineRule="auto"/>
        <w:rPr>
          <w:rFonts w:eastAsiaTheme="minorHAnsi"/>
        </w:rPr>
      </w:pPr>
    </w:p>
    <w:p w14:paraId="0632BFD1" w14:textId="77777777" w:rsidR="00030E83" w:rsidRPr="0001615D" w:rsidRDefault="00030E83" w:rsidP="00030E83">
      <w:pPr>
        <w:pStyle w:val="ecxmsonormal"/>
        <w:shd w:val="clear" w:color="auto" w:fill="FFFFFF"/>
        <w:spacing w:after="0" w:line="480" w:lineRule="auto"/>
        <w:rPr>
          <w:b/>
          <w:bCs/>
        </w:rPr>
      </w:pPr>
    </w:p>
    <w:p w14:paraId="63F57A3C" w14:textId="77777777" w:rsidR="00030E83" w:rsidRPr="0001615D" w:rsidRDefault="00030E83" w:rsidP="00030E83">
      <w:pPr>
        <w:pStyle w:val="ecxmsonormal"/>
        <w:shd w:val="clear" w:color="auto" w:fill="FFFFFF"/>
        <w:spacing w:after="0" w:line="480" w:lineRule="auto"/>
        <w:jc w:val="center"/>
        <w:rPr>
          <w:b/>
          <w:bCs/>
        </w:rPr>
      </w:pPr>
    </w:p>
    <w:p w14:paraId="5B5F2A4F" w14:textId="77777777" w:rsidR="00030E83" w:rsidRPr="0001615D" w:rsidRDefault="00030E83" w:rsidP="00030E83">
      <w:pPr>
        <w:pStyle w:val="ecxmsonormal"/>
        <w:shd w:val="clear" w:color="auto" w:fill="FFFFFF"/>
        <w:spacing w:after="0" w:line="480" w:lineRule="auto"/>
        <w:jc w:val="center"/>
        <w:rPr>
          <w:b/>
          <w:bCs/>
        </w:rPr>
      </w:pPr>
    </w:p>
    <w:p w14:paraId="6CE702B8" w14:textId="77777777" w:rsidR="00030E83" w:rsidRDefault="00030E83" w:rsidP="00030E83">
      <w:pPr>
        <w:pStyle w:val="ecxmsonormal"/>
        <w:shd w:val="clear" w:color="auto" w:fill="FFFFFF"/>
        <w:spacing w:after="0" w:line="480" w:lineRule="auto"/>
        <w:jc w:val="center"/>
        <w:rPr>
          <w:b/>
          <w:bCs/>
          <w:sz w:val="32"/>
          <w:szCs w:val="32"/>
        </w:rPr>
      </w:pPr>
      <w:bookmarkStart w:id="3" w:name="Copyright_Information"/>
    </w:p>
    <w:p w14:paraId="75604DDE" w14:textId="77777777" w:rsidR="00030E83" w:rsidRDefault="00030E83" w:rsidP="00030E83">
      <w:pPr>
        <w:pStyle w:val="ecxmsonormal"/>
        <w:shd w:val="clear" w:color="auto" w:fill="FFFFFF"/>
        <w:spacing w:after="0" w:line="480" w:lineRule="auto"/>
        <w:jc w:val="center"/>
        <w:rPr>
          <w:b/>
          <w:bCs/>
          <w:sz w:val="32"/>
          <w:szCs w:val="32"/>
        </w:rPr>
      </w:pPr>
    </w:p>
    <w:p w14:paraId="0A9835C3" w14:textId="0A0C0089" w:rsidR="00030E83" w:rsidRPr="005B0701" w:rsidRDefault="00DB56FA" w:rsidP="00DB56FA">
      <w:pPr>
        <w:pStyle w:val="Title"/>
      </w:pPr>
      <w:bookmarkStart w:id="4" w:name="_Toc22331624"/>
      <w:r>
        <w:t>COPYRIGHT INFORMATION</w:t>
      </w:r>
      <w:bookmarkEnd w:id="4"/>
    </w:p>
    <w:bookmarkEnd w:id="3"/>
    <w:p w14:paraId="0C5333EA" w14:textId="77777777" w:rsidR="00030E83" w:rsidRPr="0001615D" w:rsidRDefault="00030E83" w:rsidP="00030E83">
      <w:pPr>
        <w:pStyle w:val="ecxmsonormal"/>
        <w:shd w:val="clear" w:color="auto" w:fill="FFFFFF"/>
        <w:spacing w:after="0" w:line="480" w:lineRule="auto"/>
        <w:jc w:val="center"/>
        <w:rPr>
          <w:b/>
          <w:bCs/>
        </w:rPr>
      </w:pPr>
    </w:p>
    <w:p w14:paraId="6EFB42B7" w14:textId="77777777" w:rsidR="00030E83" w:rsidRPr="0001615D" w:rsidRDefault="00030E83" w:rsidP="00030E83">
      <w:pPr>
        <w:pStyle w:val="ecxmsonormal"/>
        <w:shd w:val="clear" w:color="auto" w:fill="FFFFFF"/>
        <w:spacing w:after="0" w:line="480" w:lineRule="auto"/>
        <w:jc w:val="center"/>
        <w:rPr>
          <w:b/>
          <w:bCs/>
        </w:rPr>
      </w:pPr>
    </w:p>
    <w:p w14:paraId="383B54DA" w14:textId="77777777" w:rsidR="00030E83" w:rsidRPr="0001615D" w:rsidRDefault="00030E83" w:rsidP="00030E83">
      <w:pPr>
        <w:pStyle w:val="ecxmsonormal"/>
        <w:shd w:val="clear" w:color="auto" w:fill="FFFFFF"/>
        <w:spacing w:after="0" w:line="480" w:lineRule="auto"/>
        <w:jc w:val="center"/>
        <w:rPr>
          <w:b/>
          <w:bCs/>
        </w:rPr>
      </w:pPr>
    </w:p>
    <w:p w14:paraId="5732F819" w14:textId="77777777" w:rsidR="00030E83" w:rsidRPr="0001615D" w:rsidRDefault="00030E83" w:rsidP="00030E83">
      <w:pPr>
        <w:pStyle w:val="ecxmsonormal"/>
        <w:shd w:val="clear" w:color="auto" w:fill="FFFFFF"/>
        <w:spacing w:after="0" w:line="480" w:lineRule="auto"/>
        <w:jc w:val="center"/>
        <w:rPr>
          <w:b/>
          <w:bCs/>
        </w:rPr>
      </w:pPr>
    </w:p>
    <w:p w14:paraId="5964CD2B" w14:textId="77777777" w:rsidR="00030E83" w:rsidRPr="0001615D" w:rsidRDefault="00030E83" w:rsidP="00030E83">
      <w:pPr>
        <w:pStyle w:val="ecxmsonormal"/>
        <w:shd w:val="clear" w:color="auto" w:fill="FFFFFF"/>
        <w:spacing w:after="0" w:line="480" w:lineRule="auto"/>
        <w:jc w:val="center"/>
        <w:rPr>
          <w:b/>
          <w:bCs/>
        </w:rPr>
      </w:pPr>
    </w:p>
    <w:p w14:paraId="0B1FCEA7" w14:textId="77777777" w:rsidR="00030E83" w:rsidRPr="0001615D" w:rsidRDefault="00030E83" w:rsidP="00030E83">
      <w:pPr>
        <w:pStyle w:val="ecxmsonormal"/>
        <w:shd w:val="clear" w:color="auto" w:fill="FFFFFF"/>
        <w:spacing w:after="0" w:line="480" w:lineRule="auto"/>
        <w:jc w:val="center"/>
        <w:rPr>
          <w:bCs/>
        </w:rPr>
      </w:pPr>
      <w:r w:rsidRPr="0001615D">
        <w:rPr>
          <w:bCs/>
        </w:rPr>
        <w:t xml:space="preserve">Copyright </w:t>
      </w:r>
      <w:r>
        <w:rPr>
          <w:bCs/>
        </w:rPr>
        <w:t>2019</w:t>
      </w:r>
    </w:p>
    <w:p w14:paraId="5E47A2F3" w14:textId="77777777" w:rsidR="00030E83" w:rsidRPr="0001615D" w:rsidRDefault="00030E83" w:rsidP="00030E83">
      <w:pPr>
        <w:pStyle w:val="ecxmsonormal"/>
        <w:shd w:val="clear" w:color="auto" w:fill="FFFFFF"/>
        <w:spacing w:after="0" w:line="480" w:lineRule="auto"/>
        <w:jc w:val="center"/>
        <w:rPr>
          <w:bCs/>
        </w:rPr>
      </w:pPr>
      <w:r w:rsidRPr="0001615D">
        <w:rPr>
          <w:bCs/>
        </w:rPr>
        <w:t>By</w:t>
      </w:r>
    </w:p>
    <w:p w14:paraId="7D432CA6" w14:textId="3FB303B9" w:rsidR="00030E83" w:rsidRPr="0001615D" w:rsidRDefault="00030E83" w:rsidP="00030E83">
      <w:pPr>
        <w:pStyle w:val="ecxmsonormal"/>
        <w:shd w:val="clear" w:color="auto" w:fill="FFFFFF"/>
        <w:spacing w:after="0" w:line="480" w:lineRule="auto"/>
        <w:jc w:val="center"/>
        <w:rPr>
          <w:bCs/>
        </w:rPr>
      </w:pPr>
      <w:r>
        <w:rPr>
          <w:bCs/>
        </w:rPr>
        <w:t>Taghreed</w:t>
      </w:r>
      <w:r w:rsidRPr="0001615D">
        <w:rPr>
          <w:bCs/>
        </w:rPr>
        <w:t xml:space="preserve"> Al D</w:t>
      </w:r>
      <w:r>
        <w:rPr>
          <w:bCs/>
        </w:rPr>
        <w:t>ari</w:t>
      </w:r>
    </w:p>
    <w:p w14:paraId="1514DD7C" w14:textId="77777777" w:rsidR="00030E83" w:rsidRPr="0001615D" w:rsidRDefault="00030E83" w:rsidP="00030E83">
      <w:pPr>
        <w:pStyle w:val="ecxmsonormal"/>
        <w:shd w:val="clear" w:color="auto" w:fill="FFFFFF"/>
        <w:spacing w:after="0" w:line="480" w:lineRule="auto"/>
        <w:jc w:val="center"/>
        <w:rPr>
          <w:b/>
          <w:bCs/>
        </w:rPr>
      </w:pPr>
    </w:p>
    <w:p w14:paraId="5C819737" w14:textId="77777777" w:rsidR="00030E83" w:rsidRPr="0001615D" w:rsidRDefault="00030E83" w:rsidP="00030E83">
      <w:pPr>
        <w:pStyle w:val="ecxmsonormal"/>
        <w:shd w:val="clear" w:color="auto" w:fill="FFFFFF"/>
        <w:spacing w:after="0" w:line="480" w:lineRule="auto"/>
        <w:jc w:val="center"/>
        <w:rPr>
          <w:b/>
          <w:bCs/>
        </w:rPr>
      </w:pPr>
    </w:p>
    <w:p w14:paraId="72930985" w14:textId="77777777" w:rsidR="00030E83" w:rsidRPr="0001615D" w:rsidRDefault="00030E83" w:rsidP="00030E83">
      <w:pPr>
        <w:pStyle w:val="ecxmsonormal"/>
        <w:shd w:val="clear" w:color="auto" w:fill="FFFFFF"/>
        <w:spacing w:after="0" w:line="480" w:lineRule="auto"/>
        <w:jc w:val="center"/>
        <w:rPr>
          <w:b/>
          <w:bCs/>
        </w:rPr>
      </w:pPr>
    </w:p>
    <w:p w14:paraId="0DE12CC7" w14:textId="77777777" w:rsidR="00030E83" w:rsidRPr="0001615D" w:rsidRDefault="00030E83" w:rsidP="00030E83">
      <w:pPr>
        <w:pStyle w:val="ecxmsonormal"/>
        <w:shd w:val="clear" w:color="auto" w:fill="FFFFFF"/>
        <w:spacing w:after="0" w:line="480" w:lineRule="auto"/>
        <w:jc w:val="center"/>
        <w:rPr>
          <w:b/>
          <w:bCs/>
        </w:rPr>
      </w:pPr>
    </w:p>
    <w:p w14:paraId="127F92B5" w14:textId="77777777" w:rsidR="00030E83" w:rsidRPr="0001615D" w:rsidRDefault="00030E83" w:rsidP="00030E83">
      <w:pPr>
        <w:pStyle w:val="ecxmsonormal"/>
        <w:shd w:val="clear" w:color="auto" w:fill="FFFFFF"/>
        <w:spacing w:after="0" w:line="480" w:lineRule="auto"/>
        <w:jc w:val="center"/>
        <w:rPr>
          <w:b/>
          <w:bCs/>
        </w:rPr>
      </w:pPr>
    </w:p>
    <w:p w14:paraId="432BD703" w14:textId="77777777" w:rsidR="00030E83" w:rsidRPr="0001615D" w:rsidRDefault="00030E83" w:rsidP="00030E83">
      <w:pPr>
        <w:spacing w:line="480" w:lineRule="auto"/>
        <w:jc w:val="center"/>
        <w:rPr>
          <w:rFonts w:eastAsia="PMingLiU" w:cs="Times New Roman"/>
          <w:b/>
          <w:bCs/>
          <w:szCs w:val="24"/>
        </w:rPr>
      </w:pPr>
    </w:p>
    <w:p w14:paraId="03E45CD8" w14:textId="77777777" w:rsidR="00030E83" w:rsidRPr="0001615D" w:rsidRDefault="00030E83" w:rsidP="00030E83">
      <w:pPr>
        <w:spacing w:line="480" w:lineRule="auto"/>
        <w:jc w:val="center"/>
        <w:rPr>
          <w:rFonts w:eastAsia="PMingLiU" w:cs="Times New Roman"/>
          <w:b/>
          <w:bCs/>
          <w:szCs w:val="24"/>
        </w:rPr>
      </w:pPr>
    </w:p>
    <w:p w14:paraId="6ACA7A45" w14:textId="77777777" w:rsidR="00030E83" w:rsidRPr="0001615D" w:rsidRDefault="00030E83" w:rsidP="00030E83">
      <w:pPr>
        <w:spacing w:line="480" w:lineRule="auto"/>
        <w:jc w:val="center"/>
        <w:rPr>
          <w:rFonts w:eastAsia="PMingLiU" w:cs="Times New Roman"/>
          <w:b/>
          <w:bCs/>
          <w:szCs w:val="24"/>
        </w:rPr>
      </w:pPr>
    </w:p>
    <w:p w14:paraId="74C1A4EC" w14:textId="77777777" w:rsidR="00030E83" w:rsidRPr="0001615D" w:rsidRDefault="00030E83" w:rsidP="00030E83">
      <w:pPr>
        <w:spacing w:line="480" w:lineRule="auto"/>
        <w:rPr>
          <w:rFonts w:cs="Times New Roman"/>
          <w:szCs w:val="24"/>
        </w:rPr>
      </w:pPr>
    </w:p>
    <w:p w14:paraId="27B3469E" w14:textId="77777777" w:rsidR="008377FA" w:rsidRPr="002A7627" w:rsidRDefault="008377FA" w:rsidP="008377FA">
      <w:pPr>
        <w:tabs>
          <w:tab w:val="left" w:pos="9360"/>
        </w:tabs>
        <w:spacing w:line="480" w:lineRule="auto"/>
        <w:jc w:val="lowKashida"/>
        <w:rPr>
          <w:rFonts w:asciiTheme="majorBidi" w:hAnsiTheme="majorBidi" w:cstheme="majorBidi"/>
          <w:szCs w:val="24"/>
        </w:rPr>
      </w:pPr>
    </w:p>
    <w:p w14:paraId="23A8D432" w14:textId="77777777" w:rsidR="008377FA" w:rsidRPr="002A7627" w:rsidRDefault="008377FA" w:rsidP="008377FA">
      <w:pPr>
        <w:tabs>
          <w:tab w:val="left" w:pos="9360"/>
        </w:tabs>
        <w:spacing w:line="480" w:lineRule="auto"/>
        <w:jc w:val="lowKashida"/>
        <w:rPr>
          <w:rFonts w:asciiTheme="majorBidi" w:hAnsiTheme="majorBidi" w:cstheme="majorBidi"/>
          <w:szCs w:val="24"/>
        </w:rPr>
      </w:pPr>
    </w:p>
    <w:p w14:paraId="7BC5BDE8" w14:textId="77777777" w:rsidR="008377FA" w:rsidRPr="002A7627" w:rsidRDefault="008377FA" w:rsidP="008377FA">
      <w:pPr>
        <w:tabs>
          <w:tab w:val="left" w:pos="9360"/>
        </w:tabs>
        <w:spacing w:line="480" w:lineRule="auto"/>
        <w:jc w:val="lowKashida"/>
        <w:rPr>
          <w:rFonts w:asciiTheme="majorBidi" w:hAnsiTheme="majorBidi" w:cstheme="majorBidi"/>
          <w:szCs w:val="24"/>
        </w:rPr>
      </w:pPr>
    </w:p>
    <w:p w14:paraId="6C136158" w14:textId="77777777" w:rsidR="008377FA" w:rsidRPr="002A7627" w:rsidRDefault="008377FA" w:rsidP="008377FA">
      <w:pPr>
        <w:tabs>
          <w:tab w:val="left" w:pos="9360"/>
        </w:tabs>
        <w:spacing w:line="480" w:lineRule="auto"/>
        <w:jc w:val="lowKashida"/>
        <w:rPr>
          <w:rFonts w:asciiTheme="majorBidi" w:hAnsiTheme="majorBidi" w:cstheme="majorBidi"/>
          <w:szCs w:val="24"/>
        </w:rPr>
      </w:pPr>
    </w:p>
    <w:p w14:paraId="3E8A54BF" w14:textId="77777777" w:rsidR="008377FA" w:rsidRPr="002A7627" w:rsidRDefault="008377FA" w:rsidP="008377FA">
      <w:pPr>
        <w:tabs>
          <w:tab w:val="left" w:pos="9360"/>
        </w:tabs>
        <w:spacing w:line="480" w:lineRule="auto"/>
        <w:jc w:val="center"/>
        <w:rPr>
          <w:rFonts w:asciiTheme="majorBidi" w:hAnsiTheme="majorBidi" w:cstheme="majorBidi"/>
          <w:szCs w:val="24"/>
        </w:rPr>
      </w:pPr>
    </w:p>
    <w:p w14:paraId="5BE1ECE4" w14:textId="77777777" w:rsidR="008377FA" w:rsidRPr="002A7627" w:rsidRDefault="008377FA" w:rsidP="008377FA">
      <w:pPr>
        <w:tabs>
          <w:tab w:val="left" w:pos="9360"/>
        </w:tabs>
        <w:spacing w:line="480" w:lineRule="auto"/>
        <w:jc w:val="center"/>
        <w:rPr>
          <w:rFonts w:asciiTheme="majorBidi" w:hAnsiTheme="majorBidi" w:cstheme="majorBidi"/>
          <w:szCs w:val="24"/>
        </w:rPr>
      </w:pPr>
    </w:p>
    <w:p w14:paraId="0549C7F0" w14:textId="77777777" w:rsidR="008377FA" w:rsidRPr="002A7627" w:rsidRDefault="008377FA" w:rsidP="008377FA">
      <w:pPr>
        <w:spacing w:line="480" w:lineRule="auto"/>
        <w:jc w:val="center"/>
        <w:rPr>
          <w:rFonts w:ascii="CMR12" w:hAnsi="CMR12" w:cs="CMR12"/>
          <w:i/>
          <w:iCs/>
          <w:szCs w:val="24"/>
        </w:rPr>
      </w:pPr>
    </w:p>
    <w:p w14:paraId="7A88053F" w14:textId="77777777" w:rsidR="008377FA" w:rsidRPr="002A7627" w:rsidRDefault="008377FA" w:rsidP="008377FA">
      <w:pPr>
        <w:spacing w:line="480" w:lineRule="auto"/>
        <w:jc w:val="center"/>
        <w:rPr>
          <w:rFonts w:ascii="CMR12" w:hAnsi="CMR12" w:cs="CMR12"/>
          <w:i/>
          <w:iCs/>
          <w:szCs w:val="24"/>
        </w:rPr>
      </w:pPr>
      <w:r w:rsidRPr="002A7627">
        <w:rPr>
          <w:rFonts w:ascii="CMR12" w:hAnsi="CMR12" w:cs="CMR12"/>
          <w:i/>
          <w:iCs/>
          <w:szCs w:val="24"/>
        </w:rPr>
        <w:t xml:space="preserve">To </w:t>
      </w:r>
      <w:proofErr w:type="gramStart"/>
      <w:r w:rsidRPr="002A7627">
        <w:rPr>
          <w:rFonts w:ascii="CMR12" w:hAnsi="CMR12" w:cs="CMR12"/>
          <w:i/>
          <w:iCs/>
          <w:szCs w:val="24"/>
        </w:rPr>
        <w:t>my</w:t>
      </w:r>
      <w:proofErr w:type="gramEnd"/>
    </w:p>
    <w:p w14:paraId="4F3E3187" w14:textId="77777777" w:rsidR="008377FA" w:rsidRPr="002A7627" w:rsidRDefault="008377FA" w:rsidP="008377FA">
      <w:pPr>
        <w:spacing w:line="480" w:lineRule="auto"/>
        <w:jc w:val="center"/>
        <w:rPr>
          <w:rFonts w:ascii="CMR12" w:hAnsi="CMR12" w:cs="CMR12"/>
          <w:i/>
          <w:iCs/>
          <w:szCs w:val="24"/>
        </w:rPr>
      </w:pPr>
      <w:r w:rsidRPr="002A7627">
        <w:rPr>
          <w:rFonts w:ascii="CMR12" w:hAnsi="CMR12" w:cs="CMR12"/>
          <w:i/>
          <w:iCs/>
          <w:szCs w:val="24"/>
        </w:rPr>
        <w:t>organization</w:t>
      </w:r>
    </w:p>
    <w:p w14:paraId="1FFEFAC3" w14:textId="7093A6FF" w:rsidR="008377FA" w:rsidRPr="002A7627" w:rsidRDefault="008377FA" w:rsidP="008377FA">
      <w:pPr>
        <w:tabs>
          <w:tab w:val="left" w:pos="9360"/>
        </w:tabs>
        <w:spacing w:line="480" w:lineRule="auto"/>
        <w:jc w:val="center"/>
        <w:rPr>
          <w:rFonts w:asciiTheme="majorBidi" w:hAnsiTheme="majorBidi" w:cstheme="majorBidi"/>
          <w:szCs w:val="24"/>
        </w:rPr>
      </w:pPr>
      <w:r w:rsidRPr="002A7627">
        <w:rPr>
          <w:rFonts w:ascii="CMR12" w:hAnsi="CMR12" w:cs="CMR12"/>
          <w:i/>
          <w:iCs/>
          <w:szCs w:val="24"/>
        </w:rPr>
        <w:t>with respect</w:t>
      </w:r>
    </w:p>
    <w:p w14:paraId="13E6C1D7" w14:textId="77777777" w:rsidR="008377FA" w:rsidRPr="002A7627" w:rsidRDefault="008377FA" w:rsidP="008377FA">
      <w:pPr>
        <w:tabs>
          <w:tab w:val="left" w:pos="9360"/>
        </w:tabs>
        <w:spacing w:line="480" w:lineRule="auto"/>
        <w:jc w:val="center"/>
        <w:rPr>
          <w:rFonts w:asciiTheme="majorBidi" w:hAnsiTheme="majorBidi" w:cstheme="majorBidi"/>
          <w:szCs w:val="24"/>
        </w:rPr>
      </w:pPr>
    </w:p>
    <w:p w14:paraId="16A71506" w14:textId="77777777" w:rsidR="008377FA" w:rsidRPr="002A7627" w:rsidRDefault="008377FA" w:rsidP="008377FA">
      <w:pPr>
        <w:tabs>
          <w:tab w:val="left" w:pos="9360"/>
        </w:tabs>
        <w:spacing w:line="480" w:lineRule="auto"/>
        <w:jc w:val="center"/>
        <w:rPr>
          <w:rFonts w:asciiTheme="majorBidi" w:hAnsiTheme="majorBidi" w:cstheme="majorBidi"/>
          <w:szCs w:val="24"/>
        </w:rPr>
      </w:pPr>
    </w:p>
    <w:p w14:paraId="22DE3856" w14:textId="77777777" w:rsidR="008377FA" w:rsidRPr="002A7627" w:rsidRDefault="008377FA" w:rsidP="008377FA">
      <w:pPr>
        <w:tabs>
          <w:tab w:val="left" w:pos="9360"/>
        </w:tabs>
        <w:spacing w:line="480" w:lineRule="auto"/>
        <w:jc w:val="lowKashida"/>
        <w:rPr>
          <w:rFonts w:asciiTheme="majorBidi" w:hAnsiTheme="majorBidi" w:cstheme="majorBidi"/>
          <w:szCs w:val="24"/>
        </w:rPr>
      </w:pPr>
    </w:p>
    <w:p w14:paraId="3060BBEC" w14:textId="7AC8A245" w:rsidR="008377FA" w:rsidRPr="002A7627" w:rsidRDefault="008377FA" w:rsidP="008377FA">
      <w:pPr>
        <w:tabs>
          <w:tab w:val="left" w:pos="9360"/>
        </w:tabs>
        <w:spacing w:line="480" w:lineRule="auto"/>
        <w:jc w:val="lowKashida"/>
        <w:rPr>
          <w:rFonts w:asciiTheme="majorBidi" w:hAnsiTheme="majorBidi" w:cstheme="majorBidi"/>
          <w:szCs w:val="24"/>
        </w:rPr>
      </w:pPr>
    </w:p>
    <w:p w14:paraId="7E0623C7" w14:textId="46E317DE" w:rsidR="001B702D" w:rsidRPr="002A7627" w:rsidRDefault="001B702D" w:rsidP="008377FA">
      <w:pPr>
        <w:tabs>
          <w:tab w:val="left" w:pos="9360"/>
        </w:tabs>
        <w:spacing w:line="480" w:lineRule="auto"/>
        <w:jc w:val="lowKashida"/>
        <w:rPr>
          <w:rFonts w:asciiTheme="majorBidi" w:hAnsiTheme="majorBidi" w:cstheme="majorBidi"/>
          <w:szCs w:val="24"/>
        </w:rPr>
      </w:pPr>
    </w:p>
    <w:p w14:paraId="11177A17" w14:textId="3BEB9263" w:rsidR="001B702D" w:rsidRPr="002A7627" w:rsidRDefault="001B702D" w:rsidP="008377FA">
      <w:pPr>
        <w:tabs>
          <w:tab w:val="left" w:pos="9360"/>
        </w:tabs>
        <w:spacing w:line="480" w:lineRule="auto"/>
        <w:jc w:val="lowKashida"/>
        <w:rPr>
          <w:rFonts w:asciiTheme="majorBidi" w:hAnsiTheme="majorBidi" w:cstheme="majorBidi"/>
          <w:szCs w:val="24"/>
        </w:rPr>
      </w:pPr>
    </w:p>
    <w:p w14:paraId="575BBD06" w14:textId="3645E38A" w:rsidR="001B702D" w:rsidRPr="002A7627" w:rsidRDefault="001B702D" w:rsidP="008377FA">
      <w:pPr>
        <w:tabs>
          <w:tab w:val="left" w:pos="9360"/>
        </w:tabs>
        <w:spacing w:line="480" w:lineRule="auto"/>
        <w:jc w:val="lowKashida"/>
        <w:rPr>
          <w:rFonts w:asciiTheme="majorBidi" w:hAnsiTheme="majorBidi" w:cstheme="majorBidi"/>
          <w:szCs w:val="24"/>
        </w:rPr>
      </w:pPr>
    </w:p>
    <w:p w14:paraId="3236FF33" w14:textId="13B5F806" w:rsidR="001B702D" w:rsidRPr="002A7627" w:rsidRDefault="001B702D" w:rsidP="008377FA">
      <w:pPr>
        <w:tabs>
          <w:tab w:val="left" w:pos="9360"/>
        </w:tabs>
        <w:spacing w:line="480" w:lineRule="auto"/>
        <w:jc w:val="lowKashida"/>
        <w:rPr>
          <w:rFonts w:asciiTheme="majorBidi" w:hAnsiTheme="majorBidi" w:cstheme="majorBidi"/>
          <w:szCs w:val="24"/>
        </w:rPr>
      </w:pPr>
    </w:p>
    <w:p w14:paraId="6176C7DB" w14:textId="77777777" w:rsidR="001B702D" w:rsidRPr="002A7627" w:rsidRDefault="001B702D" w:rsidP="008377FA">
      <w:pPr>
        <w:tabs>
          <w:tab w:val="left" w:pos="9360"/>
        </w:tabs>
        <w:spacing w:line="480" w:lineRule="auto"/>
        <w:jc w:val="lowKashida"/>
        <w:rPr>
          <w:rFonts w:asciiTheme="majorBidi" w:hAnsiTheme="majorBidi" w:cstheme="majorBidi"/>
          <w:szCs w:val="24"/>
        </w:rPr>
      </w:pPr>
    </w:p>
    <w:p w14:paraId="33A8CF45" w14:textId="224CB780" w:rsidR="00E24626" w:rsidRPr="002A7627" w:rsidRDefault="00E24626" w:rsidP="00433598">
      <w:pPr>
        <w:pStyle w:val="Title"/>
        <w:rPr>
          <w:color w:val="000000"/>
        </w:rPr>
        <w:sectPr w:rsidR="00E24626" w:rsidRPr="002A7627" w:rsidSect="00FF013F">
          <w:pgSz w:w="12240" w:h="15840"/>
          <w:pgMar w:top="1800" w:right="2160" w:bottom="1800" w:left="2160" w:header="720" w:footer="720" w:gutter="0"/>
          <w:pgNumType w:fmt="lowerRoman"/>
          <w:cols w:space="720"/>
          <w:docGrid w:linePitch="360"/>
        </w:sectPr>
      </w:pPr>
      <w:bookmarkStart w:id="5" w:name="_Toc468995898"/>
    </w:p>
    <w:p w14:paraId="296DFDFE" w14:textId="55D1852E" w:rsidR="008377FA" w:rsidRDefault="002F20D4" w:rsidP="00433598">
      <w:pPr>
        <w:pStyle w:val="Title"/>
        <w:rPr>
          <w:color w:val="000000"/>
        </w:rPr>
      </w:pPr>
      <w:bookmarkStart w:id="6" w:name="_Toc22331625"/>
      <w:bookmarkEnd w:id="5"/>
      <w:r>
        <w:rPr>
          <w:color w:val="000000"/>
        </w:rPr>
        <w:lastRenderedPageBreak/>
        <w:t>ABSTRACT</w:t>
      </w:r>
      <w:bookmarkEnd w:id="6"/>
    </w:p>
    <w:p w14:paraId="75136AFA" w14:textId="2127170E" w:rsidR="001F049B" w:rsidRDefault="001F049B" w:rsidP="001D5F54"/>
    <w:p w14:paraId="76375DBE" w14:textId="11DB4A5D" w:rsidR="001F049B" w:rsidRPr="002A2347" w:rsidRDefault="001F049B" w:rsidP="001F049B">
      <w:pPr>
        <w:spacing w:line="480" w:lineRule="auto"/>
        <w:ind w:firstLine="720"/>
        <w:jc w:val="both"/>
        <w:rPr>
          <w:rFonts w:asciiTheme="majorBidi" w:hAnsiTheme="majorBidi" w:cstheme="majorBidi"/>
          <w:color w:val="000000" w:themeColor="text1"/>
          <w:szCs w:val="24"/>
        </w:rPr>
      </w:pPr>
      <w:r w:rsidRPr="002A2347">
        <w:rPr>
          <w:rFonts w:asciiTheme="majorBidi" w:hAnsiTheme="majorBidi" w:cstheme="majorBidi"/>
          <w:color w:val="000000" w:themeColor="text1"/>
          <w:szCs w:val="24"/>
        </w:rPr>
        <w:t>Organizations need to increase their ability to build a knowledge-intensive society. They must effectively manage the power</w:t>
      </w:r>
      <w:r w:rsidR="00452AC9" w:rsidRPr="002A2347">
        <w:rPr>
          <w:rFonts w:asciiTheme="majorBidi" w:hAnsiTheme="majorBidi" w:cstheme="majorBidi"/>
          <w:color w:val="000000" w:themeColor="text1"/>
          <w:szCs w:val="24"/>
        </w:rPr>
        <w:t>ful</w:t>
      </w:r>
      <w:r w:rsidRPr="002A2347">
        <w:rPr>
          <w:rFonts w:asciiTheme="majorBidi" w:hAnsiTheme="majorBidi" w:cstheme="majorBidi"/>
          <w:color w:val="000000" w:themeColor="text1"/>
          <w:szCs w:val="24"/>
        </w:rPr>
        <w:t xml:space="preserve"> factor of “knowledge” to thrive. Existing literature on this topic has </w:t>
      </w:r>
      <w:r w:rsidR="001920DE" w:rsidRPr="002A2347">
        <w:rPr>
          <w:rFonts w:asciiTheme="majorBidi" w:hAnsiTheme="majorBidi" w:cstheme="majorBidi"/>
          <w:color w:val="000000" w:themeColor="text1"/>
          <w:szCs w:val="24"/>
        </w:rPr>
        <w:t>recognized</w:t>
      </w:r>
      <w:r w:rsidRPr="002A2347">
        <w:rPr>
          <w:rFonts w:asciiTheme="majorBidi" w:hAnsiTheme="majorBidi" w:cstheme="majorBidi"/>
          <w:color w:val="000000" w:themeColor="text1"/>
          <w:szCs w:val="24"/>
        </w:rPr>
        <w:t xml:space="preserve"> the </w:t>
      </w:r>
      <w:r w:rsidR="001920DE" w:rsidRPr="002A2347">
        <w:rPr>
          <w:rFonts w:asciiTheme="majorBidi" w:hAnsiTheme="majorBidi" w:cstheme="majorBidi"/>
          <w:color w:val="000000" w:themeColor="text1"/>
          <w:szCs w:val="24"/>
        </w:rPr>
        <w:t xml:space="preserve">impact </w:t>
      </w:r>
      <w:r w:rsidRPr="002A2347">
        <w:rPr>
          <w:rFonts w:asciiTheme="majorBidi" w:hAnsiTheme="majorBidi" w:cstheme="majorBidi"/>
          <w:color w:val="000000" w:themeColor="text1"/>
          <w:szCs w:val="24"/>
        </w:rPr>
        <w:t>of knowledge management</w:t>
      </w:r>
      <w:r w:rsidR="001920DE" w:rsidRPr="002A2347">
        <w:rPr>
          <w:rFonts w:asciiTheme="majorBidi" w:hAnsiTheme="majorBidi" w:cstheme="majorBidi"/>
          <w:color w:val="000000" w:themeColor="text1"/>
          <w:szCs w:val="24"/>
        </w:rPr>
        <w:t xml:space="preserve"> on organization</w:t>
      </w:r>
      <w:r w:rsidR="006C0AB2" w:rsidRPr="002A2347">
        <w:rPr>
          <w:rFonts w:asciiTheme="majorBidi" w:hAnsiTheme="majorBidi" w:cstheme="majorBidi"/>
          <w:color w:val="000000" w:themeColor="text1"/>
          <w:szCs w:val="24"/>
        </w:rPr>
        <w:t>al</w:t>
      </w:r>
      <w:r w:rsidR="001920DE" w:rsidRPr="002A2347">
        <w:rPr>
          <w:rFonts w:asciiTheme="majorBidi" w:hAnsiTheme="majorBidi" w:cstheme="majorBidi"/>
          <w:color w:val="000000" w:themeColor="text1"/>
          <w:szCs w:val="24"/>
        </w:rPr>
        <w:t xml:space="preserve"> success</w:t>
      </w:r>
      <w:r w:rsidRPr="002A2347">
        <w:rPr>
          <w:rFonts w:asciiTheme="majorBidi" w:hAnsiTheme="majorBidi" w:cstheme="majorBidi"/>
          <w:color w:val="000000" w:themeColor="text1"/>
          <w:szCs w:val="24"/>
        </w:rPr>
        <w:t xml:space="preserve">. This study is the first in the United Arab Emirates (UAE) to integrate knowledge management benefits and organizational learning based on the resource-based view </w:t>
      </w:r>
      <w:r w:rsidR="006C0AB2" w:rsidRPr="002A2347">
        <w:rPr>
          <w:rFonts w:asciiTheme="majorBidi" w:hAnsiTheme="majorBidi" w:cstheme="majorBidi"/>
          <w:color w:val="000000" w:themeColor="text1"/>
          <w:szCs w:val="24"/>
        </w:rPr>
        <w:t xml:space="preserve">of organizations </w:t>
      </w:r>
      <w:r w:rsidRPr="002A2347">
        <w:rPr>
          <w:rFonts w:asciiTheme="majorBidi" w:hAnsiTheme="majorBidi" w:cstheme="majorBidi"/>
          <w:color w:val="000000" w:themeColor="text1"/>
          <w:szCs w:val="24"/>
        </w:rPr>
        <w:t xml:space="preserve">and organizational learning </w:t>
      </w:r>
      <w:r w:rsidR="006C0AB2" w:rsidRPr="002A2347">
        <w:rPr>
          <w:rFonts w:asciiTheme="majorBidi" w:hAnsiTheme="majorBidi" w:cstheme="majorBidi"/>
          <w:color w:val="000000" w:themeColor="text1"/>
          <w:szCs w:val="24"/>
        </w:rPr>
        <w:t xml:space="preserve">theories </w:t>
      </w:r>
      <w:r w:rsidR="001920DE" w:rsidRPr="002A2347">
        <w:rPr>
          <w:rFonts w:asciiTheme="majorBidi" w:hAnsiTheme="majorBidi" w:cstheme="majorBidi"/>
          <w:color w:val="000000" w:themeColor="text1"/>
          <w:szCs w:val="24"/>
        </w:rPr>
        <w:t xml:space="preserve">in </w:t>
      </w:r>
      <w:r w:rsidRPr="002A2347">
        <w:rPr>
          <w:rFonts w:asciiTheme="majorBidi" w:hAnsiTheme="majorBidi" w:cstheme="majorBidi"/>
          <w:color w:val="000000" w:themeColor="text1"/>
          <w:szCs w:val="24"/>
        </w:rPr>
        <w:t>a policing organization. It examines the effect of knowledge management capabilities</w:t>
      </w:r>
      <w:r w:rsidR="004F4485" w:rsidRPr="002A2347">
        <w:rPr>
          <w:rFonts w:asciiTheme="majorBidi" w:hAnsiTheme="majorBidi" w:cstheme="majorBidi"/>
          <w:color w:val="000000" w:themeColor="text1"/>
          <w:szCs w:val="24"/>
        </w:rPr>
        <w:t>,</w:t>
      </w:r>
      <w:r w:rsidRPr="002A2347">
        <w:rPr>
          <w:rFonts w:asciiTheme="majorBidi" w:hAnsiTheme="majorBidi" w:cstheme="majorBidi"/>
          <w:color w:val="000000" w:themeColor="text1"/>
          <w:szCs w:val="24"/>
        </w:rPr>
        <w:t xml:space="preserve"> and human resources practices</w:t>
      </w:r>
      <w:r w:rsidR="002A2347" w:rsidRPr="002A2347">
        <w:rPr>
          <w:rFonts w:asciiTheme="majorBidi" w:hAnsiTheme="majorBidi" w:cstheme="majorBidi"/>
          <w:color w:val="000000" w:themeColor="text1"/>
          <w:szCs w:val="24"/>
        </w:rPr>
        <w:t xml:space="preserve"> for</w:t>
      </w:r>
      <w:r w:rsidRPr="002A2347">
        <w:rPr>
          <w:rFonts w:asciiTheme="majorBidi" w:hAnsiTheme="majorBidi" w:cstheme="majorBidi"/>
          <w:color w:val="000000" w:themeColor="text1"/>
          <w:szCs w:val="24"/>
        </w:rPr>
        <w:t xml:space="preserve"> knowledge sharing</w:t>
      </w:r>
      <w:r w:rsidR="004F4485" w:rsidRPr="002A2347">
        <w:rPr>
          <w:rFonts w:asciiTheme="majorBidi" w:hAnsiTheme="majorBidi" w:cstheme="majorBidi"/>
          <w:color w:val="000000" w:themeColor="text1"/>
          <w:szCs w:val="24"/>
        </w:rPr>
        <w:t>, on knowledge management benefits</w:t>
      </w:r>
      <w:r w:rsidRPr="002A2347">
        <w:rPr>
          <w:rFonts w:asciiTheme="majorBidi" w:hAnsiTheme="majorBidi" w:cstheme="majorBidi"/>
          <w:color w:val="000000" w:themeColor="text1"/>
          <w:szCs w:val="24"/>
        </w:rPr>
        <w:t xml:space="preserve">. The human resources practices are based on four sub-constructs, extrinsic motivation-enhancing, intrinsic motivation-enhancing, opportunity-enhancing, and ability-enhancing HR practices. The model also analyzed other relationships, for example the mediation </w:t>
      </w:r>
      <w:r w:rsidR="00335438" w:rsidRPr="002A2347">
        <w:rPr>
          <w:rFonts w:asciiTheme="majorBidi" w:hAnsiTheme="majorBidi" w:cstheme="majorBidi"/>
          <w:color w:val="000000" w:themeColor="text1"/>
          <w:szCs w:val="24"/>
        </w:rPr>
        <w:t>effect</w:t>
      </w:r>
      <w:r w:rsidRPr="002A2347">
        <w:rPr>
          <w:rFonts w:asciiTheme="majorBidi" w:hAnsiTheme="majorBidi" w:cstheme="majorBidi"/>
          <w:color w:val="000000" w:themeColor="text1"/>
          <w:szCs w:val="24"/>
        </w:rPr>
        <w:t xml:space="preserve"> of organizational learning between knowledge management capabilities and benefits. In this quantitative research, data were collected from a policing organization using questionnaires received from 693 managerial-level employees from various organizational units. Various statistical tools, including confirmatory factor analysis, and descriptive analysis, were used to explore relationships and test 11 hypotheses.</w:t>
      </w:r>
    </w:p>
    <w:p w14:paraId="451447B2" w14:textId="29F325E2" w:rsidR="001F049B" w:rsidRPr="002A2347" w:rsidRDefault="001F049B" w:rsidP="001F049B">
      <w:pPr>
        <w:spacing w:line="480" w:lineRule="auto"/>
        <w:ind w:firstLine="720"/>
        <w:jc w:val="both"/>
        <w:rPr>
          <w:rFonts w:asciiTheme="majorBidi" w:hAnsiTheme="majorBidi" w:cstheme="majorBidi"/>
          <w:color w:val="000000" w:themeColor="text1"/>
          <w:szCs w:val="24"/>
        </w:rPr>
      </w:pPr>
      <w:r w:rsidRPr="002A2347">
        <w:rPr>
          <w:rFonts w:asciiTheme="majorBidi" w:hAnsiTheme="majorBidi" w:cstheme="majorBidi"/>
          <w:bCs/>
          <w:color w:val="000000" w:themeColor="text1"/>
          <w:szCs w:val="24"/>
        </w:rPr>
        <w:t xml:space="preserve">The study found that </w:t>
      </w:r>
      <w:r w:rsidR="00335438" w:rsidRPr="002A2347">
        <w:rPr>
          <w:rFonts w:asciiTheme="majorBidi" w:hAnsiTheme="majorBidi" w:cstheme="majorBidi"/>
          <w:bCs/>
          <w:color w:val="000000" w:themeColor="text1"/>
          <w:szCs w:val="24"/>
        </w:rPr>
        <w:t xml:space="preserve">knowledge management capability </w:t>
      </w:r>
      <w:r w:rsidR="006C0AB2" w:rsidRPr="002A2347">
        <w:rPr>
          <w:rFonts w:asciiTheme="majorBidi" w:hAnsiTheme="majorBidi" w:cstheme="majorBidi"/>
          <w:bCs/>
          <w:color w:val="000000" w:themeColor="text1"/>
          <w:szCs w:val="24"/>
        </w:rPr>
        <w:t xml:space="preserve">has a positive effect on </w:t>
      </w:r>
      <w:r w:rsidR="00335438" w:rsidRPr="002A2347">
        <w:rPr>
          <w:rFonts w:asciiTheme="majorBidi" w:hAnsiTheme="majorBidi" w:cstheme="majorBidi"/>
          <w:bCs/>
          <w:color w:val="000000" w:themeColor="text1"/>
          <w:szCs w:val="24"/>
        </w:rPr>
        <w:t>knowledge management benefits</w:t>
      </w:r>
      <w:r w:rsidRPr="002A2347">
        <w:rPr>
          <w:rFonts w:asciiTheme="majorBidi" w:hAnsiTheme="majorBidi" w:cstheme="majorBidi"/>
          <w:bCs/>
          <w:color w:val="000000" w:themeColor="text1"/>
          <w:szCs w:val="24"/>
        </w:rPr>
        <w:t xml:space="preserve">. However, of the four types of HR practices, only intrinsic motivation-enhancing practices played a major role in increasing benefits from knowledge management practices. This study also </w:t>
      </w:r>
      <w:r w:rsidRPr="002A2347">
        <w:rPr>
          <w:rFonts w:asciiTheme="majorBidi" w:hAnsiTheme="majorBidi" w:cstheme="majorBidi"/>
          <w:bCs/>
          <w:color w:val="000000" w:themeColor="text1"/>
          <w:szCs w:val="24"/>
        </w:rPr>
        <w:lastRenderedPageBreak/>
        <w:t xml:space="preserve">showed that the policing </w:t>
      </w:r>
      <w:r w:rsidR="006C0AB2" w:rsidRPr="002A2347">
        <w:rPr>
          <w:rFonts w:asciiTheme="majorBidi" w:hAnsiTheme="majorBidi" w:cstheme="majorBidi"/>
          <w:bCs/>
          <w:color w:val="000000" w:themeColor="text1"/>
          <w:szCs w:val="24"/>
        </w:rPr>
        <w:t xml:space="preserve">organization </w:t>
      </w:r>
      <w:r w:rsidRPr="002A2347">
        <w:rPr>
          <w:rFonts w:asciiTheme="majorBidi" w:hAnsiTheme="majorBidi" w:cstheme="majorBidi"/>
          <w:bCs/>
          <w:color w:val="000000" w:themeColor="text1"/>
          <w:szCs w:val="24"/>
        </w:rPr>
        <w:t xml:space="preserve">was not benefiting from adopting HR practices designed to enhance either extrinsic motivation or ability unless they were mediated by organizational learning. </w:t>
      </w:r>
      <w:r w:rsidRPr="002A2347">
        <w:rPr>
          <w:rFonts w:asciiTheme="majorBidi" w:hAnsiTheme="majorBidi" w:cstheme="majorBidi"/>
          <w:color w:val="000000" w:themeColor="text1"/>
          <w:szCs w:val="24"/>
        </w:rPr>
        <w:t xml:space="preserve">The study </w:t>
      </w:r>
      <w:r w:rsidR="00335438" w:rsidRPr="002A2347">
        <w:rPr>
          <w:rFonts w:asciiTheme="majorBidi" w:hAnsiTheme="majorBidi" w:cstheme="majorBidi"/>
          <w:color w:val="000000" w:themeColor="text1"/>
          <w:szCs w:val="24"/>
        </w:rPr>
        <w:t xml:space="preserve">contributes </w:t>
      </w:r>
      <w:r w:rsidRPr="002A2347">
        <w:rPr>
          <w:rFonts w:asciiTheme="majorBidi" w:hAnsiTheme="majorBidi" w:cstheme="majorBidi"/>
          <w:color w:val="000000" w:themeColor="text1"/>
          <w:szCs w:val="24"/>
        </w:rPr>
        <w:t xml:space="preserve">to the knowledge management literature by proposing a new model that </w:t>
      </w:r>
      <w:r w:rsidR="006C0AB2" w:rsidRPr="002A2347">
        <w:rPr>
          <w:rFonts w:asciiTheme="majorBidi" w:hAnsiTheme="majorBidi" w:cstheme="majorBidi"/>
          <w:color w:val="000000" w:themeColor="text1"/>
          <w:szCs w:val="24"/>
        </w:rPr>
        <w:t xml:space="preserve">may </w:t>
      </w:r>
      <w:r w:rsidRPr="002A2347">
        <w:rPr>
          <w:rFonts w:asciiTheme="majorBidi" w:hAnsiTheme="majorBidi" w:cstheme="majorBidi"/>
          <w:color w:val="000000" w:themeColor="text1"/>
          <w:szCs w:val="24"/>
        </w:rPr>
        <w:t xml:space="preserve">be </w:t>
      </w:r>
      <w:r w:rsidR="006C0AB2" w:rsidRPr="002A2347">
        <w:rPr>
          <w:rFonts w:asciiTheme="majorBidi" w:hAnsiTheme="majorBidi" w:cstheme="majorBidi"/>
          <w:color w:val="000000" w:themeColor="text1"/>
          <w:szCs w:val="24"/>
        </w:rPr>
        <w:t>applicable to</w:t>
      </w:r>
      <w:r w:rsidRPr="002A2347">
        <w:rPr>
          <w:rFonts w:asciiTheme="majorBidi" w:hAnsiTheme="majorBidi" w:cstheme="majorBidi"/>
          <w:color w:val="000000" w:themeColor="text1"/>
          <w:szCs w:val="24"/>
        </w:rPr>
        <w:t xml:space="preserve"> other Gulf Cooperation Council countries, building on previous theories including the resource-based view. The study will </w:t>
      </w:r>
      <w:r w:rsidR="00335438" w:rsidRPr="002A2347">
        <w:rPr>
          <w:rFonts w:asciiTheme="majorBidi" w:hAnsiTheme="majorBidi" w:cstheme="majorBidi"/>
          <w:color w:val="000000" w:themeColor="text1"/>
          <w:szCs w:val="24"/>
        </w:rPr>
        <w:t xml:space="preserve">assist </w:t>
      </w:r>
      <w:r w:rsidRPr="002A2347">
        <w:rPr>
          <w:rFonts w:asciiTheme="majorBidi" w:hAnsiTheme="majorBidi" w:cstheme="majorBidi"/>
          <w:color w:val="000000" w:themeColor="text1"/>
          <w:szCs w:val="24"/>
        </w:rPr>
        <w:t xml:space="preserve">managers to create successful </w:t>
      </w:r>
      <w:r w:rsidR="00335438" w:rsidRPr="002A2347">
        <w:rPr>
          <w:rFonts w:asciiTheme="majorBidi" w:hAnsiTheme="majorBidi" w:cstheme="majorBidi"/>
          <w:color w:val="000000" w:themeColor="text1"/>
          <w:szCs w:val="24"/>
        </w:rPr>
        <w:t>strategies for managing knowledge</w:t>
      </w:r>
      <w:r w:rsidRPr="002A2347">
        <w:rPr>
          <w:rFonts w:asciiTheme="majorBidi" w:hAnsiTheme="majorBidi" w:cstheme="majorBidi"/>
          <w:color w:val="000000" w:themeColor="text1"/>
          <w:szCs w:val="24"/>
        </w:rPr>
        <w:t xml:space="preserve">, particularly in policing organizations in the region. </w:t>
      </w:r>
      <w:r w:rsidRPr="002A2347">
        <w:rPr>
          <w:rFonts w:asciiTheme="majorBidi" w:eastAsia="Times New Roman" w:hAnsiTheme="majorBidi" w:cstheme="majorBidi"/>
          <w:color w:val="000000" w:themeColor="text1"/>
          <w:szCs w:val="24"/>
        </w:rPr>
        <w:t>It will also help the police force to strengthen its knowledge management strategy, which will support the achievement of the UAE</w:t>
      </w:r>
      <w:r w:rsidR="00C06AA1" w:rsidRPr="002A2347">
        <w:rPr>
          <w:rFonts w:asciiTheme="majorBidi" w:eastAsia="Times New Roman" w:hAnsiTheme="majorBidi" w:cstheme="majorBidi"/>
          <w:color w:val="000000" w:themeColor="text1"/>
          <w:szCs w:val="24"/>
        </w:rPr>
        <w:t>’s</w:t>
      </w:r>
      <w:r w:rsidRPr="002A2347">
        <w:rPr>
          <w:rFonts w:asciiTheme="majorBidi" w:eastAsia="Times New Roman" w:hAnsiTheme="majorBidi" w:cstheme="majorBidi"/>
          <w:color w:val="000000" w:themeColor="text1"/>
          <w:szCs w:val="24"/>
        </w:rPr>
        <w:t xml:space="preserve"> </w:t>
      </w:r>
      <w:r w:rsidR="00C06AA1" w:rsidRPr="002A2347">
        <w:rPr>
          <w:rFonts w:asciiTheme="majorBidi" w:eastAsia="Times New Roman" w:hAnsiTheme="majorBidi" w:cstheme="majorBidi"/>
          <w:color w:val="000000" w:themeColor="text1"/>
          <w:szCs w:val="24"/>
        </w:rPr>
        <w:t>V</w:t>
      </w:r>
      <w:r w:rsidRPr="002A2347">
        <w:rPr>
          <w:rFonts w:asciiTheme="majorBidi" w:eastAsia="Times New Roman" w:hAnsiTheme="majorBidi" w:cstheme="majorBidi"/>
          <w:color w:val="000000" w:themeColor="text1"/>
          <w:szCs w:val="24"/>
        </w:rPr>
        <w:t xml:space="preserve">ision 2030 of building a knowledge-based economy. </w:t>
      </w:r>
      <w:r w:rsidR="006C0AB2" w:rsidRPr="002A2347">
        <w:rPr>
          <w:rFonts w:asciiTheme="majorBidi" w:eastAsia="Times New Roman" w:hAnsiTheme="majorBidi" w:cstheme="majorBidi"/>
          <w:color w:val="000000" w:themeColor="text1"/>
          <w:szCs w:val="24"/>
        </w:rPr>
        <w:t xml:space="preserve">However, the study had a number of </w:t>
      </w:r>
      <w:r w:rsidR="00335438" w:rsidRPr="002A2347">
        <w:rPr>
          <w:rFonts w:asciiTheme="majorBidi" w:hAnsiTheme="majorBidi" w:cstheme="majorBidi"/>
          <w:color w:val="000000" w:themeColor="text1"/>
          <w:szCs w:val="24"/>
        </w:rPr>
        <w:t>limitations</w:t>
      </w:r>
      <w:r w:rsidR="006C0AB2" w:rsidRPr="002A2347">
        <w:rPr>
          <w:rFonts w:asciiTheme="majorBidi" w:hAnsiTheme="majorBidi" w:cstheme="majorBidi"/>
          <w:color w:val="000000" w:themeColor="text1"/>
          <w:szCs w:val="24"/>
        </w:rPr>
        <w:t xml:space="preserve"> that create</w:t>
      </w:r>
      <w:r w:rsidR="00335438" w:rsidRPr="002A2347">
        <w:rPr>
          <w:rFonts w:asciiTheme="majorBidi" w:hAnsiTheme="majorBidi" w:cstheme="majorBidi"/>
          <w:color w:val="000000" w:themeColor="text1"/>
          <w:szCs w:val="24"/>
        </w:rPr>
        <w:t xml:space="preserve"> opportunities </w:t>
      </w:r>
      <w:r w:rsidR="006C0AB2" w:rsidRPr="002A2347">
        <w:rPr>
          <w:rFonts w:asciiTheme="majorBidi" w:hAnsiTheme="majorBidi" w:cstheme="majorBidi"/>
          <w:color w:val="000000" w:themeColor="text1"/>
          <w:szCs w:val="24"/>
        </w:rPr>
        <w:t>for future research</w:t>
      </w:r>
      <w:r w:rsidRPr="002A2347">
        <w:rPr>
          <w:rFonts w:asciiTheme="majorBidi" w:hAnsiTheme="majorBidi" w:cstheme="majorBidi"/>
          <w:color w:val="000000" w:themeColor="text1"/>
          <w:szCs w:val="24"/>
        </w:rPr>
        <w:t>. Firstly, there are opportunities for other researchers to extend this model by adding more variables</w:t>
      </w:r>
      <w:r w:rsidR="006C0AB2" w:rsidRPr="002A2347">
        <w:rPr>
          <w:rFonts w:asciiTheme="majorBidi" w:hAnsiTheme="majorBidi" w:cstheme="majorBidi"/>
          <w:color w:val="000000" w:themeColor="text1"/>
          <w:szCs w:val="24"/>
        </w:rPr>
        <w:t>.</w:t>
      </w:r>
      <w:r w:rsidRPr="002A2347">
        <w:rPr>
          <w:rFonts w:asciiTheme="majorBidi" w:hAnsiTheme="majorBidi" w:cstheme="majorBidi"/>
          <w:color w:val="000000" w:themeColor="text1"/>
          <w:szCs w:val="24"/>
        </w:rPr>
        <w:t xml:space="preserve"> </w:t>
      </w:r>
      <w:r w:rsidR="006C0AB2" w:rsidRPr="002A2347">
        <w:rPr>
          <w:rFonts w:asciiTheme="majorBidi" w:hAnsiTheme="majorBidi" w:cstheme="majorBidi"/>
          <w:color w:val="000000" w:themeColor="text1"/>
          <w:szCs w:val="24"/>
        </w:rPr>
        <w:t>T</w:t>
      </w:r>
      <w:r w:rsidRPr="002A2347">
        <w:rPr>
          <w:rFonts w:asciiTheme="majorBidi" w:hAnsiTheme="majorBidi" w:cstheme="majorBidi"/>
          <w:color w:val="000000" w:themeColor="text1"/>
          <w:szCs w:val="24"/>
        </w:rPr>
        <w:t xml:space="preserve">hey may also wish to improve other frameworks that include the benefits of knowledge management or organizational learning as dependent variables. More knowledge management benefits could be investigated at individual, team, and organizational levels. </w:t>
      </w:r>
    </w:p>
    <w:p w14:paraId="73AC43BB" w14:textId="0F00C379" w:rsidR="001F049B" w:rsidRPr="002A2347" w:rsidRDefault="001F049B" w:rsidP="001D5F54">
      <w:pPr>
        <w:rPr>
          <w:color w:val="000000" w:themeColor="text1"/>
        </w:rPr>
      </w:pPr>
    </w:p>
    <w:p w14:paraId="2B57BAD2" w14:textId="1F062609" w:rsidR="001F049B" w:rsidRPr="002A2347" w:rsidRDefault="001F049B" w:rsidP="001D5F54">
      <w:pPr>
        <w:rPr>
          <w:color w:val="000000" w:themeColor="text1"/>
        </w:rPr>
      </w:pPr>
    </w:p>
    <w:p w14:paraId="46FAAD45" w14:textId="6697D1BC" w:rsidR="00D45ABD" w:rsidRDefault="00D45ABD" w:rsidP="00D45ABD">
      <w:pPr>
        <w:spacing w:line="480" w:lineRule="auto"/>
        <w:rPr>
          <w:rFonts w:asciiTheme="majorBidi" w:hAnsiTheme="majorBidi" w:cstheme="majorBidi"/>
          <w:szCs w:val="24"/>
        </w:rPr>
      </w:pPr>
    </w:p>
    <w:p w14:paraId="69560F62" w14:textId="259906A2" w:rsidR="00030E83" w:rsidRDefault="00030E83" w:rsidP="00D45ABD">
      <w:pPr>
        <w:spacing w:line="480" w:lineRule="auto"/>
        <w:rPr>
          <w:rFonts w:asciiTheme="majorBidi" w:hAnsiTheme="majorBidi" w:cstheme="majorBidi"/>
          <w:szCs w:val="24"/>
        </w:rPr>
      </w:pPr>
    </w:p>
    <w:p w14:paraId="5B701A2F" w14:textId="76A9666C" w:rsidR="00030E83" w:rsidRDefault="00030E83" w:rsidP="00D45ABD">
      <w:pPr>
        <w:spacing w:line="480" w:lineRule="auto"/>
        <w:rPr>
          <w:rFonts w:asciiTheme="majorBidi" w:hAnsiTheme="majorBidi" w:cstheme="majorBidi"/>
          <w:szCs w:val="24"/>
        </w:rPr>
      </w:pPr>
    </w:p>
    <w:p w14:paraId="5BCB25E8" w14:textId="1B7A2C0C" w:rsidR="00030E83" w:rsidRDefault="00030E83" w:rsidP="00D45ABD">
      <w:pPr>
        <w:spacing w:line="480" w:lineRule="auto"/>
        <w:rPr>
          <w:rFonts w:asciiTheme="majorBidi" w:hAnsiTheme="majorBidi" w:cstheme="majorBidi"/>
          <w:szCs w:val="24"/>
        </w:rPr>
      </w:pPr>
    </w:p>
    <w:p w14:paraId="58267A72" w14:textId="77777777" w:rsidR="00DB56FA" w:rsidRDefault="00DB56FA" w:rsidP="00D45ABD">
      <w:pPr>
        <w:spacing w:line="480" w:lineRule="auto"/>
        <w:rPr>
          <w:rFonts w:asciiTheme="majorBidi" w:hAnsiTheme="majorBidi" w:cstheme="majorBidi"/>
          <w:szCs w:val="24"/>
        </w:rPr>
        <w:sectPr w:rsidR="00DB56FA" w:rsidSect="000332A0">
          <w:pgSz w:w="11900" w:h="16840"/>
          <w:pgMar w:top="1800" w:right="2160" w:bottom="1800" w:left="2160" w:header="706" w:footer="706" w:gutter="0"/>
          <w:pgNumType w:fmt="lowerRoman" w:start="4"/>
          <w:cols w:space="708"/>
          <w:docGrid w:linePitch="360"/>
        </w:sectPr>
      </w:pPr>
    </w:p>
    <w:p w14:paraId="2C2D4E62" w14:textId="7AB9D04E" w:rsidR="00030E83" w:rsidRPr="0001615D" w:rsidRDefault="00DB56FA" w:rsidP="00F353CB">
      <w:pPr>
        <w:pStyle w:val="Title"/>
      </w:pPr>
      <w:bookmarkStart w:id="7" w:name="_Toc22331626"/>
      <w:r w:rsidRPr="001712CE">
        <w:lastRenderedPageBreak/>
        <w:t>DECLARATION</w:t>
      </w:r>
      <w:bookmarkEnd w:id="7"/>
    </w:p>
    <w:p w14:paraId="6124C6CA" w14:textId="77777777" w:rsidR="00030E83" w:rsidRPr="0001615D" w:rsidRDefault="00030E83" w:rsidP="00030E83">
      <w:pPr>
        <w:spacing w:line="480" w:lineRule="auto"/>
        <w:rPr>
          <w:rFonts w:cs="Times New Roman"/>
          <w:szCs w:val="24"/>
        </w:rPr>
      </w:pPr>
    </w:p>
    <w:p w14:paraId="57629B69" w14:textId="77777777" w:rsidR="00B65925" w:rsidRDefault="00B65925" w:rsidP="00B65925">
      <w:pPr>
        <w:spacing w:line="480" w:lineRule="auto"/>
      </w:pPr>
      <w:r>
        <w:t xml:space="preserve">I hereby declare that: </w:t>
      </w:r>
    </w:p>
    <w:p w14:paraId="7CF0EC8C" w14:textId="77777777" w:rsidR="00B65925" w:rsidRDefault="00B65925" w:rsidP="00B65925">
      <w:pPr>
        <w:pStyle w:val="ListParagraph"/>
        <w:widowControl/>
        <w:numPr>
          <w:ilvl w:val="0"/>
          <w:numId w:val="43"/>
        </w:numPr>
        <w:autoSpaceDE/>
        <w:autoSpaceDN/>
        <w:adjustRightInd/>
        <w:spacing w:after="200" w:line="480" w:lineRule="auto"/>
        <w:contextualSpacing w:val="0"/>
      </w:pPr>
      <w:r>
        <w:t xml:space="preserve">This dissertation was prepared and all the work carried out by the candidate. All the resources used in the research have been acknowledged and/or cited in the references section. </w:t>
      </w:r>
    </w:p>
    <w:p w14:paraId="41AFBC28" w14:textId="77777777" w:rsidR="00B65925" w:rsidRDefault="00B65925" w:rsidP="00B65925">
      <w:pPr>
        <w:pStyle w:val="ListParagraph"/>
        <w:widowControl/>
        <w:numPr>
          <w:ilvl w:val="0"/>
          <w:numId w:val="43"/>
        </w:numPr>
        <w:autoSpaceDE/>
        <w:autoSpaceDN/>
        <w:adjustRightInd/>
        <w:spacing w:after="200" w:line="480" w:lineRule="auto"/>
        <w:contextualSpacing w:val="0"/>
      </w:pPr>
      <w:r>
        <w:t>The dissertation has not been submitted for any degree or qualification in any other educational institution and has not been submitted or considered for any award.</w:t>
      </w:r>
    </w:p>
    <w:p w14:paraId="0DD229C5" w14:textId="77777777" w:rsidR="00B65925" w:rsidRDefault="00B65925" w:rsidP="00B65925">
      <w:pPr>
        <w:pStyle w:val="ListParagraph"/>
        <w:widowControl/>
        <w:numPr>
          <w:ilvl w:val="0"/>
          <w:numId w:val="43"/>
        </w:numPr>
        <w:autoSpaceDE/>
        <w:autoSpaceDN/>
        <w:adjustRightInd/>
        <w:spacing w:after="200" w:line="480" w:lineRule="auto"/>
        <w:contextualSpacing w:val="0"/>
      </w:pPr>
      <w:r>
        <w:t>The research stages reported in the dissertation were approved by the appropriate bodies such as the security information committee and authorized officers.</w:t>
      </w:r>
    </w:p>
    <w:p w14:paraId="1202B78B" w14:textId="15E6EEC4" w:rsidR="00030E83" w:rsidRDefault="00030E83" w:rsidP="00F353CB">
      <w:pPr>
        <w:pStyle w:val="ListParagraph"/>
        <w:widowControl/>
        <w:spacing w:line="480" w:lineRule="auto"/>
        <w:sectPr w:rsidR="00030E83" w:rsidSect="00DB56FA">
          <w:pgSz w:w="11900" w:h="16840"/>
          <w:pgMar w:top="1800" w:right="2160" w:bottom="1800" w:left="2160" w:header="706" w:footer="706" w:gutter="0"/>
          <w:pgNumType w:fmt="lowerRoman" w:start="4"/>
          <w:cols w:space="708"/>
          <w:docGrid w:linePitch="360"/>
        </w:sectPr>
      </w:pPr>
    </w:p>
    <w:p w14:paraId="2AA089EC" w14:textId="0639F95C" w:rsidR="005C2441" w:rsidRPr="002A7627" w:rsidRDefault="002F20D4" w:rsidP="00F353CB">
      <w:pPr>
        <w:pStyle w:val="Title"/>
        <w:rPr>
          <w:color w:val="000000"/>
        </w:rPr>
      </w:pPr>
      <w:bookmarkStart w:id="8" w:name="_Toc22331627"/>
      <w:r>
        <w:rPr>
          <w:color w:val="000000"/>
        </w:rPr>
        <w:lastRenderedPageBreak/>
        <w:t>ABBREVIATIONS</w:t>
      </w:r>
      <w:bookmarkEnd w:id="8"/>
    </w:p>
    <w:p w14:paraId="31321398" w14:textId="1867D167" w:rsidR="005F65C9" w:rsidRDefault="005F65C9" w:rsidP="005F65C9">
      <w:pPr>
        <w:spacing w:line="480" w:lineRule="auto"/>
      </w:pPr>
      <w:r>
        <w:t>UAE</w:t>
      </w:r>
      <w:r>
        <w:tab/>
      </w:r>
      <w:r>
        <w:tab/>
        <w:t>United Arab Emirates</w:t>
      </w:r>
    </w:p>
    <w:p w14:paraId="18F66724" w14:textId="09D7A719" w:rsidR="00E2182E" w:rsidRPr="002A7627" w:rsidRDefault="00E2182E" w:rsidP="00E91771">
      <w:pPr>
        <w:spacing w:line="480" w:lineRule="auto"/>
      </w:pPr>
      <w:r w:rsidRPr="002A7627">
        <w:t>ADP</w:t>
      </w:r>
      <w:r w:rsidRPr="002A7627">
        <w:tab/>
      </w:r>
      <w:r w:rsidRPr="002A7627">
        <w:tab/>
        <w:t>Abu Dhabi Police</w:t>
      </w:r>
    </w:p>
    <w:p w14:paraId="3FDF8DBF" w14:textId="778276ED" w:rsidR="00E2182E" w:rsidRPr="002A7627" w:rsidRDefault="00E2182E" w:rsidP="00E91771">
      <w:pPr>
        <w:spacing w:line="480" w:lineRule="auto"/>
      </w:pPr>
      <w:r w:rsidRPr="002A7627">
        <w:t>AEP</w:t>
      </w:r>
      <w:r w:rsidR="00902DB0">
        <w:tab/>
      </w:r>
      <w:r w:rsidR="00902DB0">
        <w:tab/>
      </w:r>
      <w:r w:rsidRPr="002A7627">
        <w:t>Abilit</w:t>
      </w:r>
      <w:r w:rsidR="00797508">
        <w:t>y</w:t>
      </w:r>
      <w:r w:rsidRPr="002A7627">
        <w:t xml:space="preserve">-enhancing HR </w:t>
      </w:r>
      <w:r w:rsidR="00797508">
        <w:t>p</w:t>
      </w:r>
      <w:r w:rsidRPr="002A7627">
        <w:t xml:space="preserve">ractices </w:t>
      </w:r>
    </w:p>
    <w:p w14:paraId="02CCEE80" w14:textId="5C144160" w:rsidR="00E2182E" w:rsidRPr="002A7627" w:rsidRDefault="00E2182E" w:rsidP="00E91771">
      <w:pPr>
        <w:spacing w:line="480" w:lineRule="auto"/>
      </w:pPr>
      <w:r w:rsidRPr="002A7627">
        <w:t>AVE</w:t>
      </w:r>
      <w:r w:rsidRPr="002A7627">
        <w:tab/>
      </w:r>
      <w:r w:rsidRPr="002A7627">
        <w:tab/>
        <w:t xml:space="preserve">Average </w:t>
      </w:r>
      <w:r w:rsidR="00797508">
        <w:t>v</w:t>
      </w:r>
      <w:r w:rsidRPr="002A7627">
        <w:t xml:space="preserve">ariance </w:t>
      </w:r>
      <w:r w:rsidR="00797508">
        <w:t>e</w:t>
      </w:r>
      <w:r w:rsidRPr="002A7627">
        <w:t>xtracted</w:t>
      </w:r>
    </w:p>
    <w:p w14:paraId="0AE65907" w14:textId="41068E8E" w:rsidR="00E2182E" w:rsidRPr="002A7627" w:rsidRDefault="00E2182E" w:rsidP="00E91771">
      <w:pPr>
        <w:spacing w:line="480" w:lineRule="auto"/>
      </w:pPr>
      <w:r w:rsidRPr="002A7627">
        <w:t>CFA</w:t>
      </w:r>
      <w:r w:rsidRPr="002A7627">
        <w:tab/>
      </w:r>
      <w:r w:rsidRPr="002A7627">
        <w:tab/>
        <w:t xml:space="preserve">Confirmatory </w:t>
      </w:r>
      <w:r w:rsidR="00797508">
        <w:t>f</w:t>
      </w:r>
      <w:r w:rsidRPr="002A7627">
        <w:t xml:space="preserve">actor </w:t>
      </w:r>
      <w:r w:rsidR="00797508">
        <w:t>a</w:t>
      </w:r>
      <w:r w:rsidRPr="002A7627">
        <w:t>nalysis</w:t>
      </w:r>
    </w:p>
    <w:p w14:paraId="41F221AF" w14:textId="3397A79E" w:rsidR="00E2182E" w:rsidRPr="002A7627" w:rsidRDefault="00C02835" w:rsidP="00E91771">
      <w:pPr>
        <w:spacing w:line="480" w:lineRule="auto"/>
      </w:pPr>
      <w:r>
        <w:t>CR</w:t>
      </w:r>
      <w:r>
        <w:tab/>
      </w:r>
      <w:r>
        <w:tab/>
        <w:t xml:space="preserve">Composite </w:t>
      </w:r>
      <w:r w:rsidR="00797508">
        <w:t>r</w:t>
      </w:r>
      <w:r w:rsidR="00E2182E" w:rsidRPr="002A7627">
        <w:t>eliability</w:t>
      </w:r>
    </w:p>
    <w:p w14:paraId="2D7A9A37" w14:textId="5C061D8E" w:rsidR="00E2182E" w:rsidRPr="002A7627" w:rsidRDefault="00902DB0" w:rsidP="00E91771">
      <w:pPr>
        <w:spacing w:line="480" w:lineRule="auto"/>
      </w:pPr>
      <w:r w:rsidRPr="002A7627">
        <w:t>dG</w:t>
      </w:r>
      <w:r>
        <w:tab/>
      </w:r>
      <w:r>
        <w:tab/>
      </w:r>
      <w:r w:rsidR="00E2182E" w:rsidRPr="002A7627">
        <w:t>Geodesic discrepancy</w:t>
      </w:r>
    </w:p>
    <w:p w14:paraId="537AF031" w14:textId="2F8C66E7" w:rsidR="00E2182E" w:rsidRPr="002A7627" w:rsidRDefault="00E2182E" w:rsidP="00E91771">
      <w:pPr>
        <w:spacing w:line="480" w:lineRule="auto"/>
      </w:pPr>
      <w:r w:rsidRPr="002A7627">
        <w:t>dULS</w:t>
      </w:r>
      <w:r w:rsidR="00902DB0">
        <w:tab/>
      </w:r>
      <w:r w:rsidR="00902DB0">
        <w:tab/>
      </w:r>
      <w:r w:rsidRPr="002A7627">
        <w:t xml:space="preserve">Unweighted </w:t>
      </w:r>
      <w:r w:rsidR="00797508">
        <w:t>l</w:t>
      </w:r>
      <w:r w:rsidRPr="002A7627">
        <w:t xml:space="preserve">east </w:t>
      </w:r>
      <w:r w:rsidR="00797508">
        <w:t>s</w:t>
      </w:r>
      <w:r w:rsidRPr="002A7627">
        <w:t>quares</w:t>
      </w:r>
    </w:p>
    <w:p w14:paraId="4F32E8EE" w14:textId="77777777" w:rsidR="00E2182E" w:rsidRPr="002A7627" w:rsidRDefault="00E2182E" w:rsidP="00E91771">
      <w:pPr>
        <w:spacing w:line="480" w:lineRule="auto"/>
      </w:pPr>
      <w:r w:rsidRPr="002A7627">
        <w:t>GCC</w:t>
      </w:r>
      <w:r w:rsidRPr="002A7627">
        <w:tab/>
      </w:r>
      <w:r w:rsidRPr="002A7627">
        <w:tab/>
        <w:t>Gulf Cooperation Council</w:t>
      </w:r>
    </w:p>
    <w:p w14:paraId="0A9C22A4" w14:textId="0EA2E13B" w:rsidR="00E2182E" w:rsidRPr="002A7627" w:rsidRDefault="00E2182E" w:rsidP="00E91771">
      <w:pPr>
        <w:spacing w:line="480" w:lineRule="auto"/>
      </w:pPr>
      <w:r w:rsidRPr="002A7627">
        <w:t>HR</w:t>
      </w:r>
      <w:r w:rsidRPr="002A7627">
        <w:tab/>
      </w:r>
      <w:r w:rsidRPr="002A7627">
        <w:tab/>
      </w:r>
      <w:r w:rsidR="00E91771" w:rsidRPr="002A7627">
        <w:t xml:space="preserve">Human </w:t>
      </w:r>
      <w:r w:rsidR="004F4485">
        <w:t>r</w:t>
      </w:r>
      <w:r w:rsidR="00E91771" w:rsidRPr="002A7627">
        <w:t>esources</w:t>
      </w:r>
    </w:p>
    <w:p w14:paraId="78869FBD" w14:textId="4BD887D8" w:rsidR="00E2182E" w:rsidRPr="002A7627" w:rsidRDefault="00902DB0" w:rsidP="00E91771">
      <w:pPr>
        <w:spacing w:line="480" w:lineRule="auto"/>
      </w:pPr>
      <w:r w:rsidRPr="002A7627">
        <w:t>HRP</w:t>
      </w:r>
      <w:r>
        <w:tab/>
      </w:r>
      <w:r>
        <w:tab/>
      </w:r>
      <w:r w:rsidR="00E2182E" w:rsidRPr="002A7627">
        <w:t xml:space="preserve">Human </w:t>
      </w:r>
      <w:r w:rsidR="004F4485">
        <w:t>r</w:t>
      </w:r>
      <w:r w:rsidR="00E2182E" w:rsidRPr="002A7627">
        <w:t xml:space="preserve">esources </w:t>
      </w:r>
      <w:r w:rsidR="00797508">
        <w:t>p</w:t>
      </w:r>
      <w:r w:rsidR="00E2182E" w:rsidRPr="002A7627">
        <w:t xml:space="preserve">ractices </w:t>
      </w:r>
    </w:p>
    <w:p w14:paraId="5FAAFC16" w14:textId="50583855" w:rsidR="00E2182E" w:rsidRPr="002A7627" w:rsidRDefault="00902DB0" w:rsidP="00E91771">
      <w:pPr>
        <w:spacing w:line="480" w:lineRule="auto"/>
      </w:pPr>
      <w:r w:rsidRPr="002A7627">
        <w:t>HTMT</w:t>
      </w:r>
      <w:r>
        <w:tab/>
      </w:r>
      <w:r>
        <w:tab/>
      </w:r>
      <w:r w:rsidR="00E91771" w:rsidRPr="002A7627">
        <w:t>Heterotrait</w:t>
      </w:r>
      <w:r w:rsidR="00E2182E" w:rsidRPr="002A7627">
        <w:t>-monotrait</w:t>
      </w:r>
    </w:p>
    <w:p w14:paraId="797966CC" w14:textId="77777777" w:rsidR="00E91771" w:rsidRPr="002A7627" w:rsidRDefault="00E91771" w:rsidP="00E91771">
      <w:pPr>
        <w:spacing w:line="480" w:lineRule="auto"/>
        <w:sectPr w:rsidR="00E91771" w:rsidRPr="002A7627" w:rsidSect="00DB56FA">
          <w:pgSz w:w="12240" w:h="15840"/>
          <w:pgMar w:top="1800" w:right="2160" w:bottom="1800" w:left="2160" w:header="720" w:footer="720" w:gutter="0"/>
          <w:pgNumType w:fmt="lowerRoman"/>
          <w:cols w:space="720"/>
          <w:docGrid w:linePitch="360"/>
        </w:sectPr>
      </w:pPr>
    </w:p>
    <w:p w14:paraId="493A6E28" w14:textId="14C9B5BB" w:rsidR="00E2182E" w:rsidRPr="002A7627" w:rsidRDefault="00E2182E" w:rsidP="00E91771">
      <w:pPr>
        <w:spacing w:line="480" w:lineRule="auto"/>
      </w:pPr>
      <w:r w:rsidRPr="002A7627">
        <w:t>IRB</w:t>
      </w:r>
      <w:r w:rsidRPr="002A7627">
        <w:tab/>
      </w:r>
      <w:r w:rsidRPr="002A7627">
        <w:tab/>
        <w:t>Institutional Review Board</w:t>
      </w:r>
    </w:p>
    <w:p w14:paraId="6CA43BD7" w14:textId="4D85F27F" w:rsidR="00E2182E" w:rsidRPr="002A7627" w:rsidRDefault="00665C2E" w:rsidP="00E91771">
      <w:pPr>
        <w:spacing w:line="480" w:lineRule="auto"/>
      </w:pPr>
      <w:r>
        <w:t>KMB</w:t>
      </w:r>
      <w:r>
        <w:tab/>
      </w:r>
      <w:r>
        <w:tab/>
        <w:t xml:space="preserve">Knowledge </w:t>
      </w:r>
      <w:r w:rsidR="00797508">
        <w:t>m</w:t>
      </w:r>
      <w:r>
        <w:t xml:space="preserve">anagement </w:t>
      </w:r>
      <w:r w:rsidR="00797508">
        <w:t>b</w:t>
      </w:r>
      <w:r w:rsidR="00E2182E" w:rsidRPr="002A7627">
        <w:t>enefits</w:t>
      </w:r>
    </w:p>
    <w:p w14:paraId="7398A74E" w14:textId="0091EC8A" w:rsidR="00E2182E" w:rsidRPr="002A7627" w:rsidRDefault="00665C2E" w:rsidP="00E91771">
      <w:pPr>
        <w:spacing w:line="480" w:lineRule="auto"/>
      </w:pPr>
      <w:r>
        <w:t>KMC</w:t>
      </w:r>
      <w:r>
        <w:tab/>
      </w:r>
      <w:r>
        <w:tab/>
        <w:t xml:space="preserve">Knowledge </w:t>
      </w:r>
      <w:r w:rsidR="00797508">
        <w:t>m</w:t>
      </w:r>
      <w:r w:rsidR="00E2182E" w:rsidRPr="002A7627">
        <w:t>anageme</w:t>
      </w:r>
      <w:r>
        <w:t xml:space="preserve">nt </w:t>
      </w:r>
      <w:r w:rsidR="00797508">
        <w:t>c</w:t>
      </w:r>
      <w:r w:rsidR="00E2182E" w:rsidRPr="002A7627">
        <w:t>apabilities</w:t>
      </w:r>
    </w:p>
    <w:p w14:paraId="2B291CD9" w14:textId="3512D270" w:rsidR="00E2182E" w:rsidRPr="002A7627" w:rsidRDefault="00665C2E" w:rsidP="00E91771">
      <w:pPr>
        <w:spacing w:line="480" w:lineRule="auto"/>
      </w:pPr>
      <w:r>
        <w:t>NFI</w:t>
      </w:r>
      <w:r>
        <w:tab/>
      </w:r>
      <w:r>
        <w:tab/>
        <w:t>Normed Fit I</w:t>
      </w:r>
      <w:r w:rsidR="00E2182E" w:rsidRPr="002A7627">
        <w:t>ndex</w:t>
      </w:r>
    </w:p>
    <w:p w14:paraId="4D2C04B6" w14:textId="4EFF60BB" w:rsidR="00E2182E" w:rsidRPr="002A7627" w:rsidRDefault="00E2182E" w:rsidP="00E91771">
      <w:pPr>
        <w:spacing w:line="480" w:lineRule="auto"/>
      </w:pPr>
      <w:r w:rsidRPr="002A7627">
        <w:t>OL</w:t>
      </w:r>
      <w:r w:rsidR="00902DB0">
        <w:tab/>
      </w:r>
      <w:r w:rsidR="00902DB0">
        <w:tab/>
      </w:r>
      <w:r w:rsidRPr="002A7627">
        <w:t xml:space="preserve">Organizational </w:t>
      </w:r>
      <w:r w:rsidR="00797508">
        <w:t>l</w:t>
      </w:r>
      <w:r w:rsidRPr="002A7627">
        <w:t>earning</w:t>
      </w:r>
    </w:p>
    <w:p w14:paraId="03124AF4" w14:textId="39970B14" w:rsidR="00E2182E" w:rsidRPr="002A7627" w:rsidRDefault="00E2182E" w:rsidP="00E91771">
      <w:pPr>
        <w:spacing w:line="480" w:lineRule="auto"/>
      </w:pPr>
      <w:r w:rsidRPr="002A7627">
        <w:t>PLS</w:t>
      </w:r>
      <w:r w:rsidRPr="002A7627">
        <w:tab/>
      </w:r>
      <w:r w:rsidRPr="002A7627">
        <w:tab/>
        <w:t xml:space="preserve">Partial </w:t>
      </w:r>
      <w:r w:rsidR="00797508">
        <w:t>l</w:t>
      </w:r>
      <w:r w:rsidRPr="002A7627">
        <w:t xml:space="preserve">east </w:t>
      </w:r>
      <w:r w:rsidR="00797508">
        <w:t>s</w:t>
      </w:r>
      <w:r w:rsidRPr="002A7627">
        <w:t>quares</w:t>
      </w:r>
    </w:p>
    <w:p w14:paraId="691080F9" w14:textId="29D7C41F" w:rsidR="00E2182E" w:rsidRPr="002A7627" w:rsidRDefault="00E2182E" w:rsidP="00E91771">
      <w:pPr>
        <w:spacing w:line="480" w:lineRule="auto"/>
      </w:pPr>
      <w:r w:rsidRPr="002A7627">
        <w:t>RMSEA</w:t>
      </w:r>
      <w:r w:rsidR="00902DB0">
        <w:tab/>
      </w:r>
      <w:r w:rsidRPr="002A7627">
        <w:t>Root Mean Square Error of Approximation</w:t>
      </w:r>
    </w:p>
    <w:p w14:paraId="64931D5C" w14:textId="0B7A3E61" w:rsidR="00E2182E" w:rsidRPr="002A7627" w:rsidRDefault="00E2182E" w:rsidP="00E91771">
      <w:pPr>
        <w:spacing w:line="480" w:lineRule="auto"/>
      </w:pPr>
      <w:r w:rsidRPr="002A7627">
        <w:t>SEM</w:t>
      </w:r>
      <w:r w:rsidRPr="002A7627">
        <w:tab/>
      </w:r>
      <w:r w:rsidRPr="002A7627">
        <w:tab/>
        <w:t xml:space="preserve">Structural </w:t>
      </w:r>
      <w:r w:rsidR="00797508">
        <w:t>e</w:t>
      </w:r>
      <w:r w:rsidRPr="002A7627">
        <w:t xml:space="preserve">quation </w:t>
      </w:r>
      <w:r w:rsidR="00797508">
        <w:t>m</w:t>
      </w:r>
      <w:r w:rsidRPr="002A7627">
        <w:t>odeling</w:t>
      </w:r>
    </w:p>
    <w:p w14:paraId="59AF6194" w14:textId="7D00AA32" w:rsidR="00E2182E" w:rsidRPr="002A7627" w:rsidRDefault="00665C2E" w:rsidP="00E91771">
      <w:pPr>
        <w:spacing w:line="480" w:lineRule="auto"/>
      </w:pPr>
      <w:r>
        <w:t>SRMR</w:t>
      </w:r>
      <w:r>
        <w:tab/>
      </w:r>
      <w:r>
        <w:tab/>
        <w:t>Standardized Root Mean Square R</w:t>
      </w:r>
      <w:r w:rsidR="00E2182E" w:rsidRPr="002A7627">
        <w:t>esidual</w:t>
      </w:r>
    </w:p>
    <w:p w14:paraId="199EBF6F" w14:textId="4E1131E4" w:rsidR="00E2182E" w:rsidRPr="002A7627" w:rsidRDefault="00E2182E" w:rsidP="00E91771">
      <w:pPr>
        <w:spacing w:line="480" w:lineRule="auto"/>
      </w:pPr>
      <w:r w:rsidRPr="002A7627">
        <w:lastRenderedPageBreak/>
        <w:t>VIF</w:t>
      </w:r>
      <w:r w:rsidR="00665C2E">
        <w:tab/>
      </w:r>
      <w:r w:rsidR="00665C2E">
        <w:tab/>
        <w:t>Variance Inflation F</w:t>
      </w:r>
      <w:r w:rsidRPr="002A7627">
        <w:t>actor</w:t>
      </w:r>
    </w:p>
    <w:p w14:paraId="1DC69651" w14:textId="6681671B" w:rsidR="00E24626" w:rsidRPr="002A7627" w:rsidRDefault="00E24626" w:rsidP="00E24626">
      <w:pPr>
        <w:rPr>
          <w:lang w:bidi="en-US"/>
        </w:rPr>
        <w:sectPr w:rsidR="00E24626" w:rsidRPr="002A7627" w:rsidSect="00E91771">
          <w:type w:val="continuous"/>
          <w:pgSz w:w="12240" w:h="15840"/>
          <w:pgMar w:top="1800" w:right="2160" w:bottom="1800" w:left="2160" w:header="720" w:footer="720" w:gutter="0"/>
          <w:pgNumType w:fmt="lowerRoman"/>
          <w:cols w:space="720"/>
          <w:docGrid w:linePitch="360"/>
        </w:sectPr>
      </w:pPr>
    </w:p>
    <w:p w14:paraId="2D2E94ED" w14:textId="77777777" w:rsidR="00715CBC" w:rsidRPr="002A7627" w:rsidRDefault="00715CBC" w:rsidP="00433598">
      <w:pPr>
        <w:pStyle w:val="Title"/>
        <w:rPr>
          <w:color w:val="000000"/>
        </w:rPr>
        <w:sectPr w:rsidR="00715CBC" w:rsidRPr="002A7627" w:rsidSect="00B21F58">
          <w:type w:val="continuous"/>
          <w:pgSz w:w="12240" w:h="15840"/>
          <w:pgMar w:top="1800" w:right="2160" w:bottom="1800" w:left="2160" w:header="720" w:footer="720" w:gutter="0"/>
          <w:pgNumType w:fmt="lowerRoman"/>
          <w:cols w:space="720"/>
          <w:docGrid w:linePitch="360"/>
        </w:sectPr>
      </w:pPr>
    </w:p>
    <w:p w14:paraId="26B474B4" w14:textId="62AA69BA" w:rsidR="004F4485" w:rsidRDefault="004F4485">
      <w:pPr>
        <w:widowControl/>
        <w:autoSpaceDE/>
        <w:autoSpaceDN/>
        <w:adjustRightInd/>
        <w:rPr>
          <w:rFonts w:eastAsiaTheme="majorEastAsia" w:cs="Times New Roman"/>
          <w:b/>
          <w:bCs/>
          <w:kern w:val="28"/>
          <w:szCs w:val="24"/>
          <w:lang w:bidi="en-US"/>
        </w:rPr>
      </w:pPr>
    </w:p>
    <w:p w14:paraId="3EA6EAB3" w14:textId="24869E9C" w:rsidR="000B1DFD" w:rsidRDefault="000B1DFD">
      <w:pPr>
        <w:widowControl/>
        <w:autoSpaceDE/>
        <w:autoSpaceDN/>
        <w:adjustRightInd/>
        <w:rPr>
          <w:rFonts w:eastAsiaTheme="majorEastAsia" w:cs="Times New Roman"/>
          <w:b/>
          <w:bCs/>
          <w:kern w:val="28"/>
          <w:szCs w:val="24"/>
          <w:lang w:bidi="en-US"/>
        </w:rPr>
      </w:pPr>
    </w:p>
    <w:p w14:paraId="5B7F8862" w14:textId="1F0DD4DF" w:rsidR="000B1DFD" w:rsidRDefault="000B1DFD">
      <w:pPr>
        <w:widowControl/>
        <w:autoSpaceDE/>
        <w:autoSpaceDN/>
        <w:adjustRightInd/>
        <w:rPr>
          <w:rFonts w:eastAsiaTheme="majorEastAsia" w:cs="Times New Roman"/>
          <w:b/>
          <w:bCs/>
          <w:kern w:val="28"/>
          <w:szCs w:val="24"/>
          <w:lang w:bidi="en-US"/>
        </w:rPr>
      </w:pPr>
    </w:p>
    <w:p w14:paraId="70AC29D5" w14:textId="17CDB16A" w:rsidR="000B1DFD" w:rsidRDefault="000B1DFD">
      <w:pPr>
        <w:widowControl/>
        <w:autoSpaceDE/>
        <w:autoSpaceDN/>
        <w:adjustRightInd/>
        <w:rPr>
          <w:rFonts w:eastAsiaTheme="majorEastAsia" w:cs="Times New Roman"/>
          <w:b/>
          <w:bCs/>
          <w:kern w:val="28"/>
          <w:szCs w:val="24"/>
          <w:lang w:bidi="en-US"/>
        </w:rPr>
      </w:pPr>
    </w:p>
    <w:p w14:paraId="491BEBAD" w14:textId="4F2D2037" w:rsidR="000B1DFD" w:rsidRDefault="000B1DFD">
      <w:pPr>
        <w:widowControl/>
        <w:autoSpaceDE/>
        <w:autoSpaceDN/>
        <w:adjustRightInd/>
        <w:rPr>
          <w:rFonts w:eastAsiaTheme="majorEastAsia" w:cs="Times New Roman"/>
          <w:b/>
          <w:bCs/>
          <w:kern w:val="28"/>
          <w:szCs w:val="24"/>
          <w:lang w:bidi="en-US"/>
        </w:rPr>
      </w:pPr>
    </w:p>
    <w:p w14:paraId="1139CC0E" w14:textId="7155E20A" w:rsidR="000B1DFD" w:rsidRDefault="000B1DFD">
      <w:pPr>
        <w:widowControl/>
        <w:autoSpaceDE/>
        <w:autoSpaceDN/>
        <w:adjustRightInd/>
        <w:rPr>
          <w:rFonts w:eastAsiaTheme="majorEastAsia" w:cs="Times New Roman"/>
          <w:b/>
          <w:bCs/>
          <w:kern w:val="28"/>
          <w:szCs w:val="24"/>
          <w:lang w:bidi="en-US"/>
        </w:rPr>
      </w:pPr>
    </w:p>
    <w:p w14:paraId="06CD993D" w14:textId="187C7987" w:rsidR="000B1DFD" w:rsidRDefault="000B1DFD">
      <w:pPr>
        <w:widowControl/>
        <w:autoSpaceDE/>
        <w:autoSpaceDN/>
        <w:adjustRightInd/>
        <w:rPr>
          <w:rFonts w:eastAsiaTheme="majorEastAsia" w:cs="Times New Roman"/>
          <w:b/>
          <w:bCs/>
          <w:kern w:val="28"/>
          <w:szCs w:val="24"/>
          <w:lang w:bidi="en-US"/>
        </w:rPr>
      </w:pPr>
    </w:p>
    <w:p w14:paraId="7A4EE4A4" w14:textId="3FA6550C" w:rsidR="000B1DFD" w:rsidRDefault="000B1DFD">
      <w:pPr>
        <w:widowControl/>
        <w:autoSpaceDE/>
        <w:autoSpaceDN/>
        <w:adjustRightInd/>
        <w:rPr>
          <w:rFonts w:eastAsiaTheme="majorEastAsia" w:cs="Times New Roman"/>
          <w:b/>
          <w:bCs/>
          <w:kern w:val="28"/>
          <w:szCs w:val="24"/>
          <w:lang w:bidi="en-US"/>
        </w:rPr>
      </w:pPr>
    </w:p>
    <w:p w14:paraId="6B1995BB" w14:textId="4F92281C" w:rsidR="000B1DFD" w:rsidRDefault="000B1DFD">
      <w:pPr>
        <w:widowControl/>
        <w:autoSpaceDE/>
        <w:autoSpaceDN/>
        <w:adjustRightInd/>
        <w:rPr>
          <w:rFonts w:eastAsiaTheme="majorEastAsia" w:cs="Times New Roman"/>
          <w:b/>
          <w:bCs/>
          <w:kern w:val="28"/>
          <w:szCs w:val="24"/>
          <w:lang w:bidi="en-US"/>
        </w:rPr>
      </w:pPr>
    </w:p>
    <w:p w14:paraId="351999B5" w14:textId="322A7EEF" w:rsidR="000B1DFD" w:rsidRDefault="000B1DFD">
      <w:pPr>
        <w:widowControl/>
        <w:autoSpaceDE/>
        <w:autoSpaceDN/>
        <w:adjustRightInd/>
        <w:rPr>
          <w:rFonts w:eastAsiaTheme="majorEastAsia" w:cs="Times New Roman"/>
          <w:b/>
          <w:bCs/>
          <w:kern w:val="28"/>
          <w:szCs w:val="24"/>
          <w:lang w:bidi="en-US"/>
        </w:rPr>
      </w:pPr>
    </w:p>
    <w:p w14:paraId="235469EC" w14:textId="78704711" w:rsidR="000B1DFD" w:rsidRDefault="000B1DFD">
      <w:pPr>
        <w:widowControl/>
        <w:autoSpaceDE/>
        <w:autoSpaceDN/>
        <w:adjustRightInd/>
        <w:rPr>
          <w:rFonts w:eastAsiaTheme="majorEastAsia" w:cs="Times New Roman"/>
          <w:b/>
          <w:bCs/>
          <w:kern w:val="28"/>
          <w:szCs w:val="24"/>
          <w:lang w:bidi="en-US"/>
        </w:rPr>
      </w:pPr>
    </w:p>
    <w:p w14:paraId="06634A32" w14:textId="2A220CC0" w:rsidR="000B1DFD" w:rsidRDefault="000B1DFD">
      <w:pPr>
        <w:widowControl/>
        <w:autoSpaceDE/>
        <w:autoSpaceDN/>
        <w:adjustRightInd/>
        <w:rPr>
          <w:rFonts w:eastAsiaTheme="majorEastAsia" w:cs="Times New Roman"/>
          <w:b/>
          <w:bCs/>
          <w:kern w:val="28"/>
          <w:szCs w:val="24"/>
          <w:lang w:bidi="en-US"/>
        </w:rPr>
      </w:pPr>
    </w:p>
    <w:p w14:paraId="774FD825" w14:textId="4D23FEB3" w:rsidR="000B1DFD" w:rsidRDefault="000B1DFD">
      <w:pPr>
        <w:widowControl/>
        <w:autoSpaceDE/>
        <w:autoSpaceDN/>
        <w:adjustRightInd/>
        <w:rPr>
          <w:rFonts w:eastAsiaTheme="majorEastAsia" w:cs="Times New Roman"/>
          <w:b/>
          <w:bCs/>
          <w:kern w:val="28"/>
          <w:szCs w:val="24"/>
          <w:lang w:bidi="en-US"/>
        </w:rPr>
      </w:pPr>
    </w:p>
    <w:p w14:paraId="78EEEB38" w14:textId="00C2CD84" w:rsidR="000B1DFD" w:rsidRDefault="000B1DFD">
      <w:pPr>
        <w:widowControl/>
        <w:autoSpaceDE/>
        <w:autoSpaceDN/>
        <w:adjustRightInd/>
        <w:rPr>
          <w:rFonts w:eastAsiaTheme="majorEastAsia" w:cs="Times New Roman"/>
          <w:b/>
          <w:bCs/>
          <w:kern w:val="28"/>
          <w:szCs w:val="24"/>
          <w:lang w:bidi="en-US"/>
        </w:rPr>
      </w:pPr>
    </w:p>
    <w:p w14:paraId="4C52F255" w14:textId="25277542" w:rsidR="000B1DFD" w:rsidRDefault="000B1DFD">
      <w:pPr>
        <w:widowControl/>
        <w:autoSpaceDE/>
        <w:autoSpaceDN/>
        <w:adjustRightInd/>
        <w:rPr>
          <w:rFonts w:eastAsiaTheme="majorEastAsia" w:cs="Times New Roman"/>
          <w:b/>
          <w:bCs/>
          <w:kern w:val="28"/>
          <w:szCs w:val="24"/>
          <w:lang w:bidi="en-US"/>
        </w:rPr>
      </w:pPr>
    </w:p>
    <w:p w14:paraId="75CA23C3" w14:textId="66CAF848" w:rsidR="000B1DFD" w:rsidRDefault="000B1DFD">
      <w:pPr>
        <w:widowControl/>
        <w:autoSpaceDE/>
        <w:autoSpaceDN/>
        <w:adjustRightInd/>
        <w:rPr>
          <w:rFonts w:eastAsiaTheme="majorEastAsia" w:cs="Times New Roman"/>
          <w:b/>
          <w:bCs/>
          <w:kern w:val="28"/>
          <w:szCs w:val="24"/>
          <w:lang w:bidi="en-US"/>
        </w:rPr>
      </w:pPr>
    </w:p>
    <w:p w14:paraId="13A3D985" w14:textId="0FDC845C" w:rsidR="000B1DFD" w:rsidRDefault="000B1DFD">
      <w:pPr>
        <w:widowControl/>
        <w:autoSpaceDE/>
        <w:autoSpaceDN/>
        <w:adjustRightInd/>
        <w:rPr>
          <w:rFonts w:eastAsiaTheme="majorEastAsia" w:cs="Times New Roman"/>
          <w:b/>
          <w:bCs/>
          <w:kern w:val="28"/>
          <w:szCs w:val="24"/>
          <w:lang w:bidi="en-US"/>
        </w:rPr>
      </w:pPr>
    </w:p>
    <w:p w14:paraId="19CE6403" w14:textId="1DDF8F79" w:rsidR="000B1DFD" w:rsidRDefault="000B1DFD">
      <w:pPr>
        <w:widowControl/>
        <w:autoSpaceDE/>
        <w:autoSpaceDN/>
        <w:adjustRightInd/>
        <w:rPr>
          <w:rFonts w:eastAsiaTheme="majorEastAsia" w:cs="Times New Roman"/>
          <w:b/>
          <w:bCs/>
          <w:kern w:val="28"/>
          <w:szCs w:val="24"/>
          <w:lang w:bidi="en-US"/>
        </w:rPr>
      </w:pPr>
    </w:p>
    <w:p w14:paraId="248FDA45" w14:textId="3DB53D38" w:rsidR="000B1DFD" w:rsidRDefault="000B1DFD">
      <w:pPr>
        <w:widowControl/>
        <w:autoSpaceDE/>
        <w:autoSpaceDN/>
        <w:adjustRightInd/>
        <w:rPr>
          <w:rFonts w:eastAsiaTheme="majorEastAsia" w:cs="Times New Roman"/>
          <w:b/>
          <w:bCs/>
          <w:kern w:val="28"/>
          <w:szCs w:val="24"/>
          <w:lang w:bidi="en-US"/>
        </w:rPr>
      </w:pPr>
    </w:p>
    <w:p w14:paraId="6CFA5100" w14:textId="5A026E06" w:rsidR="000B1DFD" w:rsidRDefault="000B1DFD">
      <w:pPr>
        <w:widowControl/>
        <w:autoSpaceDE/>
        <w:autoSpaceDN/>
        <w:adjustRightInd/>
        <w:rPr>
          <w:rFonts w:eastAsiaTheme="majorEastAsia" w:cs="Times New Roman"/>
          <w:b/>
          <w:bCs/>
          <w:kern w:val="28"/>
          <w:szCs w:val="24"/>
          <w:lang w:bidi="en-US"/>
        </w:rPr>
      </w:pPr>
    </w:p>
    <w:p w14:paraId="2A43D44B" w14:textId="0733FB3F" w:rsidR="000B1DFD" w:rsidRDefault="000B1DFD">
      <w:pPr>
        <w:widowControl/>
        <w:autoSpaceDE/>
        <w:autoSpaceDN/>
        <w:adjustRightInd/>
        <w:rPr>
          <w:rFonts w:eastAsiaTheme="majorEastAsia" w:cs="Times New Roman"/>
          <w:b/>
          <w:bCs/>
          <w:kern w:val="28"/>
          <w:szCs w:val="24"/>
          <w:lang w:bidi="en-US"/>
        </w:rPr>
      </w:pPr>
    </w:p>
    <w:p w14:paraId="703A43A0" w14:textId="0641439F" w:rsidR="000B1DFD" w:rsidRDefault="000B1DFD">
      <w:pPr>
        <w:widowControl/>
        <w:autoSpaceDE/>
        <w:autoSpaceDN/>
        <w:adjustRightInd/>
        <w:rPr>
          <w:rFonts w:eastAsiaTheme="majorEastAsia" w:cs="Times New Roman"/>
          <w:b/>
          <w:bCs/>
          <w:kern w:val="28"/>
          <w:szCs w:val="24"/>
          <w:lang w:bidi="en-US"/>
        </w:rPr>
      </w:pPr>
    </w:p>
    <w:p w14:paraId="10CBCCDB" w14:textId="757EB9D5" w:rsidR="000B1DFD" w:rsidRDefault="000B1DFD">
      <w:pPr>
        <w:widowControl/>
        <w:autoSpaceDE/>
        <w:autoSpaceDN/>
        <w:adjustRightInd/>
        <w:rPr>
          <w:rFonts w:eastAsiaTheme="majorEastAsia" w:cs="Times New Roman"/>
          <w:b/>
          <w:bCs/>
          <w:kern w:val="28"/>
          <w:szCs w:val="24"/>
          <w:lang w:bidi="en-US"/>
        </w:rPr>
      </w:pPr>
    </w:p>
    <w:p w14:paraId="19AC1D23" w14:textId="7AE68BD2" w:rsidR="000B1DFD" w:rsidRDefault="000B1DFD">
      <w:pPr>
        <w:widowControl/>
        <w:autoSpaceDE/>
        <w:autoSpaceDN/>
        <w:adjustRightInd/>
        <w:rPr>
          <w:rFonts w:eastAsiaTheme="majorEastAsia" w:cs="Times New Roman"/>
          <w:b/>
          <w:bCs/>
          <w:kern w:val="28"/>
          <w:szCs w:val="24"/>
          <w:lang w:bidi="en-US"/>
        </w:rPr>
      </w:pPr>
    </w:p>
    <w:p w14:paraId="798EFBC2" w14:textId="7D5D4712" w:rsidR="000B1DFD" w:rsidRDefault="000B1DFD">
      <w:pPr>
        <w:widowControl/>
        <w:autoSpaceDE/>
        <w:autoSpaceDN/>
        <w:adjustRightInd/>
        <w:rPr>
          <w:rFonts w:eastAsiaTheme="majorEastAsia" w:cs="Times New Roman"/>
          <w:b/>
          <w:bCs/>
          <w:kern w:val="28"/>
          <w:szCs w:val="24"/>
          <w:lang w:bidi="en-US"/>
        </w:rPr>
      </w:pPr>
    </w:p>
    <w:p w14:paraId="7E7C78A5" w14:textId="082D3C91" w:rsidR="000B1DFD" w:rsidRDefault="000B1DFD">
      <w:pPr>
        <w:widowControl/>
        <w:autoSpaceDE/>
        <w:autoSpaceDN/>
        <w:adjustRightInd/>
        <w:rPr>
          <w:rFonts w:eastAsiaTheme="majorEastAsia" w:cs="Times New Roman"/>
          <w:b/>
          <w:bCs/>
          <w:kern w:val="28"/>
          <w:szCs w:val="24"/>
          <w:lang w:bidi="en-US"/>
        </w:rPr>
      </w:pPr>
    </w:p>
    <w:p w14:paraId="4A794C6F" w14:textId="2A761C49" w:rsidR="000B1DFD" w:rsidRDefault="000B1DFD">
      <w:pPr>
        <w:widowControl/>
        <w:autoSpaceDE/>
        <w:autoSpaceDN/>
        <w:adjustRightInd/>
        <w:rPr>
          <w:rFonts w:eastAsiaTheme="majorEastAsia" w:cs="Times New Roman"/>
          <w:b/>
          <w:bCs/>
          <w:kern w:val="28"/>
          <w:szCs w:val="24"/>
          <w:lang w:bidi="en-US"/>
        </w:rPr>
      </w:pPr>
    </w:p>
    <w:p w14:paraId="1027EDD2" w14:textId="66DB47D6" w:rsidR="000B1DFD" w:rsidRDefault="000B1DFD">
      <w:pPr>
        <w:widowControl/>
        <w:autoSpaceDE/>
        <w:autoSpaceDN/>
        <w:adjustRightInd/>
        <w:rPr>
          <w:rFonts w:eastAsiaTheme="majorEastAsia" w:cs="Times New Roman"/>
          <w:b/>
          <w:bCs/>
          <w:kern w:val="28"/>
          <w:szCs w:val="24"/>
          <w:lang w:bidi="en-US"/>
        </w:rPr>
      </w:pPr>
    </w:p>
    <w:p w14:paraId="055FBF94" w14:textId="45453448" w:rsidR="000B1DFD" w:rsidRDefault="000B1DFD">
      <w:pPr>
        <w:widowControl/>
        <w:autoSpaceDE/>
        <w:autoSpaceDN/>
        <w:adjustRightInd/>
        <w:rPr>
          <w:rFonts w:eastAsiaTheme="majorEastAsia" w:cs="Times New Roman"/>
          <w:b/>
          <w:bCs/>
          <w:kern w:val="28"/>
          <w:szCs w:val="24"/>
          <w:lang w:bidi="en-US"/>
        </w:rPr>
      </w:pPr>
    </w:p>
    <w:p w14:paraId="0AF38BBF" w14:textId="3C44CCD8" w:rsidR="000B1DFD" w:rsidRDefault="000B1DFD">
      <w:pPr>
        <w:widowControl/>
        <w:autoSpaceDE/>
        <w:autoSpaceDN/>
        <w:adjustRightInd/>
        <w:rPr>
          <w:rFonts w:eastAsiaTheme="majorEastAsia" w:cs="Times New Roman"/>
          <w:b/>
          <w:bCs/>
          <w:kern w:val="28"/>
          <w:szCs w:val="24"/>
          <w:lang w:bidi="en-US"/>
        </w:rPr>
      </w:pPr>
    </w:p>
    <w:p w14:paraId="3673459F" w14:textId="68728C72" w:rsidR="000B1DFD" w:rsidRDefault="000B1DFD">
      <w:pPr>
        <w:widowControl/>
        <w:autoSpaceDE/>
        <w:autoSpaceDN/>
        <w:adjustRightInd/>
        <w:rPr>
          <w:rFonts w:eastAsiaTheme="majorEastAsia" w:cs="Times New Roman"/>
          <w:b/>
          <w:bCs/>
          <w:kern w:val="28"/>
          <w:szCs w:val="24"/>
          <w:lang w:bidi="en-US"/>
        </w:rPr>
      </w:pPr>
    </w:p>
    <w:p w14:paraId="0D82E8DA" w14:textId="722BBB33" w:rsidR="00B5238B" w:rsidRDefault="00B5238B">
      <w:pPr>
        <w:widowControl/>
        <w:autoSpaceDE/>
        <w:autoSpaceDN/>
        <w:adjustRightInd/>
        <w:rPr>
          <w:rFonts w:eastAsiaTheme="majorEastAsia" w:cs="Times New Roman"/>
          <w:b/>
          <w:bCs/>
          <w:kern w:val="28"/>
          <w:szCs w:val="24"/>
          <w:lang w:bidi="en-US"/>
        </w:rPr>
      </w:pPr>
    </w:p>
    <w:p w14:paraId="12B982B9" w14:textId="71D8BBF6" w:rsidR="00B5238B" w:rsidRDefault="00B5238B">
      <w:pPr>
        <w:widowControl/>
        <w:autoSpaceDE/>
        <w:autoSpaceDN/>
        <w:adjustRightInd/>
        <w:rPr>
          <w:rFonts w:eastAsiaTheme="majorEastAsia" w:cs="Times New Roman"/>
          <w:b/>
          <w:bCs/>
          <w:kern w:val="28"/>
          <w:szCs w:val="24"/>
          <w:lang w:bidi="en-US"/>
        </w:rPr>
      </w:pPr>
    </w:p>
    <w:p w14:paraId="22AFB485" w14:textId="49AD1860" w:rsidR="00B5238B" w:rsidRDefault="00B5238B">
      <w:pPr>
        <w:widowControl/>
        <w:autoSpaceDE/>
        <w:autoSpaceDN/>
        <w:adjustRightInd/>
        <w:rPr>
          <w:rFonts w:eastAsiaTheme="majorEastAsia" w:cs="Times New Roman"/>
          <w:b/>
          <w:bCs/>
          <w:kern w:val="28"/>
          <w:szCs w:val="24"/>
          <w:lang w:bidi="en-US"/>
        </w:rPr>
      </w:pPr>
    </w:p>
    <w:p w14:paraId="108CEE59" w14:textId="6B388DE5" w:rsidR="00B5238B" w:rsidRDefault="00B5238B">
      <w:pPr>
        <w:widowControl/>
        <w:autoSpaceDE/>
        <w:autoSpaceDN/>
        <w:adjustRightInd/>
        <w:rPr>
          <w:rFonts w:eastAsiaTheme="majorEastAsia" w:cs="Times New Roman"/>
          <w:b/>
          <w:bCs/>
          <w:kern w:val="28"/>
          <w:szCs w:val="24"/>
          <w:lang w:bidi="en-US"/>
        </w:rPr>
      </w:pPr>
    </w:p>
    <w:p w14:paraId="73A86993" w14:textId="1EE70F16" w:rsidR="00F353CB" w:rsidRDefault="00F353CB">
      <w:pPr>
        <w:widowControl/>
        <w:autoSpaceDE/>
        <w:autoSpaceDN/>
        <w:adjustRightInd/>
        <w:rPr>
          <w:rFonts w:eastAsiaTheme="majorEastAsia" w:cs="Times New Roman"/>
          <w:b/>
          <w:bCs/>
          <w:kern w:val="28"/>
          <w:szCs w:val="24"/>
          <w:lang w:bidi="en-US"/>
        </w:rPr>
      </w:pPr>
    </w:p>
    <w:p w14:paraId="213A7B03" w14:textId="77777777" w:rsidR="00F353CB" w:rsidRDefault="00F353CB">
      <w:pPr>
        <w:widowControl/>
        <w:autoSpaceDE/>
        <w:autoSpaceDN/>
        <w:adjustRightInd/>
        <w:rPr>
          <w:rFonts w:eastAsiaTheme="majorEastAsia" w:cs="Times New Roman"/>
          <w:b/>
          <w:bCs/>
          <w:kern w:val="28"/>
          <w:szCs w:val="24"/>
          <w:lang w:bidi="en-US"/>
        </w:rPr>
      </w:pPr>
    </w:p>
    <w:p w14:paraId="3FA7FF55" w14:textId="2AFB317A" w:rsidR="000B1DFD" w:rsidRDefault="000B1DFD">
      <w:pPr>
        <w:widowControl/>
        <w:autoSpaceDE/>
        <w:autoSpaceDN/>
        <w:adjustRightInd/>
        <w:rPr>
          <w:rFonts w:eastAsiaTheme="majorEastAsia" w:cs="Times New Roman"/>
          <w:b/>
          <w:bCs/>
          <w:kern w:val="28"/>
          <w:szCs w:val="24"/>
          <w:lang w:bidi="en-US"/>
        </w:rPr>
      </w:pPr>
    </w:p>
    <w:p w14:paraId="01A5E7BF" w14:textId="54B8365E" w:rsidR="000B1DFD" w:rsidRDefault="000B1DFD">
      <w:pPr>
        <w:widowControl/>
        <w:autoSpaceDE/>
        <w:autoSpaceDN/>
        <w:adjustRightInd/>
        <w:rPr>
          <w:rFonts w:eastAsiaTheme="majorEastAsia" w:cs="Times New Roman"/>
          <w:b/>
          <w:bCs/>
          <w:kern w:val="28"/>
          <w:szCs w:val="24"/>
          <w:lang w:bidi="en-US"/>
        </w:rPr>
      </w:pPr>
    </w:p>
    <w:p w14:paraId="6EA2E40F" w14:textId="77777777" w:rsidR="000B1DFD" w:rsidRDefault="000B1DFD">
      <w:pPr>
        <w:widowControl/>
        <w:autoSpaceDE/>
        <w:autoSpaceDN/>
        <w:adjustRightInd/>
        <w:rPr>
          <w:rFonts w:eastAsiaTheme="majorEastAsia" w:cs="Times New Roman"/>
          <w:b/>
          <w:bCs/>
          <w:kern w:val="28"/>
          <w:szCs w:val="24"/>
          <w:lang w:bidi="en-US"/>
        </w:rPr>
      </w:pPr>
    </w:p>
    <w:p w14:paraId="0B6D3EAC" w14:textId="5AE698B7" w:rsidR="00E24626" w:rsidRPr="002A7627" w:rsidRDefault="002F20D4" w:rsidP="009973C7">
      <w:pPr>
        <w:pStyle w:val="Title"/>
        <w:rPr>
          <w:color w:val="000000"/>
        </w:rPr>
      </w:pPr>
      <w:bookmarkStart w:id="9" w:name="_Toc22331628"/>
      <w:r>
        <w:rPr>
          <w:color w:val="000000"/>
        </w:rPr>
        <w:lastRenderedPageBreak/>
        <w:t>ACKNOWLEDGMENTS</w:t>
      </w:r>
      <w:bookmarkEnd w:id="9"/>
    </w:p>
    <w:p w14:paraId="7909F9F6" w14:textId="78BE88BE" w:rsidR="00E24626" w:rsidRPr="008511F4" w:rsidRDefault="00E24626" w:rsidP="0017121F">
      <w:pPr>
        <w:pStyle w:val="AAAAAAA"/>
        <w:rPr>
          <w:color w:val="000000" w:themeColor="text1"/>
        </w:rPr>
      </w:pPr>
      <w:r w:rsidRPr="008511F4">
        <w:rPr>
          <w:color w:val="000000" w:themeColor="text1"/>
        </w:rPr>
        <w:t xml:space="preserve">I </w:t>
      </w:r>
      <w:r w:rsidR="00F82BA4" w:rsidRPr="008511F4">
        <w:rPr>
          <w:color w:val="000000" w:themeColor="text1"/>
        </w:rPr>
        <w:t>owe Dr. Fauzia</w:t>
      </w:r>
      <w:r w:rsidR="00E773B8" w:rsidRPr="008511F4">
        <w:rPr>
          <w:color w:val="000000" w:themeColor="text1"/>
        </w:rPr>
        <w:t xml:space="preserve"> Jabeen</w:t>
      </w:r>
      <w:r w:rsidR="00F82BA4" w:rsidRPr="008511F4">
        <w:rPr>
          <w:color w:val="000000" w:themeColor="text1"/>
        </w:rPr>
        <w:t>, my chair</w:t>
      </w:r>
      <w:r w:rsidR="00E773B8" w:rsidRPr="008511F4">
        <w:rPr>
          <w:color w:val="000000" w:themeColor="text1"/>
        </w:rPr>
        <w:t xml:space="preserve">, </w:t>
      </w:r>
      <w:r w:rsidR="00797508" w:rsidRPr="008511F4">
        <w:rPr>
          <w:color w:val="000000" w:themeColor="text1"/>
        </w:rPr>
        <w:t>a huge amount of</w:t>
      </w:r>
      <w:r w:rsidR="00E773B8" w:rsidRPr="008511F4">
        <w:rPr>
          <w:color w:val="000000" w:themeColor="text1"/>
        </w:rPr>
        <w:t xml:space="preserve"> respect and appreciation</w:t>
      </w:r>
      <w:r w:rsidRPr="008511F4">
        <w:rPr>
          <w:color w:val="000000" w:themeColor="text1"/>
        </w:rPr>
        <w:t xml:space="preserve"> for her advice, encouragement, directions, enduring patience</w:t>
      </w:r>
      <w:r w:rsidR="00054373" w:rsidRPr="008511F4">
        <w:rPr>
          <w:color w:val="000000" w:themeColor="text1"/>
        </w:rPr>
        <w:t>,</w:t>
      </w:r>
      <w:r w:rsidRPr="008511F4">
        <w:rPr>
          <w:color w:val="000000" w:themeColor="text1"/>
        </w:rPr>
        <w:t xml:space="preserve"> and constant help. She provided me with professional and emotional support throughout this distinctive journey. She believed in my ability to complete this dissertation</w:t>
      </w:r>
      <w:r w:rsidR="00054373" w:rsidRPr="008511F4">
        <w:rPr>
          <w:color w:val="000000" w:themeColor="text1"/>
        </w:rPr>
        <w:t>,</w:t>
      </w:r>
      <w:r w:rsidRPr="008511F4">
        <w:rPr>
          <w:color w:val="000000" w:themeColor="text1"/>
        </w:rPr>
        <w:t xml:space="preserve"> although I had difficult moments of doubt where I felt lost, stressed, tired, and unable to move forward. She always gave me her time and support, and offered me an effective guide for publishing the research paper emerging from my DBA Dissertation in </w:t>
      </w:r>
      <w:r w:rsidR="00797508" w:rsidRPr="008511F4">
        <w:rPr>
          <w:color w:val="000000" w:themeColor="text1"/>
        </w:rPr>
        <w:t xml:space="preserve">the </w:t>
      </w:r>
      <w:r w:rsidRPr="008511F4">
        <w:rPr>
          <w:i/>
          <w:color w:val="000000" w:themeColor="text1"/>
        </w:rPr>
        <w:t>Journal of Workplace Learning</w:t>
      </w:r>
      <w:r w:rsidRPr="008511F4">
        <w:rPr>
          <w:color w:val="000000" w:themeColor="text1"/>
        </w:rPr>
        <w:t xml:space="preserve">. </w:t>
      </w:r>
      <w:r w:rsidR="00797508" w:rsidRPr="008511F4">
        <w:rPr>
          <w:color w:val="000000" w:themeColor="text1"/>
        </w:rPr>
        <w:t>S</w:t>
      </w:r>
      <w:r w:rsidRPr="008511F4">
        <w:rPr>
          <w:color w:val="000000" w:themeColor="text1"/>
        </w:rPr>
        <w:t>pecial thank</w:t>
      </w:r>
      <w:r w:rsidR="00797508" w:rsidRPr="008511F4">
        <w:rPr>
          <w:color w:val="000000" w:themeColor="text1"/>
        </w:rPr>
        <w:t>s also</w:t>
      </w:r>
      <w:r w:rsidRPr="008511F4">
        <w:rPr>
          <w:color w:val="000000" w:themeColor="text1"/>
        </w:rPr>
        <w:t xml:space="preserve"> go to Dr. Matloub Hussain for his support, encouragement</w:t>
      </w:r>
      <w:r w:rsidR="00054373" w:rsidRPr="008511F4">
        <w:rPr>
          <w:color w:val="000000" w:themeColor="text1"/>
        </w:rPr>
        <w:t>,</w:t>
      </w:r>
      <w:r w:rsidRPr="008511F4">
        <w:rPr>
          <w:color w:val="000000" w:themeColor="text1"/>
        </w:rPr>
        <w:t xml:space="preserve"> and feedback during my journey.</w:t>
      </w:r>
    </w:p>
    <w:p w14:paraId="0EC75C63" w14:textId="10C143F5" w:rsidR="00E24626" w:rsidRPr="008511F4" w:rsidRDefault="00E24626" w:rsidP="0017121F">
      <w:pPr>
        <w:pStyle w:val="AAAAAAA"/>
        <w:rPr>
          <w:color w:val="000000" w:themeColor="text1"/>
        </w:rPr>
      </w:pPr>
      <w:r w:rsidRPr="008511F4">
        <w:rPr>
          <w:color w:val="000000" w:themeColor="text1"/>
        </w:rPr>
        <w:t xml:space="preserve">I would like to thank the policing organization that is under study, which allowed me to perform my study and use its technological capabilities to distribute the questionnaires to all departments. I am </w:t>
      </w:r>
      <w:r w:rsidR="00EC082F" w:rsidRPr="008511F4">
        <w:rPr>
          <w:color w:val="000000" w:themeColor="text1"/>
        </w:rPr>
        <w:t>particularly</w:t>
      </w:r>
      <w:r w:rsidR="00797508" w:rsidRPr="008511F4">
        <w:rPr>
          <w:color w:val="000000" w:themeColor="text1"/>
        </w:rPr>
        <w:t xml:space="preserve"> </w:t>
      </w:r>
      <w:r w:rsidRPr="008511F4">
        <w:rPr>
          <w:color w:val="000000" w:themeColor="text1"/>
        </w:rPr>
        <w:t>grateful to the Commander-in-Chief of Abu Dhabi Police for granting me opportunities and trust</w:t>
      </w:r>
      <w:r w:rsidR="00EC082F" w:rsidRPr="008511F4">
        <w:rPr>
          <w:color w:val="000000" w:themeColor="text1"/>
        </w:rPr>
        <w:t>,</w:t>
      </w:r>
      <w:r w:rsidRPr="008511F4">
        <w:rPr>
          <w:color w:val="000000" w:themeColor="text1"/>
        </w:rPr>
        <w:t xml:space="preserve"> </w:t>
      </w:r>
      <w:r w:rsidR="00EC082F" w:rsidRPr="008511F4">
        <w:rPr>
          <w:color w:val="000000" w:themeColor="text1"/>
        </w:rPr>
        <w:t>and to</w:t>
      </w:r>
      <w:r w:rsidRPr="008511F4">
        <w:rPr>
          <w:color w:val="000000" w:themeColor="text1"/>
        </w:rPr>
        <w:t xml:space="preserve"> the knowledge management center manager, who welcomed my constant demand for </w:t>
      </w:r>
      <w:r w:rsidR="00054373" w:rsidRPr="008511F4">
        <w:rPr>
          <w:color w:val="000000" w:themeColor="text1"/>
        </w:rPr>
        <w:t>i</w:t>
      </w:r>
      <w:r w:rsidRPr="008511F4">
        <w:rPr>
          <w:color w:val="000000" w:themeColor="text1"/>
        </w:rPr>
        <w:t>nquiries. I would also like to thank every employee who filled in my research questionnaire and so contributed to my findings.</w:t>
      </w:r>
    </w:p>
    <w:p w14:paraId="6E1E2CA0" w14:textId="77777777" w:rsidR="00F353CB" w:rsidRDefault="00E773B8" w:rsidP="008511F4">
      <w:pPr>
        <w:pStyle w:val="AAAAAAA"/>
        <w:ind w:firstLine="0"/>
        <w:rPr>
          <w:color w:val="000000" w:themeColor="text1"/>
        </w:rPr>
        <w:sectPr w:rsidR="00F353CB" w:rsidSect="00031AF8">
          <w:type w:val="continuous"/>
          <w:pgSz w:w="12240" w:h="15840"/>
          <w:pgMar w:top="2880" w:right="2160" w:bottom="1800" w:left="2160" w:header="720" w:footer="720" w:gutter="0"/>
          <w:pgNumType w:fmt="lowerRoman"/>
          <w:cols w:space="720"/>
          <w:docGrid w:linePitch="360"/>
        </w:sectPr>
      </w:pPr>
      <w:r w:rsidRPr="008511F4">
        <w:rPr>
          <w:color w:val="000000" w:themeColor="text1"/>
        </w:rPr>
        <w:t xml:space="preserve">A special thank </w:t>
      </w:r>
      <w:r w:rsidR="00797508" w:rsidRPr="008511F4">
        <w:rPr>
          <w:color w:val="000000" w:themeColor="text1"/>
        </w:rPr>
        <w:t xml:space="preserve">you </w:t>
      </w:r>
      <w:r w:rsidRPr="008511F4">
        <w:rPr>
          <w:color w:val="000000" w:themeColor="text1"/>
        </w:rPr>
        <w:t>goes to</w:t>
      </w:r>
      <w:r w:rsidR="00E24626" w:rsidRPr="008511F4">
        <w:rPr>
          <w:color w:val="000000" w:themeColor="text1"/>
        </w:rPr>
        <w:t xml:space="preserve"> my husband, family members</w:t>
      </w:r>
      <w:r w:rsidR="00054373" w:rsidRPr="008511F4">
        <w:rPr>
          <w:color w:val="000000" w:themeColor="text1"/>
        </w:rPr>
        <w:t>,</w:t>
      </w:r>
      <w:r w:rsidR="00E24626" w:rsidRPr="008511F4">
        <w:rPr>
          <w:color w:val="000000" w:themeColor="text1"/>
        </w:rPr>
        <w:t xml:space="preserve"> and friends for the</w:t>
      </w:r>
      <w:r w:rsidR="00797508" w:rsidRPr="008511F4">
        <w:rPr>
          <w:color w:val="000000" w:themeColor="text1"/>
        </w:rPr>
        <w:t>ir</w:t>
      </w:r>
      <w:r w:rsidR="008511F4">
        <w:rPr>
          <w:color w:val="000000" w:themeColor="text1"/>
        </w:rPr>
        <w:t xml:space="preserve"> </w:t>
      </w:r>
      <w:r w:rsidR="00E24626" w:rsidRPr="008511F4">
        <w:rPr>
          <w:color w:val="000000" w:themeColor="text1"/>
        </w:rPr>
        <w:t>positive words and encouragement when I felt tired, and for listening to me talking</w:t>
      </w:r>
      <w:r w:rsidR="00715CBC" w:rsidRPr="008511F4">
        <w:rPr>
          <w:color w:val="000000" w:themeColor="text1"/>
        </w:rPr>
        <w:t xml:space="preserve"> </w:t>
      </w:r>
      <w:r w:rsidR="00E24626" w:rsidRPr="008511F4">
        <w:rPr>
          <w:color w:val="000000" w:themeColor="text1"/>
        </w:rPr>
        <w:t xml:space="preserve">about challenges. For my sister, praying and pushing me forward to accomplish this </w:t>
      </w:r>
    </w:p>
    <w:p w14:paraId="11300BEC" w14:textId="5B8DE885" w:rsidR="00E24626" w:rsidRPr="008511F4" w:rsidRDefault="00E24626" w:rsidP="008511F4">
      <w:pPr>
        <w:pStyle w:val="AAAAAAA"/>
        <w:ind w:firstLine="0"/>
        <w:rPr>
          <w:color w:val="000000" w:themeColor="text1"/>
        </w:rPr>
      </w:pPr>
      <w:r w:rsidRPr="008511F4">
        <w:rPr>
          <w:color w:val="000000" w:themeColor="text1"/>
        </w:rPr>
        <w:lastRenderedPageBreak/>
        <w:t xml:space="preserve">dissertation. For all the time I spent away from my family and children in order to complete my task, they shared my happiness on the day I completed my dissertation. </w:t>
      </w:r>
    </w:p>
    <w:p w14:paraId="7B461AEC" w14:textId="77777777" w:rsidR="00E24626" w:rsidRPr="008511F4" w:rsidRDefault="00E24626" w:rsidP="0017121F">
      <w:pPr>
        <w:pStyle w:val="AAAAAAA"/>
        <w:rPr>
          <w:color w:val="000000" w:themeColor="text1"/>
        </w:rPr>
      </w:pPr>
      <w:r w:rsidRPr="008511F4">
        <w:rPr>
          <w:color w:val="000000" w:themeColor="text1"/>
        </w:rPr>
        <w:t>I thank Melissa Leffler, MBA, freelance language editor, for proofreading a draft of this manuscript.</w:t>
      </w:r>
    </w:p>
    <w:p w14:paraId="4B83C6CC" w14:textId="51E864DF" w:rsidR="00E24626" w:rsidRPr="008511F4" w:rsidRDefault="00E24626" w:rsidP="0017121F">
      <w:pPr>
        <w:pStyle w:val="AAAAAAA"/>
        <w:rPr>
          <w:color w:val="000000" w:themeColor="text1"/>
        </w:rPr>
      </w:pPr>
      <w:r w:rsidRPr="008511F4">
        <w:rPr>
          <w:color w:val="000000" w:themeColor="text1"/>
        </w:rPr>
        <w:t>Finally, I would like to thank Dr</w:t>
      </w:r>
      <w:r w:rsidR="007511BF" w:rsidRPr="008511F4">
        <w:rPr>
          <w:color w:val="000000" w:themeColor="text1"/>
        </w:rPr>
        <w:t>.</w:t>
      </w:r>
      <w:r w:rsidRPr="008511F4">
        <w:rPr>
          <w:color w:val="000000" w:themeColor="text1"/>
        </w:rPr>
        <w:t xml:space="preserve"> Syed Zam</w:t>
      </w:r>
      <w:r w:rsidR="007511BF" w:rsidRPr="008511F4">
        <w:rPr>
          <w:color w:val="000000" w:themeColor="text1"/>
        </w:rPr>
        <w:t>b</w:t>
      </w:r>
      <w:r w:rsidRPr="008511F4">
        <w:rPr>
          <w:color w:val="000000" w:themeColor="text1"/>
        </w:rPr>
        <w:t xml:space="preserve">eri Ahmad., Dean of the College of </w:t>
      </w:r>
      <w:r w:rsidR="004D08C5" w:rsidRPr="008511F4">
        <w:rPr>
          <w:color w:val="000000" w:themeColor="text1"/>
        </w:rPr>
        <w:t>Business,</w:t>
      </w:r>
      <w:r w:rsidRPr="008511F4">
        <w:rPr>
          <w:color w:val="000000" w:themeColor="text1"/>
        </w:rPr>
        <w:t xml:space="preserve"> Abu Dhabi University, Abu Dhabi, UAE for giving me </w:t>
      </w:r>
      <w:r w:rsidR="00797508" w:rsidRPr="008511F4">
        <w:rPr>
          <w:color w:val="000000" w:themeColor="text1"/>
        </w:rPr>
        <w:t xml:space="preserve">the </w:t>
      </w:r>
      <w:r w:rsidRPr="008511F4">
        <w:rPr>
          <w:color w:val="000000" w:themeColor="text1"/>
        </w:rPr>
        <w:t xml:space="preserve">opportunity to complete my dissertation within the DBA Program, and for providing me with all the resources and support needed to learn the new skills that resulted in achieving my goal in providing a </w:t>
      </w:r>
      <w:r w:rsidR="00FF283F" w:rsidRPr="008511F4">
        <w:rPr>
          <w:color w:val="000000" w:themeColor="text1"/>
        </w:rPr>
        <w:t xml:space="preserve">significant </w:t>
      </w:r>
      <w:r w:rsidRPr="008511F4">
        <w:rPr>
          <w:color w:val="000000" w:themeColor="text1"/>
        </w:rPr>
        <w:t>contribution to the</w:t>
      </w:r>
      <w:r w:rsidR="005F758B" w:rsidRPr="008511F4">
        <w:rPr>
          <w:color w:val="000000" w:themeColor="text1"/>
        </w:rPr>
        <w:t xml:space="preserve"> research </w:t>
      </w:r>
      <w:r w:rsidRPr="008511F4">
        <w:rPr>
          <w:color w:val="000000" w:themeColor="text1"/>
        </w:rPr>
        <w:t>field of knowledge management.</w:t>
      </w:r>
      <w:r w:rsidR="00FF283F" w:rsidRPr="008511F4">
        <w:rPr>
          <w:color w:val="000000" w:themeColor="text1"/>
        </w:rPr>
        <w:t xml:space="preserve"> </w:t>
      </w:r>
    </w:p>
    <w:p w14:paraId="5384FB5F" w14:textId="77777777" w:rsidR="00FF283F" w:rsidRPr="008511F4" w:rsidRDefault="00FF283F" w:rsidP="0017121F">
      <w:pPr>
        <w:pStyle w:val="AAAAAAA"/>
        <w:rPr>
          <w:color w:val="000000" w:themeColor="text1"/>
        </w:rPr>
      </w:pPr>
    </w:p>
    <w:p w14:paraId="636CC72F" w14:textId="0C9A039C" w:rsidR="008377FA" w:rsidRPr="002A7627" w:rsidRDefault="00E24626" w:rsidP="00433598">
      <w:pPr>
        <w:pStyle w:val="Title"/>
        <w:rPr>
          <w:color w:val="000000"/>
        </w:rPr>
      </w:pPr>
      <w:r w:rsidRPr="002A7627">
        <w:rPr>
          <w:color w:val="000000"/>
        </w:rPr>
        <w:br w:type="page"/>
      </w:r>
    </w:p>
    <w:p w14:paraId="7CF85C28" w14:textId="25F129FF" w:rsidR="002A34F2" w:rsidRPr="0001615D" w:rsidRDefault="00DB56FA" w:rsidP="005A463E">
      <w:pPr>
        <w:pStyle w:val="Title"/>
      </w:pPr>
      <w:bookmarkStart w:id="10" w:name="_Toc22331629"/>
      <w:r>
        <w:lastRenderedPageBreak/>
        <w:t>PUBLICATIONS ARISING FROM THE DISSERTATION</w:t>
      </w:r>
      <w:bookmarkEnd w:id="10"/>
    </w:p>
    <w:p w14:paraId="5EF46244" w14:textId="77777777" w:rsidR="002A34F2" w:rsidRPr="0001615D" w:rsidRDefault="002A34F2" w:rsidP="002A34F2">
      <w:pPr>
        <w:spacing w:line="480" w:lineRule="auto"/>
        <w:rPr>
          <w:rFonts w:cs="Times New Roman"/>
          <w:szCs w:val="24"/>
        </w:rPr>
      </w:pPr>
    </w:p>
    <w:p w14:paraId="606AAEBB" w14:textId="77777777" w:rsidR="002A34F2" w:rsidRPr="0001615D" w:rsidRDefault="002A34F2" w:rsidP="002A34F2">
      <w:pPr>
        <w:spacing w:line="480" w:lineRule="auto"/>
        <w:rPr>
          <w:rFonts w:cs="Times New Roman"/>
          <w:szCs w:val="24"/>
        </w:rPr>
      </w:pPr>
      <w:r w:rsidRPr="0001615D">
        <w:rPr>
          <w:rFonts w:cs="Times New Roman"/>
          <w:szCs w:val="24"/>
        </w:rPr>
        <w:t xml:space="preserve">At the time of the dissertation submission, the following articles have been published: </w:t>
      </w:r>
    </w:p>
    <w:p w14:paraId="77BE2894" w14:textId="77777777" w:rsidR="002A34F2" w:rsidRPr="0001615D" w:rsidRDefault="002A34F2" w:rsidP="002A34F2">
      <w:pPr>
        <w:spacing w:line="480" w:lineRule="auto"/>
        <w:rPr>
          <w:rFonts w:cs="Times New Roman"/>
          <w:b/>
          <w:bCs/>
          <w:i/>
          <w:iCs/>
          <w:szCs w:val="24"/>
        </w:rPr>
      </w:pPr>
    </w:p>
    <w:p w14:paraId="29E6C3D2" w14:textId="670C5D75" w:rsidR="00B21F58" w:rsidRPr="005A463E" w:rsidRDefault="002A34F2" w:rsidP="005A463E">
      <w:pPr>
        <w:spacing w:line="480" w:lineRule="auto"/>
        <w:rPr>
          <w:rFonts w:cs="Times New Roman"/>
          <w:szCs w:val="24"/>
        </w:rPr>
      </w:pPr>
      <w:r w:rsidRPr="0001615D">
        <w:rPr>
          <w:rFonts w:cs="Times New Roman"/>
          <w:b/>
          <w:bCs/>
          <w:i/>
          <w:iCs/>
          <w:szCs w:val="24"/>
        </w:rPr>
        <w:t xml:space="preserve">Journal articles </w:t>
      </w:r>
    </w:p>
    <w:p w14:paraId="1B8C0E46" w14:textId="77777777" w:rsidR="005A463E" w:rsidRPr="002A7627" w:rsidRDefault="005A463E" w:rsidP="005A463E">
      <w:pPr>
        <w:spacing w:line="480" w:lineRule="auto"/>
        <w:ind w:left="480" w:hanging="480"/>
        <w:jc w:val="both"/>
        <w:rPr>
          <w:rFonts w:cs="Times New Roman"/>
          <w:noProof/>
          <w:szCs w:val="24"/>
        </w:rPr>
      </w:pPr>
      <w:r w:rsidRPr="002A7627">
        <w:rPr>
          <w:rFonts w:cs="Times New Roman"/>
          <w:noProof/>
          <w:szCs w:val="24"/>
        </w:rPr>
        <w:t xml:space="preserve">Al Dari, T., Jabeen, F., &amp; Papastathopoulos, A. (2018). Examining the role of leadership inspiration, rewards and its relationship with contribution to knowledge sharing. </w:t>
      </w:r>
      <w:r w:rsidRPr="002A7627">
        <w:rPr>
          <w:rFonts w:cs="Times New Roman"/>
          <w:i/>
          <w:iCs/>
          <w:noProof/>
          <w:szCs w:val="24"/>
        </w:rPr>
        <w:t>Journal of Workplace Learning</w:t>
      </w:r>
      <w:r w:rsidRPr="002A7627">
        <w:rPr>
          <w:rFonts w:cs="Times New Roman"/>
          <w:noProof/>
          <w:szCs w:val="24"/>
        </w:rPr>
        <w:t xml:space="preserve">, </w:t>
      </w:r>
      <w:r w:rsidRPr="002A7627">
        <w:rPr>
          <w:rFonts w:cs="Times New Roman"/>
          <w:i/>
          <w:iCs/>
          <w:noProof/>
          <w:szCs w:val="24"/>
        </w:rPr>
        <w:t>30</w:t>
      </w:r>
      <w:r w:rsidRPr="002A7627">
        <w:rPr>
          <w:rFonts w:cs="Times New Roman"/>
          <w:noProof/>
          <w:szCs w:val="24"/>
        </w:rPr>
        <w:t>(6), 488–512. https://doi.org/10.1108/JWL-11-2017-0105</w:t>
      </w:r>
    </w:p>
    <w:p w14:paraId="4F77E8EB" w14:textId="77777777" w:rsidR="002A34F2" w:rsidRDefault="002A34F2" w:rsidP="002A34F2">
      <w:pPr>
        <w:rPr>
          <w:lang w:bidi="en-US"/>
        </w:rPr>
      </w:pPr>
    </w:p>
    <w:p w14:paraId="22A930D7" w14:textId="77777777" w:rsidR="002A34F2" w:rsidRDefault="002A34F2" w:rsidP="002A34F2">
      <w:pPr>
        <w:rPr>
          <w:lang w:bidi="en-US"/>
        </w:rPr>
      </w:pPr>
    </w:p>
    <w:p w14:paraId="194EBEBF" w14:textId="77777777" w:rsidR="002A34F2" w:rsidRDefault="002A34F2" w:rsidP="002A34F2">
      <w:pPr>
        <w:rPr>
          <w:lang w:bidi="en-US"/>
        </w:rPr>
      </w:pPr>
    </w:p>
    <w:p w14:paraId="62776F07" w14:textId="77777777" w:rsidR="002A34F2" w:rsidRDefault="002A34F2" w:rsidP="002A34F2">
      <w:pPr>
        <w:rPr>
          <w:lang w:bidi="en-US"/>
        </w:rPr>
      </w:pPr>
    </w:p>
    <w:p w14:paraId="4F0A9EFF" w14:textId="77777777" w:rsidR="002A34F2" w:rsidRDefault="002A34F2" w:rsidP="002A34F2">
      <w:pPr>
        <w:rPr>
          <w:lang w:bidi="en-US"/>
        </w:rPr>
      </w:pPr>
    </w:p>
    <w:p w14:paraId="57084F03" w14:textId="77777777" w:rsidR="002A34F2" w:rsidRDefault="002A34F2" w:rsidP="002A34F2">
      <w:pPr>
        <w:rPr>
          <w:lang w:bidi="en-US"/>
        </w:rPr>
      </w:pPr>
    </w:p>
    <w:p w14:paraId="51C717E4" w14:textId="77777777" w:rsidR="002A34F2" w:rsidRDefault="002A34F2" w:rsidP="002A34F2">
      <w:pPr>
        <w:rPr>
          <w:lang w:bidi="en-US"/>
        </w:rPr>
      </w:pPr>
    </w:p>
    <w:p w14:paraId="4FFC7658" w14:textId="77777777" w:rsidR="002A34F2" w:rsidRDefault="002A34F2" w:rsidP="002A34F2">
      <w:pPr>
        <w:rPr>
          <w:lang w:bidi="en-US"/>
        </w:rPr>
      </w:pPr>
    </w:p>
    <w:p w14:paraId="0CE5EF83" w14:textId="77777777" w:rsidR="002A34F2" w:rsidRDefault="002A34F2" w:rsidP="002A34F2">
      <w:pPr>
        <w:rPr>
          <w:lang w:bidi="en-US"/>
        </w:rPr>
      </w:pPr>
    </w:p>
    <w:p w14:paraId="73E0F76F" w14:textId="77777777" w:rsidR="002A34F2" w:rsidRDefault="002A34F2" w:rsidP="002A34F2">
      <w:pPr>
        <w:rPr>
          <w:lang w:bidi="en-US"/>
        </w:rPr>
      </w:pPr>
    </w:p>
    <w:p w14:paraId="33A3702C" w14:textId="77777777" w:rsidR="002A34F2" w:rsidRDefault="002A34F2" w:rsidP="002A34F2">
      <w:pPr>
        <w:rPr>
          <w:lang w:bidi="en-US"/>
        </w:rPr>
      </w:pPr>
    </w:p>
    <w:p w14:paraId="198107C4" w14:textId="77777777" w:rsidR="002A34F2" w:rsidRDefault="002A34F2" w:rsidP="002A34F2">
      <w:pPr>
        <w:rPr>
          <w:lang w:bidi="en-US"/>
        </w:rPr>
      </w:pPr>
    </w:p>
    <w:p w14:paraId="3BB43571" w14:textId="77777777" w:rsidR="002A34F2" w:rsidRDefault="002A34F2" w:rsidP="002A34F2">
      <w:pPr>
        <w:rPr>
          <w:lang w:bidi="en-US"/>
        </w:rPr>
      </w:pPr>
    </w:p>
    <w:p w14:paraId="55807652" w14:textId="77777777" w:rsidR="002A34F2" w:rsidRDefault="002A34F2" w:rsidP="002A34F2">
      <w:pPr>
        <w:rPr>
          <w:lang w:bidi="en-US"/>
        </w:rPr>
      </w:pPr>
    </w:p>
    <w:p w14:paraId="33141C69" w14:textId="16A2EF10" w:rsidR="002A34F2" w:rsidRDefault="002A34F2" w:rsidP="002A34F2">
      <w:pPr>
        <w:rPr>
          <w:lang w:bidi="en-US"/>
        </w:rPr>
      </w:pPr>
    </w:p>
    <w:p w14:paraId="03B9F2E3" w14:textId="04A23AE5" w:rsidR="00F353CB" w:rsidRDefault="00F353CB" w:rsidP="002A34F2">
      <w:pPr>
        <w:rPr>
          <w:lang w:bidi="en-US"/>
        </w:rPr>
      </w:pPr>
    </w:p>
    <w:p w14:paraId="5EBA0595" w14:textId="21750D48" w:rsidR="00F353CB" w:rsidRDefault="00F353CB" w:rsidP="002A34F2">
      <w:pPr>
        <w:rPr>
          <w:lang w:bidi="en-US"/>
        </w:rPr>
      </w:pPr>
    </w:p>
    <w:p w14:paraId="228B4911" w14:textId="547ED6B5" w:rsidR="00F353CB" w:rsidRDefault="00F353CB" w:rsidP="002A34F2">
      <w:pPr>
        <w:rPr>
          <w:lang w:bidi="en-US"/>
        </w:rPr>
      </w:pPr>
    </w:p>
    <w:p w14:paraId="20FFCD2D" w14:textId="106EEEA6" w:rsidR="00F353CB" w:rsidRDefault="00F353CB" w:rsidP="002A34F2">
      <w:pPr>
        <w:rPr>
          <w:lang w:bidi="en-US"/>
        </w:rPr>
      </w:pPr>
    </w:p>
    <w:p w14:paraId="06C77926" w14:textId="77777777" w:rsidR="002A34F2" w:rsidRDefault="002A34F2" w:rsidP="002A34F2">
      <w:pPr>
        <w:rPr>
          <w:lang w:bidi="en-US"/>
        </w:rPr>
      </w:pPr>
    </w:p>
    <w:p w14:paraId="0B91987E" w14:textId="77777777" w:rsidR="002A34F2" w:rsidRDefault="002A34F2" w:rsidP="002A34F2">
      <w:pPr>
        <w:rPr>
          <w:lang w:bidi="en-US"/>
        </w:rPr>
      </w:pPr>
    </w:p>
    <w:p w14:paraId="0193EE9E" w14:textId="2335D1A2" w:rsidR="005A463E" w:rsidRDefault="005A463E" w:rsidP="002A34F2">
      <w:pPr>
        <w:rPr>
          <w:lang w:bidi="en-US"/>
        </w:rPr>
      </w:pPr>
    </w:p>
    <w:p w14:paraId="59B3E764" w14:textId="77777777" w:rsidR="002A34F2" w:rsidRDefault="002A34F2" w:rsidP="002A34F2">
      <w:pPr>
        <w:rPr>
          <w:lang w:bidi="en-US"/>
        </w:rPr>
      </w:pPr>
    </w:p>
    <w:p w14:paraId="2EE4BE9D" w14:textId="77777777" w:rsidR="002A34F2" w:rsidRDefault="002A34F2" w:rsidP="002A34F2">
      <w:pPr>
        <w:rPr>
          <w:lang w:bidi="en-US"/>
        </w:rPr>
      </w:pPr>
    </w:p>
    <w:p w14:paraId="04255CF2" w14:textId="18715738" w:rsidR="002A34F2" w:rsidRPr="002A34F2" w:rsidRDefault="002A34F2" w:rsidP="002A34F2">
      <w:pPr>
        <w:rPr>
          <w:lang w:bidi="en-US"/>
        </w:rPr>
        <w:sectPr w:rsidR="002A34F2" w:rsidRPr="002A34F2" w:rsidSect="00F353CB">
          <w:pgSz w:w="12240" w:h="15840"/>
          <w:pgMar w:top="1800" w:right="2160" w:bottom="1800" w:left="2160" w:header="720" w:footer="720" w:gutter="0"/>
          <w:pgNumType w:fmt="lowerRoman"/>
          <w:cols w:space="720"/>
          <w:docGrid w:linePitch="360"/>
        </w:sectPr>
      </w:pPr>
    </w:p>
    <w:p w14:paraId="06CF862F" w14:textId="2CF9C572" w:rsidR="0049269F" w:rsidRPr="002A7627" w:rsidRDefault="002F20D4" w:rsidP="0049269F">
      <w:pPr>
        <w:pStyle w:val="Title"/>
        <w:rPr>
          <w:color w:val="000000"/>
        </w:rPr>
      </w:pPr>
      <w:bookmarkStart w:id="11" w:name="_Toc22331630"/>
      <w:r>
        <w:rPr>
          <w:color w:val="000000"/>
        </w:rPr>
        <w:lastRenderedPageBreak/>
        <w:t>TABLE OF CONTENTS</w:t>
      </w:r>
      <w:bookmarkEnd w:id="11"/>
    </w:p>
    <w:p w14:paraId="2BA1F408" w14:textId="201412F2" w:rsidR="00547FDF" w:rsidRDefault="0049269F" w:rsidP="00547FDF">
      <w:pPr>
        <w:pStyle w:val="TOC1"/>
        <w:spacing w:line="480" w:lineRule="auto"/>
        <w:rPr>
          <w:rFonts w:eastAsiaTheme="minorEastAsia"/>
          <w:b w:val="0"/>
          <w:noProof/>
          <w:sz w:val="22"/>
          <w:szCs w:val="22"/>
          <w:lang w:val="en-GB" w:eastAsia="en-GB"/>
        </w:rPr>
      </w:pPr>
      <w:r w:rsidRPr="001712CE">
        <w:rPr>
          <w:rFonts w:asciiTheme="majorBidi" w:hAnsiTheme="majorBidi" w:cstheme="majorBidi"/>
          <w:color w:val="000000"/>
        </w:rPr>
        <w:fldChar w:fldCharType="begin"/>
      </w:r>
      <w:r w:rsidRPr="001712CE">
        <w:rPr>
          <w:rFonts w:asciiTheme="majorBidi" w:hAnsiTheme="majorBidi" w:cstheme="majorBidi"/>
          <w:color w:val="000000"/>
        </w:rPr>
        <w:instrText xml:space="preserve"> TOC \o "5-5" \h \z \t "Heading 1,2,Heading 2,3,Heading 3,4,Heading 4,5,Title,1" </w:instrText>
      </w:r>
      <w:r w:rsidRPr="001712CE">
        <w:rPr>
          <w:rFonts w:asciiTheme="majorBidi" w:hAnsiTheme="majorBidi" w:cstheme="majorBidi"/>
          <w:color w:val="000000"/>
        </w:rPr>
        <w:fldChar w:fldCharType="separate"/>
      </w:r>
      <w:hyperlink w:anchor="_Toc22331624" w:history="1">
        <w:r w:rsidR="00547FDF" w:rsidRPr="0092620E">
          <w:rPr>
            <w:rStyle w:val="Hyperlink"/>
            <w:noProof/>
            <w:lang w:bidi="en-US"/>
          </w:rPr>
          <w:t>COPYRIGHT INFORMATION</w:t>
        </w:r>
        <w:r w:rsidR="00547FDF">
          <w:rPr>
            <w:noProof/>
            <w:webHidden/>
          </w:rPr>
          <w:tab/>
        </w:r>
        <w:r w:rsidR="00547FDF">
          <w:rPr>
            <w:noProof/>
            <w:webHidden/>
          </w:rPr>
          <w:fldChar w:fldCharType="begin"/>
        </w:r>
        <w:r w:rsidR="00547FDF">
          <w:rPr>
            <w:noProof/>
            <w:webHidden/>
          </w:rPr>
          <w:instrText xml:space="preserve"> PAGEREF _Toc22331624 \h </w:instrText>
        </w:r>
        <w:r w:rsidR="00547FDF">
          <w:rPr>
            <w:noProof/>
            <w:webHidden/>
          </w:rPr>
        </w:r>
        <w:r w:rsidR="00547FDF">
          <w:rPr>
            <w:noProof/>
            <w:webHidden/>
          </w:rPr>
          <w:fldChar w:fldCharType="separate"/>
        </w:r>
        <w:r w:rsidR="0056454A">
          <w:rPr>
            <w:noProof/>
            <w:webHidden/>
          </w:rPr>
          <w:t>ii</w:t>
        </w:r>
        <w:r w:rsidR="00547FDF">
          <w:rPr>
            <w:noProof/>
            <w:webHidden/>
          </w:rPr>
          <w:fldChar w:fldCharType="end"/>
        </w:r>
      </w:hyperlink>
    </w:p>
    <w:p w14:paraId="7F1BA1C2" w14:textId="737498DF" w:rsidR="00547FDF" w:rsidRDefault="00B76C18">
      <w:pPr>
        <w:pStyle w:val="TOC1"/>
        <w:rPr>
          <w:rFonts w:eastAsiaTheme="minorEastAsia"/>
          <w:b w:val="0"/>
          <w:noProof/>
          <w:sz w:val="22"/>
          <w:szCs w:val="22"/>
          <w:lang w:val="en-GB" w:eastAsia="en-GB"/>
        </w:rPr>
      </w:pPr>
      <w:hyperlink w:anchor="_Toc22331625" w:history="1">
        <w:r w:rsidR="00547FDF" w:rsidRPr="0092620E">
          <w:rPr>
            <w:rStyle w:val="Hyperlink"/>
            <w:noProof/>
            <w:lang w:bidi="en-US"/>
          </w:rPr>
          <w:t>ABSTRACT</w:t>
        </w:r>
        <w:r w:rsidR="00547FDF">
          <w:rPr>
            <w:noProof/>
            <w:webHidden/>
          </w:rPr>
          <w:tab/>
        </w:r>
        <w:r w:rsidR="00547FDF">
          <w:rPr>
            <w:noProof/>
            <w:webHidden/>
          </w:rPr>
          <w:fldChar w:fldCharType="begin"/>
        </w:r>
        <w:r w:rsidR="00547FDF">
          <w:rPr>
            <w:noProof/>
            <w:webHidden/>
          </w:rPr>
          <w:instrText xml:space="preserve"> PAGEREF _Toc22331625 \h </w:instrText>
        </w:r>
        <w:r w:rsidR="00547FDF">
          <w:rPr>
            <w:noProof/>
            <w:webHidden/>
          </w:rPr>
        </w:r>
        <w:r w:rsidR="00547FDF">
          <w:rPr>
            <w:noProof/>
            <w:webHidden/>
          </w:rPr>
          <w:fldChar w:fldCharType="separate"/>
        </w:r>
        <w:r w:rsidR="0056454A">
          <w:rPr>
            <w:noProof/>
            <w:webHidden/>
          </w:rPr>
          <w:t>iv</w:t>
        </w:r>
        <w:r w:rsidR="00547FDF">
          <w:rPr>
            <w:noProof/>
            <w:webHidden/>
          </w:rPr>
          <w:fldChar w:fldCharType="end"/>
        </w:r>
      </w:hyperlink>
    </w:p>
    <w:p w14:paraId="62197AEC" w14:textId="62EDF316" w:rsidR="00547FDF" w:rsidRDefault="00B76C18">
      <w:pPr>
        <w:pStyle w:val="TOC1"/>
        <w:rPr>
          <w:rFonts w:eastAsiaTheme="minorEastAsia"/>
          <w:b w:val="0"/>
          <w:noProof/>
          <w:sz w:val="22"/>
          <w:szCs w:val="22"/>
          <w:lang w:val="en-GB" w:eastAsia="en-GB"/>
        </w:rPr>
      </w:pPr>
      <w:hyperlink w:anchor="_Toc22331626" w:history="1">
        <w:r w:rsidR="00547FDF" w:rsidRPr="0092620E">
          <w:rPr>
            <w:rStyle w:val="Hyperlink"/>
            <w:noProof/>
            <w:lang w:bidi="en-US"/>
          </w:rPr>
          <w:t>DECLARATION</w:t>
        </w:r>
        <w:r w:rsidR="00547FDF">
          <w:rPr>
            <w:noProof/>
            <w:webHidden/>
          </w:rPr>
          <w:tab/>
        </w:r>
        <w:r w:rsidR="00547FDF">
          <w:rPr>
            <w:noProof/>
            <w:webHidden/>
          </w:rPr>
          <w:fldChar w:fldCharType="begin"/>
        </w:r>
        <w:r w:rsidR="00547FDF">
          <w:rPr>
            <w:noProof/>
            <w:webHidden/>
          </w:rPr>
          <w:instrText xml:space="preserve"> PAGEREF _Toc22331626 \h </w:instrText>
        </w:r>
        <w:r w:rsidR="00547FDF">
          <w:rPr>
            <w:noProof/>
            <w:webHidden/>
          </w:rPr>
        </w:r>
        <w:r w:rsidR="00547FDF">
          <w:rPr>
            <w:noProof/>
            <w:webHidden/>
          </w:rPr>
          <w:fldChar w:fldCharType="separate"/>
        </w:r>
        <w:r w:rsidR="0056454A">
          <w:rPr>
            <w:noProof/>
            <w:webHidden/>
          </w:rPr>
          <w:t>iv</w:t>
        </w:r>
        <w:r w:rsidR="00547FDF">
          <w:rPr>
            <w:noProof/>
            <w:webHidden/>
          </w:rPr>
          <w:fldChar w:fldCharType="end"/>
        </w:r>
      </w:hyperlink>
    </w:p>
    <w:p w14:paraId="068D9BDC" w14:textId="1B0F4A5F" w:rsidR="00547FDF" w:rsidRDefault="00B76C18">
      <w:pPr>
        <w:pStyle w:val="TOC1"/>
        <w:rPr>
          <w:rFonts w:eastAsiaTheme="minorEastAsia"/>
          <w:b w:val="0"/>
          <w:noProof/>
          <w:sz w:val="22"/>
          <w:szCs w:val="22"/>
          <w:lang w:val="en-GB" w:eastAsia="en-GB"/>
        </w:rPr>
      </w:pPr>
      <w:hyperlink w:anchor="_Toc22331627" w:history="1">
        <w:r w:rsidR="00547FDF" w:rsidRPr="0092620E">
          <w:rPr>
            <w:rStyle w:val="Hyperlink"/>
            <w:noProof/>
            <w:lang w:bidi="en-US"/>
          </w:rPr>
          <w:t>ABBREVIATIONS</w:t>
        </w:r>
        <w:r w:rsidR="00547FDF">
          <w:rPr>
            <w:noProof/>
            <w:webHidden/>
          </w:rPr>
          <w:tab/>
        </w:r>
        <w:r w:rsidR="00547FDF">
          <w:rPr>
            <w:noProof/>
            <w:webHidden/>
          </w:rPr>
          <w:fldChar w:fldCharType="begin"/>
        </w:r>
        <w:r w:rsidR="00547FDF">
          <w:rPr>
            <w:noProof/>
            <w:webHidden/>
          </w:rPr>
          <w:instrText xml:space="preserve"> PAGEREF _Toc22331627 \h </w:instrText>
        </w:r>
        <w:r w:rsidR="00547FDF">
          <w:rPr>
            <w:noProof/>
            <w:webHidden/>
          </w:rPr>
        </w:r>
        <w:r w:rsidR="00547FDF">
          <w:rPr>
            <w:noProof/>
            <w:webHidden/>
          </w:rPr>
          <w:fldChar w:fldCharType="separate"/>
        </w:r>
        <w:r w:rsidR="0056454A">
          <w:rPr>
            <w:noProof/>
            <w:webHidden/>
          </w:rPr>
          <w:t>v</w:t>
        </w:r>
        <w:r w:rsidR="00547FDF">
          <w:rPr>
            <w:noProof/>
            <w:webHidden/>
          </w:rPr>
          <w:fldChar w:fldCharType="end"/>
        </w:r>
      </w:hyperlink>
    </w:p>
    <w:p w14:paraId="01A0FE86" w14:textId="11E6E8A1" w:rsidR="00547FDF" w:rsidRDefault="00B76C18">
      <w:pPr>
        <w:pStyle w:val="TOC1"/>
        <w:rPr>
          <w:rFonts w:eastAsiaTheme="minorEastAsia"/>
          <w:b w:val="0"/>
          <w:noProof/>
          <w:sz w:val="22"/>
          <w:szCs w:val="22"/>
          <w:lang w:val="en-GB" w:eastAsia="en-GB"/>
        </w:rPr>
      </w:pPr>
      <w:hyperlink w:anchor="_Toc22331628" w:history="1">
        <w:r w:rsidR="00547FDF" w:rsidRPr="0092620E">
          <w:rPr>
            <w:rStyle w:val="Hyperlink"/>
            <w:noProof/>
            <w:lang w:bidi="en-US"/>
          </w:rPr>
          <w:t>ACKNOWLEDGMENTS</w:t>
        </w:r>
        <w:r w:rsidR="00547FDF">
          <w:rPr>
            <w:noProof/>
            <w:webHidden/>
          </w:rPr>
          <w:tab/>
        </w:r>
        <w:r w:rsidR="00547FDF">
          <w:rPr>
            <w:noProof/>
            <w:webHidden/>
          </w:rPr>
          <w:fldChar w:fldCharType="begin"/>
        </w:r>
        <w:r w:rsidR="00547FDF">
          <w:rPr>
            <w:noProof/>
            <w:webHidden/>
          </w:rPr>
          <w:instrText xml:space="preserve"> PAGEREF _Toc22331628 \h </w:instrText>
        </w:r>
        <w:r w:rsidR="00547FDF">
          <w:rPr>
            <w:noProof/>
            <w:webHidden/>
          </w:rPr>
        </w:r>
        <w:r w:rsidR="00547FDF">
          <w:rPr>
            <w:noProof/>
            <w:webHidden/>
          </w:rPr>
          <w:fldChar w:fldCharType="separate"/>
        </w:r>
        <w:r w:rsidR="0056454A">
          <w:rPr>
            <w:noProof/>
            <w:webHidden/>
          </w:rPr>
          <w:t>vii</w:t>
        </w:r>
        <w:r w:rsidR="00547FDF">
          <w:rPr>
            <w:noProof/>
            <w:webHidden/>
          </w:rPr>
          <w:fldChar w:fldCharType="end"/>
        </w:r>
      </w:hyperlink>
    </w:p>
    <w:p w14:paraId="1851059E" w14:textId="6083E73C" w:rsidR="00547FDF" w:rsidRDefault="00B76C18">
      <w:pPr>
        <w:pStyle w:val="TOC1"/>
        <w:rPr>
          <w:rFonts w:eastAsiaTheme="minorEastAsia"/>
          <w:b w:val="0"/>
          <w:noProof/>
          <w:sz w:val="22"/>
          <w:szCs w:val="22"/>
          <w:lang w:val="en-GB" w:eastAsia="en-GB"/>
        </w:rPr>
      </w:pPr>
      <w:hyperlink w:anchor="_Toc22331629" w:history="1">
        <w:r w:rsidR="00547FDF" w:rsidRPr="0092620E">
          <w:rPr>
            <w:rStyle w:val="Hyperlink"/>
            <w:noProof/>
            <w:lang w:bidi="en-US"/>
          </w:rPr>
          <w:t>PUBLICATIONS ARISING FROM THE DISSERTATION</w:t>
        </w:r>
        <w:r w:rsidR="00547FDF">
          <w:rPr>
            <w:noProof/>
            <w:webHidden/>
          </w:rPr>
          <w:tab/>
        </w:r>
        <w:r w:rsidR="00547FDF">
          <w:rPr>
            <w:noProof/>
            <w:webHidden/>
          </w:rPr>
          <w:fldChar w:fldCharType="begin"/>
        </w:r>
        <w:r w:rsidR="00547FDF">
          <w:rPr>
            <w:noProof/>
            <w:webHidden/>
          </w:rPr>
          <w:instrText xml:space="preserve"> PAGEREF _Toc22331629 \h </w:instrText>
        </w:r>
        <w:r w:rsidR="00547FDF">
          <w:rPr>
            <w:noProof/>
            <w:webHidden/>
          </w:rPr>
        </w:r>
        <w:r w:rsidR="00547FDF">
          <w:rPr>
            <w:noProof/>
            <w:webHidden/>
          </w:rPr>
          <w:fldChar w:fldCharType="separate"/>
        </w:r>
        <w:r w:rsidR="0056454A">
          <w:rPr>
            <w:noProof/>
            <w:webHidden/>
          </w:rPr>
          <w:t>ix</w:t>
        </w:r>
        <w:r w:rsidR="00547FDF">
          <w:rPr>
            <w:noProof/>
            <w:webHidden/>
          </w:rPr>
          <w:fldChar w:fldCharType="end"/>
        </w:r>
      </w:hyperlink>
    </w:p>
    <w:p w14:paraId="775134F2" w14:textId="568D04ED" w:rsidR="00547FDF" w:rsidRDefault="00B76C18">
      <w:pPr>
        <w:pStyle w:val="TOC1"/>
        <w:rPr>
          <w:rFonts w:eastAsiaTheme="minorEastAsia"/>
          <w:b w:val="0"/>
          <w:noProof/>
          <w:sz w:val="22"/>
          <w:szCs w:val="22"/>
          <w:lang w:val="en-GB" w:eastAsia="en-GB"/>
        </w:rPr>
      </w:pPr>
      <w:hyperlink w:anchor="_Toc22331630" w:history="1">
        <w:r w:rsidR="00547FDF" w:rsidRPr="0092620E">
          <w:rPr>
            <w:rStyle w:val="Hyperlink"/>
            <w:noProof/>
            <w:lang w:bidi="en-US"/>
          </w:rPr>
          <w:t>TABLE OF CONTENTS</w:t>
        </w:r>
        <w:r w:rsidR="00547FDF">
          <w:rPr>
            <w:noProof/>
            <w:webHidden/>
          </w:rPr>
          <w:tab/>
        </w:r>
        <w:r w:rsidR="00547FDF">
          <w:rPr>
            <w:noProof/>
            <w:webHidden/>
          </w:rPr>
          <w:fldChar w:fldCharType="begin"/>
        </w:r>
        <w:r w:rsidR="00547FDF">
          <w:rPr>
            <w:noProof/>
            <w:webHidden/>
          </w:rPr>
          <w:instrText xml:space="preserve"> PAGEREF _Toc22331630 \h </w:instrText>
        </w:r>
        <w:r w:rsidR="00547FDF">
          <w:rPr>
            <w:noProof/>
            <w:webHidden/>
          </w:rPr>
        </w:r>
        <w:r w:rsidR="00547FDF">
          <w:rPr>
            <w:noProof/>
            <w:webHidden/>
          </w:rPr>
          <w:fldChar w:fldCharType="separate"/>
        </w:r>
        <w:r w:rsidR="0056454A">
          <w:rPr>
            <w:noProof/>
            <w:webHidden/>
          </w:rPr>
          <w:t>x</w:t>
        </w:r>
        <w:r w:rsidR="00547FDF">
          <w:rPr>
            <w:noProof/>
            <w:webHidden/>
          </w:rPr>
          <w:fldChar w:fldCharType="end"/>
        </w:r>
      </w:hyperlink>
    </w:p>
    <w:p w14:paraId="01691640" w14:textId="055F70A8" w:rsidR="00547FDF" w:rsidRDefault="00B76C18">
      <w:pPr>
        <w:pStyle w:val="TOC1"/>
        <w:rPr>
          <w:rFonts w:eastAsiaTheme="minorEastAsia"/>
          <w:b w:val="0"/>
          <w:noProof/>
          <w:sz w:val="22"/>
          <w:szCs w:val="22"/>
          <w:lang w:val="en-GB" w:eastAsia="en-GB"/>
        </w:rPr>
      </w:pPr>
      <w:hyperlink w:anchor="_Toc22331631" w:history="1">
        <w:r w:rsidR="00547FDF" w:rsidRPr="0092620E">
          <w:rPr>
            <w:rStyle w:val="Hyperlink"/>
            <w:noProof/>
            <w:lang w:bidi="en-US"/>
          </w:rPr>
          <w:t>LIST OF TABLES</w:t>
        </w:r>
        <w:r w:rsidR="00547FDF">
          <w:rPr>
            <w:noProof/>
            <w:webHidden/>
          </w:rPr>
          <w:tab/>
        </w:r>
        <w:r w:rsidR="00547FDF">
          <w:rPr>
            <w:noProof/>
            <w:webHidden/>
          </w:rPr>
          <w:fldChar w:fldCharType="begin"/>
        </w:r>
        <w:r w:rsidR="00547FDF">
          <w:rPr>
            <w:noProof/>
            <w:webHidden/>
          </w:rPr>
          <w:instrText xml:space="preserve"> PAGEREF _Toc22331631 \h </w:instrText>
        </w:r>
        <w:r w:rsidR="00547FDF">
          <w:rPr>
            <w:noProof/>
            <w:webHidden/>
          </w:rPr>
        </w:r>
        <w:r w:rsidR="00547FDF">
          <w:rPr>
            <w:noProof/>
            <w:webHidden/>
          </w:rPr>
          <w:fldChar w:fldCharType="separate"/>
        </w:r>
        <w:r w:rsidR="0056454A">
          <w:rPr>
            <w:noProof/>
            <w:webHidden/>
          </w:rPr>
          <w:t>xiv</w:t>
        </w:r>
        <w:r w:rsidR="00547FDF">
          <w:rPr>
            <w:noProof/>
            <w:webHidden/>
          </w:rPr>
          <w:fldChar w:fldCharType="end"/>
        </w:r>
      </w:hyperlink>
    </w:p>
    <w:p w14:paraId="37874787" w14:textId="6DFCAF0B" w:rsidR="00547FDF" w:rsidRDefault="00B76C18">
      <w:pPr>
        <w:pStyle w:val="TOC1"/>
        <w:rPr>
          <w:rFonts w:eastAsiaTheme="minorEastAsia"/>
          <w:b w:val="0"/>
          <w:noProof/>
          <w:sz w:val="22"/>
          <w:szCs w:val="22"/>
          <w:lang w:val="en-GB" w:eastAsia="en-GB"/>
        </w:rPr>
      </w:pPr>
      <w:hyperlink w:anchor="_Toc22331632" w:history="1">
        <w:r w:rsidR="00547FDF" w:rsidRPr="0092620E">
          <w:rPr>
            <w:rStyle w:val="Hyperlink"/>
            <w:noProof/>
            <w:lang w:bidi="en-US"/>
          </w:rPr>
          <w:t>LIST OF FIGURES</w:t>
        </w:r>
        <w:r w:rsidR="00547FDF">
          <w:rPr>
            <w:noProof/>
            <w:webHidden/>
          </w:rPr>
          <w:tab/>
        </w:r>
        <w:r w:rsidR="00547FDF">
          <w:rPr>
            <w:noProof/>
            <w:webHidden/>
          </w:rPr>
          <w:fldChar w:fldCharType="begin"/>
        </w:r>
        <w:r w:rsidR="00547FDF">
          <w:rPr>
            <w:noProof/>
            <w:webHidden/>
          </w:rPr>
          <w:instrText xml:space="preserve"> PAGEREF _Toc22331632 \h </w:instrText>
        </w:r>
        <w:r w:rsidR="00547FDF">
          <w:rPr>
            <w:noProof/>
            <w:webHidden/>
          </w:rPr>
        </w:r>
        <w:r w:rsidR="00547FDF">
          <w:rPr>
            <w:noProof/>
            <w:webHidden/>
          </w:rPr>
          <w:fldChar w:fldCharType="separate"/>
        </w:r>
        <w:r w:rsidR="0056454A">
          <w:rPr>
            <w:noProof/>
            <w:webHidden/>
          </w:rPr>
          <w:t>xvi</w:t>
        </w:r>
        <w:r w:rsidR="00547FDF">
          <w:rPr>
            <w:noProof/>
            <w:webHidden/>
          </w:rPr>
          <w:fldChar w:fldCharType="end"/>
        </w:r>
      </w:hyperlink>
    </w:p>
    <w:p w14:paraId="5BCFDB50" w14:textId="7D53EA45" w:rsidR="00547FDF" w:rsidRDefault="00B76C18">
      <w:pPr>
        <w:pStyle w:val="TOC1"/>
        <w:rPr>
          <w:rFonts w:eastAsiaTheme="minorEastAsia"/>
          <w:b w:val="0"/>
          <w:noProof/>
          <w:sz w:val="22"/>
          <w:szCs w:val="22"/>
          <w:lang w:val="en-GB" w:eastAsia="en-GB"/>
        </w:rPr>
      </w:pPr>
      <w:hyperlink w:anchor="_Toc22331633" w:history="1">
        <w:r w:rsidR="00547FDF" w:rsidRPr="0092620E">
          <w:rPr>
            <w:rStyle w:val="Hyperlink"/>
            <w:noProof/>
            <w:lang w:bidi="en-US"/>
          </w:rPr>
          <w:t>CHAPTER 1: INTRODUCTION</w:t>
        </w:r>
        <w:r w:rsidR="00547FDF">
          <w:rPr>
            <w:noProof/>
            <w:webHidden/>
          </w:rPr>
          <w:tab/>
        </w:r>
        <w:r w:rsidR="00547FDF">
          <w:rPr>
            <w:noProof/>
            <w:webHidden/>
          </w:rPr>
          <w:fldChar w:fldCharType="begin"/>
        </w:r>
        <w:r w:rsidR="00547FDF">
          <w:rPr>
            <w:noProof/>
            <w:webHidden/>
          </w:rPr>
          <w:instrText xml:space="preserve"> PAGEREF _Toc22331633 \h </w:instrText>
        </w:r>
        <w:r w:rsidR="00547FDF">
          <w:rPr>
            <w:noProof/>
            <w:webHidden/>
          </w:rPr>
        </w:r>
        <w:r w:rsidR="00547FDF">
          <w:rPr>
            <w:noProof/>
            <w:webHidden/>
          </w:rPr>
          <w:fldChar w:fldCharType="separate"/>
        </w:r>
        <w:r w:rsidR="0056454A">
          <w:rPr>
            <w:noProof/>
            <w:webHidden/>
          </w:rPr>
          <w:t>1</w:t>
        </w:r>
        <w:r w:rsidR="00547FDF">
          <w:rPr>
            <w:noProof/>
            <w:webHidden/>
          </w:rPr>
          <w:fldChar w:fldCharType="end"/>
        </w:r>
      </w:hyperlink>
    </w:p>
    <w:p w14:paraId="501D6620" w14:textId="6CF75B61" w:rsidR="00547FDF" w:rsidRDefault="00B76C18">
      <w:pPr>
        <w:pStyle w:val="TOC2"/>
        <w:tabs>
          <w:tab w:val="left" w:pos="880"/>
        </w:tabs>
        <w:rPr>
          <w:rFonts w:eastAsiaTheme="minorEastAsia"/>
          <w:b w:val="0"/>
          <w:noProof/>
          <w:lang w:val="en-GB" w:eastAsia="en-GB"/>
        </w:rPr>
      </w:pPr>
      <w:hyperlink w:anchor="_Toc22331634" w:history="1">
        <w:r w:rsidR="00547FDF" w:rsidRPr="0092620E">
          <w:rPr>
            <w:rStyle w:val="Hyperlink"/>
            <w:noProof/>
            <w:lang w:bidi="en-US"/>
          </w:rPr>
          <w:t>1.1.</w:t>
        </w:r>
        <w:r w:rsidR="00547FDF">
          <w:rPr>
            <w:rFonts w:eastAsiaTheme="minorEastAsia"/>
            <w:b w:val="0"/>
            <w:noProof/>
            <w:lang w:val="en-GB" w:eastAsia="en-GB"/>
          </w:rPr>
          <w:tab/>
        </w:r>
        <w:r w:rsidR="00547FDF" w:rsidRPr="0092620E">
          <w:rPr>
            <w:rStyle w:val="Hyperlink"/>
            <w:noProof/>
            <w:lang w:bidi="en-US"/>
          </w:rPr>
          <w:t>Background</w:t>
        </w:r>
        <w:r w:rsidR="00547FDF">
          <w:rPr>
            <w:noProof/>
            <w:webHidden/>
          </w:rPr>
          <w:tab/>
        </w:r>
        <w:r w:rsidR="00547FDF">
          <w:rPr>
            <w:noProof/>
            <w:webHidden/>
          </w:rPr>
          <w:fldChar w:fldCharType="begin"/>
        </w:r>
        <w:r w:rsidR="00547FDF">
          <w:rPr>
            <w:noProof/>
            <w:webHidden/>
          </w:rPr>
          <w:instrText xml:space="preserve"> PAGEREF _Toc22331634 \h </w:instrText>
        </w:r>
        <w:r w:rsidR="00547FDF">
          <w:rPr>
            <w:noProof/>
            <w:webHidden/>
          </w:rPr>
        </w:r>
        <w:r w:rsidR="00547FDF">
          <w:rPr>
            <w:noProof/>
            <w:webHidden/>
          </w:rPr>
          <w:fldChar w:fldCharType="separate"/>
        </w:r>
        <w:r w:rsidR="0056454A">
          <w:rPr>
            <w:noProof/>
            <w:webHidden/>
          </w:rPr>
          <w:t>1</w:t>
        </w:r>
        <w:r w:rsidR="00547FDF">
          <w:rPr>
            <w:noProof/>
            <w:webHidden/>
          </w:rPr>
          <w:fldChar w:fldCharType="end"/>
        </w:r>
      </w:hyperlink>
    </w:p>
    <w:p w14:paraId="12E3C034" w14:textId="7F3EBDC3" w:rsidR="00547FDF" w:rsidRDefault="00B76C18">
      <w:pPr>
        <w:pStyle w:val="TOC3"/>
        <w:tabs>
          <w:tab w:val="right" w:leader="dot" w:pos="7910"/>
        </w:tabs>
        <w:rPr>
          <w:rFonts w:eastAsiaTheme="minorEastAsia"/>
          <w:noProof/>
          <w:lang w:val="en-GB" w:eastAsia="en-GB"/>
        </w:rPr>
      </w:pPr>
      <w:hyperlink w:anchor="_Toc22331635" w:history="1">
        <w:r w:rsidR="00547FDF" w:rsidRPr="0092620E">
          <w:rPr>
            <w:rStyle w:val="Hyperlink"/>
            <w:noProof/>
          </w:rPr>
          <w:t>1.1.1. Knowledge management</w:t>
        </w:r>
        <w:r w:rsidR="00547FDF">
          <w:rPr>
            <w:noProof/>
            <w:webHidden/>
          </w:rPr>
          <w:tab/>
        </w:r>
        <w:r w:rsidR="00547FDF">
          <w:rPr>
            <w:noProof/>
            <w:webHidden/>
          </w:rPr>
          <w:fldChar w:fldCharType="begin"/>
        </w:r>
        <w:r w:rsidR="00547FDF">
          <w:rPr>
            <w:noProof/>
            <w:webHidden/>
          </w:rPr>
          <w:instrText xml:space="preserve"> PAGEREF _Toc22331635 \h </w:instrText>
        </w:r>
        <w:r w:rsidR="00547FDF">
          <w:rPr>
            <w:noProof/>
            <w:webHidden/>
          </w:rPr>
        </w:r>
        <w:r w:rsidR="00547FDF">
          <w:rPr>
            <w:noProof/>
            <w:webHidden/>
          </w:rPr>
          <w:fldChar w:fldCharType="separate"/>
        </w:r>
        <w:r w:rsidR="0056454A">
          <w:rPr>
            <w:noProof/>
            <w:webHidden/>
          </w:rPr>
          <w:t>1</w:t>
        </w:r>
        <w:r w:rsidR="00547FDF">
          <w:rPr>
            <w:noProof/>
            <w:webHidden/>
          </w:rPr>
          <w:fldChar w:fldCharType="end"/>
        </w:r>
      </w:hyperlink>
    </w:p>
    <w:p w14:paraId="465157EB" w14:textId="382349E8" w:rsidR="00547FDF" w:rsidRDefault="00B76C18">
      <w:pPr>
        <w:pStyle w:val="TOC3"/>
        <w:tabs>
          <w:tab w:val="right" w:leader="dot" w:pos="7910"/>
        </w:tabs>
        <w:rPr>
          <w:rFonts w:eastAsiaTheme="minorEastAsia"/>
          <w:noProof/>
          <w:lang w:val="en-GB" w:eastAsia="en-GB"/>
        </w:rPr>
      </w:pPr>
      <w:hyperlink w:anchor="_Toc22331636" w:history="1">
        <w:r w:rsidR="00547FDF" w:rsidRPr="0092620E">
          <w:rPr>
            <w:rStyle w:val="Hyperlink"/>
            <w:noProof/>
          </w:rPr>
          <w:t>1.1.2. Knowledge management benefits.</w:t>
        </w:r>
        <w:r w:rsidR="00547FDF">
          <w:rPr>
            <w:noProof/>
            <w:webHidden/>
          </w:rPr>
          <w:tab/>
        </w:r>
        <w:r w:rsidR="00547FDF">
          <w:rPr>
            <w:noProof/>
            <w:webHidden/>
          </w:rPr>
          <w:fldChar w:fldCharType="begin"/>
        </w:r>
        <w:r w:rsidR="00547FDF">
          <w:rPr>
            <w:noProof/>
            <w:webHidden/>
          </w:rPr>
          <w:instrText xml:space="preserve"> PAGEREF _Toc22331636 \h </w:instrText>
        </w:r>
        <w:r w:rsidR="00547FDF">
          <w:rPr>
            <w:noProof/>
            <w:webHidden/>
          </w:rPr>
        </w:r>
        <w:r w:rsidR="00547FDF">
          <w:rPr>
            <w:noProof/>
            <w:webHidden/>
          </w:rPr>
          <w:fldChar w:fldCharType="separate"/>
        </w:r>
        <w:r w:rsidR="0056454A">
          <w:rPr>
            <w:noProof/>
            <w:webHidden/>
          </w:rPr>
          <w:t>2</w:t>
        </w:r>
        <w:r w:rsidR="00547FDF">
          <w:rPr>
            <w:noProof/>
            <w:webHidden/>
          </w:rPr>
          <w:fldChar w:fldCharType="end"/>
        </w:r>
      </w:hyperlink>
    </w:p>
    <w:p w14:paraId="39A6A1B9" w14:textId="0B6907D9" w:rsidR="00547FDF" w:rsidRDefault="00B76C18">
      <w:pPr>
        <w:pStyle w:val="TOC3"/>
        <w:tabs>
          <w:tab w:val="right" w:leader="dot" w:pos="7910"/>
        </w:tabs>
        <w:rPr>
          <w:rFonts w:eastAsiaTheme="minorEastAsia"/>
          <w:noProof/>
          <w:lang w:val="en-GB" w:eastAsia="en-GB"/>
        </w:rPr>
      </w:pPr>
      <w:hyperlink w:anchor="_Toc22331637" w:history="1">
        <w:r w:rsidR="00547FDF" w:rsidRPr="0092620E">
          <w:rPr>
            <w:rStyle w:val="Hyperlink"/>
            <w:noProof/>
          </w:rPr>
          <w:t>1.1.3. Knowledge management initiatives in the UAE</w:t>
        </w:r>
        <w:r w:rsidR="00547FDF">
          <w:rPr>
            <w:noProof/>
            <w:webHidden/>
          </w:rPr>
          <w:tab/>
        </w:r>
        <w:r w:rsidR="00547FDF">
          <w:rPr>
            <w:noProof/>
            <w:webHidden/>
          </w:rPr>
          <w:fldChar w:fldCharType="begin"/>
        </w:r>
        <w:r w:rsidR="00547FDF">
          <w:rPr>
            <w:noProof/>
            <w:webHidden/>
          </w:rPr>
          <w:instrText xml:space="preserve"> PAGEREF _Toc22331637 \h </w:instrText>
        </w:r>
        <w:r w:rsidR="00547FDF">
          <w:rPr>
            <w:noProof/>
            <w:webHidden/>
          </w:rPr>
        </w:r>
        <w:r w:rsidR="00547FDF">
          <w:rPr>
            <w:noProof/>
            <w:webHidden/>
          </w:rPr>
          <w:fldChar w:fldCharType="separate"/>
        </w:r>
        <w:r w:rsidR="0056454A">
          <w:rPr>
            <w:noProof/>
            <w:webHidden/>
          </w:rPr>
          <w:t>2</w:t>
        </w:r>
        <w:r w:rsidR="00547FDF">
          <w:rPr>
            <w:noProof/>
            <w:webHidden/>
          </w:rPr>
          <w:fldChar w:fldCharType="end"/>
        </w:r>
      </w:hyperlink>
    </w:p>
    <w:p w14:paraId="4896F765" w14:textId="55EF6AF9" w:rsidR="00547FDF" w:rsidRDefault="00B76C18">
      <w:pPr>
        <w:pStyle w:val="TOC3"/>
        <w:tabs>
          <w:tab w:val="right" w:leader="dot" w:pos="7910"/>
        </w:tabs>
        <w:rPr>
          <w:rFonts w:eastAsiaTheme="minorEastAsia"/>
          <w:noProof/>
          <w:lang w:val="en-GB" w:eastAsia="en-GB"/>
        </w:rPr>
      </w:pPr>
      <w:hyperlink w:anchor="_Toc22331638" w:history="1">
        <w:r w:rsidR="00547FDF" w:rsidRPr="0092620E">
          <w:rPr>
            <w:rStyle w:val="Hyperlink"/>
            <w:noProof/>
          </w:rPr>
          <w:t>1.1.4. Knowledge management and organizational learning</w:t>
        </w:r>
        <w:r w:rsidR="00547FDF">
          <w:rPr>
            <w:noProof/>
            <w:webHidden/>
          </w:rPr>
          <w:tab/>
        </w:r>
        <w:r w:rsidR="00547FDF">
          <w:rPr>
            <w:noProof/>
            <w:webHidden/>
          </w:rPr>
          <w:fldChar w:fldCharType="begin"/>
        </w:r>
        <w:r w:rsidR="00547FDF">
          <w:rPr>
            <w:noProof/>
            <w:webHidden/>
          </w:rPr>
          <w:instrText xml:space="preserve"> PAGEREF _Toc22331638 \h </w:instrText>
        </w:r>
        <w:r w:rsidR="00547FDF">
          <w:rPr>
            <w:noProof/>
            <w:webHidden/>
          </w:rPr>
        </w:r>
        <w:r w:rsidR="00547FDF">
          <w:rPr>
            <w:noProof/>
            <w:webHidden/>
          </w:rPr>
          <w:fldChar w:fldCharType="separate"/>
        </w:r>
        <w:r w:rsidR="0056454A">
          <w:rPr>
            <w:noProof/>
            <w:webHidden/>
          </w:rPr>
          <w:t>4</w:t>
        </w:r>
        <w:r w:rsidR="00547FDF">
          <w:rPr>
            <w:noProof/>
            <w:webHidden/>
          </w:rPr>
          <w:fldChar w:fldCharType="end"/>
        </w:r>
      </w:hyperlink>
    </w:p>
    <w:p w14:paraId="629DB894" w14:textId="137E5DE6" w:rsidR="00547FDF" w:rsidRDefault="00B76C18">
      <w:pPr>
        <w:pStyle w:val="TOC2"/>
        <w:tabs>
          <w:tab w:val="left" w:pos="880"/>
        </w:tabs>
        <w:rPr>
          <w:rFonts w:eastAsiaTheme="minorEastAsia"/>
          <w:b w:val="0"/>
          <w:noProof/>
          <w:lang w:val="en-GB" w:eastAsia="en-GB"/>
        </w:rPr>
      </w:pPr>
      <w:hyperlink w:anchor="_Toc22331639" w:history="1">
        <w:r w:rsidR="00547FDF" w:rsidRPr="0092620E">
          <w:rPr>
            <w:rStyle w:val="Hyperlink"/>
            <w:noProof/>
            <w:lang w:bidi="ar-AE"/>
          </w:rPr>
          <w:t>1.2.</w:t>
        </w:r>
        <w:r w:rsidR="00547FDF">
          <w:rPr>
            <w:rFonts w:eastAsiaTheme="minorEastAsia"/>
            <w:b w:val="0"/>
            <w:noProof/>
            <w:lang w:val="en-GB" w:eastAsia="en-GB"/>
          </w:rPr>
          <w:tab/>
        </w:r>
        <w:r w:rsidR="00547FDF" w:rsidRPr="0092620E">
          <w:rPr>
            <w:rStyle w:val="Hyperlink"/>
            <w:noProof/>
            <w:lang w:bidi="ar-AE"/>
          </w:rPr>
          <w:t>Gaps / Needs for Research</w:t>
        </w:r>
        <w:r w:rsidR="00547FDF">
          <w:rPr>
            <w:noProof/>
            <w:webHidden/>
          </w:rPr>
          <w:tab/>
        </w:r>
        <w:r w:rsidR="00547FDF">
          <w:rPr>
            <w:noProof/>
            <w:webHidden/>
          </w:rPr>
          <w:fldChar w:fldCharType="begin"/>
        </w:r>
        <w:r w:rsidR="00547FDF">
          <w:rPr>
            <w:noProof/>
            <w:webHidden/>
          </w:rPr>
          <w:instrText xml:space="preserve"> PAGEREF _Toc22331639 \h </w:instrText>
        </w:r>
        <w:r w:rsidR="00547FDF">
          <w:rPr>
            <w:noProof/>
            <w:webHidden/>
          </w:rPr>
        </w:r>
        <w:r w:rsidR="00547FDF">
          <w:rPr>
            <w:noProof/>
            <w:webHidden/>
          </w:rPr>
          <w:fldChar w:fldCharType="separate"/>
        </w:r>
        <w:r w:rsidR="0056454A">
          <w:rPr>
            <w:noProof/>
            <w:webHidden/>
          </w:rPr>
          <w:t>5</w:t>
        </w:r>
        <w:r w:rsidR="00547FDF">
          <w:rPr>
            <w:noProof/>
            <w:webHidden/>
          </w:rPr>
          <w:fldChar w:fldCharType="end"/>
        </w:r>
      </w:hyperlink>
    </w:p>
    <w:p w14:paraId="57BEEC44" w14:textId="4F8D4CE7" w:rsidR="00547FDF" w:rsidRDefault="00B76C18">
      <w:pPr>
        <w:pStyle w:val="TOC2"/>
        <w:tabs>
          <w:tab w:val="left" w:pos="880"/>
        </w:tabs>
        <w:rPr>
          <w:rFonts w:eastAsiaTheme="minorEastAsia"/>
          <w:b w:val="0"/>
          <w:noProof/>
          <w:lang w:val="en-GB" w:eastAsia="en-GB"/>
        </w:rPr>
      </w:pPr>
      <w:hyperlink w:anchor="_Toc22331640" w:history="1">
        <w:r w:rsidR="00547FDF" w:rsidRPr="0092620E">
          <w:rPr>
            <w:rStyle w:val="Hyperlink"/>
            <w:noProof/>
            <w:lang w:bidi="en-US"/>
          </w:rPr>
          <w:t>1.3.</w:t>
        </w:r>
        <w:r w:rsidR="00547FDF">
          <w:rPr>
            <w:rFonts w:eastAsiaTheme="minorEastAsia"/>
            <w:b w:val="0"/>
            <w:noProof/>
            <w:lang w:val="en-GB" w:eastAsia="en-GB"/>
          </w:rPr>
          <w:tab/>
        </w:r>
        <w:r w:rsidR="00547FDF" w:rsidRPr="0092620E">
          <w:rPr>
            <w:rStyle w:val="Hyperlink"/>
            <w:noProof/>
            <w:lang w:bidi="en-US"/>
          </w:rPr>
          <w:t>Research Questions and Objectives</w:t>
        </w:r>
        <w:r w:rsidR="00547FDF">
          <w:rPr>
            <w:noProof/>
            <w:webHidden/>
          </w:rPr>
          <w:tab/>
        </w:r>
        <w:r w:rsidR="00547FDF">
          <w:rPr>
            <w:noProof/>
            <w:webHidden/>
          </w:rPr>
          <w:fldChar w:fldCharType="begin"/>
        </w:r>
        <w:r w:rsidR="00547FDF">
          <w:rPr>
            <w:noProof/>
            <w:webHidden/>
          </w:rPr>
          <w:instrText xml:space="preserve"> PAGEREF _Toc22331640 \h </w:instrText>
        </w:r>
        <w:r w:rsidR="00547FDF">
          <w:rPr>
            <w:noProof/>
            <w:webHidden/>
          </w:rPr>
        </w:r>
        <w:r w:rsidR="00547FDF">
          <w:rPr>
            <w:noProof/>
            <w:webHidden/>
          </w:rPr>
          <w:fldChar w:fldCharType="separate"/>
        </w:r>
        <w:r w:rsidR="0056454A">
          <w:rPr>
            <w:noProof/>
            <w:webHidden/>
          </w:rPr>
          <w:t>10</w:t>
        </w:r>
        <w:r w:rsidR="00547FDF">
          <w:rPr>
            <w:noProof/>
            <w:webHidden/>
          </w:rPr>
          <w:fldChar w:fldCharType="end"/>
        </w:r>
      </w:hyperlink>
    </w:p>
    <w:p w14:paraId="527AD920" w14:textId="21BD433A" w:rsidR="00547FDF" w:rsidRDefault="00B76C18">
      <w:pPr>
        <w:pStyle w:val="TOC3"/>
        <w:tabs>
          <w:tab w:val="left" w:pos="1320"/>
          <w:tab w:val="right" w:leader="dot" w:pos="7910"/>
        </w:tabs>
        <w:rPr>
          <w:rFonts w:eastAsiaTheme="minorEastAsia"/>
          <w:noProof/>
          <w:lang w:val="en-GB" w:eastAsia="en-GB"/>
        </w:rPr>
      </w:pPr>
      <w:hyperlink w:anchor="_Toc22331641" w:history="1">
        <w:r w:rsidR="00547FDF" w:rsidRPr="0092620E">
          <w:rPr>
            <w:rStyle w:val="Hyperlink"/>
            <w:noProof/>
          </w:rPr>
          <w:t>1.3.1</w:t>
        </w:r>
        <w:r w:rsidR="00547FDF">
          <w:rPr>
            <w:rFonts w:eastAsiaTheme="minorEastAsia"/>
            <w:noProof/>
            <w:lang w:val="en-GB" w:eastAsia="en-GB"/>
          </w:rPr>
          <w:tab/>
        </w:r>
        <w:r w:rsidR="00547FDF" w:rsidRPr="0092620E">
          <w:rPr>
            <w:rStyle w:val="Hyperlink"/>
            <w:noProof/>
          </w:rPr>
          <w:t>Research questions</w:t>
        </w:r>
        <w:r w:rsidR="00547FDF">
          <w:rPr>
            <w:noProof/>
            <w:webHidden/>
          </w:rPr>
          <w:tab/>
        </w:r>
        <w:r w:rsidR="00547FDF">
          <w:rPr>
            <w:noProof/>
            <w:webHidden/>
          </w:rPr>
          <w:fldChar w:fldCharType="begin"/>
        </w:r>
        <w:r w:rsidR="00547FDF">
          <w:rPr>
            <w:noProof/>
            <w:webHidden/>
          </w:rPr>
          <w:instrText xml:space="preserve"> PAGEREF _Toc22331641 \h </w:instrText>
        </w:r>
        <w:r w:rsidR="00547FDF">
          <w:rPr>
            <w:noProof/>
            <w:webHidden/>
          </w:rPr>
        </w:r>
        <w:r w:rsidR="00547FDF">
          <w:rPr>
            <w:noProof/>
            <w:webHidden/>
          </w:rPr>
          <w:fldChar w:fldCharType="separate"/>
        </w:r>
        <w:r w:rsidR="0056454A">
          <w:rPr>
            <w:noProof/>
            <w:webHidden/>
          </w:rPr>
          <w:t>10</w:t>
        </w:r>
        <w:r w:rsidR="00547FDF">
          <w:rPr>
            <w:noProof/>
            <w:webHidden/>
          </w:rPr>
          <w:fldChar w:fldCharType="end"/>
        </w:r>
      </w:hyperlink>
    </w:p>
    <w:p w14:paraId="4DE87418" w14:textId="1A01EE2C" w:rsidR="00547FDF" w:rsidRDefault="00B76C18">
      <w:pPr>
        <w:pStyle w:val="TOC3"/>
        <w:tabs>
          <w:tab w:val="left" w:pos="1320"/>
          <w:tab w:val="right" w:leader="dot" w:pos="7910"/>
        </w:tabs>
        <w:rPr>
          <w:rFonts w:eastAsiaTheme="minorEastAsia"/>
          <w:noProof/>
          <w:lang w:val="en-GB" w:eastAsia="en-GB"/>
        </w:rPr>
      </w:pPr>
      <w:hyperlink w:anchor="_Toc22331642" w:history="1">
        <w:r w:rsidR="00547FDF" w:rsidRPr="0092620E">
          <w:rPr>
            <w:rStyle w:val="Hyperlink"/>
            <w:noProof/>
          </w:rPr>
          <w:t>1.3.2</w:t>
        </w:r>
        <w:r w:rsidR="00547FDF">
          <w:rPr>
            <w:rFonts w:eastAsiaTheme="minorEastAsia"/>
            <w:noProof/>
            <w:lang w:val="en-GB" w:eastAsia="en-GB"/>
          </w:rPr>
          <w:tab/>
        </w:r>
        <w:r w:rsidR="00547FDF" w:rsidRPr="0092620E">
          <w:rPr>
            <w:rStyle w:val="Hyperlink"/>
            <w:noProof/>
          </w:rPr>
          <w:t>Research objectives</w:t>
        </w:r>
        <w:r w:rsidR="00547FDF">
          <w:rPr>
            <w:noProof/>
            <w:webHidden/>
          </w:rPr>
          <w:tab/>
        </w:r>
        <w:r w:rsidR="00547FDF">
          <w:rPr>
            <w:noProof/>
            <w:webHidden/>
          </w:rPr>
          <w:fldChar w:fldCharType="begin"/>
        </w:r>
        <w:r w:rsidR="00547FDF">
          <w:rPr>
            <w:noProof/>
            <w:webHidden/>
          </w:rPr>
          <w:instrText xml:space="preserve"> PAGEREF _Toc22331642 \h </w:instrText>
        </w:r>
        <w:r w:rsidR="00547FDF">
          <w:rPr>
            <w:noProof/>
            <w:webHidden/>
          </w:rPr>
        </w:r>
        <w:r w:rsidR="00547FDF">
          <w:rPr>
            <w:noProof/>
            <w:webHidden/>
          </w:rPr>
          <w:fldChar w:fldCharType="separate"/>
        </w:r>
        <w:r w:rsidR="0056454A">
          <w:rPr>
            <w:noProof/>
            <w:webHidden/>
          </w:rPr>
          <w:t>10</w:t>
        </w:r>
        <w:r w:rsidR="00547FDF">
          <w:rPr>
            <w:noProof/>
            <w:webHidden/>
          </w:rPr>
          <w:fldChar w:fldCharType="end"/>
        </w:r>
      </w:hyperlink>
    </w:p>
    <w:p w14:paraId="69BAA3E5" w14:textId="1333322E" w:rsidR="00547FDF" w:rsidRDefault="00B76C18">
      <w:pPr>
        <w:pStyle w:val="TOC2"/>
        <w:tabs>
          <w:tab w:val="left" w:pos="880"/>
        </w:tabs>
        <w:rPr>
          <w:rFonts w:eastAsiaTheme="minorEastAsia"/>
          <w:b w:val="0"/>
          <w:noProof/>
          <w:lang w:val="en-GB" w:eastAsia="en-GB"/>
        </w:rPr>
      </w:pPr>
      <w:hyperlink w:anchor="_Toc22331643" w:history="1">
        <w:r w:rsidR="00547FDF" w:rsidRPr="0092620E">
          <w:rPr>
            <w:rStyle w:val="Hyperlink"/>
            <w:noProof/>
            <w:lang w:bidi="en-US"/>
          </w:rPr>
          <w:t>1.4.</w:t>
        </w:r>
        <w:r w:rsidR="00547FDF">
          <w:rPr>
            <w:rFonts w:eastAsiaTheme="minorEastAsia"/>
            <w:b w:val="0"/>
            <w:noProof/>
            <w:lang w:val="en-GB" w:eastAsia="en-GB"/>
          </w:rPr>
          <w:tab/>
        </w:r>
        <w:r w:rsidR="00547FDF" w:rsidRPr="0092620E">
          <w:rPr>
            <w:rStyle w:val="Hyperlink"/>
            <w:noProof/>
            <w:lang w:bidi="en-US"/>
          </w:rPr>
          <w:t>Significance of the Study</w:t>
        </w:r>
        <w:r w:rsidR="00547FDF">
          <w:rPr>
            <w:noProof/>
            <w:webHidden/>
          </w:rPr>
          <w:tab/>
        </w:r>
        <w:r w:rsidR="00547FDF">
          <w:rPr>
            <w:noProof/>
            <w:webHidden/>
          </w:rPr>
          <w:fldChar w:fldCharType="begin"/>
        </w:r>
        <w:r w:rsidR="00547FDF">
          <w:rPr>
            <w:noProof/>
            <w:webHidden/>
          </w:rPr>
          <w:instrText xml:space="preserve"> PAGEREF _Toc22331643 \h </w:instrText>
        </w:r>
        <w:r w:rsidR="00547FDF">
          <w:rPr>
            <w:noProof/>
            <w:webHidden/>
          </w:rPr>
        </w:r>
        <w:r w:rsidR="00547FDF">
          <w:rPr>
            <w:noProof/>
            <w:webHidden/>
          </w:rPr>
          <w:fldChar w:fldCharType="separate"/>
        </w:r>
        <w:r w:rsidR="0056454A">
          <w:rPr>
            <w:noProof/>
            <w:webHidden/>
          </w:rPr>
          <w:t>12</w:t>
        </w:r>
        <w:r w:rsidR="00547FDF">
          <w:rPr>
            <w:noProof/>
            <w:webHidden/>
          </w:rPr>
          <w:fldChar w:fldCharType="end"/>
        </w:r>
      </w:hyperlink>
    </w:p>
    <w:p w14:paraId="382E669A" w14:textId="76CE27B8" w:rsidR="00547FDF" w:rsidRDefault="00B76C18">
      <w:pPr>
        <w:pStyle w:val="TOC2"/>
        <w:tabs>
          <w:tab w:val="left" w:pos="880"/>
        </w:tabs>
        <w:rPr>
          <w:rFonts w:eastAsiaTheme="minorEastAsia"/>
          <w:b w:val="0"/>
          <w:noProof/>
          <w:lang w:val="en-GB" w:eastAsia="en-GB"/>
        </w:rPr>
      </w:pPr>
      <w:hyperlink w:anchor="_Toc22331644" w:history="1">
        <w:r w:rsidR="00547FDF" w:rsidRPr="0092620E">
          <w:rPr>
            <w:rStyle w:val="Hyperlink"/>
            <w:noProof/>
            <w:lang w:bidi="en-US"/>
          </w:rPr>
          <w:t>1.5.</w:t>
        </w:r>
        <w:r w:rsidR="00547FDF">
          <w:rPr>
            <w:rFonts w:eastAsiaTheme="minorEastAsia"/>
            <w:b w:val="0"/>
            <w:noProof/>
            <w:lang w:val="en-GB" w:eastAsia="en-GB"/>
          </w:rPr>
          <w:tab/>
        </w:r>
        <w:r w:rsidR="00547FDF" w:rsidRPr="0092620E">
          <w:rPr>
            <w:rStyle w:val="Hyperlink"/>
            <w:noProof/>
            <w:lang w:bidi="en-US"/>
          </w:rPr>
          <w:t>Outline of the Dissertation</w:t>
        </w:r>
        <w:r w:rsidR="00547FDF">
          <w:rPr>
            <w:noProof/>
            <w:webHidden/>
          </w:rPr>
          <w:tab/>
        </w:r>
        <w:r w:rsidR="00547FDF">
          <w:rPr>
            <w:noProof/>
            <w:webHidden/>
          </w:rPr>
          <w:fldChar w:fldCharType="begin"/>
        </w:r>
        <w:r w:rsidR="00547FDF">
          <w:rPr>
            <w:noProof/>
            <w:webHidden/>
          </w:rPr>
          <w:instrText xml:space="preserve"> PAGEREF _Toc22331644 \h </w:instrText>
        </w:r>
        <w:r w:rsidR="00547FDF">
          <w:rPr>
            <w:noProof/>
            <w:webHidden/>
          </w:rPr>
        </w:r>
        <w:r w:rsidR="00547FDF">
          <w:rPr>
            <w:noProof/>
            <w:webHidden/>
          </w:rPr>
          <w:fldChar w:fldCharType="separate"/>
        </w:r>
        <w:r w:rsidR="0056454A">
          <w:rPr>
            <w:noProof/>
            <w:webHidden/>
          </w:rPr>
          <w:t>18</w:t>
        </w:r>
        <w:r w:rsidR="00547FDF">
          <w:rPr>
            <w:noProof/>
            <w:webHidden/>
          </w:rPr>
          <w:fldChar w:fldCharType="end"/>
        </w:r>
      </w:hyperlink>
    </w:p>
    <w:p w14:paraId="6722F6B0" w14:textId="730CFAC6" w:rsidR="00547FDF" w:rsidRDefault="00B76C18">
      <w:pPr>
        <w:pStyle w:val="TOC3"/>
        <w:tabs>
          <w:tab w:val="right" w:leader="dot" w:pos="7910"/>
        </w:tabs>
        <w:rPr>
          <w:rFonts w:eastAsiaTheme="minorEastAsia"/>
          <w:noProof/>
          <w:lang w:val="en-GB" w:eastAsia="en-GB"/>
        </w:rPr>
      </w:pPr>
      <w:hyperlink w:anchor="_Toc22331645" w:history="1">
        <w:r w:rsidR="00547FDF" w:rsidRPr="0092620E">
          <w:rPr>
            <w:rStyle w:val="Hyperlink"/>
            <w:noProof/>
          </w:rPr>
          <w:t>1.5.1 Chapter 2: Literature review</w:t>
        </w:r>
        <w:r w:rsidR="00547FDF">
          <w:rPr>
            <w:noProof/>
            <w:webHidden/>
          </w:rPr>
          <w:tab/>
        </w:r>
        <w:r w:rsidR="00547FDF">
          <w:rPr>
            <w:noProof/>
            <w:webHidden/>
          </w:rPr>
          <w:fldChar w:fldCharType="begin"/>
        </w:r>
        <w:r w:rsidR="00547FDF">
          <w:rPr>
            <w:noProof/>
            <w:webHidden/>
          </w:rPr>
          <w:instrText xml:space="preserve"> PAGEREF _Toc22331645 \h </w:instrText>
        </w:r>
        <w:r w:rsidR="00547FDF">
          <w:rPr>
            <w:noProof/>
            <w:webHidden/>
          </w:rPr>
        </w:r>
        <w:r w:rsidR="00547FDF">
          <w:rPr>
            <w:noProof/>
            <w:webHidden/>
          </w:rPr>
          <w:fldChar w:fldCharType="separate"/>
        </w:r>
        <w:r w:rsidR="0056454A">
          <w:rPr>
            <w:noProof/>
            <w:webHidden/>
          </w:rPr>
          <w:t>18</w:t>
        </w:r>
        <w:r w:rsidR="00547FDF">
          <w:rPr>
            <w:noProof/>
            <w:webHidden/>
          </w:rPr>
          <w:fldChar w:fldCharType="end"/>
        </w:r>
      </w:hyperlink>
    </w:p>
    <w:p w14:paraId="435EA87C" w14:textId="574C3016" w:rsidR="00547FDF" w:rsidRDefault="00B76C18">
      <w:pPr>
        <w:pStyle w:val="TOC3"/>
        <w:tabs>
          <w:tab w:val="right" w:leader="dot" w:pos="7910"/>
        </w:tabs>
        <w:rPr>
          <w:rFonts w:eastAsiaTheme="minorEastAsia"/>
          <w:noProof/>
          <w:lang w:val="en-GB" w:eastAsia="en-GB"/>
        </w:rPr>
      </w:pPr>
      <w:hyperlink w:anchor="_Toc22331646" w:history="1">
        <w:r w:rsidR="00547FDF" w:rsidRPr="0092620E">
          <w:rPr>
            <w:rStyle w:val="Hyperlink"/>
            <w:noProof/>
          </w:rPr>
          <w:t>1.5.2. Chapter 3: Theoretical framework and hypothesis development</w:t>
        </w:r>
        <w:r w:rsidR="00547FDF">
          <w:rPr>
            <w:noProof/>
            <w:webHidden/>
          </w:rPr>
          <w:tab/>
        </w:r>
        <w:r w:rsidR="00547FDF">
          <w:rPr>
            <w:noProof/>
            <w:webHidden/>
          </w:rPr>
          <w:fldChar w:fldCharType="begin"/>
        </w:r>
        <w:r w:rsidR="00547FDF">
          <w:rPr>
            <w:noProof/>
            <w:webHidden/>
          </w:rPr>
          <w:instrText xml:space="preserve"> PAGEREF _Toc22331646 \h </w:instrText>
        </w:r>
        <w:r w:rsidR="00547FDF">
          <w:rPr>
            <w:noProof/>
            <w:webHidden/>
          </w:rPr>
        </w:r>
        <w:r w:rsidR="00547FDF">
          <w:rPr>
            <w:noProof/>
            <w:webHidden/>
          </w:rPr>
          <w:fldChar w:fldCharType="separate"/>
        </w:r>
        <w:r w:rsidR="0056454A">
          <w:rPr>
            <w:noProof/>
            <w:webHidden/>
          </w:rPr>
          <w:t>18</w:t>
        </w:r>
        <w:r w:rsidR="00547FDF">
          <w:rPr>
            <w:noProof/>
            <w:webHidden/>
          </w:rPr>
          <w:fldChar w:fldCharType="end"/>
        </w:r>
      </w:hyperlink>
    </w:p>
    <w:p w14:paraId="67E9A40F" w14:textId="12BF105E" w:rsidR="00F353CB" w:rsidRDefault="00B76C18">
      <w:pPr>
        <w:pStyle w:val="TOC3"/>
        <w:tabs>
          <w:tab w:val="right" w:leader="dot" w:pos="7910"/>
        </w:tabs>
        <w:rPr>
          <w:noProof/>
        </w:rPr>
        <w:sectPr w:rsidR="00F353CB" w:rsidSect="00F353CB">
          <w:type w:val="continuous"/>
          <w:pgSz w:w="12240" w:h="15840"/>
          <w:pgMar w:top="2880" w:right="2160" w:bottom="1800" w:left="2160" w:header="720" w:footer="720" w:gutter="0"/>
          <w:pgNumType w:fmt="lowerRoman"/>
          <w:cols w:space="720"/>
          <w:docGrid w:linePitch="360"/>
        </w:sectPr>
      </w:pPr>
      <w:hyperlink w:anchor="_Toc22331647" w:history="1">
        <w:r w:rsidR="00547FDF" w:rsidRPr="0092620E">
          <w:rPr>
            <w:rStyle w:val="Hyperlink"/>
            <w:noProof/>
          </w:rPr>
          <w:t>1.5.3. Chapter 4: Research methodology</w:t>
        </w:r>
        <w:r w:rsidR="00547FDF">
          <w:rPr>
            <w:noProof/>
            <w:webHidden/>
          </w:rPr>
          <w:tab/>
        </w:r>
        <w:r w:rsidR="00547FDF">
          <w:rPr>
            <w:noProof/>
            <w:webHidden/>
          </w:rPr>
          <w:fldChar w:fldCharType="begin"/>
        </w:r>
        <w:r w:rsidR="00547FDF">
          <w:rPr>
            <w:noProof/>
            <w:webHidden/>
          </w:rPr>
          <w:instrText xml:space="preserve"> PAGEREF _Toc22331647 \h </w:instrText>
        </w:r>
        <w:r w:rsidR="00547FDF">
          <w:rPr>
            <w:noProof/>
            <w:webHidden/>
          </w:rPr>
        </w:r>
        <w:r w:rsidR="00547FDF">
          <w:rPr>
            <w:noProof/>
            <w:webHidden/>
          </w:rPr>
          <w:fldChar w:fldCharType="separate"/>
        </w:r>
        <w:r w:rsidR="0056454A">
          <w:rPr>
            <w:noProof/>
            <w:webHidden/>
          </w:rPr>
          <w:t>18</w:t>
        </w:r>
        <w:r w:rsidR="00547FDF">
          <w:rPr>
            <w:noProof/>
            <w:webHidden/>
          </w:rPr>
          <w:fldChar w:fldCharType="end"/>
        </w:r>
      </w:hyperlink>
    </w:p>
    <w:p w14:paraId="21728221" w14:textId="6ABCCBF7" w:rsidR="00547FDF" w:rsidRDefault="00547FDF">
      <w:pPr>
        <w:pStyle w:val="TOC3"/>
        <w:tabs>
          <w:tab w:val="right" w:leader="dot" w:pos="7910"/>
        </w:tabs>
        <w:rPr>
          <w:rFonts w:eastAsiaTheme="minorEastAsia"/>
          <w:noProof/>
          <w:lang w:val="en-GB" w:eastAsia="en-GB"/>
        </w:rPr>
      </w:pPr>
    </w:p>
    <w:p w14:paraId="40F6E0BD" w14:textId="64F8AF96" w:rsidR="00547FDF" w:rsidRDefault="00B76C18">
      <w:pPr>
        <w:pStyle w:val="TOC3"/>
        <w:tabs>
          <w:tab w:val="right" w:leader="dot" w:pos="7910"/>
        </w:tabs>
        <w:rPr>
          <w:rFonts w:eastAsiaTheme="minorEastAsia"/>
          <w:noProof/>
          <w:lang w:val="en-GB" w:eastAsia="en-GB"/>
        </w:rPr>
      </w:pPr>
      <w:hyperlink w:anchor="_Toc22331648" w:history="1">
        <w:r w:rsidR="00547FDF" w:rsidRPr="0092620E">
          <w:rPr>
            <w:rStyle w:val="Hyperlink"/>
            <w:noProof/>
          </w:rPr>
          <w:t>1.5.4. Chapter 5: Analysis and findings</w:t>
        </w:r>
        <w:r w:rsidR="00547FDF">
          <w:rPr>
            <w:noProof/>
            <w:webHidden/>
          </w:rPr>
          <w:tab/>
        </w:r>
        <w:r w:rsidR="00547FDF">
          <w:rPr>
            <w:noProof/>
            <w:webHidden/>
          </w:rPr>
          <w:fldChar w:fldCharType="begin"/>
        </w:r>
        <w:r w:rsidR="00547FDF">
          <w:rPr>
            <w:noProof/>
            <w:webHidden/>
          </w:rPr>
          <w:instrText xml:space="preserve"> PAGEREF _Toc22331648 \h </w:instrText>
        </w:r>
        <w:r w:rsidR="00547FDF">
          <w:rPr>
            <w:noProof/>
            <w:webHidden/>
          </w:rPr>
        </w:r>
        <w:r w:rsidR="00547FDF">
          <w:rPr>
            <w:noProof/>
            <w:webHidden/>
          </w:rPr>
          <w:fldChar w:fldCharType="separate"/>
        </w:r>
        <w:r w:rsidR="0056454A">
          <w:rPr>
            <w:noProof/>
            <w:webHidden/>
          </w:rPr>
          <w:t>19</w:t>
        </w:r>
        <w:r w:rsidR="00547FDF">
          <w:rPr>
            <w:noProof/>
            <w:webHidden/>
          </w:rPr>
          <w:fldChar w:fldCharType="end"/>
        </w:r>
      </w:hyperlink>
    </w:p>
    <w:p w14:paraId="5A1887B4" w14:textId="4013570E" w:rsidR="00547FDF" w:rsidRDefault="00B76C18">
      <w:pPr>
        <w:pStyle w:val="TOC3"/>
        <w:tabs>
          <w:tab w:val="right" w:leader="dot" w:pos="7910"/>
        </w:tabs>
        <w:rPr>
          <w:rFonts w:eastAsiaTheme="minorEastAsia"/>
          <w:noProof/>
          <w:lang w:val="en-GB" w:eastAsia="en-GB"/>
        </w:rPr>
      </w:pPr>
      <w:hyperlink w:anchor="_Toc22331649" w:history="1">
        <w:r w:rsidR="00547FDF" w:rsidRPr="0092620E">
          <w:rPr>
            <w:rStyle w:val="Hyperlink"/>
            <w:noProof/>
          </w:rPr>
          <w:t>1.5.5. Chapter 6: Discussion</w:t>
        </w:r>
        <w:r w:rsidR="00547FDF">
          <w:rPr>
            <w:noProof/>
            <w:webHidden/>
          </w:rPr>
          <w:tab/>
        </w:r>
        <w:r w:rsidR="00547FDF">
          <w:rPr>
            <w:noProof/>
            <w:webHidden/>
          </w:rPr>
          <w:fldChar w:fldCharType="begin"/>
        </w:r>
        <w:r w:rsidR="00547FDF">
          <w:rPr>
            <w:noProof/>
            <w:webHidden/>
          </w:rPr>
          <w:instrText xml:space="preserve"> PAGEREF _Toc22331649 \h </w:instrText>
        </w:r>
        <w:r w:rsidR="00547FDF">
          <w:rPr>
            <w:noProof/>
            <w:webHidden/>
          </w:rPr>
        </w:r>
        <w:r w:rsidR="00547FDF">
          <w:rPr>
            <w:noProof/>
            <w:webHidden/>
          </w:rPr>
          <w:fldChar w:fldCharType="separate"/>
        </w:r>
        <w:r w:rsidR="0056454A">
          <w:rPr>
            <w:noProof/>
            <w:webHidden/>
          </w:rPr>
          <w:t>19</w:t>
        </w:r>
        <w:r w:rsidR="00547FDF">
          <w:rPr>
            <w:noProof/>
            <w:webHidden/>
          </w:rPr>
          <w:fldChar w:fldCharType="end"/>
        </w:r>
      </w:hyperlink>
    </w:p>
    <w:p w14:paraId="7A1AE472" w14:textId="4A92F502" w:rsidR="00547FDF" w:rsidRDefault="00B76C18">
      <w:pPr>
        <w:pStyle w:val="TOC3"/>
        <w:tabs>
          <w:tab w:val="right" w:leader="dot" w:pos="7910"/>
        </w:tabs>
        <w:rPr>
          <w:rFonts w:eastAsiaTheme="minorEastAsia"/>
          <w:noProof/>
          <w:lang w:val="en-GB" w:eastAsia="en-GB"/>
        </w:rPr>
      </w:pPr>
      <w:hyperlink w:anchor="_Toc22331650" w:history="1">
        <w:r w:rsidR="00547FDF" w:rsidRPr="0092620E">
          <w:rPr>
            <w:rStyle w:val="Hyperlink"/>
            <w:noProof/>
          </w:rPr>
          <w:t>1.5.6. Chapter 7: Conclusion, limitations, and scope for future research</w:t>
        </w:r>
        <w:r w:rsidR="00547FDF">
          <w:rPr>
            <w:noProof/>
            <w:webHidden/>
          </w:rPr>
          <w:tab/>
        </w:r>
        <w:r w:rsidR="00547FDF">
          <w:rPr>
            <w:noProof/>
            <w:webHidden/>
          </w:rPr>
          <w:fldChar w:fldCharType="begin"/>
        </w:r>
        <w:r w:rsidR="00547FDF">
          <w:rPr>
            <w:noProof/>
            <w:webHidden/>
          </w:rPr>
          <w:instrText xml:space="preserve"> PAGEREF _Toc22331650 \h </w:instrText>
        </w:r>
        <w:r w:rsidR="00547FDF">
          <w:rPr>
            <w:noProof/>
            <w:webHidden/>
          </w:rPr>
        </w:r>
        <w:r w:rsidR="00547FDF">
          <w:rPr>
            <w:noProof/>
            <w:webHidden/>
          </w:rPr>
          <w:fldChar w:fldCharType="separate"/>
        </w:r>
        <w:r w:rsidR="0056454A">
          <w:rPr>
            <w:noProof/>
            <w:webHidden/>
          </w:rPr>
          <w:t>19</w:t>
        </w:r>
        <w:r w:rsidR="00547FDF">
          <w:rPr>
            <w:noProof/>
            <w:webHidden/>
          </w:rPr>
          <w:fldChar w:fldCharType="end"/>
        </w:r>
      </w:hyperlink>
    </w:p>
    <w:p w14:paraId="74BAE45E" w14:textId="2260E601" w:rsidR="00547FDF" w:rsidRDefault="00B76C18">
      <w:pPr>
        <w:pStyle w:val="TOC1"/>
        <w:rPr>
          <w:rFonts w:eastAsiaTheme="minorEastAsia"/>
          <w:b w:val="0"/>
          <w:noProof/>
          <w:sz w:val="22"/>
          <w:szCs w:val="22"/>
          <w:lang w:val="en-GB" w:eastAsia="en-GB"/>
        </w:rPr>
      </w:pPr>
      <w:hyperlink w:anchor="_Toc22331651" w:history="1">
        <w:r w:rsidR="00547FDF" w:rsidRPr="0092620E">
          <w:rPr>
            <w:rStyle w:val="Hyperlink"/>
            <w:noProof/>
            <w:lang w:bidi="en-US"/>
          </w:rPr>
          <w:t>CHAPTER 2: LITERATURE REVIEW</w:t>
        </w:r>
        <w:r w:rsidR="00547FDF">
          <w:rPr>
            <w:noProof/>
            <w:webHidden/>
          </w:rPr>
          <w:tab/>
        </w:r>
        <w:r w:rsidR="00547FDF">
          <w:rPr>
            <w:noProof/>
            <w:webHidden/>
          </w:rPr>
          <w:fldChar w:fldCharType="begin"/>
        </w:r>
        <w:r w:rsidR="00547FDF">
          <w:rPr>
            <w:noProof/>
            <w:webHidden/>
          </w:rPr>
          <w:instrText xml:space="preserve"> PAGEREF _Toc22331651 \h </w:instrText>
        </w:r>
        <w:r w:rsidR="00547FDF">
          <w:rPr>
            <w:noProof/>
            <w:webHidden/>
          </w:rPr>
        </w:r>
        <w:r w:rsidR="00547FDF">
          <w:rPr>
            <w:noProof/>
            <w:webHidden/>
          </w:rPr>
          <w:fldChar w:fldCharType="separate"/>
        </w:r>
        <w:r w:rsidR="0056454A">
          <w:rPr>
            <w:noProof/>
            <w:webHidden/>
          </w:rPr>
          <w:t>20</w:t>
        </w:r>
        <w:r w:rsidR="00547FDF">
          <w:rPr>
            <w:noProof/>
            <w:webHidden/>
          </w:rPr>
          <w:fldChar w:fldCharType="end"/>
        </w:r>
      </w:hyperlink>
    </w:p>
    <w:p w14:paraId="40D7ED33" w14:textId="47837F76" w:rsidR="00547FDF" w:rsidRDefault="00B76C18">
      <w:pPr>
        <w:pStyle w:val="TOC2"/>
        <w:rPr>
          <w:rFonts w:eastAsiaTheme="minorEastAsia"/>
          <w:b w:val="0"/>
          <w:noProof/>
          <w:lang w:val="en-GB" w:eastAsia="en-GB"/>
        </w:rPr>
      </w:pPr>
      <w:hyperlink w:anchor="_Toc22331652" w:history="1">
        <w:r w:rsidR="00547FDF" w:rsidRPr="0092620E">
          <w:rPr>
            <w:rStyle w:val="Hyperlink"/>
            <w:noProof/>
            <w:lang w:bidi="en-US"/>
          </w:rPr>
          <w:t>2.1. Introduction</w:t>
        </w:r>
        <w:r w:rsidR="00547FDF">
          <w:rPr>
            <w:noProof/>
            <w:webHidden/>
          </w:rPr>
          <w:tab/>
        </w:r>
        <w:r w:rsidR="00547FDF">
          <w:rPr>
            <w:noProof/>
            <w:webHidden/>
          </w:rPr>
          <w:fldChar w:fldCharType="begin"/>
        </w:r>
        <w:r w:rsidR="00547FDF">
          <w:rPr>
            <w:noProof/>
            <w:webHidden/>
          </w:rPr>
          <w:instrText xml:space="preserve"> PAGEREF _Toc22331652 \h </w:instrText>
        </w:r>
        <w:r w:rsidR="00547FDF">
          <w:rPr>
            <w:noProof/>
            <w:webHidden/>
          </w:rPr>
        </w:r>
        <w:r w:rsidR="00547FDF">
          <w:rPr>
            <w:noProof/>
            <w:webHidden/>
          </w:rPr>
          <w:fldChar w:fldCharType="separate"/>
        </w:r>
        <w:r w:rsidR="0056454A">
          <w:rPr>
            <w:noProof/>
            <w:webHidden/>
          </w:rPr>
          <w:t>20</w:t>
        </w:r>
        <w:r w:rsidR="00547FDF">
          <w:rPr>
            <w:noProof/>
            <w:webHidden/>
          </w:rPr>
          <w:fldChar w:fldCharType="end"/>
        </w:r>
      </w:hyperlink>
    </w:p>
    <w:p w14:paraId="36B38B87" w14:textId="75AA322C" w:rsidR="00547FDF" w:rsidRDefault="00B76C18">
      <w:pPr>
        <w:pStyle w:val="TOC2"/>
        <w:rPr>
          <w:rFonts w:eastAsiaTheme="minorEastAsia"/>
          <w:b w:val="0"/>
          <w:noProof/>
          <w:lang w:val="en-GB" w:eastAsia="en-GB"/>
        </w:rPr>
      </w:pPr>
      <w:hyperlink w:anchor="_Toc22331653" w:history="1">
        <w:r w:rsidR="00547FDF" w:rsidRPr="0092620E">
          <w:rPr>
            <w:rStyle w:val="Hyperlink"/>
            <w:noProof/>
            <w:lang w:bidi="en-US"/>
          </w:rPr>
          <w:t>2.2. Knowledge and Knowledge Management</w:t>
        </w:r>
        <w:r w:rsidR="00547FDF">
          <w:rPr>
            <w:noProof/>
            <w:webHidden/>
          </w:rPr>
          <w:tab/>
        </w:r>
        <w:r w:rsidR="00547FDF">
          <w:rPr>
            <w:noProof/>
            <w:webHidden/>
          </w:rPr>
          <w:fldChar w:fldCharType="begin"/>
        </w:r>
        <w:r w:rsidR="00547FDF">
          <w:rPr>
            <w:noProof/>
            <w:webHidden/>
          </w:rPr>
          <w:instrText xml:space="preserve"> PAGEREF _Toc22331653 \h </w:instrText>
        </w:r>
        <w:r w:rsidR="00547FDF">
          <w:rPr>
            <w:noProof/>
            <w:webHidden/>
          </w:rPr>
        </w:r>
        <w:r w:rsidR="00547FDF">
          <w:rPr>
            <w:noProof/>
            <w:webHidden/>
          </w:rPr>
          <w:fldChar w:fldCharType="separate"/>
        </w:r>
        <w:r w:rsidR="0056454A">
          <w:rPr>
            <w:noProof/>
            <w:webHidden/>
          </w:rPr>
          <w:t>20</w:t>
        </w:r>
        <w:r w:rsidR="00547FDF">
          <w:rPr>
            <w:noProof/>
            <w:webHidden/>
          </w:rPr>
          <w:fldChar w:fldCharType="end"/>
        </w:r>
      </w:hyperlink>
    </w:p>
    <w:p w14:paraId="20FC9742" w14:textId="72EFA137" w:rsidR="00547FDF" w:rsidRDefault="00B76C18">
      <w:pPr>
        <w:pStyle w:val="TOC2"/>
        <w:rPr>
          <w:rFonts w:eastAsiaTheme="minorEastAsia"/>
          <w:b w:val="0"/>
          <w:noProof/>
          <w:lang w:val="en-GB" w:eastAsia="en-GB"/>
        </w:rPr>
      </w:pPr>
      <w:hyperlink w:anchor="_Toc22331654" w:history="1">
        <w:r w:rsidR="00547FDF" w:rsidRPr="0092620E">
          <w:rPr>
            <w:rStyle w:val="Hyperlink"/>
            <w:noProof/>
            <w:lang w:bidi="en-US"/>
          </w:rPr>
          <w:t>2.3. Knowledge Management in Public Sector Organizations</w:t>
        </w:r>
        <w:r w:rsidR="00547FDF">
          <w:rPr>
            <w:noProof/>
            <w:webHidden/>
          </w:rPr>
          <w:tab/>
        </w:r>
        <w:r w:rsidR="00547FDF">
          <w:rPr>
            <w:noProof/>
            <w:webHidden/>
          </w:rPr>
          <w:fldChar w:fldCharType="begin"/>
        </w:r>
        <w:r w:rsidR="00547FDF">
          <w:rPr>
            <w:noProof/>
            <w:webHidden/>
          </w:rPr>
          <w:instrText xml:space="preserve"> PAGEREF _Toc22331654 \h </w:instrText>
        </w:r>
        <w:r w:rsidR="00547FDF">
          <w:rPr>
            <w:noProof/>
            <w:webHidden/>
          </w:rPr>
        </w:r>
        <w:r w:rsidR="00547FDF">
          <w:rPr>
            <w:noProof/>
            <w:webHidden/>
          </w:rPr>
          <w:fldChar w:fldCharType="separate"/>
        </w:r>
        <w:r w:rsidR="0056454A">
          <w:rPr>
            <w:noProof/>
            <w:webHidden/>
          </w:rPr>
          <w:t>24</w:t>
        </w:r>
        <w:r w:rsidR="00547FDF">
          <w:rPr>
            <w:noProof/>
            <w:webHidden/>
          </w:rPr>
          <w:fldChar w:fldCharType="end"/>
        </w:r>
      </w:hyperlink>
    </w:p>
    <w:p w14:paraId="154370F5" w14:textId="6422F294" w:rsidR="00547FDF" w:rsidRDefault="00B76C18">
      <w:pPr>
        <w:pStyle w:val="TOC2"/>
        <w:rPr>
          <w:rFonts w:eastAsiaTheme="minorEastAsia"/>
          <w:b w:val="0"/>
          <w:noProof/>
          <w:lang w:val="en-GB" w:eastAsia="en-GB"/>
        </w:rPr>
      </w:pPr>
      <w:hyperlink w:anchor="_Toc22331655" w:history="1">
        <w:r w:rsidR="00547FDF" w:rsidRPr="0092620E">
          <w:rPr>
            <w:rStyle w:val="Hyperlink"/>
            <w:noProof/>
            <w:lang w:bidi="en-US"/>
          </w:rPr>
          <w:t>2.4. Knowledge Management Benefits</w:t>
        </w:r>
        <w:r w:rsidR="00547FDF">
          <w:rPr>
            <w:noProof/>
            <w:webHidden/>
          </w:rPr>
          <w:tab/>
        </w:r>
        <w:r w:rsidR="00547FDF">
          <w:rPr>
            <w:noProof/>
            <w:webHidden/>
          </w:rPr>
          <w:fldChar w:fldCharType="begin"/>
        </w:r>
        <w:r w:rsidR="00547FDF">
          <w:rPr>
            <w:noProof/>
            <w:webHidden/>
          </w:rPr>
          <w:instrText xml:space="preserve"> PAGEREF _Toc22331655 \h </w:instrText>
        </w:r>
        <w:r w:rsidR="00547FDF">
          <w:rPr>
            <w:noProof/>
            <w:webHidden/>
          </w:rPr>
        </w:r>
        <w:r w:rsidR="00547FDF">
          <w:rPr>
            <w:noProof/>
            <w:webHidden/>
          </w:rPr>
          <w:fldChar w:fldCharType="separate"/>
        </w:r>
        <w:r w:rsidR="0056454A">
          <w:rPr>
            <w:noProof/>
            <w:webHidden/>
          </w:rPr>
          <w:t>26</w:t>
        </w:r>
        <w:r w:rsidR="00547FDF">
          <w:rPr>
            <w:noProof/>
            <w:webHidden/>
          </w:rPr>
          <w:fldChar w:fldCharType="end"/>
        </w:r>
      </w:hyperlink>
    </w:p>
    <w:p w14:paraId="57512066" w14:textId="7B3077C3" w:rsidR="00547FDF" w:rsidRDefault="00B76C18">
      <w:pPr>
        <w:pStyle w:val="TOC2"/>
        <w:rPr>
          <w:rFonts w:eastAsiaTheme="minorEastAsia"/>
          <w:b w:val="0"/>
          <w:noProof/>
          <w:lang w:val="en-GB" w:eastAsia="en-GB"/>
        </w:rPr>
      </w:pPr>
      <w:hyperlink w:anchor="_Toc22331656" w:history="1">
        <w:r w:rsidR="00547FDF" w:rsidRPr="0092620E">
          <w:rPr>
            <w:rStyle w:val="Hyperlink"/>
            <w:noProof/>
            <w:lang w:bidi="en-US"/>
          </w:rPr>
          <w:t>2.5. Organizational Learning</w:t>
        </w:r>
        <w:r w:rsidR="00547FDF">
          <w:rPr>
            <w:noProof/>
            <w:webHidden/>
          </w:rPr>
          <w:tab/>
        </w:r>
        <w:r w:rsidR="00547FDF">
          <w:rPr>
            <w:noProof/>
            <w:webHidden/>
          </w:rPr>
          <w:fldChar w:fldCharType="begin"/>
        </w:r>
        <w:r w:rsidR="00547FDF">
          <w:rPr>
            <w:noProof/>
            <w:webHidden/>
          </w:rPr>
          <w:instrText xml:space="preserve"> PAGEREF _Toc22331656 \h </w:instrText>
        </w:r>
        <w:r w:rsidR="00547FDF">
          <w:rPr>
            <w:noProof/>
            <w:webHidden/>
          </w:rPr>
        </w:r>
        <w:r w:rsidR="00547FDF">
          <w:rPr>
            <w:noProof/>
            <w:webHidden/>
          </w:rPr>
          <w:fldChar w:fldCharType="separate"/>
        </w:r>
        <w:r w:rsidR="0056454A">
          <w:rPr>
            <w:noProof/>
            <w:webHidden/>
          </w:rPr>
          <w:t>36</w:t>
        </w:r>
        <w:r w:rsidR="00547FDF">
          <w:rPr>
            <w:noProof/>
            <w:webHidden/>
          </w:rPr>
          <w:fldChar w:fldCharType="end"/>
        </w:r>
      </w:hyperlink>
    </w:p>
    <w:p w14:paraId="5E54C823" w14:textId="3BB6912F" w:rsidR="00547FDF" w:rsidRDefault="00B76C18">
      <w:pPr>
        <w:pStyle w:val="TOC3"/>
        <w:tabs>
          <w:tab w:val="right" w:leader="dot" w:pos="7910"/>
        </w:tabs>
        <w:rPr>
          <w:rFonts w:eastAsiaTheme="minorEastAsia"/>
          <w:noProof/>
          <w:lang w:val="en-GB" w:eastAsia="en-GB"/>
        </w:rPr>
      </w:pPr>
      <w:hyperlink w:anchor="_Toc22331657" w:history="1">
        <w:r w:rsidR="00547FDF" w:rsidRPr="0092620E">
          <w:rPr>
            <w:rStyle w:val="Hyperlink"/>
            <w:noProof/>
          </w:rPr>
          <w:t>2.5.1. Organizational learning characteristics.</w:t>
        </w:r>
        <w:r w:rsidR="00547FDF">
          <w:rPr>
            <w:noProof/>
            <w:webHidden/>
          </w:rPr>
          <w:tab/>
        </w:r>
        <w:r w:rsidR="00547FDF">
          <w:rPr>
            <w:noProof/>
            <w:webHidden/>
          </w:rPr>
          <w:fldChar w:fldCharType="begin"/>
        </w:r>
        <w:r w:rsidR="00547FDF">
          <w:rPr>
            <w:noProof/>
            <w:webHidden/>
          </w:rPr>
          <w:instrText xml:space="preserve"> PAGEREF _Toc22331657 \h </w:instrText>
        </w:r>
        <w:r w:rsidR="00547FDF">
          <w:rPr>
            <w:noProof/>
            <w:webHidden/>
          </w:rPr>
        </w:r>
        <w:r w:rsidR="00547FDF">
          <w:rPr>
            <w:noProof/>
            <w:webHidden/>
          </w:rPr>
          <w:fldChar w:fldCharType="separate"/>
        </w:r>
        <w:r w:rsidR="0056454A">
          <w:rPr>
            <w:noProof/>
            <w:webHidden/>
          </w:rPr>
          <w:t>37</w:t>
        </w:r>
        <w:r w:rsidR="00547FDF">
          <w:rPr>
            <w:noProof/>
            <w:webHidden/>
          </w:rPr>
          <w:fldChar w:fldCharType="end"/>
        </w:r>
      </w:hyperlink>
    </w:p>
    <w:p w14:paraId="758ED3CF" w14:textId="0006E6A1" w:rsidR="00547FDF" w:rsidRDefault="00B76C18">
      <w:pPr>
        <w:pStyle w:val="TOC3"/>
        <w:tabs>
          <w:tab w:val="right" w:leader="dot" w:pos="7910"/>
        </w:tabs>
        <w:rPr>
          <w:rFonts w:eastAsiaTheme="minorEastAsia"/>
          <w:noProof/>
          <w:lang w:val="en-GB" w:eastAsia="en-GB"/>
        </w:rPr>
      </w:pPr>
      <w:hyperlink w:anchor="_Toc22331658" w:history="1">
        <w:r w:rsidR="00547FDF" w:rsidRPr="0092620E">
          <w:rPr>
            <w:rStyle w:val="Hyperlink"/>
            <w:noProof/>
          </w:rPr>
          <w:t>2.5.2. Organizational learning stages</w:t>
        </w:r>
        <w:r w:rsidR="00547FDF">
          <w:rPr>
            <w:noProof/>
            <w:webHidden/>
          </w:rPr>
          <w:tab/>
        </w:r>
        <w:r w:rsidR="00547FDF">
          <w:rPr>
            <w:noProof/>
            <w:webHidden/>
          </w:rPr>
          <w:fldChar w:fldCharType="begin"/>
        </w:r>
        <w:r w:rsidR="00547FDF">
          <w:rPr>
            <w:noProof/>
            <w:webHidden/>
          </w:rPr>
          <w:instrText xml:space="preserve"> PAGEREF _Toc22331658 \h </w:instrText>
        </w:r>
        <w:r w:rsidR="00547FDF">
          <w:rPr>
            <w:noProof/>
            <w:webHidden/>
          </w:rPr>
        </w:r>
        <w:r w:rsidR="00547FDF">
          <w:rPr>
            <w:noProof/>
            <w:webHidden/>
          </w:rPr>
          <w:fldChar w:fldCharType="separate"/>
        </w:r>
        <w:r w:rsidR="0056454A">
          <w:rPr>
            <w:noProof/>
            <w:webHidden/>
          </w:rPr>
          <w:t>38</w:t>
        </w:r>
        <w:r w:rsidR="00547FDF">
          <w:rPr>
            <w:noProof/>
            <w:webHidden/>
          </w:rPr>
          <w:fldChar w:fldCharType="end"/>
        </w:r>
      </w:hyperlink>
    </w:p>
    <w:p w14:paraId="03609806" w14:textId="5611768D" w:rsidR="00547FDF" w:rsidRDefault="00B76C18">
      <w:pPr>
        <w:pStyle w:val="TOC2"/>
        <w:rPr>
          <w:rFonts w:eastAsiaTheme="minorEastAsia"/>
          <w:b w:val="0"/>
          <w:noProof/>
          <w:lang w:val="en-GB" w:eastAsia="en-GB"/>
        </w:rPr>
      </w:pPr>
      <w:hyperlink w:anchor="_Toc22331659" w:history="1">
        <w:r w:rsidR="00547FDF" w:rsidRPr="0092620E">
          <w:rPr>
            <w:rStyle w:val="Hyperlink"/>
            <w:noProof/>
            <w:lang w:bidi="en-US"/>
          </w:rPr>
          <w:t>2.6. Organizational Learning and Knowledge Management</w:t>
        </w:r>
        <w:r w:rsidR="00547FDF">
          <w:rPr>
            <w:noProof/>
            <w:webHidden/>
          </w:rPr>
          <w:tab/>
        </w:r>
        <w:r w:rsidR="00547FDF">
          <w:rPr>
            <w:noProof/>
            <w:webHidden/>
          </w:rPr>
          <w:fldChar w:fldCharType="begin"/>
        </w:r>
        <w:r w:rsidR="00547FDF">
          <w:rPr>
            <w:noProof/>
            <w:webHidden/>
          </w:rPr>
          <w:instrText xml:space="preserve"> PAGEREF _Toc22331659 \h </w:instrText>
        </w:r>
        <w:r w:rsidR="00547FDF">
          <w:rPr>
            <w:noProof/>
            <w:webHidden/>
          </w:rPr>
        </w:r>
        <w:r w:rsidR="00547FDF">
          <w:rPr>
            <w:noProof/>
            <w:webHidden/>
          </w:rPr>
          <w:fldChar w:fldCharType="separate"/>
        </w:r>
        <w:r w:rsidR="0056454A">
          <w:rPr>
            <w:noProof/>
            <w:webHidden/>
          </w:rPr>
          <w:t>38</w:t>
        </w:r>
        <w:r w:rsidR="00547FDF">
          <w:rPr>
            <w:noProof/>
            <w:webHidden/>
          </w:rPr>
          <w:fldChar w:fldCharType="end"/>
        </w:r>
      </w:hyperlink>
    </w:p>
    <w:p w14:paraId="2BB4E058" w14:textId="7C66CCAB" w:rsidR="00547FDF" w:rsidRDefault="00B76C18">
      <w:pPr>
        <w:pStyle w:val="TOC2"/>
        <w:rPr>
          <w:rFonts w:eastAsiaTheme="minorEastAsia"/>
          <w:b w:val="0"/>
          <w:noProof/>
          <w:lang w:val="en-GB" w:eastAsia="en-GB"/>
        </w:rPr>
      </w:pPr>
      <w:hyperlink w:anchor="_Toc22331660" w:history="1">
        <w:r w:rsidR="00547FDF" w:rsidRPr="0092620E">
          <w:rPr>
            <w:rStyle w:val="Hyperlink"/>
            <w:noProof/>
            <w:lang w:bidi="en-US"/>
          </w:rPr>
          <w:t>2.7. Knowledge Management Capabilities</w:t>
        </w:r>
        <w:r w:rsidR="00547FDF">
          <w:rPr>
            <w:noProof/>
            <w:webHidden/>
          </w:rPr>
          <w:tab/>
        </w:r>
        <w:r w:rsidR="00547FDF">
          <w:rPr>
            <w:noProof/>
            <w:webHidden/>
          </w:rPr>
          <w:fldChar w:fldCharType="begin"/>
        </w:r>
        <w:r w:rsidR="00547FDF">
          <w:rPr>
            <w:noProof/>
            <w:webHidden/>
          </w:rPr>
          <w:instrText xml:space="preserve"> PAGEREF _Toc22331660 \h </w:instrText>
        </w:r>
        <w:r w:rsidR="00547FDF">
          <w:rPr>
            <w:noProof/>
            <w:webHidden/>
          </w:rPr>
        </w:r>
        <w:r w:rsidR="00547FDF">
          <w:rPr>
            <w:noProof/>
            <w:webHidden/>
          </w:rPr>
          <w:fldChar w:fldCharType="separate"/>
        </w:r>
        <w:r w:rsidR="0056454A">
          <w:rPr>
            <w:noProof/>
            <w:webHidden/>
          </w:rPr>
          <w:t>41</w:t>
        </w:r>
        <w:r w:rsidR="00547FDF">
          <w:rPr>
            <w:noProof/>
            <w:webHidden/>
          </w:rPr>
          <w:fldChar w:fldCharType="end"/>
        </w:r>
      </w:hyperlink>
    </w:p>
    <w:p w14:paraId="550F525B" w14:textId="13433ED2" w:rsidR="00547FDF" w:rsidRDefault="00B76C18">
      <w:pPr>
        <w:pStyle w:val="TOC2"/>
        <w:rPr>
          <w:rFonts w:eastAsiaTheme="minorEastAsia"/>
          <w:b w:val="0"/>
          <w:noProof/>
          <w:lang w:val="en-GB" w:eastAsia="en-GB"/>
        </w:rPr>
      </w:pPr>
      <w:hyperlink w:anchor="_Toc22331661" w:history="1">
        <w:r w:rsidR="00547FDF" w:rsidRPr="0092620E">
          <w:rPr>
            <w:rStyle w:val="Hyperlink"/>
            <w:noProof/>
            <w:lang w:bidi="en-US"/>
          </w:rPr>
          <w:t>2.8. Human Resources Practices for Knowledge Sharing</w:t>
        </w:r>
        <w:r w:rsidR="00547FDF">
          <w:rPr>
            <w:noProof/>
            <w:webHidden/>
          </w:rPr>
          <w:tab/>
        </w:r>
        <w:r w:rsidR="00547FDF">
          <w:rPr>
            <w:noProof/>
            <w:webHidden/>
          </w:rPr>
          <w:fldChar w:fldCharType="begin"/>
        </w:r>
        <w:r w:rsidR="00547FDF">
          <w:rPr>
            <w:noProof/>
            <w:webHidden/>
          </w:rPr>
          <w:instrText xml:space="preserve"> PAGEREF _Toc22331661 \h </w:instrText>
        </w:r>
        <w:r w:rsidR="00547FDF">
          <w:rPr>
            <w:noProof/>
            <w:webHidden/>
          </w:rPr>
        </w:r>
        <w:r w:rsidR="00547FDF">
          <w:rPr>
            <w:noProof/>
            <w:webHidden/>
          </w:rPr>
          <w:fldChar w:fldCharType="separate"/>
        </w:r>
        <w:r w:rsidR="0056454A">
          <w:rPr>
            <w:noProof/>
            <w:webHidden/>
          </w:rPr>
          <w:t>42</w:t>
        </w:r>
        <w:r w:rsidR="00547FDF">
          <w:rPr>
            <w:noProof/>
            <w:webHidden/>
          </w:rPr>
          <w:fldChar w:fldCharType="end"/>
        </w:r>
      </w:hyperlink>
    </w:p>
    <w:p w14:paraId="47D7445A" w14:textId="1DD330C7" w:rsidR="00547FDF" w:rsidRDefault="00B76C18">
      <w:pPr>
        <w:pStyle w:val="TOC2"/>
        <w:rPr>
          <w:rFonts w:eastAsiaTheme="minorEastAsia"/>
          <w:b w:val="0"/>
          <w:noProof/>
          <w:lang w:val="en-GB" w:eastAsia="en-GB"/>
        </w:rPr>
      </w:pPr>
      <w:hyperlink w:anchor="_Toc22331662" w:history="1">
        <w:r w:rsidR="00547FDF" w:rsidRPr="0092620E">
          <w:rPr>
            <w:rStyle w:val="Hyperlink"/>
            <w:noProof/>
            <w:lang w:bidi="en-US"/>
          </w:rPr>
          <w:t>2.9 Conclusion</w:t>
        </w:r>
        <w:r w:rsidR="00547FDF">
          <w:rPr>
            <w:noProof/>
            <w:webHidden/>
          </w:rPr>
          <w:tab/>
        </w:r>
        <w:r w:rsidR="00547FDF">
          <w:rPr>
            <w:noProof/>
            <w:webHidden/>
          </w:rPr>
          <w:fldChar w:fldCharType="begin"/>
        </w:r>
        <w:r w:rsidR="00547FDF">
          <w:rPr>
            <w:noProof/>
            <w:webHidden/>
          </w:rPr>
          <w:instrText xml:space="preserve"> PAGEREF _Toc22331662 \h </w:instrText>
        </w:r>
        <w:r w:rsidR="00547FDF">
          <w:rPr>
            <w:noProof/>
            <w:webHidden/>
          </w:rPr>
        </w:r>
        <w:r w:rsidR="00547FDF">
          <w:rPr>
            <w:noProof/>
            <w:webHidden/>
          </w:rPr>
          <w:fldChar w:fldCharType="separate"/>
        </w:r>
        <w:r w:rsidR="0056454A">
          <w:rPr>
            <w:noProof/>
            <w:webHidden/>
          </w:rPr>
          <w:t>44</w:t>
        </w:r>
        <w:r w:rsidR="00547FDF">
          <w:rPr>
            <w:noProof/>
            <w:webHidden/>
          </w:rPr>
          <w:fldChar w:fldCharType="end"/>
        </w:r>
      </w:hyperlink>
    </w:p>
    <w:p w14:paraId="2865FBA0" w14:textId="32611985" w:rsidR="00547FDF" w:rsidRDefault="00B76C18">
      <w:pPr>
        <w:pStyle w:val="TOC2"/>
        <w:rPr>
          <w:rFonts w:eastAsiaTheme="minorEastAsia"/>
          <w:b w:val="0"/>
          <w:noProof/>
          <w:lang w:val="en-GB" w:eastAsia="en-GB"/>
        </w:rPr>
      </w:pPr>
      <w:hyperlink w:anchor="_Toc22331663" w:history="1">
        <w:r w:rsidR="00547FDF" w:rsidRPr="0092620E">
          <w:rPr>
            <w:rStyle w:val="Hyperlink"/>
            <w:noProof/>
            <w:lang w:bidi="en-US"/>
          </w:rPr>
          <w:t>CHAPTER 3: THEORETICAL FRAMEWORK AND HYPOTHESIS DEVELOPMENT</w:t>
        </w:r>
        <w:r w:rsidR="00547FDF">
          <w:rPr>
            <w:noProof/>
            <w:webHidden/>
          </w:rPr>
          <w:tab/>
        </w:r>
        <w:r w:rsidR="00547FDF">
          <w:rPr>
            <w:noProof/>
            <w:webHidden/>
          </w:rPr>
          <w:fldChar w:fldCharType="begin"/>
        </w:r>
        <w:r w:rsidR="00547FDF">
          <w:rPr>
            <w:noProof/>
            <w:webHidden/>
          </w:rPr>
          <w:instrText xml:space="preserve"> PAGEREF _Toc22331663 \h </w:instrText>
        </w:r>
        <w:r w:rsidR="00547FDF">
          <w:rPr>
            <w:noProof/>
            <w:webHidden/>
          </w:rPr>
        </w:r>
        <w:r w:rsidR="00547FDF">
          <w:rPr>
            <w:noProof/>
            <w:webHidden/>
          </w:rPr>
          <w:fldChar w:fldCharType="separate"/>
        </w:r>
        <w:r w:rsidR="0056454A">
          <w:rPr>
            <w:noProof/>
            <w:webHidden/>
          </w:rPr>
          <w:t>45</w:t>
        </w:r>
        <w:r w:rsidR="00547FDF">
          <w:rPr>
            <w:noProof/>
            <w:webHidden/>
          </w:rPr>
          <w:fldChar w:fldCharType="end"/>
        </w:r>
      </w:hyperlink>
    </w:p>
    <w:p w14:paraId="6B72F52D" w14:textId="0C3503C8" w:rsidR="00547FDF" w:rsidRDefault="00B76C18">
      <w:pPr>
        <w:pStyle w:val="TOC2"/>
        <w:rPr>
          <w:rFonts w:eastAsiaTheme="minorEastAsia"/>
          <w:b w:val="0"/>
          <w:noProof/>
          <w:lang w:val="en-GB" w:eastAsia="en-GB"/>
        </w:rPr>
      </w:pPr>
      <w:hyperlink w:anchor="_Toc22331664" w:history="1">
        <w:r w:rsidR="00547FDF" w:rsidRPr="0092620E">
          <w:rPr>
            <w:rStyle w:val="Hyperlink"/>
            <w:noProof/>
            <w:lang w:bidi="en-US"/>
          </w:rPr>
          <w:t>3.1. Knowledge Management Benefits Theories.</w:t>
        </w:r>
        <w:r w:rsidR="00547FDF">
          <w:rPr>
            <w:noProof/>
            <w:webHidden/>
          </w:rPr>
          <w:tab/>
        </w:r>
        <w:r w:rsidR="00547FDF">
          <w:rPr>
            <w:noProof/>
            <w:webHidden/>
          </w:rPr>
          <w:fldChar w:fldCharType="begin"/>
        </w:r>
        <w:r w:rsidR="00547FDF">
          <w:rPr>
            <w:noProof/>
            <w:webHidden/>
          </w:rPr>
          <w:instrText xml:space="preserve"> PAGEREF _Toc22331664 \h </w:instrText>
        </w:r>
        <w:r w:rsidR="00547FDF">
          <w:rPr>
            <w:noProof/>
            <w:webHidden/>
          </w:rPr>
        </w:r>
        <w:r w:rsidR="00547FDF">
          <w:rPr>
            <w:noProof/>
            <w:webHidden/>
          </w:rPr>
          <w:fldChar w:fldCharType="separate"/>
        </w:r>
        <w:r w:rsidR="0056454A">
          <w:rPr>
            <w:noProof/>
            <w:webHidden/>
          </w:rPr>
          <w:t>45</w:t>
        </w:r>
        <w:r w:rsidR="00547FDF">
          <w:rPr>
            <w:noProof/>
            <w:webHidden/>
          </w:rPr>
          <w:fldChar w:fldCharType="end"/>
        </w:r>
      </w:hyperlink>
    </w:p>
    <w:p w14:paraId="3434A733" w14:textId="6754FC04" w:rsidR="00547FDF" w:rsidRDefault="00B76C18">
      <w:pPr>
        <w:pStyle w:val="TOC2"/>
        <w:rPr>
          <w:rFonts w:eastAsiaTheme="minorEastAsia"/>
          <w:b w:val="0"/>
          <w:noProof/>
          <w:lang w:val="en-GB" w:eastAsia="en-GB"/>
        </w:rPr>
      </w:pPr>
      <w:hyperlink w:anchor="_Toc22331665" w:history="1">
        <w:r w:rsidR="00547FDF" w:rsidRPr="0092620E">
          <w:rPr>
            <w:rStyle w:val="Hyperlink"/>
            <w:noProof/>
            <w:lang w:bidi="en-US"/>
          </w:rPr>
          <w:t>3.2. Knowledge Management Capabilities and Benefits</w:t>
        </w:r>
        <w:r w:rsidR="00547FDF">
          <w:rPr>
            <w:noProof/>
            <w:webHidden/>
          </w:rPr>
          <w:tab/>
        </w:r>
        <w:r w:rsidR="00547FDF">
          <w:rPr>
            <w:noProof/>
            <w:webHidden/>
          </w:rPr>
          <w:fldChar w:fldCharType="begin"/>
        </w:r>
        <w:r w:rsidR="00547FDF">
          <w:rPr>
            <w:noProof/>
            <w:webHidden/>
          </w:rPr>
          <w:instrText xml:space="preserve"> PAGEREF _Toc22331665 \h </w:instrText>
        </w:r>
        <w:r w:rsidR="00547FDF">
          <w:rPr>
            <w:noProof/>
            <w:webHidden/>
          </w:rPr>
        </w:r>
        <w:r w:rsidR="00547FDF">
          <w:rPr>
            <w:noProof/>
            <w:webHidden/>
          </w:rPr>
          <w:fldChar w:fldCharType="separate"/>
        </w:r>
        <w:r w:rsidR="0056454A">
          <w:rPr>
            <w:noProof/>
            <w:webHidden/>
          </w:rPr>
          <w:t>47</w:t>
        </w:r>
        <w:r w:rsidR="00547FDF">
          <w:rPr>
            <w:noProof/>
            <w:webHidden/>
          </w:rPr>
          <w:fldChar w:fldCharType="end"/>
        </w:r>
      </w:hyperlink>
    </w:p>
    <w:p w14:paraId="62FF2013" w14:textId="04DD6DFE" w:rsidR="00547FDF" w:rsidRDefault="00B76C18">
      <w:pPr>
        <w:pStyle w:val="TOC2"/>
        <w:rPr>
          <w:rFonts w:eastAsiaTheme="minorEastAsia"/>
          <w:b w:val="0"/>
          <w:noProof/>
          <w:lang w:val="en-GB" w:eastAsia="en-GB"/>
        </w:rPr>
      </w:pPr>
      <w:hyperlink w:anchor="_Toc22331666" w:history="1">
        <w:r w:rsidR="00547FDF" w:rsidRPr="0092620E">
          <w:rPr>
            <w:rStyle w:val="Hyperlink"/>
            <w:noProof/>
            <w:lang w:bidi="en-US"/>
          </w:rPr>
          <w:t>3.3. HR practices for Knowledge Sharing and Knowledge Management Benefits</w:t>
        </w:r>
        <w:r w:rsidR="00547FDF">
          <w:rPr>
            <w:noProof/>
            <w:webHidden/>
          </w:rPr>
          <w:tab/>
        </w:r>
        <w:r w:rsidR="00547FDF">
          <w:rPr>
            <w:noProof/>
            <w:webHidden/>
          </w:rPr>
          <w:fldChar w:fldCharType="begin"/>
        </w:r>
        <w:r w:rsidR="00547FDF">
          <w:rPr>
            <w:noProof/>
            <w:webHidden/>
          </w:rPr>
          <w:instrText xml:space="preserve"> PAGEREF _Toc22331666 \h </w:instrText>
        </w:r>
        <w:r w:rsidR="00547FDF">
          <w:rPr>
            <w:noProof/>
            <w:webHidden/>
          </w:rPr>
        </w:r>
        <w:r w:rsidR="00547FDF">
          <w:rPr>
            <w:noProof/>
            <w:webHidden/>
          </w:rPr>
          <w:fldChar w:fldCharType="separate"/>
        </w:r>
        <w:r w:rsidR="0056454A">
          <w:rPr>
            <w:noProof/>
            <w:webHidden/>
          </w:rPr>
          <w:t>49</w:t>
        </w:r>
        <w:r w:rsidR="00547FDF">
          <w:rPr>
            <w:noProof/>
            <w:webHidden/>
          </w:rPr>
          <w:fldChar w:fldCharType="end"/>
        </w:r>
      </w:hyperlink>
    </w:p>
    <w:p w14:paraId="707E5CDB" w14:textId="16F7C3AD" w:rsidR="00547FDF" w:rsidRDefault="00B76C18">
      <w:pPr>
        <w:pStyle w:val="TOC3"/>
        <w:tabs>
          <w:tab w:val="right" w:leader="dot" w:pos="7910"/>
        </w:tabs>
        <w:rPr>
          <w:rFonts w:eastAsiaTheme="minorEastAsia"/>
          <w:noProof/>
          <w:lang w:val="en-GB" w:eastAsia="en-GB"/>
        </w:rPr>
      </w:pPr>
      <w:hyperlink w:anchor="_Toc22331667" w:history="1">
        <w:r w:rsidR="00547FDF" w:rsidRPr="0092620E">
          <w:rPr>
            <w:rStyle w:val="Hyperlink"/>
            <w:noProof/>
          </w:rPr>
          <w:t>3.3.1. Motivation-enhancing HR practices and knowledge management benefits.</w:t>
        </w:r>
        <w:r w:rsidR="00547FDF">
          <w:rPr>
            <w:noProof/>
            <w:webHidden/>
          </w:rPr>
          <w:tab/>
        </w:r>
        <w:r w:rsidR="00547FDF">
          <w:rPr>
            <w:noProof/>
            <w:webHidden/>
          </w:rPr>
          <w:fldChar w:fldCharType="begin"/>
        </w:r>
        <w:r w:rsidR="00547FDF">
          <w:rPr>
            <w:noProof/>
            <w:webHidden/>
          </w:rPr>
          <w:instrText xml:space="preserve"> PAGEREF _Toc22331667 \h </w:instrText>
        </w:r>
        <w:r w:rsidR="00547FDF">
          <w:rPr>
            <w:noProof/>
            <w:webHidden/>
          </w:rPr>
        </w:r>
        <w:r w:rsidR="00547FDF">
          <w:rPr>
            <w:noProof/>
            <w:webHidden/>
          </w:rPr>
          <w:fldChar w:fldCharType="separate"/>
        </w:r>
        <w:r w:rsidR="0056454A">
          <w:rPr>
            <w:noProof/>
            <w:webHidden/>
          </w:rPr>
          <w:t>51</w:t>
        </w:r>
        <w:r w:rsidR="00547FDF">
          <w:rPr>
            <w:noProof/>
            <w:webHidden/>
          </w:rPr>
          <w:fldChar w:fldCharType="end"/>
        </w:r>
      </w:hyperlink>
    </w:p>
    <w:p w14:paraId="3ABD233D" w14:textId="5F259B3D" w:rsidR="00547FDF" w:rsidRDefault="00B76C18">
      <w:pPr>
        <w:pStyle w:val="TOC3"/>
        <w:tabs>
          <w:tab w:val="right" w:leader="dot" w:pos="7910"/>
        </w:tabs>
        <w:rPr>
          <w:rFonts w:eastAsiaTheme="minorEastAsia"/>
          <w:noProof/>
          <w:lang w:val="en-GB" w:eastAsia="en-GB"/>
        </w:rPr>
      </w:pPr>
      <w:hyperlink w:anchor="_Toc22331668" w:history="1">
        <w:r w:rsidR="00547FDF" w:rsidRPr="0092620E">
          <w:rPr>
            <w:rStyle w:val="Hyperlink"/>
            <w:noProof/>
          </w:rPr>
          <w:t>3.3.2. Opportunity-enhancing HR practices and knowledge management benefits</w:t>
        </w:r>
        <w:r w:rsidR="00547FDF">
          <w:rPr>
            <w:noProof/>
            <w:webHidden/>
          </w:rPr>
          <w:tab/>
        </w:r>
        <w:r w:rsidR="00547FDF">
          <w:rPr>
            <w:noProof/>
            <w:webHidden/>
          </w:rPr>
          <w:fldChar w:fldCharType="begin"/>
        </w:r>
        <w:r w:rsidR="00547FDF">
          <w:rPr>
            <w:noProof/>
            <w:webHidden/>
          </w:rPr>
          <w:instrText xml:space="preserve"> PAGEREF _Toc22331668 \h </w:instrText>
        </w:r>
        <w:r w:rsidR="00547FDF">
          <w:rPr>
            <w:noProof/>
            <w:webHidden/>
          </w:rPr>
        </w:r>
        <w:r w:rsidR="00547FDF">
          <w:rPr>
            <w:noProof/>
            <w:webHidden/>
          </w:rPr>
          <w:fldChar w:fldCharType="separate"/>
        </w:r>
        <w:r w:rsidR="0056454A">
          <w:rPr>
            <w:noProof/>
            <w:webHidden/>
          </w:rPr>
          <w:t>56</w:t>
        </w:r>
        <w:r w:rsidR="00547FDF">
          <w:rPr>
            <w:noProof/>
            <w:webHidden/>
          </w:rPr>
          <w:fldChar w:fldCharType="end"/>
        </w:r>
      </w:hyperlink>
    </w:p>
    <w:p w14:paraId="04FDA15F" w14:textId="1CBDC8C7" w:rsidR="00547FDF" w:rsidRDefault="00B76C18">
      <w:pPr>
        <w:pStyle w:val="TOC3"/>
        <w:tabs>
          <w:tab w:val="right" w:leader="dot" w:pos="7910"/>
        </w:tabs>
        <w:rPr>
          <w:rFonts w:eastAsiaTheme="minorEastAsia"/>
          <w:noProof/>
          <w:lang w:val="en-GB" w:eastAsia="en-GB"/>
        </w:rPr>
      </w:pPr>
      <w:hyperlink w:anchor="_Toc22331669" w:history="1">
        <w:r w:rsidR="00547FDF" w:rsidRPr="0092620E">
          <w:rPr>
            <w:rStyle w:val="Hyperlink"/>
            <w:noProof/>
          </w:rPr>
          <w:t>3.3.3. Ability-enhancing HR practices and knowledge management benefits.</w:t>
        </w:r>
        <w:r w:rsidR="00547FDF">
          <w:rPr>
            <w:noProof/>
            <w:webHidden/>
          </w:rPr>
          <w:tab/>
        </w:r>
        <w:r w:rsidR="00547FDF">
          <w:rPr>
            <w:noProof/>
            <w:webHidden/>
          </w:rPr>
          <w:fldChar w:fldCharType="begin"/>
        </w:r>
        <w:r w:rsidR="00547FDF">
          <w:rPr>
            <w:noProof/>
            <w:webHidden/>
          </w:rPr>
          <w:instrText xml:space="preserve"> PAGEREF _Toc22331669 \h </w:instrText>
        </w:r>
        <w:r w:rsidR="00547FDF">
          <w:rPr>
            <w:noProof/>
            <w:webHidden/>
          </w:rPr>
        </w:r>
        <w:r w:rsidR="00547FDF">
          <w:rPr>
            <w:noProof/>
            <w:webHidden/>
          </w:rPr>
          <w:fldChar w:fldCharType="separate"/>
        </w:r>
        <w:r w:rsidR="0056454A">
          <w:rPr>
            <w:noProof/>
            <w:webHidden/>
          </w:rPr>
          <w:t>57</w:t>
        </w:r>
        <w:r w:rsidR="00547FDF">
          <w:rPr>
            <w:noProof/>
            <w:webHidden/>
          </w:rPr>
          <w:fldChar w:fldCharType="end"/>
        </w:r>
      </w:hyperlink>
    </w:p>
    <w:p w14:paraId="1124748F" w14:textId="631622F8" w:rsidR="00547FDF" w:rsidRDefault="00B76C18">
      <w:pPr>
        <w:pStyle w:val="TOC2"/>
        <w:rPr>
          <w:rFonts w:eastAsiaTheme="minorEastAsia"/>
          <w:b w:val="0"/>
          <w:noProof/>
          <w:lang w:val="en-GB" w:eastAsia="en-GB"/>
        </w:rPr>
      </w:pPr>
      <w:hyperlink w:anchor="_Toc22331670" w:history="1">
        <w:r w:rsidR="00547FDF" w:rsidRPr="0092620E">
          <w:rPr>
            <w:rStyle w:val="Hyperlink"/>
            <w:noProof/>
            <w:lang w:bidi="en-US"/>
          </w:rPr>
          <w:t>3.4. Organizational Learning and Knowledge Management Benefits</w:t>
        </w:r>
        <w:r w:rsidR="00547FDF">
          <w:rPr>
            <w:noProof/>
            <w:webHidden/>
          </w:rPr>
          <w:tab/>
        </w:r>
        <w:r w:rsidR="00547FDF">
          <w:rPr>
            <w:noProof/>
            <w:webHidden/>
          </w:rPr>
          <w:fldChar w:fldCharType="begin"/>
        </w:r>
        <w:r w:rsidR="00547FDF">
          <w:rPr>
            <w:noProof/>
            <w:webHidden/>
          </w:rPr>
          <w:instrText xml:space="preserve"> PAGEREF _Toc22331670 \h </w:instrText>
        </w:r>
        <w:r w:rsidR="00547FDF">
          <w:rPr>
            <w:noProof/>
            <w:webHidden/>
          </w:rPr>
        </w:r>
        <w:r w:rsidR="00547FDF">
          <w:rPr>
            <w:noProof/>
            <w:webHidden/>
          </w:rPr>
          <w:fldChar w:fldCharType="separate"/>
        </w:r>
        <w:r w:rsidR="0056454A">
          <w:rPr>
            <w:noProof/>
            <w:webHidden/>
          </w:rPr>
          <w:t>59</w:t>
        </w:r>
        <w:r w:rsidR="00547FDF">
          <w:rPr>
            <w:noProof/>
            <w:webHidden/>
          </w:rPr>
          <w:fldChar w:fldCharType="end"/>
        </w:r>
      </w:hyperlink>
    </w:p>
    <w:p w14:paraId="3E984A85" w14:textId="12105688" w:rsidR="00547FDF" w:rsidRDefault="00B76C18">
      <w:pPr>
        <w:pStyle w:val="TOC2"/>
        <w:rPr>
          <w:rFonts w:eastAsiaTheme="minorEastAsia"/>
          <w:b w:val="0"/>
          <w:noProof/>
          <w:lang w:val="en-GB" w:eastAsia="en-GB"/>
        </w:rPr>
      </w:pPr>
      <w:hyperlink w:anchor="_Toc22331671" w:history="1">
        <w:r w:rsidR="00547FDF" w:rsidRPr="0092620E">
          <w:rPr>
            <w:rStyle w:val="Hyperlink"/>
            <w:noProof/>
            <w:lang w:bidi="en-US"/>
          </w:rPr>
          <w:t>3.5. Knowledge Management Capabilities, Organizational Learning, and Knowledge Management Benefits</w:t>
        </w:r>
        <w:r w:rsidR="00547FDF">
          <w:rPr>
            <w:noProof/>
            <w:webHidden/>
          </w:rPr>
          <w:tab/>
        </w:r>
        <w:r w:rsidR="00547FDF">
          <w:rPr>
            <w:noProof/>
            <w:webHidden/>
          </w:rPr>
          <w:fldChar w:fldCharType="begin"/>
        </w:r>
        <w:r w:rsidR="00547FDF">
          <w:rPr>
            <w:noProof/>
            <w:webHidden/>
          </w:rPr>
          <w:instrText xml:space="preserve"> PAGEREF _Toc22331671 \h </w:instrText>
        </w:r>
        <w:r w:rsidR="00547FDF">
          <w:rPr>
            <w:noProof/>
            <w:webHidden/>
          </w:rPr>
        </w:r>
        <w:r w:rsidR="00547FDF">
          <w:rPr>
            <w:noProof/>
            <w:webHidden/>
          </w:rPr>
          <w:fldChar w:fldCharType="separate"/>
        </w:r>
        <w:r w:rsidR="0056454A">
          <w:rPr>
            <w:noProof/>
            <w:webHidden/>
          </w:rPr>
          <w:t>61</w:t>
        </w:r>
        <w:r w:rsidR="00547FDF">
          <w:rPr>
            <w:noProof/>
            <w:webHidden/>
          </w:rPr>
          <w:fldChar w:fldCharType="end"/>
        </w:r>
      </w:hyperlink>
    </w:p>
    <w:p w14:paraId="736FAF79" w14:textId="1B252B32" w:rsidR="00547FDF" w:rsidRDefault="00B76C18">
      <w:pPr>
        <w:pStyle w:val="TOC2"/>
        <w:rPr>
          <w:rFonts w:eastAsiaTheme="minorEastAsia"/>
          <w:b w:val="0"/>
          <w:noProof/>
          <w:lang w:val="en-GB" w:eastAsia="en-GB"/>
        </w:rPr>
      </w:pPr>
      <w:hyperlink w:anchor="_Toc22331672" w:history="1">
        <w:r w:rsidR="00547FDF" w:rsidRPr="0092620E">
          <w:rPr>
            <w:rStyle w:val="Hyperlink"/>
            <w:noProof/>
            <w:lang w:bidi="en-US"/>
          </w:rPr>
          <w:t>3.6. HR Practices for Knowledge Sharing, Organizational Learning, and Knowledge Management Benefits</w:t>
        </w:r>
        <w:r w:rsidR="00547FDF">
          <w:rPr>
            <w:noProof/>
            <w:webHidden/>
          </w:rPr>
          <w:tab/>
        </w:r>
        <w:r w:rsidR="00547FDF">
          <w:rPr>
            <w:noProof/>
            <w:webHidden/>
          </w:rPr>
          <w:fldChar w:fldCharType="begin"/>
        </w:r>
        <w:r w:rsidR="00547FDF">
          <w:rPr>
            <w:noProof/>
            <w:webHidden/>
          </w:rPr>
          <w:instrText xml:space="preserve"> PAGEREF _Toc22331672 \h </w:instrText>
        </w:r>
        <w:r w:rsidR="00547FDF">
          <w:rPr>
            <w:noProof/>
            <w:webHidden/>
          </w:rPr>
        </w:r>
        <w:r w:rsidR="00547FDF">
          <w:rPr>
            <w:noProof/>
            <w:webHidden/>
          </w:rPr>
          <w:fldChar w:fldCharType="separate"/>
        </w:r>
        <w:r w:rsidR="0056454A">
          <w:rPr>
            <w:noProof/>
            <w:webHidden/>
          </w:rPr>
          <w:t>63</w:t>
        </w:r>
        <w:r w:rsidR="00547FDF">
          <w:rPr>
            <w:noProof/>
            <w:webHidden/>
          </w:rPr>
          <w:fldChar w:fldCharType="end"/>
        </w:r>
      </w:hyperlink>
    </w:p>
    <w:p w14:paraId="1EABA906" w14:textId="4E34910E" w:rsidR="00547FDF" w:rsidRDefault="00B76C18">
      <w:pPr>
        <w:pStyle w:val="TOC2"/>
        <w:rPr>
          <w:rFonts w:eastAsiaTheme="minorEastAsia"/>
          <w:b w:val="0"/>
          <w:noProof/>
          <w:lang w:val="en-GB" w:eastAsia="en-GB"/>
        </w:rPr>
      </w:pPr>
      <w:hyperlink w:anchor="_Toc22331673" w:history="1">
        <w:r w:rsidR="00547FDF" w:rsidRPr="0092620E">
          <w:rPr>
            <w:rStyle w:val="Hyperlink"/>
            <w:noProof/>
            <w:lang w:bidi="en-US"/>
          </w:rPr>
          <w:t>3.7. Conclusion</w:t>
        </w:r>
        <w:r w:rsidR="00547FDF">
          <w:rPr>
            <w:noProof/>
            <w:webHidden/>
          </w:rPr>
          <w:tab/>
        </w:r>
        <w:r w:rsidR="00547FDF">
          <w:rPr>
            <w:noProof/>
            <w:webHidden/>
          </w:rPr>
          <w:fldChar w:fldCharType="begin"/>
        </w:r>
        <w:r w:rsidR="00547FDF">
          <w:rPr>
            <w:noProof/>
            <w:webHidden/>
          </w:rPr>
          <w:instrText xml:space="preserve"> PAGEREF _Toc22331673 \h </w:instrText>
        </w:r>
        <w:r w:rsidR="00547FDF">
          <w:rPr>
            <w:noProof/>
            <w:webHidden/>
          </w:rPr>
        </w:r>
        <w:r w:rsidR="00547FDF">
          <w:rPr>
            <w:noProof/>
            <w:webHidden/>
          </w:rPr>
          <w:fldChar w:fldCharType="separate"/>
        </w:r>
        <w:r w:rsidR="0056454A">
          <w:rPr>
            <w:noProof/>
            <w:webHidden/>
          </w:rPr>
          <w:t>67</w:t>
        </w:r>
        <w:r w:rsidR="00547FDF">
          <w:rPr>
            <w:noProof/>
            <w:webHidden/>
          </w:rPr>
          <w:fldChar w:fldCharType="end"/>
        </w:r>
      </w:hyperlink>
    </w:p>
    <w:p w14:paraId="3A800C98" w14:textId="7F78B660" w:rsidR="00547FDF" w:rsidRDefault="00B76C18">
      <w:pPr>
        <w:pStyle w:val="TOC1"/>
        <w:rPr>
          <w:rFonts w:eastAsiaTheme="minorEastAsia"/>
          <w:b w:val="0"/>
          <w:noProof/>
          <w:sz w:val="22"/>
          <w:szCs w:val="22"/>
          <w:lang w:val="en-GB" w:eastAsia="en-GB"/>
        </w:rPr>
      </w:pPr>
      <w:hyperlink w:anchor="_Toc22331674" w:history="1">
        <w:r w:rsidR="00547FDF" w:rsidRPr="0092620E">
          <w:rPr>
            <w:rStyle w:val="Hyperlink"/>
            <w:noProof/>
            <w:lang w:bidi="en-US"/>
          </w:rPr>
          <w:t>CHAPTER 4: METHODOLOGY</w:t>
        </w:r>
        <w:r w:rsidR="00547FDF">
          <w:rPr>
            <w:noProof/>
            <w:webHidden/>
          </w:rPr>
          <w:tab/>
        </w:r>
        <w:r w:rsidR="00547FDF">
          <w:rPr>
            <w:noProof/>
            <w:webHidden/>
          </w:rPr>
          <w:fldChar w:fldCharType="begin"/>
        </w:r>
        <w:r w:rsidR="00547FDF">
          <w:rPr>
            <w:noProof/>
            <w:webHidden/>
          </w:rPr>
          <w:instrText xml:space="preserve"> PAGEREF _Toc22331674 \h </w:instrText>
        </w:r>
        <w:r w:rsidR="00547FDF">
          <w:rPr>
            <w:noProof/>
            <w:webHidden/>
          </w:rPr>
        </w:r>
        <w:r w:rsidR="00547FDF">
          <w:rPr>
            <w:noProof/>
            <w:webHidden/>
          </w:rPr>
          <w:fldChar w:fldCharType="separate"/>
        </w:r>
        <w:r w:rsidR="0056454A">
          <w:rPr>
            <w:noProof/>
            <w:webHidden/>
          </w:rPr>
          <w:t>68</w:t>
        </w:r>
        <w:r w:rsidR="00547FDF">
          <w:rPr>
            <w:noProof/>
            <w:webHidden/>
          </w:rPr>
          <w:fldChar w:fldCharType="end"/>
        </w:r>
      </w:hyperlink>
    </w:p>
    <w:p w14:paraId="5D6FECA6" w14:textId="2F728981" w:rsidR="00547FDF" w:rsidRDefault="00B76C18">
      <w:pPr>
        <w:pStyle w:val="TOC2"/>
        <w:tabs>
          <w:tab w:val="left" w:pos="880"/>
        </w:tabs>
        <w:rPr>
          <w:rFonts w:eastAsiaTheme="minorEastAsia"/>
          <w:b w:val="0"/>
          <w:noProof/>
          <w:lang w:val="en-GB" w:eastAsia="en-GB"/>
        </w:rPr>
      </w:pPr>
      <w:hyperlink w:anchor="_Toc22331675" w:history="1">
        <w:r w:rsidR="00547FDF" w:rsidRPr="0092620E">
          <w:rPr>
            <w:rStyle w:val="Hyperlink"/>
            <w:noProof/>
            <w:lang w:bidi="en-US"/>
          </w:rPr>
          <w:t>4.1.</w:t>
        </w:r>
        <w:r w:rsidR="00547FDF">
          <w:rPr>
            <w:rFonts w:eastAsiaTheme="minorEastAsia"/>
            <w:b w:val="0"/>
            <w:noProof/>
            <w:lang w:val="en-GB" w:eastAsia="en-GB"/>
          </w:rPr>
          <w:tab/>
        </w:r>
        <w:r w:rsidR="00547FDF" w:rsidRPr="0092620E">
          <w:rPr>
            <w:rStyle w:val="Hyperlink"/>
            <w:noProof/>
            <w:lang w:bidi="en-US"/>
          </w:rPr>
          <w:t>Introduction</w:t>
        </w:r>
        <w:r w:rsidR="00547FDF">
          <w:rPr>
            <w:noProof/>
            <w:webHidden/>
          </w:rPr>
          <w:tab/>
        </w:r>
        <w:r w:rsidR="00547FDF">
          <w:rPr>
            <w:noProof/>
            <w:webHidden/>
          </w:rPr>
          <w:fldChar w:fldCharType="begin"/>
        </w:r>
        <w:r w:rsidR="00547FDF">
          <w:rPr>
            <w:noProof/>
            <w:webHidden/>
          </w:rPr>
          <w:instrText xml:space="preserve"> PAGEREF _Toc22331675 \h </w:instrText>
        </w:r>
        <w:r w:rsidR="00547FDF">
          <w:rPr>
            <w:noProof/>
            <w:webHidden/>
          </w:rPr>
        </w:r>
        <w:r w:rsidR="00547FDF">
          <w:rPr>
            <w:noProof/>
            <w:webHidden/>
          </w:rPr>
          <w:fldChar w:fldCharType="separate"/>
        </w:r>
        <w:r w:rsidR="0056454A">
          <w:rPr>
            <w:noProof/>
            <w:webHidden/>
          </w:rPr>
          <w:t>68</w:t>
        </w:r>
        <w:r w:rsidR="00547FDF">
          <w:rPr>
            <w:noProof/>
            <w:webHidden/>
          </w:rPr>
          <w:fldChar w:fldCharType="end"/>
        </w:r>
      </w:hyperlink>
    </w:p>
    <w:p w14:paraId="29D67672" w14:textId="63A263A4" w:rsidR="00547FDF" w:rsidRDefault="00B76C18">
      <w:pPr>
        <w:pStyle w:val="TOC2"/>
        <w:rPr>
          <w:rFonts w:eastAsiaTheme="minorEastAsia"/>
          <w:b w:val="0"/>
          <w:noProof/>
          <w:lang w:val="en-GB" w:eastAsia="en-GB"/>
        </w:rPr>
      </w:pPr>
      <w:hyperlink w:anchor="_Toc22331676" w:history="1">
        <w:r w:rsidR="00547FDF" w:rsidRPr="0092620E">
          <w:rPr>
            <w:rStyle w:val="Hyperlink"/>
            <w:noProof/>
            <w:lang w:bidi="en-US"/>
          </w:rPr>
          <w:t>4.2. Research Context</w:t>
        </w:r>
        <w:r w:rsidR="00547FDF">
          <w:rPr>
            <w:noProof/>
            <w:webHidden/>
          </w:rPr>
          <w:tab/>
        </w:r>
        <w:r w:rsidR="00547FDF">
          <w:rPr>
            <w:noProof/>
            <w:webHidden/>
          </w:rPr>
          <w:fldChar w:fldCharType="begin"/>
        </w:r>
        <w:r w:rsidR="00547FDF">
          <w:rPr>
            <w:noProof/>
            <w:webHidden/>
          </w:rPr>
          <w:instrText xml:space="preserve"> PAGEREF _Toc22331676 \h </w:instrText>
        </w:r>
        <w:r w:rsidR="00547FDF">
          <w:rPr>
            <w:noProof/>
            <w:webHidden/>
          </w:rPr>
        </w:r>
        <w:r w:rsidR="00547FDF">
          <w:rPr>
            <w:noProof/>
            <w:webHidden/>
          </w:rPr>
          <w:fldChar w:fldCharType="separate"/>
        </w:r>
        <w:r w:rsidR="0056454A">
          <w:rPr>
            <w:noProof/>
            <w:webHidden/>
          </w:rPr>
          <w:t>69</w:t>
        </w:r>
        <w:r w:rsidR="00547FDF">
          <w:rPr>
            <w:noProof/>
            <w:webHidden/>
          </w:rPr>
          <w:fldChar w:fldCharType="end"/>
        </w:r>
      </w:hyperlink>
    </w:p>
    <w:p w14:paraId="238ABA99" w14:textId="03AD8A41" w:rsidR="00547FDF" w:rsidRDefault="00B76C18">
      <w:pPr>
        <w:pStyle w:val="TOC2"/>
        <w:rPr>
          <w:rFonts w:eastAsiaTheme="minorEastAsia"/>
          <w:b w:val="0"/>
          <w:noProof/>
          <w:lang w:val="en-GB" w:eastAsia="en-GB"/>
        </w:rPr>
      </w:pPr>
      <w:hyperlink w:anchor="_Toc22331677" w:history="1">
        <w:r w:rsidR="00547FDF" w:rsidRPr="0092620E">
          <w:rPr>
            <w:rStyle w:val="Hyperlink"/>
            <w:noProof/>
            <w:lang w:bidi="en-US"/>
          </w:rPr>
          <w:t>4.3. Overview of the Philosophy of the Research</w:t>
        </w:r>
        <w:r w:rsidR="00547FDF">
          <w:rPr>
            <w:noProof/>
            <w:webHidden/>
          </w:rPr>
          <w:tab/>
        </w:r>
        <w:r w:rsidR="00547FDF">
          <w:rPr>
            <w:noProof/>
            <w:webHidden/>
          </w:rPr>
          <w:fldChar w:fldCharType="begin"/>
        </w:r>
        <w:r w:rsidR="00547FDF">
          <w:rPr>
            <w:noProof/>
            <w:webHidden/>
          </w:rPr>
          <w:instrText xml:space="preserve"> PAGEREF _Toc22331677 \h </w:instrText>
        </w:r>
        <w:r w:rsidR="00547FDF">
          <w:rPr>
            <w:noProof/>
            <w:webHidden/>
          </w:rPr>
        </w:r>
        <w:r w:rsidR="00547FDF">
          <w:rPr>
            <w:noProof/>
            <w:webHidden/>
          </w:rPr>
          <w:fldChar w:fldCharType="separate"/>
        </w:r>
        <w:r w:rsidR="0056454A">
          <w:rPr>
            <w:noProof/>
            <w:webHidden/>
          </w:rPr>
          <w:t>71</w:t>
        </w:r>
        <w:r w:rsidR="00547FDF">
          <w:rPr>
            <w:noProof/>
            <w:webHidden/>
          </w:rPr>
          <w:fldChar w:fldCharType="end"/>
        </w:r>
      </w:hyperlink>
    </w:p>
    <w:p w14:paraId="1C25487D" w14:textId="13F3FC02" w:rsidR="00547FDF" w:rsidRDefault="00B76C18">
      <w:pPr>
        <w:pStyle w:val="TOC2"/>
        <w:rPr>
          <w:rFonts w:eastAsiaTheme="minorEastAsia"/>
          <w:b w:val="0"/>
          <w:noProof/>
          <w:lang w:val="en-GB" w:eastAsia="en-GB"/>
        </w:rPr>
      </w:pPr>
      <w:hyperlink w:anchor="_Toc22331678" w:history="1">
        <w:r w:rsidR="00547FDF" w:rsidRPr="0092620E">
          <w:rPr>
            <w:rStyle w:val="Hyperlink"/>
            <w:noProof/>
            <w:lang w:bidi="en-US"/>
          </w:rPr>
          <w:t>4.4. Research Approach</w:t>
        </w:r>
        <w:r w:rsidR="00547FDF">
          <w:rPr>
            <w:noProof/>
            <w:webHidden/>
          </w:rPr>
          <w:tab/>
        </w:r>
        <w:r w:rsidR="00547FDF">
          <w:rPr>
            <w:noProof/>
            <w:webHidden/>
          </w:rPr>
          <w:fldChar w:fldCharType="begin"/>
        </w:r>
        <w:r w:rsidR="00547FDF">
          <w:rPr>
            <w:noProof/>
            <w:webHidden/>
          </w:rPr>
          <w:instrText xml:space="preserve"> PAGEREF _Toc22331678 \h </w:instrText>
        </w:r>
        <w:r w:rsidR="00547FDF">
          <w:rPr>
            <w:noProof/>
            <w:webHidden/>
          </w:rPr>
        </w:r>
        <w:r w:rsidR="00547FDF">
          <w:rPr>
            <w:noProof/>
            <w:webHidden/>
          </w:rPr>
          <w:fldChar w:fldCharType="separate"/>
        </w:r>
        <w:r w:rsidR="0056454A">
          <w:rPr>
            <w:noProof/>
            <w:webHidden/>
          </w:rPr>
          <w:t>73</w:t>
        </w:r>
        <w:r w:rsidR="00547FDF">
          <w:rPr>
            <w:noProof/>
            <w:webHidden/>
          </w:rPr>
          <w:fldChar w:fldCharType="end"/>
        </w:r>
      </w:hyperlink>
    </w:p>
    <w:p w14:paraId="5D5AB322" w14:textId="5BAB7B23" w:rsidR="00547FDF" w:rsidRDefault="00B76C18">
      <w:pPr>
        <w:pStyle w:val="TOC2"/>
        <w:rPr>
          <w:rFonts w:eastAsiaTheme="minorEastAsia"/>
          <w:b w:val="0"/>
          <w:noProof/>
          <w:lang w:val="en-GB" w:eastAsia="en-GB"/>
        </w:rPr>
      </w:pPr>
      <w:hyperlink w:anchor="_Toc22331679" w:history="1">
        <w:r w:rsidR="00547FDF" w:rsidRPr="0092620E">
          <w:rPr>
            <w:rStyle w:val="Hyperlink"/>
            <w:noProof/>
            <w:lang w:bidi="en-US"/>
          </w:rPr>
          <w:t>4.5. Research Strategy</w:t>
        </w:r>
        <w:r w:rsidR="00547FDF">
          <w:rPr>
            <w:noProof/>
            <w:webHidden/>
          </w:rPr>
          <w:tab/>
        </w:r>
        <w:r w:rsidR="00547FDF">
          <w:rPr>
            <w:noProof/>
            <w:webHidden/>
          </w:rPr>
          <w:fldChar w:fldCharType="begin"/>
        </w:r>
        <w:r w:rsidR="00547FDF">
          <w:rPr>
            <w:noProof/>
            <w:webHidden/>
          </w:rPr>
          <w:instrText xml:space="preserve"> PAGEREF _Toc22331679 \h </w:instrText>
        </w:r>
        <w:r w:rsidR="00547FDF">
          <w:rPr>
            <w:noProof/>
            <w:webHidden/>
          </w:rPr>
        </w:r>
        <w:r w:rsidR="00547FDF">
          <w:rPr>
            <w:noProof/>
            <w:webHidden/>
          </w:rPr>
          <w:fldChar w:fldCharType="separate"/>
        </w:r>
        <w:r w:rsidR="0056454A">
          <w:rPr>
            <w:noProof/>
            <w:webHidden/>
          </w:rPr>
          <w:t>74</w:t>
        </w:r>
        <w:r w:rsidR="00547FDF">
          <w:rPr>
            <w:noProof/>
            <w:webHidden/>
          </w:rPr>
          <w:fldChar w:fldCharType="end"/>
        </w:r>
      </w:hyperlink>
    </w:p>
    <w:p w14:paraId="7B970361" w14:textId="53A9E76F" w:rsidR="00547FDF" w:rsidRDefault="00B76C18">
      <w:pPr>
        <w:pStyle w:val="TOC2"/>
        <w:rPr>
          <w:rFonts w:eastAsiaTheme="minorEastAsia"/>
          <w:b w:val="0"/>
          <w:noProof/>
          <w:lang w:val="en-GB" w:eastAsia="en-GB"/>
        </w:rPr>
      </w:pPr>
      <w:hyperlink w:anchor="_Toc22331680" w:history="1">
        <w:r w:rsidR="00547FDF" w:rsidRPr="0092620E">
          <w:rPr>
            <w:rStyle w:val="Hyperlink"/>
            <w:noProof/>
            <w:lang w:bidi="en-US"/>
          </w:rPr>
          <w:t>4.6. Research Choices</w:t>
        </w:r>
        <w:r w:rsidR="00547FDF">
          <w:rPr>
            <w:noProof/>
            <w:webHidden/>
          </w:rPr>
          <w:tab/>
        </w:r>
        <w:r w:rsidR="00547FDF">
          <w:rPr>
            <w:noProof/>
            <w:webHidden/>
          </w:rPr>
          <w:fldChar w:fldCharType="begin"/>
        </w:r>
        <w:r w:rsidR="00547FDF">
          <w:rPr>
            <w:noProof/>
            <w:webHidden/>
          </w:rPr>
          <w:instrText xml:space="preserve"> PAGEREF _Toc22331680 \h </w:instrText>
        </w:r>
        <w:r w:rsidR="00547FDF">
          <w:rPr>
            <w:noProof/>
            <w:webHidden/>
          </w:rPr>
        </w:r>
        <w:r w:rsidR="00547FDF">
          <w:rPr>
            <w:noProof/>
            <w:webHidden/>
          </w:rPr>
          <w:fldChar w:fldCharType="separate"/>
        </w:r>
        <w:r w:rsidR="0056454A">
          <w:rPr>
            <w:noProof/>
            <w:webHidden/>
          </w:rPr>
          <w:t>75</w:t>
        </w:r>
        <w:r w:rsidR="00547FDF">
          <w:rPr>
            <w:noProof/>
            <w:webHidden/>
          </w:rPr>
          <w:fldChar w:fldCharType="end"/>
        </w:r>
      </w:hyperlink>
    </w:p>
    <w:p w14:paraId="6B698CE2" w14:textId="74214202" w:rsidR="00547FDF" w:rsidRDefault="00B76C18">
      <w:pPr>
        <w:pStyle w:val="TOC2"/>
        <w:rPr>
          <w:rFonts w:eastAsiaTheme="minorEastAsia"/>
          <w:b w:val="0"/>
          <w:noProof/>
          <w:lang w:val="en-GB" w:eastAsia="en-GB"/>
        </w:rPr>
      </w:pPr>
      <w:hyperlink w:anchor="_Toc22331681" w:history="1">
        <w:r w:rsidR="00547FDF" w:rsidRPr="0092620E">
          <w:rPr>
            <w:rStyle w:val="Hyperlink"/>
            <w:noProof/>
            <w:lang w:bidi="en-US"/>
          </w:rPr>
          <w:t>4.7. Time Interval</w:t>
        </w:r>
        <w:r w:rsidR="00547FDF">
          <w:rPr>
            <w:noProof/>
            <w:webHidden/>
          </w:rPr>
          <w:tab/>
        </w:r>
        <w:r w:rsidR="00547FDF">
          <w:rPr>
            <w:noProof/>
            <w:webHidden/>
          </w:rPr>
          <w:fldChar w:fldCharType="begin"/>
        </w:r>
        <w:r w:rsidR="00547FDF">
          <w:rPr>
            <w:noProof/>
            <w:webHidden/>
          </w:rPr>
          <w:instrText xml:space="preserve"> PAGEREF _Toc22331681 \h </w:instrText>
        </w:r>
        <w:r w:rsidR="00547FDF">
          <w:rPr>
            <w:noProof/>
            <w:webHidden/>
          </w:rPr>
        </w:r>
        <w:r w:rsidR="00547FDF">
          <w:rPr>
            <w:noProof/>
            <w:webHidden/>
          </w:rPr>
          <w:fldChar w:fldCharType="separate"/>
        </w:r>
        <w:r w:rsidR="0056454A">
          <w:rPr>
            <w:noProof/>
            <w:webHidden/>
          </w:rPr>
          <w:t>75</w:t>
        </w:r>
        <w:r w:rsidR="00547FDF">
          <w:rPr>
            <w:noProof/>
            <w:webHidden/>
          </w:rPr>
          <w:fldChar w:fldCharType="end"/>
        </w:r>
      </w:hyperlink>
    </w:p>
    <w:p w14:paraId="4B4EA2A0" w14:textId="75344E38" w:rsidR="00547FDF" w:rsidRDefault="00B76C18">
      <w:pPr>
        <w:pStyle w:val="TOC2"/>
        <w:rPr>
          <w:rFonts w:eastAsiaTheme="minorEastAsia"/>
          <w:b w:val="0"/>
          <w:noProof/>
          <w:lang w:val="en-GB" w:eastAsia="en-GB"/>
        </w:rPr>
      </w:pPr>
      <w:hyperlink w:anchor="_Toc22331682" w:history="1">
        <w:r w:rsidR="00547FDF" w:rsidRPr="0092620E">
          <w:rPr>
            <w:rStyle w:val="Hyperlink"/>
            <w:noProof/>
            <w:lang w:bidi="en-US"/>
          </w:rPr>
          <w:t>4.8. Instrumentation</w:t>
        </w:r>
        <w:r w:rsidR="00547FDF">
          <w:rPr>
            <w:noProof/>
            <w:webHidden/>
          </w:rPr>
          <w:tab/>
        </w:r>
        <w:r w:rsidR="00547FDF">
          <w:rPr>
            <w:noProof/>
            <w:webHidden/>
          </w:rPr>
          <w:fldChar w:fldCharType="begin"/>
        </w:r>
        <w:r w:rsidR="00547FDF">
          <w:rPr>
            <w:noProof/>
            <w:webHidden/>
          </w:rPr>
          <w:instrText xml:space="preserve"> PAGEREF _Toc22331682 \h </w:instrText>
        </w:r>
        <w:r w:rsidR="00547FDF">
          <w:rPr>
            <w:noProof/>
            <w:webHidden/>
          </w:rPr>
        </w:r>
        <w:r w:rsidR="00547FDF">
          <w:rPr>
            <w:noProof/>
            <w:webHidden/>
          </w:rPr>
          <w:fldChar w:fldCharType="separate"/>
        </w:r>
        <w:r w:rsidR="0056454A">
          <w:rPr>
            <w:noProof/>
            <w:webHidden/>
          </w:rPr>
          <w:t>76</w:t>
        </w:r>
        <w:r w:rsidR="00547FDF">
          <w:rPr>
            <w:noProof/>
            <w:webHidden/>
          </w:rPr>
          <w:fldChar w:fldCharType="end"/>
        </w:r>
      </w:hyperlink>
    </w:p>
    <w:p w14:paraId="22C1BCF4" w14:textId="3A37E163" w:rsidR="00547FDF" w:rsidRDefault="00B76C18">
      <w:pPr>
        <w:pStyle w:val="TOC2"/>
        <w:rPr>
          <w:rFonts w:eastAsiaTheme="minorEastAsia"/>
          <w:b w:val="0"/>
          <w:noProof/>
          <w:lang w:val="en-GB" w:eastAsia="en-GB"/>
        </w:rPr>
      </w:pPr>
      <w:hyperlink w:anchor="_Toc22331683" w:history="1">
        <w:r w:rsidR="00547FDF" w:rsidRPr="0092620E">
          <w:rPr>
            <w:rStyle w:val="Hyperlink"/>
            <w:noProof/>
            <w:lang w:bidi="en-US"/>
          </w:rPr>
          <w:t>4.9. Population</w:t>
        </w:r>
        <w:r w:rsidR="00547FDF">
          <w:rPr>
            <w:noProof/>
            <w:webHidden/>
          </w:rPr>
          <w:tab/>
        </w:r>
        <w:r w:rsidR="00547FDF">
          <w:rPr>
            <w:noProof/>
            <w:webHidden/>
          </w:rPr>
          <w:fldChar w:fldCharType="begin"/>
        </w:r>
        <w:r w:rsidR="00547FDF">
          <w:rPr>
            <w:noProof/>
            <w:webHidden/>
          </w:rPr>
          <w:instrText xml:space="preserve"> PAGEREF _Toc22331683 \h </w:instrText>
        </w:r>
        <w:r w:rsidR="00547FDF">
          <w:rPr>
            <w:noProof/>
            <w:webHidden/>
          </w:rPr>
        </w:r>
        <w:r w:rsidR="00547FDF">
          <w:rPr>
            <w:noProof/>
            <w:webHidden/>
          </w:rPr>
          <w:fldChar w:fldCharType="separate"/>
        </w:r>
        <w:r w:rsidR="0056454A">
          <w:rPr>
            <w:noProof/>
            <w:webHidden/>
          </w:rPr>
          <w:t>80</w:t>
        </w:r>
        <w:r w:rsidR="00547FDF">
          <w:rPr>
            <w:noProof/>
            <w:webHidden/>
          </w:rPr>
          <w:fldChar w:fldCharType="end"/>
        </w:r>
      </w:hyperlink>
    </w:p>
    <w:p w14:paraId="7D7A9489" w14:textId="602F9096" w:rsidR="00547FDF" w:rsidRDefault="00B76C18">
      <w:pPr>
        <w:pStyle w:val="TOC2"/>
        <w:rPr>
          <w:rFonts w:eastAsiaTheme="minorEastAsia"/>
          <w:b w:val="0"/>
          <w:noProof/>
          <w:lang w:val="en-GB" w:eastAsia="en-GB"/>
        </w:rPr>
      </w:pPr>
      <w:hyperlink w:anchor="_Toc22331684" w:history="1">
        <w:r w:rsidR="00547FDF" w:rsidRPr="0092620E">
          <w:rPr>
            <w:rStyle w:val="Hyperlink"/>
            <w:noProof/>
            <w:lang w:bidi="en-US"/>
          </w:rPr>
          <w:t>4.10. Sampling</w:t>
        </w:r>
        <w:r w:rsidR="00547FDF">
          <w:rPr>
            <w:noProof/>
            <w:webHidden/>
          </w:rPr>
          <w:tab/>
        </w:r>
        <w:r w:rsidR="00547FDF">
          <w:rPr>
            <w:noProof/>
            <w:webHidden/>
          </w:rPr>
          <w:fldChar w:fldCharType="begin"/>
        </w:r>
        <w:r w:rsidR="00547FDF">
          <w:rPr>
            <w:noProof/>
            <w:webHidden/>
          </w:rPr>
          <w:instrText xml:space="preserve"> PAGEREF _Toc22331684 \h </w:instrText>
        </w:r>
        <w:r w:rsidR="00547FDF">
          <w:rPr>
            <w:noProof/>
            <w:webHidden/>
          </w:rPr>
        </w:r>
        <w:r w:rsidR="00547FDF">
          <w:rPr>
            <w:noProof/>
            <w:webHidden/>
          </w:rPr>
          <w:fldChar w:fldCharType="separate"/>
        </w:r>
        <w:r w:rsidR="0056454A">
          <w:rPr>
            <w:noProof/>
            <w:webHidden/>
          </w:rPr>
          <w:t>81</w:t>
        </w:r>
        <w:r w:rsidR="00547FDF">
          <w:rPr>
            <w:noProof/>
            <w:webHidden/>
          </w:rPr>
          <w:fldChar w:fldCharType="end"/>
        </w:r>
      </w:hyperlink>
    </w:p>
    <w:p w14:paraId="62A138F0" w14:textId="2E52B76D" w:rsidR="00547FDF" w:rsidRDefault="00B76C18">
      <w:pPr>
        <w:pStyle w:val="TOC2"/>
        <w:rPr>
          <w:rFonts w:eastAsiaTheme="minorEastAsia"/>
          <w:b w:val="0"/>
          <w:noProof/>
          <w:lang w:val="en-GB" w:eastAsia="en-GB"/>
        </w:rPr>
      </w:pPr>
      <w:hyperlink w:anchor="_Toc22331685" w:history="1">
        <w:r w:rsidR="00547FDF" w:rsidRPr="0092620E">
          <w:rPr>
            <w:rStyle w:val="Hyperlink"/>
            <w:noProof/>
            <w:lang w:bidi="en-US"/>
          </w:rPr>
          <w:t>4.11. Pilot Testing</w:t>
        </w:r>
        <w:r w:rsidR="00547FDF">
          <w:rPr>
            <w:noProof/>
            <w:webHidden/>
          </w:rPr>
          <w:tab/>
        </w:r>
        <w:r w:rsidR="00547FDF">
          <w:rPr>
            <w:noProof/>
            <w:webHidden/>
          </w:rPr>
          <w:fldChar w:fldCharType="begin"/>
        </w:r>
        <w:r w:rsidR="00547FDF">
          <w:rPr>
            <w:noProof/>
            <w:webHidden/>
          </w:rPr>
          <w:instrText xml:space="preserve"> PAGEREF _Toc22331685 \h </w:instrText>
        </w:r>
        <w:r w:rsidR="00547FDF">
          <w:rPr>
            <w:noProof/>
            <w:webHidden/>
          </w:rPr>
        </w:r>
        <w:r w:rsidR="00547FDF">
          <w:rPr>
            <w:noProof/>
            <w:webHidden/>
          </w:rPr>
          <w:fldChar w:fldCharType="separate"/>
        </w:r>
        <w:r w:rsidR="0056454A">
          <w:rPr>
            <w:noProof/>
            <w:webHidden/>
          </w:rPr>
          <w:t>85</w:t>
        </w:r>
        <w:r w:rsidR="00547FDF">
          <w:rPr>
            <w:noProof/>
            <w:webHidden/>
          </w:rPr>
          <w:fldChar w:fldCharType="end"/>
        </w:r>
      </w:hyperlink>
    </w:p>
    <w:p w14:paraId="5E12420D" w14:textId="6533BFBD" w:rsidR="00547FDF" w:rsidRDefault="00B76C18">
      <w:pPr>
        <w:pStyle w:val="TOC2"/>
        <w:rPr>
          <w:rFonts w:eastAsiaTheme="minorEastAsia"/>
          <w:b w:val="0"/>
          <w:noProof/>
          <w:lang w:val="en-GB" w:eastAsia="en-GB"/>
        </w:rPr>
      </w:pPr>
      <w:hyperlink w:anchor="_Toc22331686" w:history="1">
        <w:r w:rsidR="00547FDF" w:rsidRPr="0092620E">
          <w:rPr>
            <w:rStyle w:val="Hyperlink"/>
            <w:noProof/>
            <w:lang w:bidi="en-US"/>
          </w:rPr>
          <w:t>4.12. Data Collection</w:t>
        </w:r>
        <w:r w:rsidR="00547FDF">
          <w:rPr>
            <w:noProof/>
            <w:webHidden/>
          </w:rPr>
          <w:tab/>
        </w:r>
        <w:r w:rsidR="00547FDF">
          <w:rPr>
            <w:noProof/>
            <w:webHidden/>
          </w:rPr>
          <w:fldChar w:fldCharType="begin"/>
        </w:r>
        <w:r w:rsidR="00547FDF">
          <w:rPr>
            <w:noProof/>
            <w:webHidden/>
          </w:rPr>
          <w:instrText xml:space="preserve"> PAGEREF _Toc22331686 \h </w:instrText>
        </w:r>
        <w:r w:rsidR="00547FDF">
          <w:rPr>
            <w:noProof/>
            <w:webHidden/>
          </w:rPr>
        </w:r>
        <w:r w:rsidR="00547FDF">
          <w:rPr>
            <w:noProof/>
            <w:webHidden/>
          </w:rPr>
          <w:fldChar w:fldCharType="separate"/>
        </w:r>
        <w:r w:rsidR="0056454A">
          <w:rPr>
            <w:noProof/>
            <w:webHidden/>
          </w:rPr>
          <w:t>87</w:t>
        </w:r>
        <w:r w:rsidR="00547FDF">
          <w:rPr>
            <w:noProof/>
            <w:webHidden/>
          </w:rPr>
          <w:fldChar w:fldCharType="end"/>
        </w:r>
      </w:hyperlink>
    </w:p>
    <w:p w14:paraId="7D7CD804" w14:textId="67076806" w:rsidR="00547FDF" w:rsidRDefault="00B76C18">
      <w:pPr>
        <w:pStyle w:val="TOC3"/>
        <w:tabs>
          <w:tab w:val="right" w:leader="dot" w:pos="7910"/>
        </w:tabs>
        <w:rPr>
          <w:rFonts w:eastAsiaTheme="minorEastAsia"/>
          <w:noProof/>
          <w:lang w:val="en-GB" w:eastAsia="en-GB"/>
        </w:rPr>
      </w:pPr>
      <w:hyperlink w:anchor="_Toc22331687" w:history="1">
        <w:r w:rsidR="00547FDF" w:rsidRPr="0092620E">
          <w:rPr>
            <w:rStyle w:val="Hyperlink"/>
            <w:noProof/>
          </w:rPr>
          <w:t>4.12.1. Data collection selection verification</w:t>
        </w:r>
        <w:r w:rsidR="00547FDF">
          <w:rPr>
            <w:noProof/>
            <w:webHidden/>
          </w:rPr>
          <w:tab/>
        </w:r>
        <w:r w:rsidR="00547FDF">
          <w:rPr>
            <w:noProof/>
            <w:webHidden/>
          </w:rPr>
          <w:fldChar w:fldCharType="begin"/>
        </w:r>
        <w:r w:rsidR="00547FDF">
          <w:rPr>
            <w:noProof/>
            <w:webHidden/>
          </w:rPr>
          <w:instrText xml:space="preserve"> PAGEREF _Toc22331687 \h </w:instrText>
        </w:r>
        <w:r w:rsidR="00547FDF">
          <w:rPr>
            <w:noProof/>
            <w:webHidden/>
          </w:rPr>
        </w:r>
        <w:r w:rsidR="00547FDF">
          <w:rPr>
            <w:noProof/>
            <w:webHidden/>
          </w:rPr>
          <w:fldChar w:fldCharType="separate"/>
        </w:r>
        <w:r w:rsidR="0056454A">
          <w:rPr>
            <w:noProof/>
            <w:webHidden/>
          </w:rPr>
          <w:t>89</w:t>
        </w:r>
        <w:r w:rsidR="00547FDF">
          <w:rPr>
            <w:noProof/>
            <w:webHidden/>
          </w:rPr>
          <w:fldChar w:fldCharType="end"/>
        </w:r>
      </w:hyperlink>
    </w:p>
    <w:p w14:paraId="397815DA" w14:textId="4EAACAF5" w:rsidR="00547FDF" w:rsidRDefault="00B76C18">
      <w:pPr>
        <w:pStyle w:val="TOC2"/>
        <w:rPr>
          <w:rFonts w:eastAsiaTheme="minorEastAsia"/>
          <w:b w:val="0"/>
          <w:noProof/>
          <w:lang w:val="en-GB" w:eastAsia="en-GB"/>
        </w:rPr>
      </w:pPr>
      <w:hyperlink w:anchor="_Toc22331688" w:history="1">
        <w:r w:rsidR="00547FDF" w:rsidRPr="0092620E">
          <w:rPr>
            <w:rStyle w:val="Hyperlink"/>
            <w:noProof/>
            <w:lang w:bidi="en-US"/>
          </w:rPr>
          <w:t>4.13. Data Analysis</w:t>
        </w:r>
        <w:r w:rsidR="00547FDF">
          <w:rPr>
            <w:noProof/>
            <w:webHidden/>
          </w:rPr>
          <w:tab/>
        </w:r>
        <w:r w:rsidR="00547FDF">
          <w:rPr>
            <w:noProof/>
            <w:webHidden/>
          </w:rPr>
          <w:fldChar w:fldCharType="begin"/>
        </w:r>
        <w:r w:rsidR="00547FDF">
          <w:rPr>
            <w:noProof/>
            <w:webHidden/>
          </w:rPr>
          <w:instrText xml:space="preserve"> PAGEREF _Toc22331688 \h </w:instrText>
        </w:r>
        <w:r w:rsidR="00547FDF">
          <w:rPr>
            <w:noProof/>
            <w:webHidden/>
          </w:rPr>
        </w:r>
        <w:r w:rsidR="00547FDF">
          <w:rPr>
            <w:noProof/>
            <w:webHidden/>
          </w:rPr>
          <w:fldChar w:fldCharType="separate"/>
        </w:r>
        <w:r w:rsidR="0056454A">
          <w:rPr>
            <w:noProof/>
            <w:webHidden/>
          </w:rPr>
          <w:t>92</w:t>
        </w:r>
        <w:r w:rsidR="00547FDF">
          <w:rPr>
            <w:noProof/>
            <w:webHidden/>
          </w:rPr>
          <w:fldChar w:fldCharType="end"/>
        </w:r>
      </w:hyperlink>
    </w:p>
    <w:p w14:paraId="4EEB2489" w14:textId="2F62C318" w:rsidR="00547FDF" w:rsidRDefault="00B76C18">
      <w:pPr>
        <w:pStyle w:val="TOC3"/>
        <w:tabs>
          <w:tab w:val="right" w:leader="dot" w:pos="7910"/>
        </w:tabs>
        <w:rPr>
          <w:rFonts w:eastAsiaTheme="minorEastAsia"/>
          <w:noProof/>
          <w:lang w:val="en-GB" w:eastAsia="en-GB"/>
        </w:rPr>
      </w:pPr>
      <w:hyperlink w:anchor="_Toc22331689" w:history="1">
        <w:r w:rsidR="00547FDF" w:rsidRPr="0092620E">
          <w:rPr>
            <w:rStyle w:val="Hyperlink"/>
            <w:noProof/>
          </w:rPr>
          <w:t>4.13.1. Descriptive analysis</w:t>
        </w:r>
        <w:r w:rsidR="00547FDF">
          <w:rPr>
            <w:noProof/>
            <w:webHidden/>
          </w:rPr>
          <w:tab/>
        </w:r>
        <w:r w:rsidR="00547FDF">
          <w:rPr>
            <w:noProof/>
            <w:webHidden/>
          </w:rPr>
          <w:fldChar w:fldCharType="begin"/>
        </w:r>
        <w:r w:rsidR="00547FDF">
          <w:rPr>
            <w:noProof/>
            <w:webHidden/>
          </w:rPr>
          <w:instrText xml:space="preserve"> PAGEREF _Toc22331689 \h </w:instrText>
        </w:r>
        <w:r w:rsidR="00547FDF">
          <w:rPr>
            <w:noProof/>
            <w:webHidden/>
          </w:rPr>
        </w:r>
        <w:r w:rsidR="00547FDF">
          <w:rPr>
            <w:noProof/>
            <w:webHidden/>
          </w:rPr>
          <w:fldChar w:fldCharType="separate"/>
        </w:r>
        <w:r w:rsidR="0056454A">
          <w:rPr>
            <w:noProof/>
            <w:webHidden/>
          </w:rPr>
          <w:t>92</w:t>
        </w:r>
        <w:r w:rsidR="00547FDF">
          <w:rPr>
            <w:noProof/>
            <w:webHidden/>
          </w:rPr>
          <w:fldChar w:fldCharType="end"/>
        </w:r>
      </w:hyperlink>
    </w:p>
    <w:p w14:paraId="2DE57B88" w14:textId="56A5214B" w:rsidR="00547FDF" w:rsidRDefault="00B76C18">
      <w:pPr>
        <w:pStyle w:val="TOC3"/>
        <w:tabs>
          <w:tab w:val="right" w:leader="dot" w:pos="7910"/>
        </w:tabs>
        <w:rPr>
          <w:rFonts w:eastAsiaTheme="minorEastAsia"/>
          <w:noProof/>
          <w:lang w:val="en-GB" w:eastAsia="en-GB"/>
        </w:rPr>
      </w:pPr>
      <w:hyperlink w:anchor="_Toc22331690" w:history="1">
        <w:r w:rsidR="00547FDF" w:rsidRPr="0092620E">
          <w:rPr>
            <w:rStyle w:val="Hyperlink"/>
            <w:noProof/>
          </w:rPr>
          <w:t>4.13.2. Inferential Analysis</w:t>
        </w:r>
        <w:r w:rsidR="00547FDF">
          <w:rPr>
            <w:noProof/>
            <w:webHidden/>
          </w:rPr>
          <w:tab/>
        </w:r>
        <w:r w:rsidR="00547FDF">
          <w:rPr>
            <w:noProof/>
            <w:webHidden/>
          </w:rPr>
          <w:fldChar w:fldCharType="begin"/>
        </w:r>
        <w:r w:rsidR="00547FDF">
          <w:rPr>
            <w:noProof/>
            <w:webHidden/>
          </w:rPr>
          <w:instrText xml:space="preserve"> PAGEREF _Toc22331690 \h </w:instrText>
        </w:r>
        <w:r w:rsidR="00547FDF">
          <w:rPr>
            <w:noProof/>
            <w:webHidden/>
          </w:rPr>
        </w:r>
        <w:r w:rsidR="00547FDF">
          <w:rPr>
            <w:noProof/>
            <w:webHidden/>
          </w:rPr>
          <w:fldChar w:fldCharType="separate"/>
        </w:r>
        <w:r w:rsidR="0056454A">
          <w:rPr>
            <w:noProof/>
            <w:webHidden/>
          </w:rPr>
          <w:t>92</w:t>
        </w:r>
        <w:r w:rsidR="00547FDF">
          <w:rPr>
            <w:noProof/>
            <w:webHidden/>
          </w:rPr>
          <w:fldChar w:fldCharType="end"/>
        </w:r>
      </w:hyperlink>
    </w:p>
    <w:p w14:paraId="57C0C920" w14:textId="05B6ED38" w:rsidR="00547FDF" w:rsidRDefault="00B76C18">
      <w:pPr>
        <w:pStyle w:val="TOC2"/>
        <w:rPr>
          <w:rFonts w:eastAsiaTheme="minorEastAsia"/>
          <w:b w:val="0"/>
          <w:noProof/>
          <w:lang w:val="en-GB" w:eastAsia="en-GB"/>
        </w:rPr>
      </w:pPr>
      <w:hyperlink w:anchor="_Toc22331691" w:history="1">
        <w:r w:rsidR="00547FDF" w:rsidRPr="0092620E">
          <w:rPr>
            <w:rStyle w:val="Hyperlink"/>
            <w:noProof/>
            <w:lang w:bidi="en-US"/>
          </w:rPr>
          <w:t>4.14. Summary</w:t>
        </w:r>
        <w:r w:rsidR="00547FDF">
          <w:rPr>
            <w:noProof/>
            <w:webHidden/>
          </w:rPr>
          <w:tab/>
        </w:r>
        <w:r w:rsidR="00547FDF">
          <w:rPr>
            <w:noProof/>
            <w:webHidden/>
          </w:rPr>
          <w:fldChar w:fldCharType="begin"/>
        </w:r>
        <w:r w:rsidR="00547FDF">
          <w:rPr>
            <w:noProof/>
            <w:webHidden/>
          </w:rPr>
          <w:instrText xml:space="preserve"> PAGEREF _Toc22331691 \h </w:instrText>
        </w:r>
        <w:r w:rsidR="00547FDF">
          <w:rPr>
            <w:noProof/>
            <w:webHidden/>
          </w:rPr>
        </w:r>
        <w:r w:rsidR="00547FDF">
          <w:rPr>
            <w:noProof/>
            <w:webHidden/>
          </w:rPr>
          <w:fldChar w:fldCharType="separate"/>
        </w:r>
        <w:r w:rsidR="0056454A">
          <w:rPr>
            <w:noProof/>
            <w:webHidden/>
          </w:rPr>
          <w:t>96</w:t>
        </w:r>
        <w:r w:rsidR="00547FDF">
          <w:rPr>
            <w:noProof/>
            <w:webHidden/>
          </w:rPr>
          <w:fldChar w:fldCharType="end"/>
        </w:r>
      </w:hyperlink>
    </w:p>
    <w:p w14:paraId="19F0BDB9" w14:textId="7873D803" w:rsidR="00547FDF" w:rsidRDefault="00B76C18">
      <w:pPr>
        <w:pStyle w:val="TOC1"/>
        <w:rPr>
          <w:rFonts w:eastAsiaTheme="minorEastAsia"/>
          <w:b w:val="0"/>
          <w:noProof/>
          <w:sz w:val="22"/>
          <w:szCs w:val="22"/>
          <w:lang w:val="en-GB" w:eastAsia="en-GB"/>
        </w:rPr>
      </w:pPr>
      <w:hyperlink w:anchor="_Toc22331692" w:history="1">
        <w:r w:rsidR="00547FDF" w:rsidRPr="0092620E">
          <w:rPr>
            <w:rStyle w:val="Hyperlink"/>
            <w:noProof/>
            <w:lang w:bidi="en-US"/>
          </w:rPr>
          <w:t>CHAPTER 5: ANALYSIS OF THE RESULTS</w:t>
        </w:r>
        <w:r w:rsidR="00547FDF">
          <w:rPr>
            <w:noProof/>
            <w:webHidden/>
          </w:rPr>
          <w:tab/>
        </w:r>
        <w:r w:rsidR="00547FDF">
          <w:rPr>
            <w:noProof/>
            <w:webHidden/>
          </w:rPr>
          <w:fldChar w:fldCharType="begin"/>
        </w:r>
        <w:r w:rsidR="00547FDF">
          <w:rPr>
            <w:noProof/>
            <w:webHidden/>
          </w:rPr>
          <w:instrText xml:space="preserve"> PAGEREF _Toc22331692 \h </w:instrText>
        </w:r>
        <w:r w:rsidR="00547FDF">
          <w:rPr>
            <w:noProof/>
            <w:webHidden/>
          </w:rPr>
        </w:r>
        <w:r w:rsidR="00547FDF">
          <w:rPr>
            <w:noProof/>
            <w:webHidden/>
          </w:rPr>
          <w:fldChar w:fldCharType="separate"/>
        </w:r>
        <w:r w:rsidR="0056454A">
          <w:rPr>
            <w:noProof/>
            <w:webHidden/>
          </w:rPr>
          <w:t>97</w:t>
        </w:r>
        <w:r w:rsidR="00547FDF">
          <w:rPr>
            <w:noProof/>
            <w:webHidden/>
          </w:rPr>
          <w:fldChar w:fldCharType="end"/>
        </w:r>
      </w:hyperlink>
    </w:p>
    <w:p w14:paraId="43AB27AA" w14:textId="62646DB1" w:rsidR="00547FDF" w:rsidRDefault="00B76C18">
      <w:pPr>
        <w:pStyle w:val="TOC2"/>
        <w:rPr>
          <w:rFonts w:eastAsiaTheme="minorEastAsia"/>
          <w:b w:val="0"/>
          <w:noProof/>
          <w:lang w:val="en-GB" w:eastAsia="en-GB"/>
        </w:rPr>
      </w:pPr>
      <w:hyperlink w:anchor="_Toc22331693" w:history="1">
        <w:r w:rsidR="00547FDF" w:rsidRPr="0092620E">
          <w:rPr>
            <w:rStyle w:val="Hyperlink"/>
            <w:noProof/>
            <w:lang w:bidi="en-US"/>
          </w:rPr>
          <w:t>5.1. Introduction</w:t>
        </w:r>
        <w:r w:rsidR="00547FDF">
          <w:rPr>
            <w:noProof/>
            <w:webHidden/>
          </w:rPr>
          <w:tab/>
        </w:r>
        <w:r w:rsidR="00547FDF">
          <w:rPr>
            <w:noProof/>
            <w:webHidden/>
          </w:rPr>
          <w:fldChar w:fldCharType="begin"/>
        </w:r>
        <w:r w:rsidR="00547FDF">
          <w:rPr>
            <w:noProof/>
            <w:webHidden/>
          </w:rPr>
          <w:instrText xml:space="preserve"> PAGEREF _Toc22331693 \h </w:instrText>
        </w:r>
        <w:r w:rsidR="00547FDF">
          <w:rPr>
            <w:noProof/>
            <w:webHidden/>
          </w:rPr>
        </w:r>
        <w:r w:rsidR="00547FDF">
          <w:rPr>
            <w:noProof/>
            <w:webHidden/>
          </w:rPr>
          <w:fldChar w:fldCharType="separate"/>
        </w:r>
        <w:r w:rsidR="0056454A">
          <w:rPr>
            <w:noProof/>
            <w:webHidden/>
          </w:rPr>
          <w:t>97</w:t>
        </w:r>
        <w:r w:rsidR="00547FDF">
          <w:rPr>
            <w:noProof/>
            <w:webHidden/>
          </w:rPr>
          <w:fldChar w:fldCharType="end"/>
        </w:r>
      </w:hyperlink>
    </w:p>
    <w:p w14:paraId="181D8D36" w14:textId="01471D71" w:rsidR="00547FDF" w:rsidRDefault="00B76C18">
      <w:pPr>
        <w:pStyle w:val="TOC2"/>
        <w:rPr>
          <w:rFonts w:eastAsiaTheme="minorEastAsia"/>
          <w:b w:val="0"/>
          <w:noProof/>
          <w:lang w:val="en-GB" w:eastAsia="en-GB"/>
        </w:rPr>
      </w:pPr>
      <w:hyperlink w:anchor="_Toc22331694" w:history="1">
        <w:r w:rsidR="00547FDF" w:rsidRPr="0092620E">
          <w:rPr>
            <w:rStyle w:val="Hyperlink"/>
            <w:noProof/>
            <w:lang w:bidi="en-US"/>
          </w:rPr>
          <w:t>5.2. Demographics</w:t>
        </w:r>
        <w:r w:rsidR="00547FDF">
          <w:rPr>
            <w:noProof/>
            <w:webHidden/>
          </w:rPr>
          <w:tab/>
        </w:r>
        <w:r w:rsidR="00547FDF">
          <w:rPr>
            <w:noProof/>
            <w:webHidden/>
          </w:rPr>
          <w:fldChar w:fldCharType="begin"/>
        </w:r>
        <w:r w:rsidR="00547FDF">
          <w:rPr>
            <w:noProof/>
            <w:webHidden/>
          </w:rPr>
          <w:instrText xml:space="preserve"> PAGEREF _Toc22331694 \h </w:instrText>
        </w:r>
        <w:r w:rsidR="00547FDF">
          <w:rPr>
            <w:noProof/>
            <w:webHidden/>
          </w:rPr>
        </w:r>
        <w:r w:rsidR="00547FDF">
          <w:rPr>
            <w:noProof/>
            <w:webHidden/>
          </w:rPr>
          <w:fldChar w:fldCharType="separate"/>
        </w:r>
        <w:r w:rsidR="0056454A">
          <w:rPr>
            <w:noProof/>
            <w:webHidden/>
          </w:rPr>
          <w:t>97</w:t>
        </w:r>
        <w:r w:rsidR="00547FDF">
          <w:rPr>
            <w:noProof/>
            <w:webHidden/>
          </w:rPr>
          <w:fldChar w:fldCharType="end"/>
        </w:r>
      </w:hyperlink>
    </w:p>
    <w:p w14:paraId="40BF0C09" w14:textId="0DCB0FBE" w:rsidR="00547FDF" w:rsidRDefault="00B76C18">
      <w:pPr>
        <w:pStyle w:val="TOC3"/>
        <w:tabs>
          <w:tab w:val="right" w:leader="dot" w:pos="7910"/>
        </w:tabs>
        <w:rPr>
          <w:rFonts w:eastAsiaTheme="minorEastAsia"/>
          <w:noProof/>
          <w:lang w:val="en-GB" w:eastAsia="en-GB"/>
        </w:rPr>
      </w:pPr>
      <w:hyperlink w:anchor="_Toc22331695" w:history="1">
        <w:r w:rsidR="00547FDF" w:rsidRPr="0092620E">
          <w:rPr>
            <w:rStyle w:val="Hyperlink"/>
            <w:noProof/>
          </w:rPr>
          <w:t>5.2.1. Gender.</w:t>
        </w:r>
        <w:r w:rsidR="00547FDF">
          <w:rPr>
            <w:noProof/>
            <w:webHidden/>
          </w:rPr>
          <w:tab/>
        </w:r>
        <w:r w:rsidR="00547FDF">
          <w:rPr>
            <w:noProof/>
            <w:webHidden/>
          </w:rPr>
          <w:fldChar w:fldCharType="begin"/>
        </w:r>
        <w:r w:rsidR="00547FDF">
          <w:rPr>
            <w:noProof/>
            <w:webHidden/>
          </w:rPr>
          <w:instrText xml:space="preserve"> PAGEREF _Toc22331695 \h </w:instrText>
        </w:r>
        <w:r w:rsidR="00547FDF">
          <w:rPr>
            <w:noProof/>
            <w:webHidden/>
          </w:rPr>
        </w:r>
        <w:r w:rsidR="00547FDF">
          <w:rPr>
            <w:noProof/>
            <w:webHidden/>
          </w:rPr>
          <w:fldChar w:fldCharType="separate"/>
        </w:r>
        <w:r w:rsidR="0056454A">
          <w:rPr>
            <w:noProof/>
            <w:webHidden/>
          </w:rPr>
          <w:t>98</w:t>
        </w:r>
        <w:r w:rsidR="00547FDF">
          <w:rPr>
            <w:noProof/>
            <w:webHidden/>
          </w:rPr>
          <w:fldChar w:fldCharType="end"/>
        </w:r>
      </w:hyperlink>
    </w:p>
    <w:p w14:paraId="7C3D90AE" w14:textId="3915D1E4" w:rsidR="00547FDF" w:rsidRDefault="00B76C18">
      <w:pPr>
        <w:pStyle w:val="TOC3"/>
        <w:tabs>
          <w:tab w:val="right" w:leader="dot" w:pos="7910"/>
        </w:tabs>
        <w:rPr>
          <w:rFonts w:eastAsiaTheme="minorEastAsia"/>
          <w:noProof/>
          <w:lang w:val="en-GB" w:eastAsia="en-GB"/>
        </w:rPr>
      </w:pPr>
      <w:hyperlink w:anchor="_Toc22331696" w:history="1">
        <w:r w:rsidR="00547FDF" w:rsidRPr="0092620E">
          <w:rPr>
            <w:rStyle w:val="Hyperlink"/>
            <w:noProof/>
          </w:rPr>
          <w:t>5.2.5 Age</w:t>
        </w:r>
        <w:r w:rsidR="00547FDF">
          <w:rPr>
            <w:noProof/>
            <w:webHidden/>
          </w:rPr>
          <w:tab/>
        </w:r>
        <w:r w:rsidR="00547FDF">
          <w:rPr>
            <w:noProof/>
            <w:webHidden/>
          </w:rPr>
          <w:fldChar w:fldCharType="begin"/>
        </w:r>
        <w:r w:rsidR="00547FDF">
          <w:rPr>
            <w:noProof/>
            <w:webHidden/>
          </w:rPr>
          <w:instrText xml:space="preserve"> PAGEREF _Toc22331696 \h </w:instrText>
        </w:r>
        <w:r w:rsidR="00547FDF">
          <w:rPr>
            <w:noProof/>
            <w:webHidden/>
          </w:rPr>
        </w:r>
        <w:r w:rsidR="00547FDF">
          <w:rPr>
            <w:noProof/>
            <w:webHidden/>
          </w:rPr>
          <w:fldChar w:fldCharType="separate"/>
        </w:r>
        <w:r w:rsidR="0056454A">
          <w:rPr>
            <w:noProof/>
            <w:webHidden/>
          </w:rPr>
          <w:t>98</w:t>
        </w:r>
        <w:r w:rsidR="00547FDF">
          <w:rPr>
            <w:noProof/>
            <w:webHidden/>
          </w:rPr>
          <w:fldChar w:fldCharType="end"/>
        </w:r>
      </w:hyperlink>
    </w:p>
    <w:p w14:paraId="60E45420" w14:textId="28303754" w:rsidR="00547FDF" w:rsidRDefault="00B76C18">
      <w:pPr>
        <w:pStyle w:val="TOC3"/>
        <w:tabs>
          <w:tab w:val="right" w:leader="dot" w:pos="7910"/>
        </w:tabs>
        <w:rPr>
          <w:rFonts w:eastAsiaTheme="minorEastAsia"/>
          <w:noProof/>
          <w:lang w:val="en-GB" w:eastAsia="en-GB"/>
        </w:rPr>
      </w:pPr>
      <w:hyperlink w:anchor="_Toc22331697" w:history="1">
        <w:r w:rsidR="00547FDF" w:rsidRPr="0092620E">
          <w:rPr>
            <w:rStyle w:val="Hyperlink"/>
            <w:noProof/>
          </w:rPr>
          <w:t>5.2.3. Job function</w:t>
        </w:r>
        <w:r w:rsidR="00547FDF">
          <w:rPr>
            <w:noProof/>
            <w:webHidden/>
          </w:rPr>
          <w:tab/>
        </w:r>
        <w:r w:rsidR="00547FDF">
          <w:rPr>
            <w:noProof/>
            <w:webHidden/>
          </w:rPr>
          <w:fldChar w:fldCharType="begin"/>
        </w:r>
        <w:r w:rsidR="00547FDF">
          <w:rPr>
            <w:noProof/>
            <w:webHidden/>
          </w:rPr>
          <w:instrText xml:space="preserve"> PAGEREF _Toc22331697 \h </w:instrText>
        </w:r>
        <w:r w:rsidR="00547FDF">
          <w:rPr>
            <w:noProof/>
            <w:webHidden/>
          </w:rPr>
        </w:r>
        <w:r w:rsidR="00547FDF">
          <w:rPr>
            <w:noProof/>
            <w:webHidden/>
          </w:rPr>
          <w:fldChar w:fldCharType="separate"/>
        </w:r>
        <w:r w:rsidR="0056454A">
          <w:rPr>
            <w:noProof/>
            <w:webHidden/>
          </w:rPr>
          <w:t>98</w:t>
        </w:r>
        <w:r w:rsidR="00547FDF">
          <w:rPr>
            <w:noProof/>
            <w:webHidden/>
          </w:rPr>
          <w:fldChar w:fldCharType="end"/>
        </w:r>
      </w:hyperlink>
    </w:p>
    <w:p w14:paraId="327C45A3" w14:textId="13A07E36" w:rsidR="00547FDF" w:rsidRDefault="00B76C18">
      <w:pPr>
        <w:pStyle w:val="TOC3"/>
        <w:tabs>
          <w:tab w:val="right" w:leader="dot" w:pos="7910"/>
        </w:tabs>
        <w:rPr>
          <w:rFonts w:eastAsiaTheme="minorEastAsia"/>
          <w:noProof/>
          <w:lang w:val="en-GB" w:eastAsia="en-GB"/>
        </w:rPr>
      </w:pPr>
      <w:hyperlink w:anchor="_Toc22331698" w:history="1">
        <w:r w:rsidR="00547FDF" w:rsidRPr="0092620E">
          <w:rPr>
            <w:rStyle w:val="Hyperlink"/>
            <w:noProof/>
          </w:rPr>
          <w:t>5.2.4. Level of education</w:t>
        </w:r>
        <w:r w:rsidR="00547FDF">
          <w:rPr>
            <w:noProof/>
            <w:webHidden/>
          </w:rPr>
          <w:tab/>
        </w:r>
        <w:r w:rsidR="00547FDF">
          <w:rPr>
            <w:noProof/>
            <w:webHidden/>
          </w:rPr>
          <w:fldChar w:fldCharType="begin"/>
        </w:r>
        <w:r w:rsidR="00547FDF">
          <w:rPr>
            <w:noProof/>
            <w:webHidden/>
          </w:rPr>
          <w:instrText xml:space="preserve"> PAGEREF _Toc22331698 \h </w:instrText>
        </w:r>
        <w:r w:rsidR="00547FDF">
          <w:rPr>
            <w:noProof/>
            <w:webHidden/>
          </w:rPr>
        </w:r>
        <w:r w:rsidR="00547FDF">
          <w:rPr>
            <w:noProof/>
            <w:webHidden/>
          </w:rPr>
          <w:fldChar w:fldCharType="separate"/>
        </w:r>
        <w:r w:rsidR="0056454A">
          <w:rPr>
            <w:noProof/>
            <w:webHidden/>
          </w:rPr>
          <w:t>99</w:t>
        </w:r>
        <w:r w:rsidR="00547FDF">
          <w:rPr>
            <w:noProof/>
            <w:webHidden/>
          </w:rPr>
          <w:fldChar w:fldCharType="end"/>
        </w:r>
      </w:hyperlink>
    </w:p>
    <w:p w14:paraId="64885B46" w14:textId="5CEFFB22" w:rsidR="00547FDF" w:rsidRDefault="00B76C18">
      <w:pPr>
        <w:pStyle w:val="TOC3"/>
        <w:tabs>
          <w:tab w:val="right" w:leader="dot" w:pos="7910"/>
        </w:tabs>
        <w:rPr>
          <w:rFonts w:eastAsiaTheme="minorEastAsia"/>
          <w:noProof/>
          <w:lang w:val="en-GB" w:eastAsia="en-GB"/>
        </w:rPr>
      </w:pPr>
      <w:hyperlink w:anchor="_Toc22331699" w:history="1">
        <w:r w:rsidR="00547FDF" w:rsidRPr="0092620E">
          <w:rPr>
            <w:rStyle w:val="Hyperlink"/>
            <w:noProof/>
          </w:rPr>
          <w:t>5.2.5. Position</w:t>
        </w:r>
        <w:r w:rsidR="00547FDF">
          <w:rPr>
            <w:noProof/>
            <w:webHidden/>
          </w:rPr>
          <w:tab/>
        </w:r>
        <w:r w:rsidR="00547FDF">
          <w:rPr>
            <w:noProof/>
            <w:webHidden/>
          </w:rPr>
          <w:fldChar w:fldCharType="begin"/>
        </w:r>
        <w:r w:rsidR="00547FDF">
          <w:rPr>
            <w:noProof/>
            <w:webHidden/>
          </w:rPr>
          <w:instrText xml:space="preserve"> PAGEREF _Toc22331699 \h </w:instrText>
        </w:r>
        <w:r w:rsidR="00547FDF">
          <w:rPr>
            <w:noProof/>
            <w:webHidden/>
          </w:rPr>
        </w:r>
        <w:r w:rsidR="00547FDF">
          <w:rPr>
            <w:noProof/>
            <w:webHidden/>
          </w:rPr>
          <w:fldChar w:fldCharType="separate"/>
        </w:r>
        <w:r w:rsidR="0056454A">
          <w:rPr>
            <w:noProof/>
            <w:webHidden/>
          </w:rPr>
          <w:t>99</w:t>
        </w:r>
        <w:r w:rsidR="00547FDF">
          <w:rPr>
            <w:noProof/>
            <w:webHidden/>
          </w:rPr>
          <w:fldChar w:fldCharType="end"/>
        </w:r>
      </w:hyperlink>
    </w:p>
    <w:p w14:paraId="5E227D32" w14:textId="39DD7A5F" w:rsidR="00547FDF" w:rsidRDefault="00B76C18">
      <w:pPr>
        <w:pStyle w:val="TOC3"/>
        <w:tabs>
          <w:tab w:val="right" w:leader="dot" w:pos="7910"/>
        </w:tabs>
        <w:rPr>
          <w:rFonts w:eastAsiaTheme="minorEastAsia"/>
          <w:noProof/>
          <w:lang w:val="en-GB" w:eastAsia="en-GB"/>
        </w:rPr>
      </w:pPr>
      <w:hyperlink w:anchor="_Toc22331700" w:history="1">
        <w:r w:rsidR="00547FDF" w:rsidRPr="0092620E">
          <w:rPr>
            <w:rStyle w:val="Hyperlink"/>
            <w:noProof/>
          </w:rPr>
          <w:t>5.2.6. Years of Experience</w:t>
        </w:r>
        <w:r w:rsidR="00547FDF">
          <w:rPr>
            <w:noProof/>
            <w:webHidden/>
          </w:rPr>
          <w:tab/>
        </w:r>
        <w:r w:rsidR="00547FDF">
          <w:rPr>
            <w:noProof/>
            <w:webHidden/>
          </w:rPr>
          <w:fldChar w:fldCharType="begin"/>
        </w:r>
        <w:r w:rsidR="00547FDF">
          <w:rPr>
            <w:noProof/>
            <w:webHidden/>
          </w:rPr>
          <w:instrText xml:space="preserve"> PAGEREF _Toc22331700 \h </w:instrText>
        </w:r>
        <w:r w:rsidR="00547FDF">
          <w:rPr>
            <w:noProof/>
            <w:webHidden/>
          </w:rPr>
        </w:r>
        <w:r w:rsidR="00547FDF">
          <w:rPr>
            <w:noProof/>
            <w:webHidden/>
          </w:rPr>
          <w:fldChar w:fldCharType="separate"/>
        </w:r>
        <w:r w:rsidR="0056454A">
          <w:rPr>
            <w:noProof/>
            <w:webHidden/>
          </w:rPr>
          <w:t>100</w:t>
        </w:r>
        <w:r w:rsidR="00547FDF">
          <w:rPr>
            <w:noProof/>
            <w:webHidden/>
          </w:rPr>
          <w:fldChar w:fldCharType="end"/>
        </w:r>
      </w:hyperlink>
    </w:p>
    <w:p w14:paraId="6C29CF2A" w14:textId="62E93485" w:rsidR="00547FDF" w:rsidRDefault="00B76C18">
      <w:pPr>
        <w:pStyle w:val="TOC3"/>
        <w:tabs>
          <w:tab w:val="right" w:leader="dot" w:pos="7910"/>
        </w:tabs>
        <w:rPr>
          <w:rFonts w:eastAsiaTheme="minorEastAsia"/>
          <w:noProof/>
          <w:lang w:val="en-GB" w:eastAsia="en-GB"/>
        </w:rPr>
      </w:pPr>
      <w:hyperlink w:anchor="_Toc22331701" w:history="1">
        <w:r w:rsidR="00547FDF" w:rsidRPr="0092620E">
          <w:rPr>
            <w:rStyle w:val="Hyperlink"/>
            <w:noProof/>
          </w:rPr>
          <w:t>5.2.7. Sector</w:t>
        </w:r>
        <w:r w:rsidR="00547FDF">
          <w:rPr>
            <w:noProof/>
            <w:webHidden/>
          </w:rPr>
          <w:tab/>
        </w:r>
        <w:r w:rsidR="00547FDF">
          <w:rPr>
            <w:noProof/>
            <w:webHidden/>
          </w:rPr>
          <w:fldChar w:fldCharType="begin"/>
        </w:r>
        <w:r w:rsidR="00547FDF">
          <w:rPr>
            <w:noProof/>
            <w:webHidden/>
          </w:rPr>
          <w:instrText xml:space="preserve"> PAGEREF _Toc22331701 \h </w:instrText>
        </w:r>
        <w:r w:rsidR="00547FDF">
          <w:rPr>
            <w:noProof/>
            <w:webHidden/>
          </w:rPr>
        </w:r>
        <w:r w:rsidR="00547FDF">
          <w:rPr>
            <w:noProof/>
            <w:webHidden/>
          </w:rPr>
          <w:fldChar w:fldCharType="separate"/>
        </w:r>
        <w:r w:rsidR="0056454A">
          <w:rPr>
            <w:noProof/>
            <w:webHidden/>
          </w:rPr>
          <w:t>100</w:t>
        </w:r>
        <w:r w:rsidR="00547FDF">
          <w:rPr>
            <w:noProof/>
            <w:webHidden/>
          </w:rPr>
          <w:fldChar w:fldCharType="end"/>
        </w:r>
      </w:hyperlink>
    </w:p>
    <w:p w14:paraId="1AFD5C98" w14:textId="2B8A0155" w:rsidR="00547FDF" w:rsidRDefault="00B76C18">
      <w:pPr>
        <w:pStyle w:val="TOC3"/>
        <w:tabs>
          <w:tab w:val="right" w:leader="dot" w:pos="7910"/>
        </w:tabs>
        <w:rPr>
          <w:rFonts w:eastAsiaTheme="minorEastAsia"/>
          <w:noProof/>
          <w:lang w:val="en-GB" w:eastAsia="en-GB"/>
        </w:rPr>
      </w:pPr>
      <w:hyperlink w:anchor="_Toc22331702" w:history="1">
        <w:r w:rsidR="00547FDF" w:rsidRPr="0092620E">
          <w:rPr>
            <w:rStyle w:val="Hyperlink"/>
            <w:noProof/>
          </w:rPr>
          <w:t>5.2.8. Police station</w:t>
        </w:r>
        <w:r w:rsidR="00547FDF">
          <w:rPr>
            <w:noProof/>
            <w:webHidden/>
          </w:rPr>
          <w:tab/>
        </w:r>
        <w:r w:rsidR="00547FDF">
          <w:rPr>
            <w:noProof/>
            <w:webHidden/>
          </w:rPr>
          <w:fldChar w:fldCharType="begin"/>
        </w:r>
        <w:r w:rsidR="00547FDF">
          <w:rPr>
            <w:noProof/>
            <w:webHidden/>
          </w:rPr>
          <w:instrText xml:space="preserve"> PAGEREF _Toc22331702 \h </w:instrText>
        </w:r>
        <w:r w:rsidR="00547FDF">
          <w:rPr>
            <w:noProof/>
            <w:webHidden/>
          </w:rPr>
        </w:r>
        <w:r w:rsidR="00547FDF">
          <w:rPr>
            <w:noProof/>
            <w:webHidden/>
          </w:rPr>
          <w:fldChar w:fldCharType="separate"/>
        </w:r>
        <w:r w:rsidR="0056454A">
          <w:rPr>
            <w:noProof/>
            <w:webHidden/>
          </w:rPr>
          <w:t>101</w:t>
        </w:r>
        <w:r w:rsidR="00547FDF">
          <w:rPr>
            <w:noProof/>
            <w:webHidden/>
          </w:rPr>
          <w:fldChar w:fldCharType="end"/>
        </w:r>
      </w:hyperlink>
    </w:p>
    <w:p w14:paraId="04D60113" w14:textId="2054EA55" w:rsidR="00547FDF" w:rsidRDefault="00B76C18">
      <w:pPr>
        <w:pStyle w:val="TOC2"/>
        <w:rPr>
          <w:rFonts w:eastAsiaTheme="minorEastAsia"/>
          <w:b w:val="0"/>
          <w:noProof/>
          <w:lang w:val="en-GB" w:eastAsia="en-GB"/>
        </w:rPr>
      </w:pPr>
      <w:hyperlink w:anchor="_Toc22331703" w:history="1">
        <w:r w:rsidR="00547FDF" w:rsidRPr="0092620E">
          <w:rPr>
            <w:rStyle w:val="Hyperlink"/>
            <w:noProof/>
            <w:lang w:bidi="en-US"/>
          </w:rPr>
          <w:t>5.3. Structural Equation Modeling (SEM</w:t>
        </w:r>
        <w:r w:rsidR="00547FDF" w:rsidRPr="0092620E">
          <w:rPr>
            <w:rStyle w:val="Hyperlink"/>
            <w:rFonts w:cs="Times New Roman"/>
            <w:noProof/>
            <w:lang w:bidi="en-US"/>
          </w:rPr>
          <w:t>)</w:t>
        </w:r>
        <w:r w:rsidR="00547FDF">
          <w:rPr>
            <w:noProof/>
            <w:webHidden/>
          </w:rPr>
          <w:tab/>
        </w:r>
        <w:r w:rsidR="00547FDF">
          <w:rPr>
            <w:noProof/>
            <w:webHidden/>
          </w:rPr>
          <w:fldChar w:fldCharType="begin"/>
        </w:r>
        <w:r w:rsidR="00547FDF">
          <w:rPr>
            <w:noProof/>
            <w:webHidden/>
          </w:rPr>
          <w:instrText xml:space="preserve"> PAGEREF _Toc22331703 \h </w:instrText>
        </w:r>
        <w:r w:rsidR="00547FDF">
          <w:rPr>
            <w:noProof/>
            <w:webHidden/>
          </w:rPr>
        </w:r>
        <w:r w:rsidR="00547FDF">
          <w:rPr>
            <w:noProof/>
            <w:webHidden/>
          </w:rPr>
          <w:fldChar w:fldCharType="separate"/>
        </w:r>
        <w:r w:rsidR="0056454A">
          <w:rPr>
            <w:noProof/>
            <w:webHidden/>
          </w:rPr>
          <w:t>101</w:t>
        </w:r>
        <w:r w:rsidR="00547FDF">
          <w:rPr>
            <w:noProof/>
            <w:webHidden/>
          </w:rPr>
          <w:fldChar w:fldCharType="end"/>
        </w:r>
      </w:hyperlink>
    </w:p>
    <w:p w14:paraId="20F3DED1" w14:textId="34B15A5A" w:rsidR="00547FDF" w:rsidRDefault="00B76C18">
      <w:pPr>
        <w:pStyle w:val="TOC3"/>
        <w:tabs>
          <w:tab w:val="right" w:leader="dot" w:pos="7910"/>
        </w:tabs>
        <w:rPr>
          <w:rFonts w:eastAsiaTheme="minorEastAsia"/>
          <w:noProof/>
          <w:lang w:val="en-GB" w:eastAsia="en-GB"/>
        </w:rPr>
      </w:pPr>
      <w:hyperlink w:anchor="_Toc22331704" w:history="1">
        <w:r w:rsidR="00547FDF" w:rsidRPr="0092620E">
          <w:rPr>
            <w:rStyle w:val="Hyperlink"/>
            <w:noProof/>
          </w:rPr>
          <w:t>5.3.1. Model Fit</w:t>
        </w:r>
        <w:r w:rsidR="00547FDF">
          <w:rPr>
            <w:noProof/>
            <w:webHidden/>
          </w:rPr>
          <w:tab/>
        </w:r>
        <w:r w:rsidR="00547FDF">
          <w:rPr>
            <w:noProof/>
            <w:webHidden/>
          </w:rPr>
          <w:fldChar w:fldCharType="begin"/>
        </w:r>
        <w:r w:rsidR="00547FDF">
          <w:rPr>
            <w:noProof/>
            <w:webHidden/>
          </w:rPr>
          <w:instrText xml:space="preserve"> PAGEREF _Toc22331704 \h </w:instrText>
        </w:r>
        <w:r w:rsidR="00547FDF">
          <w:rPr>
            <w:noProof/>
            <w:webHidden/>
          </w:rPr>
        </w:r>
        <w:r w:rsidR="00547FDF">
          <w:rPr>
            <w:noProof/>
            <w:webHidden/>
          </w:rPr>
          <w:fldChar w:fldCharType="separate"/>
        </w:r>
        <w:r w:rsidR="0056454A">
          <w:rPr>
            <w:noProof/>
            <w:webHidden/>
          </w:rPr>
          <w:t>102</w:t>
        </w:r>
        <w:r w:rsidR="00547FDF">
          <w:rPr>
            <w:noProof/>
            <w:webHidden/>
          </w:rPr>
          <w:fldChar w:fldCharType="end"/>
        </w:r>
      </w:hyperlink>
    </w:p>
    <w:p w14:paraId="46B7B225" w14:textId="3433E8FB" w:rsidR="00547FDF" w:rsidRDefault="00B76C18">
      <w:pPr>
        <w:pStyle w:val="TOC3"/>
        <w:tabs>
          <w:tab w:val="right" w:leader="dot" w:pos="7910"/>
        </w:tabs>
        <w:rPr>
          <w:rFonts w:eastAsiaTheme="minorEastAsia"/>
          <w:noProof/>
          <w:lang w:val="en-GB" w:eastAsia="en-GB"/>
        </w:rPr>
      </w:pPr>
      <w:hyperlink w:anchor="_Toc22331705" w:history="1">
        <w:r w:rsidR="00547FDF" w:rsidRPr="0092620E">
          <w:rPr>
            <w:rStyle w:val="Hyperlink"/>
            <w:noProof/>
          </w:rPr>
          <w:t>5.3.2. Reliability</w:t>
        </w:r>
        <w:r w:rsidR="00547FDF">
          <w:rPr>
            <w:noProof/>
            <w:webHidden/>
          </w:rPr>
          <w:tab/>
        </w:r>
        <w:r w:rsidR="00547FDF">
          <w:rPr>
            <w:noProof/>
            <w:webHidden/>
          </w:rPr>
          <w:fldChar w:fldCharType="begin"/>
        </w:r>
        <w:r w:rsidR="00547FDF">
          <w:rPr>
            <w:noProof/>
            <w:webHidden/>
          </w:rPr>
          <w:instrText xml:space="preserve"> PAGEREF _Toc22331705 \h </w:instrText>
        </w:r>
        <w:r w:rsidR="00547FDF">
          <w:rPr>
            <w:noProof/>
            <w:webHidden/>
          </w:rPr>
        </w:r>
        <w:r w:rsidR="00547FDF">
          <w:rPr>
            <w:noProof/>
            <w:webHidden/>
          </w:rPr>
          <w:fldChar w:fldCharType="separate"/>
        </w:r>
        <w:r w:rsidR="0056454A">
          <w:rPr>
            <w:noProof/>
            <w:webHidden/>
          </w:rPr>
          <w:t>104</w:t>
        </w:r>
        <w:r w:rsidR="00547FDF">
          <w:rPr>
            <w:noProof/>
            <w:webHidden/>
          </w:rPr>
          <w:fldChar w:fldCharType="end"/>
        </w:r>
      </w:hyperlink>
    </w:p>
    <w:p w14:paraId="103A1474" w14:textId="3028FB45" w:rsidR="00547FDF" w:rsidRDefault="00B76C18">
      <w:pPr>
        <w:pStyle w:val="TOC3"/>
        <w:tabs>
          <w:tab w:val="right" w:leader="dot" w:pos="7910"/>
        </w:tabs>
        <w:rPr>
          <w:rFonts w:eastAsiaTheme="minorEastAsia"/>
          <w:noProof/>
          <w:lang w:val="en-GB" w:eastAsia="en-GB"/>
        </w:rPr>
      </w:pPr>
      <w:hyperlink w:anchor="_Toc22331706" w:history="1">
        <w:r w:rsidR="00547FDF" w:rsidRPr="0092620E">
          <w:rPr>
            <w:rStyle w:val="Hyperlink"/>
            <w:noProof/>
          </w:rPr>
          <w:t>5.3.3. Validity</w:t>
        </w:r>
        <w:r w:rsidR="00547FDF">
          <w:rPr>
            <w:noProof/>
            <w:webHidden/>
          </w:rPr>
          <w:tab/>
        </w:r>
        <w:r w:rsidR="00547FDF">
          <w:rPr>
            <w:noProof/>
            <w:webHidden/>
          </w:rPr>
          <w:fldChar w:fldCharType="begin"/>
        </w:r>
        <w:r w:rsidR="00547FDF">
          <w:rPr>
            <w:noProof/>
            <w:webHidden/>
          </w:rPr>
          <w:instrText xml:space="preserve"> PAGEREF _Toc22331706 \h </w:instrText>
        </w:r>
        <w:r w:rsidR="00547FDF">
          <w:rPr>
            <w:noProof/>
            <w:webHidden/>
          </w:rPr>
        </w:r>
        <w:r w:rsidR="00547FDF">
          <w:rPr>
            <w:noProof/>
            <w:webHidden/>
          </w:rPr>
          <w:fldChar w:fldCharType="separate"/>
        </w:r>
        <w:r w:rsidR="0056454A">
          <w:rPr>
            <w:noProof/>
            <w:webHidden/>
          </w:rPr>
          <w:t>106</w:t>
        </w:r>
        <w:r w:rsidR="00547FDF">
          <w:rPr>
            <w:noProof/>
            <w:webHidden/>
          </w:rPr>
          <w:fldChar w:fldCharType="end"/>
        </w:r>
      </w:hyperlink>
    </w:p>
    <w:p w14:paraId="1F2F65E8" w14:textId="05CBE46B" w:rsidR="00547FDF" w:rsidRDefault="00B76C18">
      <w:pPr>
        <w:pStyle w:val="TOC4"/>
        <w:tabs>
          <w:tab w:val="right" w:leader="dot" w:pos="7910"/>
        </w:tabs>
        <w:rPr>
          <w:rFonts w:eastAsiaTheme="minorEastAsia"/>
          <w:noProof/>
          <w:sz w:val="22"/>
          <w:szCs w:val="22"/>
          <w:lang w:val="en-GB" w:eastAsia="en-GB"/>
        </w:rPr>
      </w:pPr>
      <w:hyperlink w:anchor="_Toc22331707" w:history="1">
        <w:r w:rsidR="00547FDF" w:rsidRPr="0092620E">
          <w:rPr>
            <w:rStyle w:val="Hyperlink"/>
            <w:noProof/>
          </w:rPr>
          <w:t>5.3.3.1. Convergent validity.</w:t>
        </w:r>
        <w:r w:rsidR="00547FDF">
          <w:rPr>
            <w:noProof/>
            <w:webHidden/>
          </w:rPr>
          <w:tab/>
        </w:r>
        <w:r w:rsidR="00547FDF">
          <w:rPr>
            <w:noProof/>
            <w:webHidden/>
          </w:rPr>
          <w:fldChar w:fldCharType="begin"/>
        </w:r>
        <w:r w:rsidR="00547FDF">
          <w:rPr>
            <w:noProof/>
            <w:webHidden/>
          </w:rPr>
          <w:instrText xml:space="preserve"> PAGEREF _Toc22331707 \h </w:instrText>
        </w:r>
        <w:r w:rsidR="00547FDF">
          <w:rPr>
            <w:noProof/>
            <w:webHidden/>
          </w:rPr>
        </w:r>
        <w:r w:rsidR="00547FDF">
          <w:rPr>
            <w:noProof/>
            <w:webHidden/>
          </w:rPr>
          <w:fldChar w:fldCharType="separate"/>
        </w:r>
        <w:r w:rsidR="0056454A">
          <w:rPr>
            <w:noProof/>
            <w:webHidden/>
          </w:rPr>
          <w:t>106</w:t>
        </w:r>
        <w:r w:rsidR="00547FDF">
          <w:rPr>
            <w:noProof/>
            <w:webHidden/>
          </w:rPr>
          <w:fldChar w:fldCharType="end"/>
        </w:r>
      </w:hyperlink>
    </w:p>
    <w:p w14:paraId="78653EDC" w14:textId="754AD6A6" w:rsidR="00547FDF" w:rsidRDefault="00B76C18">
      <w:pPr>
        <w:pStyle w:val="TOC4"/>
        <w:tabs>
          <w:tab w:val="right" w:leader="dot" w:pos="7910"/>
        </w:tabs>
        <w:rPr>
          <w:rFonts w:eastAsiaTheme="minorEastAsia"/>
          <w:noProof/>
          <w:sz w:val="22"/>
          <w:szCs w:val="22"/>
          <w:lang w:val="en-GB" w:eastAsia="en-GB"/>
        </w:rPr>
      </w:pPr>
      <w:hyperlink w:anchor="_Toc22331708" w:history="1">
        <w:r w:rsidR="00547FDF" w:rsidRPr="0092620E">
          <w:rPr>
            <w:rStyle w:val="Hyperlink"/>
            <w:noProof/>
          </w:rPr>
          <w:t>5.3.3.2. Discriminant validity.</w:t>
        </w:r>
        <w:r w:rsidR="00547FDF">
          <w:rPr>
            <w:noProof/>
            <w:webHidden/>
          </w:rPr>
          <w:tab/>
        </w:r>
        <w:r w:rsidR="00547FDF">
          <w:rPr>
            <w:noProof/>
            <w:webHidden/>
          </w:rPr>
          <w:fldChar w:fldCharType="begin"/>
        </w:r>
        <w:r w:rsidR="00547FDF">
          <w:rPr>
            <w:noProof/>
            <w:webHidden/>
          </w:rPr>
          <w:instrText xml:space="preserve"> PAGEREF _Toc22331708 \h </w:instrText>
        </w:r>
        <w:r w:rsidR="00547FDF">
          <w:rPr>
            <w:noProof/>
            <w:webHidden/>
          </w:rPr>
        </w:r>
        <w:r w:rsidR="00547FDF">
          <w:rPr>
            <w:noProof/>
            <w:webHidden/>
          </w:rPr>
          <w:fldChar w:fldCharType="separate"/>
        </w:r>
        <w:r w:rsidR="0056454A">
          <w:rPr>
            <w:noProof/>
            <w:webHidden/>
          </w:rPr>
          <w:t>107</w:t>
        </w:r>
        <w:r w:rsidR="00547FDF">
          <w:rPr>
            <w:noProof/>
            <w:webHidden/>
          </w:rPr>
          <w:fldChar w:fldCharType="end"/>
        </w:r>
      </w:hyperlink>
    </w:p>
    <w:p w14:paraId="5F2965FF" w14:textId="4AB06828" w:rsidR="00547FDF" w:rsidRDefault="00B76C18">
      <w:pPr>
        <w:pStyle w:val="TOC3"/>
        <w:tabs>
          <w:tab w:val="right" w:leader="dot" w:pos="7910"/>
        </w:tabs>
        <w:rPr>
          <w:rFonts w:eastAsiaTheme="minorEastAsia"/>
          <w:noProof/>
          <w:lang w:val="en-GB" w:eastAsia="en-GB"/>
        </w:rPr>
      </w:pPr>
      <w:hyperlink w:anchor="_Toc22331709" w:history="1">
        <w:r w:rsidR="00547FDF" w:rsidRPr="0092620E">
          <w:rPr>
            <w:rStyle w:val="Hyperlink"/>
            <w:noProof/>
          </w:rPr>
          <w:t>5.3.3.3. Collinearity</w:t>
        </w:r>
        <w:r w:rsidR="00547FDF">
          <w:rPr>
            <w:noProof/>
            <w:webHidden/>
          </w:rPr>
          <w:tab/>
        </w:r>
        <w:r w:rsidR="00547FDF">
          <w:rPr>
            <w:noProof/>
            <w:webHidden/>
          </w:rPr>
          <w:fldChar w:fldCharType="begin"/>
        </w:r>
        <w:r w:rsidR="00547FDF">
          <w:rPr>
            <w:noProof/>
            <w:webHidden/>
          </w:rPr>
          <w:instrText xml:space="preserve"> PAGEREF _Toc22331709 \h </w:instrText>
        </w:r>
        <w:r w:rsidR="00547FDF">
          <w:rPr>
            <w:noProof/>
            <w:webHidden/>
          </w:rPr>
        </w:r>
        <w:r w:rsidR="00547FDF">
          <w:rPr>
            <w:noProof/>
            <w:webHidden/>
          </w:rPr>
          <w:fldChar w:fldCharType="separate"/>
        </w:r>
        <w:r w:rsidR="0056454A">
          <w:rPr>
            <w:noProof/>
            <w:webHidden/>
          </w:rPr>
          <w:t>109</w:t>
        </w:r>
        <w:r w:rsidR="00547FDF">
          <w:rPr>
            <w:noProof/>
            <w:webHidden/>
          </w:rPr>
          <w:fldChar w:fldCharType="end"/>
        </w:r>
      </w:hyperlink>
    </w:p>
    <w:p w14:paraId="523ACD04" w14:textId="4FE480DE" w:rsidR="00547FDF" w:rsidRDefault="00B76C18">
      <w:pPr>
        <w:pStyle w:val="TOC3"/>
        <w:tabs>
          <w:tab w:val="right" w:leader="dot" w:pos="7910"/>
        </w:tabs>
        <w:rPr>
          <w:rFonts w:eastAsiaTheme="minorEastAsia"/>
          <w:noProof/>
          <w:lang w:val="en-GB" w:eastAsia="en-GB"/>
        </w:rPr>
      </w:pPr>
      <w:hyperlink w:anchor="_Toc22331710" w:history="1">
        <w:r w:rsidR="00547FDF" w:rsidRPr="0092620E">
          <w:rPr>
            <w:rStyle w:val="Hyperlink"/>
            <w:noProof/>
          </w:rPr>
          <w:t>5.4. Testing the Research Hypotheses</w:t>
        </w:r>
        <w:r w:rsidR="00547FDF">
          <w:rPr>
            <w:noProof/>
            <w:webHidden/>
          </w:rPr>
          <w:tab/>
        </w:r>
        <w:r w:rsidR="00547FDF">
          <w:rPr>
            <w:noProof/>
            <w:webHidden/>
          </w:rPr>
          <w:fldChar w:fldCharType="begin"/>
        </w:r>
        <w:r w:rsidR="00547FDF">
          <w:rPr>
            <w:noProof/>
            <w:webHidden/>
          </w:rPr>
          <w:instrText xml:space="preserve"> PAGEREF _Toc22331710 \h </w:instrText>
        </w:r>
        <w:r w:rsidR="00547FDF">
          <w:rPr>
            <w:noProof/>
            <w:webHidden/>
          </w:rPr>
        </w:r>
        <w:r w:rsidR="00547FDF">
          <w:rPr>
            <w:noProof/>
            <w:webHidden/>
          </w:rPr>
          <w:fldChar w:fldCharType="separate"/>
        </w:r>
        <w:r w:rsidR="0056454A">
          <w:rPr>
            <w:noProof/>
            <w:webHidden/>
          </w:rPr>
          <w:t>111</w:t>
        </w:r>
        <w:r w:rsidR="00547FDF">
          <w:rPr>
            <w:noProof/>
            <w:webHidden/>
          </w:rPr>
          <w:fldChar w:fldCharType="end"/>
        </w:r>
      </w:hyperlink>
    </w:p>
    <w:p w14:paraId="34D7E314" w14:textId="63367103" w:rsidR="00547FDF" w:rsidRDefault="00B76C18">
      <w:pPr>
        <w:pStyle w:val="TOC2"/>
        <w:rPr>
          <w:rFonts w:eastAsiaTheme="minorEastAsia"/>
          <w:b w:val="0"/>
          <w:noProof/>
          <w:lang w:val="en-GB" w:eastAsia="en-GB"/>
        </w:rPr>
      </w:pPr>
      <w:hyperlink w:anchor="_Toc22331711" w:history="1">
        <w:r w:rsidR="00547FDF" w:rsidRPr="0092620E">
          <w:rPr>
            <w:rStyle w:val="Hyperlink"/>
            <w:noProof/>
            <w:lang w:bidi="en-US"/>
          </w:rPr>
          <w:t>5.4. Conclusion</w:t>
        </w:r>
        <w:r w:rsidR="00547FDF">
          <w:rPr>
            <w:noProof/>
            <w:webHidden/>
          </w:rPr>
          <w:tab/>
        </w:r>
        <w:r w:rsidR="00547FDF">
          <w:rPr>
            <w:noProof/>
            <w:webHidden/>
          </w:rPr>
          <w:fldChar w:fldCharType="begin"/>
        </w:r>
        <w:r w:rsidR="00547FDF">
          <w:rPr>
            <w:noProof/>
            <w:webHidden/>
          </w:rPr>
          <w:instrText xml:space="preserve"> PAGEREF _Toc22331711 \h </w:instrText>
        </w:r>
        <w:r w:rsidR="00547FDF">
          <w:rPr>
            <w:noProof/>
            <w:webHidden/>
          </w:rPr>
        </w:r>
        <w:r w:rsidR="00547FDF">
          <w:rPr>
            <w:noProof/>
            <w:webHidden/>
          </w:rPr>
          <w:fldChar w:fldCharType="separate"/>
        </w:r>
        <w:r w:rsidR="0056454A">
          <w:rPr>
            <w:noProof/>
            <w:webHidden/>
          </w:rPr>
          <w:t>120</w:t>
        </w:r>
        <w:r w:rsidR="00547FDF">
          <w:rPr>
            <w:noProof/>
            <w:webHidden/>
          </w:rPr>
          <w:fldChar w:fldCharType="end"/>
        </w:r>
      </w:hyperlink>
    </w:p>
    <w:p w14:paraId="592F3AD3" w14:textId="2B63089F" w:rsidR="00547FDF" w:rsidRDefault="00B76C18">
      <w:pPr>
        <w:pStyle w:val="TOC1"/>
        <w:rPr>
          <w:rFonts w:eastAsiaTheme="minorEastAsia"/>
          <w:b w:val="0"/>
          <w:noProof/>
          <w:sz w:val="22"/>
          <w:szCs w:val="22"/>
          <w:lang w:val="en-GB" w:eastAsia="en-GB"/>
        </w:rPr>
      </w:pPr>
      <w:hyperlink w:anchor="_Toc22331712" w:history="1">
        <w:r w:rsidR="00547FDF" w:rsidRPr="0092620E">
          <w:rPr>
            <w:rStyle w:val="Hyperlink"/>
            <w:noProof/>
            <w:lang w:bidi="en-US"/>
          </w:rPr>
          <w:t>CHAPTER 6: DISCUSSION OF THE RESULTS</w:t>
        </w:r>
        <w:r w:rsidR="00547FDF">
          <w:rPr>
            <w:noProof/>
            <w:webHidden/>
          </w:rPr>
          <w:tab/>
        </w:r>
        <w:r w:rsidR="00547FDF">
          <w:rPr>
            <w:noProof/>
            <w:webHidden/>
          </w:rPr>
          <w:fldChar w:fldCharType="begin"/>
        </w:r>
        <w:r w:rsidR="00547FDF">
          <w:rPr>
            <w:noProof/>
            <w:webHidden/>
          </w:rPr>
          <w:instrText xml:space="preserve"> PAGEREF _Toc22331712 \h </w:instrText>
        </w:r>
        <w:r w:rsidR="00547FDF">
          <w:rPr>
            <w:noProof/>
            <w:webHidden/>
          </w:rPr>
        </w:r>
        <w:r w:rsidR="00547FDF">
          <w:rPr>
            <w:noProof/>
            <w:webHidden/>
          </w:rPr>
          <w:fldChar w:fldCharType="separate"/>
        </w:r>
        <w:r w:rsidR="0056454A">
          <w:rPr>
            <w:noProof/>
            <w:webHidden/>
          </w:rPr>
          <w:t>121</w:t>
        </w:r>
        <w:r w:rsidR="00547FDF">
          <w:rPr>
            <w:noProof/>
            <w:webHidden/>
          </w:rPr>
          <w:fldChar w:fldCharType="end"/>
        </w:r>
      </w:hyperlink>
    </w:p>
    <w:p w14:paraId="03F09237" w14:textId="5C6EA11A" w:rsidR="00547FDF" w:rsidRDefault="00B76C18">
      <w:pPr>
        <w:pStyle w:val="TOC2"/>
        <w:rPr>
          <w:rFonts w:eastAsiaTheme="minorEastAsia"/>
          <w:b w:val="0"/>
          <w:noProof/>
          <w:lang w:val="en-GB" w:eastAsia="en-GB"/>
        </w:rPr>
      </w:pPr>
      <w:hyperlink w:anchor="_Toc22331713" w:history="1">
        <w:r w:rsidR="00547FDF" w:rsidRPr="0092620E">
          <w:rPr>
            <w:rStyle w:val="Hyperlink"/>
            <w:noProof/>
            <w:lang w:bidi="en-US"/>
          </w:rPr>
          <w:t>6.1. Introduction</w:t>
        </w:r>
        <w:r w:rsidR="00547FDF">
          <w:rPr>
            <w:noProof/>
            <w:webHidden/>
          </w:rPr>
          <w:tab/>
        </w:r>
        <w:r w:rsidR="00547FDF">
          <w:rPr>
            <w:noProof/>
            <w:webHidden/>
          </w:rPr>
          <w:fldChar w:fldCharType="begin"/>
        </w:r>
        <w:r w:rsidR="00547FDF">
          <w:rPr>
            <w:noProof/>
            <w:webHidden/>
          </w:rPr>
          <w:instrText xml:space="preserve"> PAGEREF _Toc22331713 \h </w:instrText>
        </w:r>
        <w:r w:rsidR="00547FDF">
          <w:rPr>
            <w:noProof/>
            <w:webHidden/>
          </w:rPr>
        </w:r>
        <w:r w:rsidR="00547FDF">
          <w:rPr>
            <w:noProof/>
            <w:webHidden/>
          </w:rPr>
          <w:fldChar w:fldCharType="separate"/>
        </w:r>
        <w:r w:rsidR="0056454A">
          <w:rPr>
            <w:noProof/>
            <w:webHidden/>
          </w:rPr>
          <w:t>121</w:t>
        </w:r>
        <w:r w:rsidR="00547FDF">
          <w:rPr>
            <w:noProof/>
            <w:webHidden/>
          </w:rPr>
          <w:fldChar w:fldCharType="end"/>
        </w:r>
      </w:hyperlink>
    </w:p>
    <w:p w14:paraId="3F25E820" w14:textId="6F0E67C8" w:rsidR="00547FDF" w:rsidRDefault="00B76C18">
      <w:pPr>
        <w:pStyle w:val="TOC2"/>
        <w:rPr>
          <w:rFonts w:eastAsiaTheme="minorEastAsia"/>
          <w:b w:val="0"/>
          <w:noProof/>
          <w:lang w:val="en-GB" w:eastAsia="en-GB"/>
        </w:rPr>
      </w:pPr>
      <w:hyperlink w:anchor="_Toc22331714" w:history="1">
        <w:r w:rsidR="00547FDF" w:rsidRPr="0092620E">
          <w:rPr>
            <w:rStyle w:val="Hyperlink"/>
            <w:noProof/>
            <w:lang w:bidi="en-US"/>
          </w:rPr>
          <w:t>6.2. RQ 1: Knowledge Management Capabilities</w:t>
        </w:r>
        <w:r w:rsidR="00547FDF">
          <w:rPr>
            <w:noProof/>
            <w:webHidden/>
          </w:rPr>
          <w:tab/>
        </w:r>
        <w:r w:rsidR="00547FDF">
          <w:rPr>
            <w:noProof/>
            <w:webHidden/>
          </w:rPr>
          <w:fldChar w:fldCharType="begin"/>
        </w:r>
        <w:r w:rsidR="00547FDF">
          <w:rPr>
            <w:noProof/>
            <w:webHidden/>
          </w:rPr>
          <w:instrText xml:space="preserve"> PAGEREF _Toc22331714 \h </w:instrText>
        </w:r>
        <w:r w:rsidR="00547FDF">
          <w:rPr>
            <w:noProof/>
            <w:webHidden/>
          </w:rPr>
        </w:r>
        <w:r w:rsidR="00547FDF">
          <w:rPr>
            <w:noProof/>
            <w:webHidden/>
          </w:rPr>
          <w:fldChar w:fldCharType="separate"/>
        </w:r>
        <w:r w:rsidR="0056454A">
          <w:rPr>
            <w:noProof/>
            <w:webHidden/>
          </w:rPr>
          <w:t>122</w:t>
        </w:r>
        <w:r w:rsidR="00547FDF">
          <w:rPr>
            <w:noProof/>
            <w:webHidden/>
          </w:rPr>
          <w:fldChar w:fldCharType="end"/>
        </w:r>
      </w:hyperlink>
    </w:p>
    <w:p w14:paraId="2C46EA8B" w14:textId="72D12641" w:rsidR="00547FDF" w:rsidRDefault="00B76C18">
      <w:pPr>
        <w:pStyle w:val="TOC2"/>
        <w:rPr>
          <w:rFonts w:eastAsiaTheme="minorEastAsia"/>
          <w:b w:val="0"/>
          <w:noProof/>
          <w:lang w:val="en-GB" w:eastAsia="en-GB"/>
        </w:rPr>
      </w:pPr>
      <w:hyperlink w:anchor="_Toc22331715" w:history="1">
        <w:r w:rsidR="00547FDF" w:rsidRPr="0092620E">
          <w:rPr>
            <w:rStyle w:val="Hyperlink"/>
            <w:noProof/>
            <w:lang w:bidi="en-US"/>
          </w:rPr>
          <w:t>6.3. RQ 2: HR Practices Enhancing Knowledge Sharing</w:t>
        </w:r>
        <w:r w:rsidR="00547FDF">
          <w:rPr>
            <w:noProof/>
            <w:webHidden/>
          </w:rPr>
          <w:tab/>
        </w:r>
        <w:r w:rsidR="00547FDF">
          <w:rPr>
            <w:noProof/>
            <w:webHidden/>
          </w:rPr>
          <w:fldChar w:fldCharType="begin"/>
        </w:r>
        <w:r w:rsidR="00547FDF">
          <w:rPr>
            <w:noProof/>
            <w:webHidden/>
          </w:rPr>
          <w:instrText xml:space="preserve"> PAGEREF _Toc22331715 \h </w:instrText>
        </w:r>
        <w:r w:rsidR="00547FDF">
          <w:rPr>
            <w:noProof/>
            <w:webHidden/>
          </w:rPr>
        </w:r>
        <w:r w:rsidR="00547FDF">
          <w:rPr>
            <w:noProof/>
            <w:webHidden/>
          </w:rPr>
          <w:fldChar w:fldCharType="separate"/>
        </w:r>
        <w:r w:rsidR="0056454A">
          <w:rPr>
            <w:noProof/>
            <w:webHidden/>
          </w:rPr>
          <w:t>124</w:t>
        </w:r>
        <w:r w:rsidR="00547FDF">
          <w:rPr>
            <w:noProof/>
            <w:webHidden/>
          </w:rPr>
          <w:fldChar w:fldCharType="end"/>
        </w:r>
      </w:hyperlink>
    </w:p>
    <w:p w14:paraId="37A0A4F2" w14:textId="76FD216E" w:rsidR="00547FDF" w:rsidRDefault="00B76C18">
      <w:pPr>
        <w:pStyle w:val="TOC2"/>
        <w:rPr>
          <w:rFonts w:eastAsiaTheme="minorEastAsia"/>
          <w:b w:val="0"/>
          <w:noProof/>
          <w:lang w:val="en-GB" w:eastAsia="en-GB"/>
        </w:rPr>
      </w:pPr>
      <w:hyperlink w:anchor="_Toc22331716" w:history="1">
        <w:r w:rsidR="00547FDF" w:rsidRPr="0092620E">
          <w:rPr>
            <w:rStyle w:val="Hyperlink"/>
            <w:noProof/>
            <w:lang w:bidi="en-US"/>
          </w:rPr>
          <w:t>6.4. RQ 3: Organizational Learning and Knowledge Management Benefits</w:t>
        </w:r>
        <w:r w:rsidR="00547FDF">
          <w:rPr>
            <w:noProof/>
            <w:webHidden/>
          </w:rPr>
          <w:tab/>
        </w:r>
        <w:r w:rsidR="00547FDF">
          <w:rPr>
            <w:noProof/>
            <w:webHidden/>
          </w:rPr>
          <w:fldChar w:fldCharType="begin"/>
        </w:r>
        <w:r w:rsidR="00547FDF">
          <w:rPr>
            <w:noProof/>
            <w:webHidden/>
          </w:rPr>
          <w:instrText xml:space="preserve"> PAGEREF _Toc22331716 \h </w:instrText>
        </w:r>
        <w:r w:rsidR="00547FDF">
          <w:rPr>
            <w:noProof/>
            <w:webHidden/>
          </w:rPr>
        </w:r>
        <w:r w:rsidR="00547FDF">
          <w:rPr>
            <w:noProof/>
            <w:webHidden/>
          </w:rPr>
          <w:fldChar w:fldCharType="separate"/>
        </w:r>
        <w:r w:rsidR="0056454A">
          <w:rPr>
            <w:noProof/>
            <w:webHidden/>
          </w:rPr>
          <w:t>127</w:t>
        </w:r>
        <w:r w:rsidR="00547FDF">
          <w:rPr>
            <w:noProof/>
            <w:webHidden/>
          </w:rPr>
          <w:fldChar w:fldCharType="end"/>
        </w:r>
      </w:hyperlink>
    </w:p>
    <w:p w14:paraId="28E4B893" w14:textId="43069EAA" w:rsidR="00547FDF" w:rsidRDefault="00B76C18">
      <w:pPr>
        <w:pStyle w:val="TOC2"/>
        <w:rPr>
          <w:rFonts w:eastAsiaTheme="minorEastAsia"/>
          <w:b w:val="0"/>
          <w:noProof/>
          <w:lang w:val="en-GB" w:eastAsia="en-GB"/>
        </w:rPr>
      </w:pPr>
      <w:hyperlink w:anchor="_Toc22331717" w:history="1">
        <w:r w:rsidR="00547FDF" w:rsidRPr="0092620E">
          <w:rPr>
            <w:rStyle w:val="Hyperlink"/>
            <w:noProof/>
            <w:lang w:bidi="en-US"/>
          </w:rPr>
          <w:t xml:space="preserve">6.5. RQ 4: The Mediating Role of Organizational Learning Between Knowledge Management Capabilities and </w:t>
        </w:r>
        <w:r w:rsidR="00547FDF" w:rsidRPr="0092620E">
          <w:rPr>
            <w:rStyle w:val="Hyperlink"/>
            <w:rFonts w:ascii="Times" w:hAnsi="Times"/>
            <w:noProof/>
            <w:lang w:bidi="en-US"/>
          </w:rPr>
          <w:t>Knowledge Management Benefits</w:t>
        </w:r>
        <w:r w:rsidR="00547FDF">
          <w:rPr>
            <w:noProof/>
            <w:webHidden/>
          </w:rPr>
          <w:tab/>
        </w:r>
        <w:r w:rsidR="00547FDF">
          <w:rPr>
            <w:noProof/>
            <w:webHidden/>
          </w:rPr>
          <w:fldChar w:fldCharType="begin"/>
        </w:r>
        <w:r w:rsidR="00547FDF">
          <w:rPr>
            <w:noProof/>
            <w:webHidden/>
          </w:rPr>
          <w:instrText xml:space="preserve"> PAGEREF _Toc22331717 \h </w:instrText>
        </w:r>
        <w:r w:rsidR="00547FDF">
          <w:rPr>
            <w:noProof/>
            <w:webHidden/>
          </w:rPr>
        </w:r>
        <w:r w:rsidR="00547FDF">
          <w:rPr>
            <w:noProof/>
            <w:webHidden/>
          </w:rPr>
          <w:fldChar w:fldCharType="separate"/>
        </w:r>
        <w:r w:rsidR="0056454A">
          <w:rPr>
            <w:noProof/>
            <w:webHidden/>
          </w:rPr>
          <w:t>128</w:t>
        </w:r>
        <w:r w:rsidR="00547FDF">
          <w:rPr>
            <w:noProof/>
            <w:webHidden/>
          </w:rPr>
          <w:fldChar w:fldCharType="end"/>
        </w:r>
      </w:hyperlink>
    </w:p>
    <w:p w14:paraId="69899F04" w14:textId="274BDBA7" w:rsidR="00547FDF" w:rsidRDefault="00B76C18">
      <w:pPr>
        <w:pStyle w:val="TOC2"/>
        <w:rPr>
          <w:rFonts w:eastAsiaTheme="minorEastAsia"/>
          <w:b w:val="0"/>
          <w:noProof/>
          <w:lang w:val="en-GB" w:eastAsia="en-GB"/>
        </w:rPr>
      </w:pPr>
      <w:hyperlink w:anchor="_Toc22331718" w:history="1">
        <w:r w:rsidR="00547FDF" w:rsidRPr="0092620E">
          <w:rPr>
            <w:rStyle w:val="Hyperlink"/>
            <w:noProof/>
            <w:lang w:bidi="en-US"/>
          </w:rPr>
          <w:t xml:space="preserve">6.6. RQ 5: The Mediating Role of Organizational Learning on the Relationship between HR Practices and </w:t>
        </w:r>
        <w:r w:rsidR="00547FDF" w:rsidRPr="0092620E">
          <w:rPr>
            <w:rStyle w:val="Hyperlink"/>
            <w:rFonts w:ascii="Times" w:hAnsi="Times"/>
            <w:noProof/>
            <w:lang w:bidi="en-US"/>
          </w:rPr>
          <w:t>Knowledge Management Benefits</w:t>
        </w:r>
        <w:r w:rsidR="00547FDF">
          <w:rPr>
            <w:noProof/>
            <w:webHidden/>
          </w:rPr>
          <w:tab/>
        </w:r>
        <w:r w:rsidR="00547FDF">
          <w:rPr>
            <w:noProof/>
            <w:webHidden/>
          </w:rPr>
          <w:fldChar w:fldCharType="begin"/>
        </w:r>
        <w:r w:rsidR="00547FDF">
          <w:rPr>
            <w:noProof/>
            <w:webHidden/>
          </w:rPr>
          <w:instrText xml:space="preserve"> PAGEREF _Toc22331718 \h </w:instrText>
        </w:r>
        <w:r w:rsidR="00547FDF">
          <w:rPr>
            <w:noProof/>
            <w:webHidden/>
          </w:rPr>
        </w:r>
        <w:r w:rsidR="00547FDF">
          <w:rPr>
            <w:noProof/>
            <w:webHidden/>
          </w:rPr>
          <w:fldChar w:fldCharType="separate"/>
        </w:r>
        <w:r w:rsidR="0056454A">
          <w:rPr>
            <w:noProof/>
            <w:webHidden/>
          </w:rPr>
          <w:t>130</w:t>
        </w:r>
        <w:r w:rsidR="00547FDF">
          <w:rPr>
            <w:noProof/>
            <w:webHidden/>
          </w:rPr>
          <w:fldChar w:fldCharType="end"/>
        </w:r>
      </w:hyperlink>
    </w:p>
    <w:p w14:paraId="5FA63E75" w14:textId="3996AA2A" w:rsidR="00547FDF" w:rsidRDefault="00B76C18">
      <w:pPr>
        <w:pStyle w:val="TOC2"/>
        <w:rPr>
          <w:rFonts w:eastAsiaTheme="minorEastAsia"/>
          <w:b w:val="0"/>
          <w:noProof/>
          <w:lang w:val="en-GB" w:eastAsia="en-GB"/>
        </w:rPr>
      </w:pPr>
      <w:hyperlink w:anchor="_Toc22331719" w:history="1">
        <w:r w:rsidR="00547FDF" w:rsidRPr="0092620E">
          <w:rPr>
            <w:rStyle w:val="Hyperlink"/>
            <w:noProof/>
            <w:lang w:bidi="en-US"/>
          </w:rPr>
          <w:t>6.7. Conclusion</w:t>
        </w:r>
        <w:r w:rsidR="00547FDF">
          <w:rPr>
            <w:noProof/>
            <w:webHidden/>
          </w:rPr>
          <w:tab/>
        </w:r>
        <w:r w:rsidR="00547FDF">
          <w:rPr>
            <w:noProof/>
            <w:webHidden/>
          </w:rPr>
          <w:fldChar w:fldCharType="begin"/>
        </w:r>
        <w:r w:rsidR="00547FDF">
          <w:rPr>
            <w:noProof/>
            <w:webHidden/>
          </w:rPr>
          <w:instrText xml:space="preserve"> PAGEREF _Toc22331719 \h </w:instrText>
        </w:r>
        <w:r w:rsidR="00547FDF">
          <w:rPr>
            <w:noProof/>
            <w:webHidden/>
          </w:rPr>
        </w:r>
        <w:r w:rsidR="00547FDF">
          <w:rPr>
            <w:noProof/>
            <w:webHidden/>
          </w:rPr>
          <w:fldChar w:fldCharType="separate"/>
        </w:r>
        <w:r w:rsidR="0056454A">
          <w:rPr>
            <w:noProof/>
            <w:webHidden/>
          </w:rPr>
          <w:t>133</w:t>
        </w:r>
        <w:r w:rsidR="00547FDF">
          <w:rPr>
            <w:noProof/>
            <w:webHidden/>
          </w:rPr>
          <w:fldChar w:fldCharType="end"/>
        </w:r>
      </w:hyperlink>
    </w:p>
    <w:p w14:paraId="07B6FED3" w14:textId="71D7669D" w:rsidR="00547FDF" w:rsidRDefault="00B76C18">
      <w:pPr>
        <w:pStyle w:val="TOC1"/>
        <w:rPr>
          <w:rFonts w:eastAsiaTheme="minorEastAsia"/>
          <w:b w:val="0"/>
          <w:noProof/>
          <w:sz w:val="22"/>
          <w:szCs w:val="22"/>
          <w:lang w:val="en-GB" w:eastAsia="en-GB"/>
        </w:rPr>
      </w:pPr>
      <w:hyperlink w:anchor="_Toc22331720" w:history="1">
        <w:r w:rsidR="00547FDF" w:rsidRPr="0092620E">
          <w:rPr>
            <w:rStyle w:val="Hyperlink"/>
            <w:noProof/>
            <w:lang w:bidi="en-US"/>
          </w:rPr>
          <w:t>CHAPTER 7: IMPLICATIONS, LIMITATIONS AND CONCLUSIONS</w:t>
        </w:r>
        <w:r w:rsidR="00547FDF">
          <w:rPr>
            <w:noProof/>
            <w:webHidden/>
          </w:rPr>
          <w:tab/>
        </w:r>
        <w:r w:rsidR="00547FDF">
          <w:rPr>
            <w:noProof/>
            <w:webHidden/>
          </w:rPr>
          <w:fldChar w:fldCharType="begin"/>
        </w:r>
        <w:r w:rsidR="00547FDF">
          <w:rPr>
            <w:noProof/>
            <w:webHidden/>
          </w:rPr>
          <w:instrText xml:space="preserve"> PAGEREF _Toc22331720 \h </w:instrText>
        </w:r>
        <w:r w:rsidR="00547FDF">
          <w:rPr>
            <w:noProof/>
            <w:webHidden/>
          </w:rPr>
        </w:r>
        <w:r w:rsidR="00547FDF">
          <w:rPr>
            <w:noProof/>
            <w:webHidden/>
          </w:rPr>
          <w:fldChar w:fldCharType="separate"/>
        </w:r>
        <w:r w:rsidR="0056454A">
          <w:rPr>
            <w:noProof/>
            <w:webHidden/>
          </w:rPr>
          <w:t>135</w:t>
        </w:r>
        <w:r w:rsidR="00547FDF">
          <w:rPr>
            <w:noProof/>
            <w:webHidden/>
          </w:rPr>
          <w:fldChar w:fldCharType="end"/>
        </w:r>
      </w:hyperlink>
    </w:p>
    <w:p w14:paraId="125AA2D9" w14:textId="2C86B86B" w:rsidR="00547FDF" w:rsidRDefault="00B76C18">
      <w:pPr>
        <w:pStyle w:val="TOC2"/>
        <w:rPr>
          <w:rFonts w:eastAsiaTheme="minorEastAsia"/>
          <w:b w:val="0"/>
          <w:noProof/>
          <w:lang w:val="en-GB" w:eastAsia="en-GB"/>
        </w:rPr>
      </w:pPr>
      <w:hyperlink w:anchor="_Toc22331721" w:history="1">
        <w:r w:rsidR="00547FDF" w:rsidRPr="0092620E">
          <w:rPr>
            <w:rStyle w:val="Hyperlink"/>
            <w:noProof/>
            <w:lang w:bidi="en-US"/>
          </w:rPr>
          <w:t>7.1. Theoretical Implications</w:t>
        </w:r>
        <w:r w:rsidR="00547FDF">
          <w:rPr>
            <w:noProof/>
            <w:webHidden/>
          </w:rPr>
          <w:tab/>
        </w:r>
        <w:r w:rsidR="00547FDF">
          <w:rPr>
            <w:noProof/>
            <w:webHidden/>
          </w:rPr>
          <w:fldChar w:fldCharType="begin"/>
        </w:r>
        <w:r w:rsidR="00547FDF">
          <w:rPr>
            <w:noProof/>
            <w:webHidden/>
          </w:rPr>
          <w:instrText xml:space="preserve"> PAGEREF _Toc22331721 \h </w:instrText>
        </w:r>
        <w:r w:rsidR="00547FDF">
          <w:rPr>
            <w:noProof/>
            <w:webHidden/>
          </w:rPr>
        </w:r>
        <w:r w:rsidR="00547FDF">
          <w:rPr>
            <w:noProof/>
            <w:webHidden/>
          </w:rPr>
          <w:fldChar w:fldCharType="separate"/>
        </w:r>
        <w:r w:rsidR="0056454A">
          <w:rPr>
            <w:noProof/>
            <w:webHidden/>
          </w:rPr>
          <w:t>135</w:t>
        </w:r>
        <w:r w:rsidR="00547FDF">
          <w:rPr>
            <w:noProof/>
            <w:webHidden/>
          </w:rPr>
          <w:fldChar w:fldCharType="end"/>
        </w:r>
      </w:hyperlink>
    </w:p>
    <w:p w14:paraId="3A26092B" w14:textId="3CA8726D" w:rsidR="00547FDF" w:rsidRDefault="00B76C18">
      <w:pPr>
        <w:pStyle w:val="TOC2"/>
        <w:rPr>
          <w:rFonts w:eastAsiaTheme="minorEastAsia"/>
          <w:b w:val="0"/>
          <w:noProof/>
          <w:lang w:val="en-GB" w:eastAsia="en-GB"/>
        </w:rPr>
      </w:pPr>
      <w:hyperlink w:anchor="_Toc22331722" w:history="1">
        <w:r w:rsidR="00547FDF" w:rsidRPr="0092620E">
          <w:rPr>
            <w:rStyle w:val="Hyperlink"/>
            <w:noProof/>
            <w:lang w:bidi="en-US"/>
          </w:rPr>
          <w:t>7.2. Practical Implications</w:t>
        </w:r>
        <w:r w:rsidR="00547FDF">
          <w:rPr>
            <w:noProof/>
            <w:webHidden/>
          </w:rPr>
          <w:tab/>
        </w:r>
        <w:r w:rsidR="00547FDF">
          <w:rPr>
            <w:noProof/>
            <w:webHidden/>
          </w:rPr>
          <w:fldChar w:fldCharType="begin"/>
        </w:r>
        <w:r w:rsidR="00547FDF">
          <w:rPr>
            <w:noProof/>
            <w:webHidden/>
          </w:rPr>
          <w:instrText xml:space="preserve"> PAGEREF _Toc22331722 \h </w:instrText>
        </w:r>
        <w:r w:rsidR="00547FDF">
          <w:rPr>
            <w:noProof/>
            <w:webHidden/>
          </w:rPr>
        </w:r>
        <w:r w:rsidR="00547FDF">
          <w:rPr>
            <w:noProof/>
            <w:webHidden/>
          </w:rPr>
          <w:fldChar w:fldCharType="separate"/>
        </w:r>
        <w:r w:rsidR="0056454A">
          <w:rPr>
            <w:noProof/>
            <w:webHidden/>
          </w:rPr>
          <w:t>137</w:t>
        </w:r>
        <w:r w:rsidR="00547FDF">
          <w:rPr>
            <w:noProof/>
            <w:webHidden/>
          </w:rPr>
          <w:fldChar w:fldCharType="end"/>
        </w:r>
      </w:hyperlink>
    </w:p>
    <w:p w14:paraId="603A8226" w14:textId="08312A22" w:rsidR="00547FDF" w:rsidRDefault="00B76C18">
      <w:pPr>
        <w:pStyle w:val="TOC2"/>
        <w:rPr>
          <w:rFonts w:eastAsiaTheme="minorEastAsia"/>
          <w:b w:val="0"/>
          <w:noProof/>
          <w:lang w:val="en-GB" w:eastAsia="en-GB"/>
        </w:rPr>
      </w:pPr>
      <w:hyperlink w:anchor="_Toc22331723" w:history="1">
        <w:r w:rsidR="00547FDF" w:rsidRPr="0092620E">
          <w:rPr>
            <w:rStyle w:val="Hyperlink"/>
            <w:noProof/>
            <w:lang w:bidi="en-US"/>
          </w:rPr>
          <w:t>7.3. Economic Implications</w:t>
        </w:r>
        <w:r w:rsidR="00547FDF">
          <w:rPr>
            <w:noProof/>
            <w:webHidden/>
          </w:rPr>
          <w:tab/>
        </w:r>
        <w:r w:rsidR="00547FDF">
          <w:rPr>
            <w:noProof/>
            <w:webHidden/>
          </w:rPr>
          <w:fldChar w:fldCharType="begin"/>
        </w:r>
        <w:r w:rsidR="00547FDF">
          <w:rPr>
            <w:noProof/>
            <w:webHidden/>
          </w:rPr>
          <w:instrText xml:space="preserve"> PAGEREF _Toc22331723 \h </w:instrText>
        </w:r>
        <w:r w:rsidR="00547FDF">
          <w:rPr>
            <w:noProof/>
            <w:webHidden/>
          </w:rPr>
        </w:r>
        <w:r w:rsidR="00547FDF">
          <w:rPr>
            <w:noProof/>
            <w:webHidden/>
          </w:rPr>
          <w:fldChar w:fldCharType="separate"/>
        </w:r>
        <w:r w:rsidR="0056454A">
          <w:rPr>
            <w:noProof/>
            <w:webHidden/>
          </w:rPr>
          <w:t>140</w:t>
        </w:r>
        <w:r w:rsidR="00547FDF">
          <w:rPr>
            <w:noProof/>
            <w:webHidden/>
          </w:rPr>
          <w:fldChar w:fldCharType="end"/>
        </w:r>
      </w:hyperlink>
    </w:p>
    <w:p w14:paraId="3F9FC93E" w14:textId="7F514CD9" w:rsidR="00547FDF" w:rsidRDefault="00B76C18">
      <w:pPr>
        <w:pStyle w:val="TOC2"/>
        <w:rPr>
          <w:rFonts w:eastAsiaTheme="minorEastAsia"/>
          <w:b w:val="0"/>
          <w:noProof/>
          <w:lang w:val="en-GB" w:eastAsia="en-GB"/>
        </w:rPr>
      </w:pPr>
      <w:hyperlink w:anchor="_Toc22331724" w:history="1">
        <w:r w:rsidR="00547FDF" w:rsidRPr="0092620E">
          <w:rPr>
            <w:rStyle w:val="Hyperlink"/>
            <w:noProof/>
            <w:lang w:bidi="en-US"/>
          </w:rPr>
          <w:t>7.4. Limitations and Future Research</w:t>
        </w:r>
        <w:r w:rsidR="00547FDF">
          <w:rPr>
            <w:noProof/>
            <w:webHidden/>
          </w:rPr>
          <w:tab/>
        </w:r>
        <w:r w:rsidR="00547FDF">
          <w:rPr>
            <w:noProof/>
            <w:webHidden/>
          </w:rPr>
          <w:fldChar w:fldCharType="begin"/>
        </w:r>
        <w:r w:rsidR="00547FDF">
          <w:rPr>
            <w:noProof/>
            <w:webHidden/>
          </w:rPr>
          <w:instrText xml:space="preserve"> PAGEREF _Toc22331724 \h </w:instrText>
        </w:r>
        <w:r w:rsidR="00547FDF">
          <w:rPr>
            <w:noProof/>
            <w:webHidden/>
          </w:rPr>
        </w:r>
        <w:r w:rsidR="00547FDF">
          <w:rPr>
            <w:noProof/>
            <w:webHidden/>
          </w:rPr>
          <w:fldChar w:fldCharType="separate"/>
        </w:r>
        <w:r w:rsidR="0056454A">
          <w:rPr>
            <w:noProof/>
            <w:webHidden/>
          </w:rPr>
          <w:t>140</w:t>
        </w:r>
        <w:r w:rsidR="00547FDF">
          <w:rPr>
            <w:noProof/>
            <w:webHidden/>
          </w:rPr>
          <w:fldChar w:fldCharType="end"/>
        </w:r>
      </w:hyperlink>
    </w:p>
    <w:p w14:paraId="6FF81667" w14:textId="52A0376A" w:rsidR="00547FDF" w:rsidRDefault="00B76C18">
      <w:pPr>
        <w:pStyle w:val="TOC2"/>
        <w:rPr>
          <w:rFonts w:eastAsiaTheme="minorEastAsia"/>
          <w:b w:val="0"/>
          <w:noProof/>
          <w:lang w:val="en-GB" w:eastAsia="en-GB"/>
        </w:rPr>
      </w:pPr>
      <w:hyperlink w:anchor="_Toc22331725" w:history="1">
        <w:r w:rsidR="00547FDF" w:rsidRPr="0092620E">
          <w:rPr>
            <w:rStyle w:val="Hyperlink"/>
            <w:noProof/>
            <w:lang w:bidi="en-US"/>
          </w:rPr>
          <w:t>7.5. Recommendations</w:t>
        </w:r>
        <w:r w:rsidR="00547FDF">
          <w:rPr>
            <w:noProof/>
            <w:webHidden/>
          </w:rPr>
          <w:tab/>
        </w:r>
        <w:r w:rsidR="00547FDF">
          <w:rPr>
            <w:noProof/>
            <w:webHidden/>
          </w:rPr>
          <w:fldChar w:fldCharType="begin"/>
        </w:r>
        <w:r w:rsidR="00547FDF">
          <w:rPr>
            <w:noProof/>
            <w:webHidden/>
          </w:rPr>
          <w:instrText xml:space="preserve"> PAGEREF _Toc22331725 \h </w:instrText>
        </w:r>
        <w:r w:rsidR="00547FDF">
          <w:rPr>
            <w:noProof/>
            <w:webHidden/>
          </w:rPr>
        </w:r>
        <w:r w:rsidR="00547FDF">
          <w:rPr>
            <w:noProof/>
            <w:webHidden/>
          </w:rPr>
          <w:fldChar w:fldCharType="separate"/>
        </w:r>
        <w:r w:rsidR="0056454A">
          <w:rPr>
            <w:noProof/>
            <w:webHidden/>
          </w:rPr>
          <w:t>142</w:t>
        </w:r>
        <w:r w:rsidR="00547FDF">
          <w:rPr>
            <w:noProof/>
            <w:webHidden/>
          </w:rPr>
          <w:fldChar w:fldCharType="end"/>
        </w:r>
      </w:hyperlink>
    </w:p>
    <w:p w14:paraId="1B80672E" w14:textId="249D0F1C" w:rsidR="00547FDF" w:rsidRDefault="00B76C18">
      <w:pPr>
        <w:pStyle w:val="TOC2"/>
        <w:rPr>
          <w:rFonts w:eastAsiaTheme="minorEastAsia"/>
          <w:b w:val="0"/>
          <w:noProof/>
          <w:lang w:val="en-GB" w:eastAsia="en-GB"/>
        </w:rPr>
      </w:pPr>
      <w:hyperlink w:anchor="_Toc22331726" w:history="1">
        <w:r w:rsidR="00547FDF" w:rsidRPr="0092620E">
          <w:rPr>
            <w:rStyle w:val="Hyperlink"/>
            <w:noProof/>
            <w:lang w:bidi="en-US"/>
          </w:rPr>
          <w:t>7.6. Conclusion</w:t>
        </w:r>
        <w:r w:rsidR="00547FDF">
          <w:rPr>
            <w:noProof/>
            <w:webHidden/>
          </w:rPr>
          <w:tab/>
        </w:r>
        <w:r w:rsidR="00547FDF">
          <w:rPr>
            <w:noProof/>
            <w:webHidden/>
          </w:rPr>
          <w:fldChar w:fldCharType="begin"/>
        </w:r>
        <w:r w:rsidR="00547FDF">
          <w:rPr>
            <w:noProof/>
            <w:webHidden/>
          </w:rPr>
          <w:instrText xml:space="preserve"> PAGEREF _Toc22331726 \h </w:instrText>
        </w:r>
        <w:r w:rsidR="00547FDF">
          <w:rPr>
            <w:noProof/>
            <w:webHidden/>
          </w:rPr>
        </w:r>
        <w:r w:rsidR="00547FDF">
          <w:rPr>
            <w:noProof/>
            <w:webHidden/>
          </w:rPr>
          <w:fldChar w:fldCharType="separate"/>
        </w:r>
        <w:r w:rsidR="0056454A">
          <w:rPr>
            <w:noProof/>
            <w:webHidden/>
          </w:rPr>
          <w:t>145</w:t>
        </w:r>
        <w:r w:rsidR="00547FDF">
          <w:rPr>
            <w:noProof/>
            <w:webHidden/>
          </w:rPr>
          <w:fldChar w:fldCharType="end"/>
        </w:r>
      </w:hyperlink>
    </w:p>
    <w:p w14:paraId="280309A2" w14:textId="209AABCB" w:rsidR="00547FDF" w:rsidRDefault="00B76C18">
      <w:pPr>
        <w:pStyle w:val="TOC1"/>
        <w:rPr>
          <w:rFonts w:eastAsiaTheme="minorEastAsia"/>
          <w:b w:val="0"/>
          <w:noProof/>
          <w:sz w:val="22"/>
          <w:szCs w:val="22"/>
          <w:lang w:val="en-GB" w:eastAsia="en-GB"/>
        </w:rPr>
      </w:pPr>
      <w:hyperlink w:anchor="_Toc22331727" w:history="1">
        <w:r w:rsidR="00547FDF" w:rsidRPr="0092620E">
          <w:rPr>
            <w:rStyle w:val="Hyperlink"/>
            <w:noProof/>
            <w:lang w:bidi="en-US"/>
          </w:rPr>
          <w:t>REFERENCES</w:t>
        </w:r>
        <w:r w:rsidR="00547FDF">
          <w:rPr>
            <w:noProof/>
            <w:webHidden/>
          </w:rPr>
          <w:tab/>
        </w:r>
        <w:r w:rsidR="00547FDF">
          <w:rPr>
            <w:noProof/>
            <w:webHidden/>
          </w:rPr>
          <w:fldChar w:fldCharType="begin"/>
        </w:r>
        <w:r w:rsidR="00547FDF">
          <w:rPr>
            <w:noProof/>
            <w:webHidden/>
          </w:rPr>
          <w:instrText xml:space="preserve"> PAGEREF _Toc22331727 \h </w:instrText>
        </w:r>
        <w:r w:rsidR="00547FDF">
          <w:rPr>
            <w:noProof/>
            <w:webHidden/>
          </w:rPr>
        </w:r>
        <w:r w:rsidR="00547FDF">
          <w:rPr>
            <w:noProof/>
            <w:webHidden/>
          </w:rPr>
          <w:fldChar w:fldCharType="separate"/>
        </w:r>
        <w:r w:rsidR="0056454A">
          <w:rPr>
            <w:noProof/>
            <w:webHidden/>
          </w:rPr>
          <w:t>147</w:t>
        </w:r>
        <w:r w:rsidR="00547FDF">
          <w:rPr>
            <w:noProof/>
            <w:webHidden/>
          </w:rPr>
          <w:fldChar w:fldCharType="end"/>
        </w:r>
      </w:hyperlink>
    </w:p>
    <w:p w14:paraId="17954EFD" w14:textId="608F1065" w:rsidR="00547FDF" w:rsidRDefault="00B76C18">
      <w:pPr>
        <w:pStyle w:val="TOC1"/>
        <w:rPr>
          <w:rFonts w:eastAsiaTheme="minorEastAsia"/>
          <w:b w:val="0"/>
          <w:noProof/>
          <w:sz w:val="22"/>
          <w:szCs w:val="22"/>
          <w:lang w:val="en-GB" w:eastAsia="en-GB"/>
        </w:rPr>
      </w:pPr>
      <w:hyperlink w:anchor="_Toc22331728" w:history="1">
        <w:r w:rsidR="00547FDF" w:rsidRPr="0092620E">
          <w:rPr>
            <w:rStyle w:val="Hyperlink"/>
            <w:noProof/>
            <w:lang w:bidi="en-US"/>
          </w:rPr>
          <w:t>APPENDICES</w:t>
        </w:r>
        <w:r w:rsidR="00547FDF">
          <w:rPr>
            <w:noProof/>
            <w:webHidden/>
          </w:rPr>
          <w:tab/>
        </w:r>
        <w:r w:rsidR="00547FDF">
          <w:rPr>
            <w:noProof/>
            <w:webHidden/>
          </w:rPr>
          <w:fldChar w:fldCharType="begin"/>
        </w:r>
        <w:r w:rsidR="00547FDF">
          <w:rPr>
            <w:noProof/>
            <w:webHidden/>
          </w:rPr>
          <w:instrText xml:space="preserve"> PAGEREF _Toc22331728 \h </w:instrText>
        </w:r>
        <w:r w:rsidR="00547FDF">
          <w:rPr>
            <w:noProof/>
            <w:webHidden/>
          </w:rPr>
        </w:r>
        <w:r w:rsidR="00547FDF">
          <w:rPr>
            <w:noProof/>
            <w:webHidden/>
          </w:rPr>
          <w:fldChar w:fldCharType="separate"/>
        </w:r>
        <w:r w:rsidR="0056454A">
          <w:rPr>
            <w:noProof/>
            <w:webHidden/>
          </w:rPr>
          <w:t>206</w:t>
        </w:r>
        <w:r w:rsidR="00547FDF">
          <w:rPr>
            <w:noProof/>
            <w:webHidden/>
          </w:rPr>
          <w:fldChar w:fldCharType="end"/>
        </w:r>
      </w:hyperlink>
    </w:p>
    <w:p w14:paraId="56041028" w14:textId="30C35171" w:rsidR="00547FDF" w:rsidRDefault="00B76C18">
      <w:pPr>
        <w:pStyle w:val="TOC3"/>
        <w:tabs>
          <w:tab w:val="right" w:leader="dot" w:pos="7910"/>
        </w:tabs>
        <w:rPr>
          <w:rFonts w:eastAsiaTheme="minorEastAsia"/>
          <w:noProof/>
          <w:lang w:val="en-GB" w:eastAsia="en-GB"/>
        </w:rPr>
      </w:pPr>
      <w:hyperlink w:anchor="_Toc22331729" w:history="1">
        <w:r w:rsidR="00547FDF" w:rsidRPr="0092620E">
          <w:rPr>
            <w:rStyle w:val="Hyperlink"/>
            <w:noProof/>
          </w:rPr>
          <w:t>Appendix 1: Questionnaire</w:t>
        </w:r>
        <w:r w:rsidR="00547FDF">
          <w:rPr>
            <w:noProof/>
            <w:webHidden/>
          </w:rPr>
          <w:tab/>
        </w:r>
        <w:r w:rsidR="00547FDF">
          <w:rPr>
            <w:noProof/>
            <w:webHidden/>
          </w:rPr>
          <w:fldChar w:fldCharType="begin"/>
        </w:r>
        <w:r w:rsidR="00547FDF">
          <w:rPr>
            <w:noProof/>
            <w:webHidden/>
          </w:rPr>
          <w:instrText xml:space="preserve"> PAGEREF _Toc22331729 \h </w:instrText>
        </w:r>
        <w:r w:rsidR="00547FDF">
          <w:rPr>
            <w:noProof/>
            <w:webHidden/>
          </w:rPr>
        </w:r>
        <w:r w:rsidR="00547FDF">
          <w:rPr>
            <w:noProof/>
            <w:webHidden/>
          </w:rPr>
          <w:fldChar w:fldCharType="separate"/>
        </w:r>
        <w:r w:rsidR="0056454A">
          <w:rPr>
            <w:noProof/>
            <w:webHidden/>
          </w:rPr>
          <w:t>206</w:t>
        </w:r>
        <w:r w:rsidR="00547FDF">
          <w:rPr>
            <w:noProof/>
            <w:webHidden/>
          </w:rPr>
          <w:fldChar w:fldCharType="end"/>
        </w:r>
      </w:hyperlink>
    </w:p>
    <w:p w14:paraId="74ECBCF9" w14:textId="5D5592A3" w:rsidR="00547FDF" w:rsidRDefault="00B76C18">
      <w:pPr>
        <w:pStyle w:val="TOC3"/>
        <w:tabs>
          <w:tab w:val="right" w:leader="dot" w:pos="7910"/>
        </w:tabs>
        <w:rPr>
          <w:rFonts w:eastAsiaTheme="minorEastAsia"/>
          <w:noProof/>
          <w:lang w:val="en-GB" w:eastAsia="en-GB"/>
        </w:rPr>
      </w:pPr>
      <w:hyperlink w:anchor="_Toc22331730" w:history="1">
        <w:r w:rsidR="00547FDF" w:rsidRPr="0092620E">
          <w:rPr>
            <w:rStyle w:val="Hyperlink"/>
            <w:noProof/>
          </w:rPr>
          <w:t>Appendix 2: IRB approval</w:t>
        </w:r>
        <w:r w:rsidR="00547FDF">
          <w:rPr>
            <w:noProof/>
            <w:webHidden/>
          </w:rPr>
          <w:tab/>
        </w:r>
        <w:r w:rsidR="00547FDF">
          <w:rPr>
            <w:noProof/>
            <w:webHidden/>
          </w:rPr>
          <w:fldChar w:fldCharType="begin"/>
        </w:r>
        <w:r w:rsidR="00547FDF">
          <w:rPr>
            <w:noProof/>
            <w:webHidden/>
          </w:rPr>
          <w:instrText xml:space="preserve"> PAGEREF _Toc22331730 \h </w:instrText>
        </w:r>
        <w:r w:rsidR="00547FDF">
          <w:rPr>
            <w:noProof/>
            <w:webHidden/>
          </w:rPr>
        </w:r>
        <w:r w:rsidR="00547FDF">
          <w:rPr>
            <w:noProof/>
            <w:webHidden/>
          </w:rPr>
          <w:fldChar w:fldCharType="separate"/>
        </w:r>
        <w:r w:rsidR="0056454A">
          <w:rPr>
            <w:noProof/>
            <w:webHidden/>
          </w:rPr>
          <w:t>210</w:t>
        </w:r>
        <w:r w:rsidR="00547FDF">
          <w:rPr>
            <w:noProof/>
            <w:webHidden/>
          </w:rPr>
          <w:fldChar w:fldCharType="end"/>
        </w:r>
      </w:hyperlink>
    </w:p>
    <w:p w14:paraId="391A929F" w14:textId="49ED1A94" w:rsidR="00547FDF" w:rsidRDefault="00B76C18">
      <w:pPr>
        <w:pStyle w:val="TOC3"/>
        <w:tabs>
          <w:tab w:val="right" w:leader="dot" w:pos="7910"/>
        </w:tabs>
        <w:rPr>
          <w:rFonts w:eastAsiaTheme="minorEastAsia"/>
          <w:noProof/>
          <w:lang w:val="en-GB" w:eastAsia="en-GB"/>
        </w:rPr>
      </w:pPr>
      <w:hyperlink w:anchor="_Toc22331731" w:history="1">
        <w:r w:rsidR="00547FDF" w:rsidRPr="0092620E">
          <w:rPr>
            <w:rStyle w:val="Hyperlink"/>
            <w:noProof/>
          </w:rPr>
          <w:t>Appendix 3: Proofreading letter</w:t>
        </w:r>
        <w:r w:rsidR="00547FDF">
          <w:rPr>
            <w:noProof/>
            <w:webHidden/>
          </w:rPr>
          <w:tab/>
        </w:r>
        <w:r w:rsidR="00547FDF">
          <w:rPr>
            <w:noProof/>
            <w:webHidden/>
          </w:rPr>
          <w:fldChar w:fldCharType="begin"/>
        </w:r>
        <w:r w:rsidR="00547FDF">
          <w:rPr>
            <w:noProof/>
            <w:webHidden/>
          </w:rPr>
          <w:instrText xml:space="preserve"> PAGEREF _Toc22331731 \h </w:instrText>
        </w:r>
        <w:r w:rsidR="00547FDF">
          <w:rPr>
            <w:noProof/>
            <w:webHidden/>
          </w:rPr>
        </w:r>
        <w:r w:rsidR="00547FDF">
          <w:rPr>
            <w:noProof/>
            <w:webHidden/>
          </w:rPr>
          <w:fldChar w:fldCharType="separate"/>
        </w:r>
        <w:r w:rsidR="0056454A">
          <w:rPr>
            <w:noProof/>
            <w:webHidden/>
          </w:rPr>
          <w:t>211</w:t>
        </w:r>
        <w:r w:rsidR="00547FDF">
          <w:rPr>
            <w:noProof/>
            <w:webHidden/>
          </w:rPr>
          <w:fldChar w:fldCharType="end"/>
        </w:r>
      </w:hyperlink>
    </w:p>
    <w:p w14:paraId="5F223B73" w14:textId="7E76B8F1" w:rsidR="008377FA" w:rsidRPr="00440923" w:rsidRDefault="0049269F" w:rsidP="001712CE">
      <w:pPr>
        <w:tabs>
          <w:tab w:val="left" w:pos="9360"/>
        </w:tabs>
        <w:spacing w:line="480" w:lineRule="auto"/>
        <w:jc w:val="center"/>
        <w:rPr>
          <w:rFonts w:asciiTheme="majorBidi" w:hAnsiTheme="majorBidi" w:cstheme="majorBidi"/>
          <w:szCs w:val="24"/>
        </w:rPr>
      </w:pPr>
      <w:r w:rsidRPr="001712CE">
        <w:rPr>
          <w:rFonts w:asciiTheme="majorBidi" w:hAnsiTheme="majorBidi" w:cstheme="majorBidi"/>
          <w:szCs w:val="24"/>
        </w:rPr>
        <w:fldChar w:fldCharType="end"/>
      </w:r>
    </w:p>
    <w:p w14:paraId="3F4FA1C4" w14:textId="77777777" w:rsidR="008377FA" w:rsidRPr="002A7627" w:rsidRDefault="008377FA" w:rsidP="001316FE">
      <w:pPr>
        <w:spacing w:after="160" w:line="360" w:lineRule="auto"/>
        <w:jc w:val="lowKashida"/>
        <w:rPr>
          <w:rFonts w:cs="Times New Roman"/>
          <w:szCs w:val="24"/>
        </w:rPr>
        <w:sectPr w:rsidR="008377FA" w:rsidRPr="002A7627" w:rsidSect="00F353CB">
          <w:pgSz w:w="12240" w:h="15840"/>
          <w:pgMar w:top="1800" w:right="2160" w:bottom="1800" w:left="2160" w:header="720" w:footer="720" w:gutter="0"/>
          <w:pgNumType w:fmt="lowerRoman"/>
          <w:cols w:space="720"/>
          <w:docGrid w:linePitch="360"/>
        </w:sectPr>
      </w:pPr>
      <w:r w:rsidRPr="00440923">
        <w:rPr>
          <w:rFonts w:asciiTheme="majorBidi" w:hAnsiTheme="majorBidi" w:cstheme="majorBidi"/>
          <w:szCs w:val="24"/>
        </w:rPr>
        <w:br w:type="page"/>
      </w:r>
    </w:p>
    <w:p w14:paraId="08D3D53E" w14:textId="7545445B" w:rsidR="00DD018D" w:rsidRDefault="002F20D4" w:rsidP="00383215">
      <w:pPr>
        <w:pStyle w:val="Title"/>
        <w:rPr>
          <w:color w:val="000000"/>
        </w:rPr>
      </w:pPr>
      <w:bookmarkStart w:id="12" w:name="_Toc22331631"/>
      <w:r>
        <w:rPr>
          <w:color w:val="000000"/>
        </w:rPr>
        <w:lastRenderedPageBreak/>
        <w:t>LIST OF TABLES</w:t>
      </w:r>
      <w:bookmarkEnd w:id="12"/>
    </w:p>
    <w:p w14:paraId="3A05B32F" w14:textId="39E34141" w:rsidR="00440923" w:rsidRPr="00440923" w:rsidRDefault="00004BFD">
      <w:pPr>
        <w:pStyle w:val="TableofFigures"/>
        <w:tabs>
          <w:tab w:val="right" w:leader="dot" w:pos="7910"/>
        </w:tabs>
        <w:rPr>
          <w:rFonts w:asciiTheme="minorHAnsi" w:eastAsiaTheme="minorEastAsia" w:hAnsiTheme="minorHAnsi"/>
          <w:b w:val="0"/>
          <w:bCs/>
          <w:noProof/>
          <w:sz w:val="22"/>
          <w:lang w:val="en-GB" w:eastAsia="en-GB"/>
        </w:rPr>
      </w:pPr>
      <w:r w:rsidRPr="00440923">
        <w:rPr>
          <w:b w:val="0"/>
          <w:bCs/>
          <w:lang w:bidi="en-US"/>
        </w:rPr>
        <w:fldChar w:fldCharType="begin"/>
      </w:r>
      <w:r w:rsidRPr="00440923">
        <w:rPr>
          <w:b w:val="0"/>
          <w:bCs/>
          <w:lang w:bidi="en-US"/>
        </w:rPr>
        <w:instrText xml:space="preserve"> TOC \h \z \c "Table" </w:instrText>
      </w:r>
      <w:r w:rsidRPr="00440923">
        <w:rPr>
          <w:b w:val="0"/>
          <w:bCs/>
          <w:lang w:bidi="en-US"/>
        </w:rPr>
        <w:fldChar w:fldCharType="separate"/>
      </w:r>
      <w:hyperlink w:anchor="_Toc21074069" w:history="1">
        <w:r w:rsidR="00440923" w:rsidRPr="00440923">
          <w:rPr>
            <w:rStyle w:val="Hyperlink"/>
            <w:b w:val="0"/>
            <w:bCs/>
            <w:noProof/>
            <w:lang w:bidi="en-US"/>
          </w:rPr>
          <w:t>Table 1. Research objectives, questions, and hypotheses</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_Toc21074069 \h </w:instrText>
        </w:r>
        <w:r w:rsidR="00440923" w:rsidRPr="00440923">
          <w:rPr>
            <w:b w:val="0"/>
            <w:bCs/>
            <w:noProof/>
            <w:webHidden/>
          </w:rPr>
        </w:r>
        <w:r w:rsidR="00440923" w:rsidRPr="00440923">
          <w:rPr>
            <w:b w:val="0"/>
            <w:bCs/>
            <w:noProof/>
            <w:webHidden/>
          </w:rPr>
          <w:fldChar w:fldCharType="separate"/>
        </w:r>
        <w:r w:rsidR="0056454A">
          <w:rPr>
            <w:b w:val="0"/>
            <w:bCs/>
            <w:noProof/>
            <w:webHidden/>
          </w:rPr>
          <w:t>11</w:t>
        </w:r>
        <w:r w:rsidR="00440923" w:rsidRPr="00440923">
          <w:rPr>
            <w:b w:val="0"/>
            <w:bCs/>
            <w:noProof/>
            <w:webHidden/>
          </w:rPr>
          <w:fldChar w:fldCharType="end"/>
        </w:r>
      </w:hyperlink>
    </w:p>
    <w:p w14:paraId="07B7D43D" w14:textId="6E998C2B"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70" w:history="1">
        <w:r w:rsidR="00440923" w:rsidRPr="00440923">
          <w:rPr>
            <w:rStyle w:val="Hyperlink"/>
            <w:b w:val="0"/>
            <w:bCs/>
            <w:noProof/>
            <w:lang w:bidi="en-US"/>
          </w:rPr>
          <w:t>Table 2. Studies examining knowledge management benefits in developed countries.</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_Toc21074070 \h </w:instrText>
        </w:r>
        <w:r w:rsidR="00440923" w:rsidRPr="00440923">
          <w:rPr>
            <w:b w:val="0"/>
            <w:bCs/>
            <w:noProof/>
            <w:webHidden/>
          </w:rPr>
        </w:r>
        <w:r w:rsidR="00440923" w:rsidRPr="00440923">
          <w:rPr>
            <w:b w:val="0"/>
            <w:bCs/>
            <w:noProof/>
            <w:webHidden/>
          </w:rPr>
          <w:fldChar w:fldCharType="separate"/>
        </w:r>
        <w:r w:rsidR="0056454A">
          <w:rPr>
            <w:b w:val="0"/>
            <w:bCs/>
            <w:noProof/>
            <w:webHidden/>
          </w:rPr>
          <w:t>27</w:t>
        </w:r>
        <w:r w:rsidR="00440923" w:rsidRPr="00440923">
          <w:rPr>
            <w:b w:val="0"/>
            <w:bCs/>
            <w:noProof/>
            <w:webHidden/>
          </w:rPr>
          <w:fldChar w:fldCharType="end"/>
        </w:r>
      </w:hyperlink>
    </w:p>
    <w:p w14:paraId="3255EA8C" w14:textId="6D91EE52"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71" w:history="1">
        <w:r w:rsidR="00440923" w:rsidRPr="00440923">
          <w:rPr>
            <w:rStyle w:val="Hyperlink"/>
            <w:b w:val="0"/>
            <w:bCs/>
            <w:noProof/>
            <w:lang w:bidi="en-US"/>
          </w:rPr>
          <w:t>Table 3. Studies examining knowledge management benefits in developing countries.</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_Toc21074071 \h </w:instrText>
        </w:r>
        <w:r w:rsidR="00440923" w:rsidRPr="00440923">
          <w:rPr>
            <w:b w:val="0"/>
            <w:bCs/>
            <w:noProof/>
            <w:webHidden/>
          </w:rPr>
        </w:r>
        <w:r w:rsidR="00440923" w:rsidRPr="00440923">
          <w:rPr>
            <w:b w:val="0"/>
            <w:bCs/>
            <w:noProof/>
            <w:webHidden/>
          </w:rPr>
          <w:fldChar w:fldCharType="separate"/>
        </w:r>
        <w:r w:rsidR="0056454A">
          <w:rPr>
            <w:b w:val="0"/>
            <w:bCs/>
            <w:noProof/>
            <w:webHidden/>
          </w:rPr>
          <w:t>31</w:t>
        </w:r>
        <w:r w:rsidR="00440923" w:rsidRPr="00440923">
          <w:rPr>
            <w:b w:val="0"/>
            <w:bCs/>
            <w:noProof/>
            <w:webHidden/>
          </w:rPr>
          <w:fldChar w:fldCharType="end"/>
        </w:r>
      </w:hyperlink>
    </w:p>
    <w:p w14:paraId="2513D427" w14:textId="3104382C"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72" w:history="1">
        <w:r w:rsidR="00440923" w:rsidRPr="00440923">
          <w:rPr>
            <w:rStyle w:val="Hyperlink"/>
            <w:b w:val="0"/>
            <w:bCs/>
            <w:noProof/>
            <w:lang w:bidi="en-US"/>
          </w:rPr>
          <w:t>Table 4. Knowledge management theories</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_Toc21074072 \h </w:instrText>
        </w:r>
        <w:r w:rsidR="00440923" w:rsidRPr="00440923">
          <w:rPr>
            <w:b w:val="0"/>
            <w:bCs/>
            <w:noProof/>
            <w:webHidden/>
          </w:rPr>
        </w:r>
        <w:r w:rsidR="00440923" w:rsidRPr="00440923">
          <w:rPr>
            <w:b w:val="0"/>
            <w:bCs/>
            <w:noProof/>
            <w:webHidden/>
          </w:rPr>
          <w:fldChar w:fldCharType="separate"/>
        </w:r>
        <w:r w:rsidR="0056454A">
          <w:rPr>
            <w:b w:val="0"/>
            <w:bCs/>
            <w:noProof/>
            <w:webHidden/>
          </w:rPr>
          <w:t>46</w:t>
        </w:r>
        <w:r w:rsidR="00440923" w:rsidRPr="00440923">
          <w:rPr>
            <w:b w:val="0"/>
            <w:bCs/>
            <w:noProof/>
            <w:webHidden/>
          </w:rPr>
          <w:fldChar w:fldCharType="end"/>
        </w:r>
      </w:hyperlink>
    </w:p>
    <w:p w14:paraId="04BEA71A" w14:textId="26705883"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73" w:history="1">
        <w:r w:rsidR="00440923" w:rsidRPr="00440923">
          <w:rPr>
            <w:rStyle w:val="Hyperlink"/>
            <w:b w:val="0"/>
            <w:bCs/>
            <w:noProof/>
            <w:lang w:bidi="en-US"/>
          </w:rPr>
          <w:t>Table 5. Summary of the Research Instrument.</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_Toc21074073 \h </w:instrText>
        </w:r>
        <w:r w:rsidR="00440923" w:rsidRPr="00440923">
          <w:rPr>
            <w:b w:val="0"/>
            <w:bCs/>
            <w:noProof/>
            <w:webHidden/>
          </w:rPr>
        </w:r>
        <w:r w:rsidR="00440923" w:rsidRPr="00440923">
          <w:rPr>
            <w:b w:val="0"/>
            <w:bCs/>
            <w:noProof/>
            <w:webHidden/>
          </w:rPr>
          <w:fldChar w:fldCharType="separate"/>
        </w:r>
        <w:r w:rsidR="0056454A">
          <w:rPr>
            <w:b w:val="0"/>
            <w:bCs/>
            <w:noProof/>
            <w:webHidden/>
          </w:rPr>
          <w:t>78</w:t>
        </w:r>
        <w:r w:rsidR="00440923" w:rsidRPr="00440923">
          <w:rPr>
            <w:b w:val="0"/>
            <w:bCs/>
            <w:noProof/>
            <w:webHidden/>
          </w:rPr>
          <w:fldChar w:fldCharType="end"/>
        </w:r>
      </w:hyperlink>
    </w:p>
    <w:p w14:paraId="211D3623" w14:textId="5E160D07"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74" w:history="1">
        <w:r w:rsidR="00440923" w:rsidRPr="00440923">
          <w:rPr>
            <w:rStyle w:val="Hyperlink"/>
            <w:b w:val="0"/>
            <w:bCs/>
            <w:noProof/>
            <w:lang w:bidi="en-US"/>
          </w:rPr>
          <w:t>Table 6. Determining state sample size from a given population.</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_Toc21074074 \h </w:instrText>
        </w:r>
        <w:r w:rsidR="00440923" w:rsidRPr="00440923">
          <w:rPr>
            <w:b w:val="0"/>
            <w:bCs/>
            <w:noProof/>
            <w:webHidden/>
          </w:rPr>
        </w:r>
        <w:r w:rsidR="00440923" w:rsidRPr="00440923">
          <w:rPr>
            <w:b w:val="0"/>
            <w:bCs/>
            <w:noProof/>
            <w:webHidden/>
          </w:rPr>
          <w:fldChar w:fldCharType="separate"/>
        </w:r>
        <w:r w:rsidR="0056454A">
          <w:rPr>
            <w:b w:val="0"/>
            <w:bCs/>
            <w:noProof/>
            <w:webHidden/>
          </w:rPr>
          <w:t>83</w:t>
        </w:r>
        <w:r w:rsidR="00440923" w:rsidRPr="00440923">
          <w:rPr>
            <w:b w:val="0"/>
            <w:bCs/>
            <w:noProof/>
            <w:webHidden/>
          </w:rPr>
          <w:fldChar w:fldCharType="end"/>
        </w:r>
      </w:hyperlink>
    </w:p>
    <w:p w14:paraId="78B29E33" w14:textId="1E7191C4"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75" w:history="1">
        <w:r w:rsidR="00440923" w:rsidRPr="00440923">
          <w:rPr>
            <w:rStyle w:val="Hyperlink"/>
            <w:b w:val="0"/>
            <w:bCs/>
            <w:noProof/>
            <w:lang w:bidi="en-US"/>
          </w:rPr>
          <w:t>Table 7. Data collection breakdown</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_Toc21074075 \h </w:instrText>
        </w:r>
        <w:r w:rsidR="00440923" w:rsidRPr="00440923">
          <w:rPr>
            <w:b w:val="0"/>
            <w:bCs/>
            <w:noProof/>
            <w:webHidden/>
          </w:rPr>
        </w:r>
        <w:r w:rsidR="00440923" w:rsidRPr="00440923">
          <w:rPr>
            <w:b w:val="0"/>
            <w:bCs/>
            <w:noProof/>
            <w:webHidden/>
          </w:rPr>
          <w:fldChar w:fldCharType="separate"/>
        </w:r>
        <w:r w:rsidR="0056454A">
          <w:rPr>
            <w:b w:val="0"/>
            <w:bCs/>
            <w:noProof/>
            <w:webHidden/>
          </w:rPr>
          <w:t>89</w:t>
        </w:r>
        <w:r w:rsidR="00440923" w:rsidRPr="00440923">
          <w:rPr>
            <w:b w:val="0"/>
            <w:bCs/>
            <w:noProof/>
            <w:webHidden/>
          </w:rPr>
          <w:fldChar w:fldCharType="end"/>
        </w:r>
      </w:hyperlink>
    </w:p>
    <w:p w14:paraId="776C0149" w14:textId="110E4024"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76" w:history="1">
        <w:r w:rsidR="00440923" w:rsidRPr="00440923">
          <w:rPr>
            <w:rStyle w:val="Hyperlink"/>
            <w:b w:val="0"/>
            <w:bCs/>
            <w:noProof/>
            <w:lang w:bidi="en-US"/>
          </w:rPr>
          <w:t>Table 8. Comparing the two Survey Return Types (Online and paper)</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_Toc21074076 \h </w:instrText>
        </w:r>
        <w:r w:rsidR="00440923" w:rsidRPr="00440923">
          <w:rPr>
            <w:b w:val="0"/>
            <w:bCs/>
            <w:noProof/>
            <w:webHidden/>
          </w:rPr>
        </w:r>
        <w:r w:rsidR="00440923" w:rsidRPr="00440923">
          <w:rPr>
            <w:b w:val="0"/>
            <w:bCs/>
            <w:noProof/>
            <w:webHidden/>
          </w:rPr>
          <w:fldChar w:fldCharType="separate"/>
        </w:r>
        <w:r w:rsidR="0056454A">
          <w:rPr>
            <w:b w:val="0"/>
            <w:bCs/>
            <w:noProof/>
            <w:webHidden/>
          </w:rPr>
          <w:t>90</w:t>
        </w:r>
        <w:r w:rsidR="00440923" w:rsidRPr="00440923">
          <w:rPr>
            <w:b w:val="0"/>
            <w:bCs/>
            <w:noProof/>
            <w:webHidden/>
          </w:rPr>
          <w:fldChar w:fldCharType="end"/>
        </w:r>
      </w:hyperlink>
    </w:p>
    <w:p w14:paraId="057A49FB" w14:textId="5255B985"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77" w:history="1">
        <w:r w:rsidR="00440923" w:rsidRPr="00440923">
          <w:rPr>
            <w:rStyle w:val="Hyperlink"/>
            <w:b w:val="0"/>
            <w:bCs/>
            <w:noProof/>
            <w:lang w:bidi="en-US"/>
          </w:rPr>
          <w:t>Table 9. The frequency and percentage of participants by gender</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_Toc21074077 \h </w:instrText>
        </w:r>
        <w:r w:rsidR="00440923" w:rsidRPr="00440923">
          <w:rPr>
            <w:b w:val="0"/>
            <w:bCs/>
            <w:noProof/>
            <w:webHidden/>
          </w:rPr>
        </w:r>
        <w:r w:rsidR="00440923" w:rsidRPr="00440923">
          <w:rPr>
            <w:b w:val="0"/>
            <w:bCs/>
            <w:noProof/>
            <w:webHidden/>
          </w:rPr>
          <w:fldChar w:fldCharType="separate"/>
        </w:r>
        <w:r w:rsidR="0056454A">
          <w:rPr>
            <w:b w:val="0"/>
            <w:bCs/>
            <w:noProof/>
            <w:webHidden/>
          </w:rPr>
          <w:t>98</w:t>
        </w:r>
        <w:r w:rsidR="00440923" w:rsidRPr="00440923">
          <w:rPr>
            <w:b w:val="0"/>
            <w:bCs/>
            <w:noProof/>
            <w:webHidden/>
          </w:rPr>
          <w:fldChar w:fldCharType="end"/>
        </w:r>
      </w:hyperlink>
    </w:p>
    <w:p w14:paraId="3F74CA6C" w14:textId="1B4E9003"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78" w:history="1">
        <w:r w:rsidR="00440923" w:rsidRPr="00440923">
          <w:rPr>
            <w:rStyle w:val="Hyperlink"/>
            <w:b w:val="0"/>
            <w:bCs/>
            <w:noProof/>
            <w:lang w:bidi="en-US"/>
          </w:rPr>
          <w:t>Table 10. The frequency and percentage of participants by age.</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_Toc21074078 \h </w:instrText>
        </w:r>
        <w:r w:rsidR="00440923" w:rsidRPr="00440923">
          <w:rPr>
            <w:b w:val="0"/>
            <w:bCs/>
            <w:noProof/>
            <w:webHidden/>
          </w:rPr>
        </w:r>
        <w:r w:rsidR="00440923" w:rsidRPr="00440923">
          <w:rPr>
            <w:b w:val="0"/>
            <w:bCs/>
            <w:noProof/>
            <w:webHidden/>
          </w:rPr>
          <w:fldChar w:fldCharType="separate"/>
        </w:r>
        <w:r w:rsidR="0056454A">
          <w:rPr>
            <w:b w:val="0"/>
            <w:bCs/>
            <w:noProof/>
            <w:webHidden/>
          </w:rPr>
          <w:t>98</w:t>
        </w:r>
        <w:r w:rsidR="00440923" w:rsidRPr="00440923">
          <w:rPr>
            <w:b w:val="0"/>
            <w:bCs/>
            <w:noProof/>
            <w:webHidden/>
          </w:rPr>
          <w:fldChar w:fldCharType="end"/>
        </w:r>
      </w:hyperlink>
    </w:p>
    <w:p w14:paraId="7E865976" w14:textId="4973B65A"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79" w:history="1">
        <w:r w:rsidR="00440923" w:rsidRPr="00440923">
          <w:rPr>
            <w:rStyle w:val="Hyperlink"/>
            <w:b w:val="0"/>
            <w:bCs/>
            <w:noProof/>
            <w:lang w:bidi="en-US"/>
          </w:rPr>
          <w:t>Table 11. The frequency and percentage of participants by job function</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_Toc21074079 \h </w:instrText>
        </w:r>
        <w:r w:rsidR="00440923" w:rsidRPr="00440923">
          <w:rPr>
            <w:b w:val="0"/>
            <w:bCs/>
            <w:noProof/>
            <w:webHidden/>
          </w:rPr>
        </w:r>
        <w:r w:rsidR="00440923" w:rsidRPr="00440923">
          <w:rPr>
            <w:b w:val="0"/>
            <w:bCs/>
            <w:noProof/>
            <w:webHidden/>
          </w:rPr>
          <w:fldChar w:fldCharType="separate"/>
        </w:r>
        <w:r w:rsidR="0056454A">
          <w:rPr>
            <w:b w:val="0"/>
            <w:bCs/>
            <w:noProof/>
            <w:webHidden/>
          </w:rPr>
          <w:t>99</w:t>
        </w:r>
        <w:r w:rsidR="00440923" w:rsidRPr="00440923">
          <w:rPr>
            <w:b w:val="0"/>
            <w:bCs/>
            <w:noProof/>
            <w:webHidden/>
          </w:rPr>
          <w:fldChar w:fldCharType="end"/>
        </w:r>
      </w:hyperlink>
    </w:p>
    <w:p w14:paraId="032307F8" w14:textId="51A06396"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80" w:history="1">
        <w:r w:rsidR="00440923" w:rsidRPr="00440923">
          <w:rPr>
            <w:rStyle w:val="Hyperlink"/>
            <w:b w:val="0"/>
            <w:bCs/>
            <w:noProof/>
            <w:lang w:bidi="en-US"/>
          </w:rPr>
          <w:t>Table 12. The frequency and percentage of participants by level of education</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_Toc21074080 \h </w:instrText>
        </w:r>
        <w:r w:rsidR="00440923" w:rsidRPr="00440923">
          <w:rPr>
            <w:b w:val="0"/>
            <w:bCs/>
            <w:noProof/>
            <w:webHidden/>
          </w:rPr>
        </w:r>
        <w:r w:rsidR="00440923" w:rsidRPr="00440923">
          <w:rPr>
            <w:b w:val="0"/>
            <w:bCs/>
            <w:noProof/>
            <w:webHidden/>
          </w:rPr>
          <w:fldChar w:fldCharType="separate"/>
        </w:r>
        <w:r w:rsidR="0056454A">
          <w:rPr>
            <w:b w:val="0"/>
            <w:bCs/>
            <w:noProof/>
            <w:webHidden/>
          </w:rPr>
          <w:t>99</w:t>
        </w:r>
        <w:r w:rsidR="00440923" w:rsidRPr="00440923">
          <w:rPr>
            <w:b w:val="0"/>
            <w:bCs/>
            <w:noProof/>
            <w:webHidden/>
          </w:rPr>
          <w:fldChar w:fldCharType="end"/>
        </w:r>
      </w:hyperlink>
    </w:p>
    <w:p w14:paraId="71F5718F" w14:textId="152958CC"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81" w:history="1">
        <w:r w:rsidR="00440923" w:rsidRPr="00440923">
          <w:rPr>
            <w:rStyle w:val="Hyperlink"/>
            <w:b w:val="0"/>
            <w:bCs/>
            <w:noProof/>
            <w:lang w:bidi="en-US"/>
          </w:rPr>
          <w:t>Table 13. The frequency and percentage of participants by position</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_Toc21074081 \h </w:instrText>
        </w:r>
        <w:r w:rsidR="00440923" w:rsidRPr="00440923">
          <w:rPr>
            <w:b w:val="0"/>
            <w:bCs/>
            <w:noProof/>
            <w:webHidden/>
          </w:rPr>
        </w:r>
        <w:r w:rsidR="00440923" w:rsidRPr="00440923">
          <w:rPr>
            <w:b w:val="0"/>
            <w:bCs/>
            <w:noProof/>
            <w:webHidden/>
          </w:rPr>
          <w:fldChar w:fldCharType="separate"/>
        </w:r>
        <w:r w:rsidR="0056454A">
          <w:rPr>
            <w:b w:val="0"/>
            <w:bCs/>
            <w:noProof/>
            <w:webHidden/>
          </w:rPr>
          <w:t>100</w:t>
        </w:r>
        <w:r w:rsidR="00440923" w:rsidRPr="00440923">
          <w:rPr>
            <w:b w:val="0"/>
            <w:bCs/>
            <w:noProof/>
            <w:webHidden/>
          </w:rPr>
          <w:fldChar w:fldCharType="end"/>
        </w:r>
      </w:hyperlink>
    </w:p>
    <w:p w14:paraId="70126B31" w14:textId="408C729C"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82" w:history="1">
        <w:r w:rsidR="00440923" w:rsidRPr="00440923">
          <w:rPr>
            <w:rStyle w:val="Hyperlink"/>
            <w:b w:val="0"/>
            <w:bCs/>
            <w:noProof/>
            <w:lang w:bidi="en-US"/>
          </w:rPr>
          <w:t>Table 14. The frequency and percentage of participants by years of experience</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_Toc21074082 \h </w:instrText>
        </w:r>
        <w:r w:rsidR="00440923" w:rsidRPr="00440923">
          <w:rPr>
            <w:b w:val="0"/>
            <w:bCs/>
            <w:noProof/>
            <w:webHidden/>
          </w:rPr>
        </w:r>
        <w:r w:rsidR="00440923" w:rsidRPr="00440923">
          <w:rPr>
            <w:b w:val="0"/>
            <w:bCs/>
            <w:noProof/>
            <w:webHidden/>
          </w:rPr>
          <w:fldChar w:fldCharType="separate"/>
        </w:r>
        <w:r w:rsidR="0056454A">
          <w:rPr>
            <w:b w:val="0"/>
            <w:bCs/>
            <w:noProof/>
            <w:webHidden/>
          </w:rPr>
          <w:t>100</w:t>
        </w:r>
        <w:r w:rsidR="00440923" w:rsidRPr="00440923">
          <w:rPr>
            <w:b w:val="0"/>
            <w:bCs/>
            <w:noProof/>
            <w:webHidden/>
          </w:rPr>
          <w:fldChar w:fldCharType="end"/>
        </w:r>
      </w:hyperlink>
    </w:p>
    <w:p w14:paraId="0DA72B78" w14:textId="23084165"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83" w:history="1">
        <w:r w:rsidR="00440923" w:rsidRPr="00440923">
          <w:rPr>
            <w:rStyle w:val="Hyperlink"/>
            <w:b w:val="0"/>
            <w:bCs/>
            <w:noProof/>
            <w:lang w:bidi="en-US"/>
          </w:rPr>
          <w:t>Table 15. The frequency and percentage of participants by sector</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_Toc21074083 \h </w:instrText>
        </w:r>
        <w:r w:rsidR="00440923" w:rsidRPr="00440923">
          <w:rPr>
            <w:b w:val="0"/>
            <w:bCs/>
            <w:noProof/>
            <w:webHidden/>
          </w:rPr>
        </w:r>
        <w:r w:rsidR="00440923" w:rsidRPr="00440923">
          <w:rPr>
            <w:b w:val="0"/>
            <w:bCs/>
            <w:noProof/>
            <w:webHidden/>
          </w:rPr>
          <w:fldChar w:fldCharType="separate"/>
        </w:r>
        <w:r w:rsidR="0056454A">
          <w:rPr>
            <w:b w:val="0"/>
            <w:bCs/>
            <w:noProof/>
            <w:webHidden/>
          </w:rPr>
          <w:t>101</w:t>
        </w:r>
        <w:r w:rsidR="00440923" w:rsidRPr="00440923">
          <w:rPr>
            <w:b w:val="0"/>
            <w:bCs/>
            <w:noProof/>
            <w:webHidden/>
          </w:rPr>
          <w:fldChar w:fldCharType="end"/>
        </w:r>
      </w:hyperlink>
    </w:p>
    <w:p w14:paraId="613B4706" w14:textId="51C010F7"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84" w:history="1">
        <w:r w:rsidR="00440923" w:rsidRPr="00440923">
          <w:rPr>
            <w:rStyle w:val="Hyperlink"/>
            <w:b w:val="0"/>
            <w:bCs/>
            <w:noProof/>
            <w:lang w:bidi="en-US"/>
          </w:rPr>
          <w:t>Table 16. The frequency and percentage of participants by whether they were working in a police station</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_Toc21074084 \h </w:instrText>
        </w:r>
        <w:r w:rsidR="00440923" w:rsidRPr="00440923">
          <w:rPr>
            <w:b w:val="0"/>
            <w:bCs/>
            <w:noProof/>
            <w:webHidden/>
          </w:rPr>
        </w:r>
        <w:r w:rsidR="00440923" w:rsidRPr="00440923">
          <w:rPr>
            <w:b w:val="0"/>
            <w:bCs/>
            <w:noProof/>
            <w:webHidden/>
          </w:rPr>
          <w:fldChar w:fldCharType="separate"/>
        </w:r>
        <w:r w:rsidR="0056454A">
          <w:rPr>
            <w:b w:val="0"/>
            <w:bCs/>
            <w:noProof/>
            <w:webHidden/>
          </w:rPr>
          <w:t>101</w:t>
        </w:r>
        <w:r w:rsidR="00440923" w:rsidRPr="00440923">
          <w:rPr>
            <w:b w:val="0"/>
            <w:bCs/>
            <w:noProof/>
            <w:webHidden/>
          </w:rPr>
          <w:fldChar w:fldCharType="end"/>
        </w:r>
      </w:hyperlink>
    </w:p>
    <w:p w14:paraId="3A20A65E" w14:textId="176B1B06"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85" w:history="1">
        <w:r w:rsidR="00440923" w:rsidRPr="00440923">
          <w:rPr>
            <w:rStyle w:val="Hyperlink"/>
            <w:b w:val="0"/>
            <w:bCs/>
            <w:noProof/>
            <w:lang w:bidi="en-US"/>
          </w:rPr>
          <w:t>Table 17. Global goodness-of-fit and bootstrap results</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_Toc21074085 \h </w:instrText>
        </w:r>
        <w:r w:rsidR="00440923" w:rsidRPr="00440923">
          <w:rPr>
            <w:b w:val="0"/>
            <w:bCs/>
            <w:noProof/>
            <w:webHidden/>
          </w:rPr>
        </w:r>
        <w:r w:rsidR="00440923" w:rsidRPr="00440923">
          <w:rPr>
            <w:b w:val="0"/>
            <w:bCs/>
            <w:noProof/>
            <w:webHidden/>
          </w:rPr>
          <w:fldChar w:fldCharType="separate"/>
        </w:r>
        <w:r w:rsidR="0056454A">
          <w:rPr>
            <w:b w:val="0"/>
            <w:bCs/>
            <w:noProof/>
            <w:webHidden/>
          </w:rPr>
          <w:t>104</w:t>
        </w:r>
        <w:r w:rsidR="00440923" w:rsidRPr="00440923">
          <w:rPr>
            <w:b w:val="0"/>
            <w:bCs/>
            <w:noProof/>
            <w:webHidden/>
          </w:rPr>
          <w:fldChar w:fldCharType="end"/>
        </w:r>
      </w:hyperlink>
    </w:p>
    <w:p w14:paraId="119B414A" w14:textId="2C0ADA53"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86" w:history="1">
        <w:r w:rsidR="00440923" w:rsidRPr="00440923">
          <w:rPr>
            <w:rStyle w:val="Hyperlink"/>
            <w:b w:val="0"/>
            <w:bCs/>
            <w:noProof/>
            <w:lang w:bidi="en-US"/>
          </w:rPr>
          <w:t>Table 18. Construct reliability</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_Toc21074086 \h </w:instrText>
        </w:r>
        <w:r w:rsidR="00440923" w:rsidRPr="00440923">
          <w:rPr>
            <w:b w:val="0"/>
            <w:bCs/>
            <w:noProof/>
            <w:webHidden/>
          </w:rPr>
        </w:r>
        <w:r w:rsidR="00440923" w:rsidRPr="00440923">
          <w:rPr>
            <w:b w:val="0"/>
            <w:bCs/>
            <w:noProof/>
            <w:webHidden/>
          </w:rPr>
          <w:fldChar w:fldCharType="separate"/>
        </w:r>
        <w:r w:rsidR="0056454A">
          <w:rPr>
            <w:b w:val="0"/>
            <w:bCs/>
            <w:noProof/>
            <w:webHidden/>
          </w:rPr>
          <w:t>106</w:t>
        </w:r>
        <w:r w:rsidR="00440923" w:rsidRPr="00440923">
          <w:rPr>
            <w:b w:val="0"/>
            <w:bCs/>
            <w:noProof/>
            <w:webHidden/>
          </w:rPr>
          <w:fldChar w:fldCharType="end"/>
        </w:r>
      </w:hyperlink>
    </w:p>
    <w:p w14:paraId="2347A293" w14:textId="037C7455" w:rsidR="00F353CB" w:rsidRDefault="00B76C18">
      <w:pPr>
        <w:pStyle w:val="TableofFigures"/>
        <w:tabs>
          <w:tab w:val="right" w:leader="dot" w:pos="7910"/>
        </w:tabs>
        <w:rPr>
          <w:b w:val="0"/>
          <w:bCs/>
          <w:noProof/>
        </w:rPr>
        <w:sectPr w:rsidR="00F353CB" w:rsidSect="009973C7">
          <w:footerReference w:type="default" r:id="rId14"/>
          <w:type w:val="continuous"/>
          <w:pgSz w:w="12240" w:h="15840"/>
          <w:pgMar w:top="2880" w:right="2160" w:bottom="1800" w:left="2160" w:header="720" w:footer="720" w:gutter="0"/>
          <w:pgNumType w:fmt="lowerRoman"/>
          <w:cols w:space="720"/>
          <w:docGrid w:linePitch="360"/>
        </w:sectPr>
      </w:pPr>
      <w:hyperlink w:anchor="_Toc21074087" w:history="1">
        <w:r w:rsidR="00440923" w:rsidRPr="00440923">
          <w:rPr>
            <w:rStyle w:val="Hyperlink"/>
            <w:b w:val="0"/>
            <w:bCs/>
            <w:noProof/>
            <w:lang w:bidi="en-US"/>
          </w:rPr>
          <w:t>Table 19. Convergent validity</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_Toc21074087 \h </w:instrText>
        </w:r>
        <w:r w:rsidR="00440923" w:rsidRPr="00440923">
          <w:rPr>
            <w:b w:val="0"/>
            <w:bCs/>
            <w:noProof/>
            <w:webHidden/>
          </w:rPr>
        </w:r>
        <w:r w:rsidR="00440923" w:rsidRPr="00440923">
          <w:rPr>
            <w:b w:val="0"/>
            <w:bCs/>
            <w:noProof/>
            <w:webHidden/>
          </w:rPr>
          <w:fldChar w:fldCharType="separate"/>
        </w:r>
        <w:r w:rsidR="0056454A">
          <w:rPr>
            <w:b w:val="0"/>
            <w:bCs/>
            <w:noProof/>
            <w:webHidden/>
          </w:rPr>
          <w:t>107</w:t>
        </w:r>
        <w:r w:rsidR="00440923" w:rsidRPr="00440923">
          <w:rPr>
            <w:b w:val="0"/>
            <w:bCs/>
            <w:noProof/>
            <w:webHidden/>
          </w:rPr>
          <w:fldChar w:fldCharType="end"/>
        </w:r>
      </w:hyperlink>
    </w:p>
    <w:p w14:paraId="0C245EE5" w14:textId="0947D1C8" w:rsidR="00440923" w:rsidRPr="00440923" w:rsidRDefault="00440923" w:rsidP="00F353CB">
      <w:pPr>
        <w:pStyle w:val="TableofFigures"/>
        <w:tabs>
          <w:tab w:val="right" w:leader="dot" w:pos="7910"/>
        </w:tabs>
        <w:ind w:left="0" w:firstLine="0"/>
        <w:rPr>
          <w:rFonts w:asciiTheme="minorHAnsi" w:eastAsiaTheme="minorEastAsia" w:hAnsiTheme="minorHAnsi"/>
          <w:b w:val="0"/>
          <w:bCs/>
          <w:noProof/>
          <w:sz w:val="22"/>
          <w:lang w:val="en-GB" w:eastAsia="en-GB"/>
        </w:rPr>
      </w:pPr>
    </w:p>
    <w:p w14:paraId="6A5934B5" w14:textId="67B43752"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88" w:history="1">
        <w:r w:rsidR="00440923" w:rsidRPr="00440923">
          <w:rPr>
            <w:rStyle w:val="Hyperlink"/>
            <w:b w:val="0"/>
            <w:bCs/>
            <w:noProof/>
            <w:lang w:bidi="en-US"/>
          </w:rPr>
          <w:t>Table 20. Discriminant validity</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_Toc21074088 \h </w:instrText>
        </w:r>
        <w:r w:rsidR="00440923" w:rsidRPr="00440923">
          <w:rPr>
            <w:b w:val="0"/>
            <w:bCs/>
            <w:noProof/>
            <w:webHidden/>
          </w:rPr>
        </w:r>
        <w:r w:rsidR="00440923" w:rsidRPr="00440923">
          <w:rPr>
            <w:b w:val="0"/>
            <w:bCs/>
            <w:noProof/>
            <w:webHidden/>
          </w:rPr>
          <w:fldChar w:fldCharType="separate"/>
        </w:r>
        <w:r w:rsidR="0056454A">
          <w:rPr>
            <w:b w:val="0"/>
            <w:bCs/>
            <w:noProof/>
            <w:webHidden/>
          </w:rPr>
          <w:t>109</w:t>
        </w:r>
        <w:r w:rsidR="00440923" w:rsidRPr="00440923">
          <w:rPr>
            <w:b w:val="0"/>
            <w:bCs/>
            <w:noProof/>
            <w:webHidden/>
          </w:rPr>
          <w:fldChar w:fldCharType="end"/>
        </w:r>
      </w:hyperlink>
    </w:p>
    <w:p w14:paraId="7B47E276" w14:textId="54AD2140"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89" w:history="1">
        <w:r w:rsidR="00440923" w:rsidRPr="00440923">
          <w:rPr>
            <w:rStyle w:val="Hyperlink"/>
            <w:b w:val="0"/>
            <w:bCs/>
            <w:noProof/>
            <w:lang w:bidi="en-US"/>
          </w:rPr>
          <w:t>Table 21. Collinearity statistics of the items</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_Toc21074089 \h </w:instrText>
        </w:r>
        <w:r w:rsidR="00440923" w:rsidRPr="00440923">
          <w:rPr>
            <w:b w:val="0"/>
            <w:bCs/>
            <w:noProof/>
            <w:webHidden/>
          </w:rPr>
        </w:r>
        <w:r w:rsidR="00440923" w:rsidRPr="00440923">
          <w:rPr>
            <w:b w:val="0"/>
            <w:bCs/>
            <w:noProof/>
            <w:webHidden/>
          </w:rPr>
          <w:fldChar w:fldCharType="separate"/>
        </w:r>
        <w:r w:rsidR="0056454A">
          <w:rPr>
            <w:b w:val="0"/>
            <w:bCs/>
            <w:noProof/>
            <w:webHidden/>
          </w:rPr>
          <w:t>110</w:t>
        </w:r>
        <w:r w:rsidR="00440923" w:rsidRPr="00440923">
          <w:rPr>
            <w:b w:val="0"/>
            <w:bCs/>
            <w:noProof/>
            <w:webHidden/>
          </w:rPr>
          <w:fldChar w:fldCharType="end"/>
        </w:r>
      </w:hyperlink>
    </w:p>
    <w:p w14:paraId="0FC7B97D" w14:textId="191ED9A8"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90" w:history="1">
        <w:r w:rsidR="00440923" w:rsidRPr="00440923">
          <w:rPr>
            <w:rStyle w:val="Hyperlink"/>
            <w:b w:val="0"/>
            <w:bCs/>
            <w:noProof/>
            <w:lang w:bidi="en-US"/>
          </w:rPr>
          <w:t>Table 22. Collinearity statistics of the constructs</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_Toc21074090 \h </w:instrText>
        </w:r>
        <w:r w:rsidR="00440923" w:rsidRPr="00440923">
          <w:rPr>
            <w:b w:val="0"/>
            <w:bCs/>
            <w:noProof/>
            <w:webHidden/>
          </w:rPr>
        </w:r>
        <w:r w:rsidR="00440923" w:rsidRPr="00440923">
          <w:rPr>
            <w:b w:val="0"/>
            <w:bCs/>
            <w:noProof/>
            <w:webHidden/>
          </w:rPr>
          <w:fldChar w:fldCharType="separate"/>
        </w:r>
        <w:r w:rsidR="0056454A">
          <w:rPr>
            <w:b w:val="0"/>
            <w:bCs/>
            <w:noProof/>
            <w:webHidden/>
          </w:rPr>
          <w:t>111</w:t>
        </w:r>
        <w:r w:rsidR="00440923" w:rsidRPr="00440923">
          <w:rPr>
            <w:b w:val="0"/>
            <w:bCs/>
            <w:noProof/>
            <w:webHidden/>
          </w:rPr>
          <w:fldChar w:fldCharType="end"/>
        </w:r>
      </w:hyperlink>
    </w:p>
    <w:p w14:paraId="7C23A42F" w14:textId="4B165581"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91" w:history="1">
        <w:r w:rsidR="00440923" w:rsidRPr="00440923">
          <w:rPr>
            <w:rStyle w:val="Hyperlink"/>
            <w:b w:val="0"/>
            <w:bCs/>
            <w:noProof/>
            <w:lang w:bidi="en-US"/>
          </w:rPr>
          <w:t>Table 23. Structural model results for direct relationships between the variables</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_Toc21074091 \h </w:instrText>
        </w:r>
        <w:r w:rsidR="00440923" w:rsidRPr="00440923">
          <w:rPr>
            <w:b w:val="0"/>
            <w:bCs/>
            <w:noProof/>
            <w:webHidden/>
          </w:rPr>
        </w:r>
        <w:r w:rsidR="00440923" w:rsidRPr="00440923">
          <w:rPr>
            <w:b w:val="0"/>
            <w:bCs/>
            <w:noProof/>
            <w:webHidden/>
          </w:rPr>
          <w:fldChar w:fldCharType="separate"/>
        </w:r>
        <w:r w:rsidR="0056454A">
          <w:rPr>
            <w:b w:val="0"/>
            <w:bCs/>
            <w:noProof/>
            <w:webHidden/>
          </w:rPr>
          <w:t>114</w:t>
        </w:r>
        <w:r w:rsidR="00440923" w:rsidRPr="00440923">
          <w:rPr>
            <w:b w:val="0"/>
            <w:bCs/>
            <w:noProof/>
            <w:webHidden/>
          </w:rPr>
          <w:fldChar w:fldCharType="end"/>
        </w:r>
      </w:hyperlink>
    </w:p>
    <w:p w14:paraId="7E5E8C9E" w14:textId="43879619"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92" w:history="1">
        <w:r w:rsidR="00440923" w:rsidRPr="00440923">
          <w:rPr>
            <w:rStyle w:val="Hyperlink"/>
            <w:b w:val="0"/>
            <w:bCs/>
            <w:noProof/>
            <w:lang w:bidi="en-US"/>
          </w:rPr>
          <w:t>Table 24. The loading values of the observed variables on their related latent variables</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_Toc21074092 \h </w:instrText>
        </w:r>
        <w:r w:rsidR="00440923" w:rsidRPr="00440923">
          <w:rPr>
            <w:b w:val="0"/>
            <w:bCs/>
            <w:noProof/>
            <w:webHidden/>
          </w:rPr>
        </w:r>
        <w:r w:rsidR="00440923" w:rsidRPr="00440923">
          <w:rPr>
            <w:b w:val="0"/>
            <w:bCs/>
            <w:noProof/>
            <w:webHidden/>
          </w:rPr>
          <w:fldChar w:fldCharType="separate"/>
        </w:r>
        <w:r w:rsidR="0056454A">
          <w:rPr>
            <w:b w:val="0"/>
            <w:bCs/>
            <w:noProof/>
            <w:webHidden/>
          </w:rPr>
          <w:t>116</w:t>
        </w:r>
        <w:r w:rsidR="00440923" w:rsidRPr="00440923">
          <w:rPr>
            <w:b w:val="0"/>
            <w:bCs/>
            <w:noProof/>
            <w:webHidden/>
          </w:rPr>
          <w:fldChar w:fldCharType="end"/>
        </w:r>
      </w:hyperlink>
    </w:p>
    <w:p w14:paraId="0C4578D2" w14:textId="59D414F4" w:rsidR="00440923" w:rsidRPr="00440923" w:rsidRDefault="00B76C18">
      <w:pPr>
        <w:pStyle w:val="TableofFigures"/>
        <w:tabs>
          <w:tab w:val="right" w:leader="dot" w:pos="7910"/>
        </w:tabs>
        <w:rPr>
          <w:rFonts w:asciiTheme="minorHAnsi" w:eastAsiaTheme="minorEastAsia" w:hAnsiTheme="minorHAnsi"/>
          <w:b w:val="0"/>
          <w:bCs/>
          <w:noProof/>
          <w:sz w:val="22"/>
          <w:lang w:val="en-GB" w:eastAsia="en-GB"/>
        </w:rPr>
      </w:pPr>
      <w:hyperlink w:anchor="_Toc21074093" w:history="1">
        <w:r w:rsidR="00440923" w:rsidRPr="00440923">
          <w:rPr>
            <w:rStyle w:val="Hyperlink"/>
            <w:b w:val="0"/>
            <w:bCs/>
            <w:noProof/>
            <w:lang w:bidi="en-US"/>
          </w:rPr>
          <w:t>Table 25. Structural model results for indirect relationships between the variables (the mediating effect)</w:t>
        </w:r>
        <w:r w:rsidR="00440923" w:rsidRPr="00440923">
          <w:rPr>
            <w:b w:val="0"/>
            <w:bCs/>
            <w:noProof/>
            <w:webHidden/>
          </w:rPr>
          <w:tab/>
        </w:r>
        <w:r w:rsidR="00440923" w:rsidRPr="00440923">
          <w:rPr>
            <w:b w:val="0"/>
            <w:bCs/>
            <w:noProof/>
            <w:webHidden/>
          </w:rPr>
          <w:fldChar w:fldCharType="begin"/>
        </w:r>
        <w:r w:rsidR="00440923" w:rsidRPr="00440923">
          <w:rPr>
            <w:b w:val="0"/>
            <w:bCs/>
            <w:noProof/>
            <w:webHidden/>
          </w:rPr>
          <w:instrText xml:space="preserve"> PAGEREF _Toc21074093 \h </w:instrText>
        </w:r>
        <w:r w:rsidR="00440923" w:rsidRPr="00440923">
          <w:rPr>
            <w:b w:val="0"/>
            <w:bCs/>
            <w:noProof/>
            <w:webHidden/>
          </w:rPr>
        </w:r>
        <w:r w:rsidR="00440923" w:rsidRPr="00440923">
          <w:rPr>
            <w:b w:val="0"/>
            <w:bCs/>
            <w:noProof/>
            <w:webHidden/>
          </w:rPr>
          <w:fldChar w:fldCharType="separate"/>
        </w:r>
        <w:r w:rsidR="0056454A">
          <w:rPr>
            <w:b w:val="0"/>
            <w:bCs/>
            <w:noProof/>
            <w:webHidden/>
          </w:rPr>
          <w:t>118</w:t>
        </w:r>
        <w:r w:rsidR="00440923" w:rsidRPr="00440923">
          <w:rPr>
            <w:b w:val="0"/>
            <w:bCs/>
            <w:noProof/>
            <w:webHidden/>
          </w:rPr>
          <w:fldChar w:fldCharType="end"/>
        </w:r>
      </w:hyperlink>
    </w:p>
    <w:p w14:paraId="14D148B7" w14:textId="173727FC" w:rsidR="00AD3AD3" w:rsidRPr="00794148" w:rsidRDefault="00004BFD" w:rsidP="001D5F54">
      <w:pPr>
        <w:rPr>
          <w:bCs/>
        </w:rPr>
      </w:pPr>
      <w:r w:rsidRPr="00440923">
        <w:rPr>
          <w:bCs/>
          <w:lang w:bidi="en-US"/>
        </w:rPr>
        <w:fldChar w:fldCharType="end"/>
      </w:r>
    </w:p>
    <w:p w14:paraId="4C329F5E" w14:textId="77777777" w:rsidR="00004BFD" w:rsidRPr="004D08C5" w:rsidRDefault="00004BFD" w:rsidP="00851433">
      <w:pPr>
        <w:pStyle w:val="TableofFigures"/>
        <w:tabs>
          <w:tab w:val="right" w:leader="dot" w:pos="7910"/>
        </w:tabs>
        <w:spacing w:line="480" w:lineRule="auto"/>
        <w:rPr>
          <w:b w:val="0"/>
          <w:bCs/>
          <w:color w:val="000000"/>
          <w:szCs w:val="24"/>
          <w:lang w:bidi="en-US"/>
        </w:rPr>
      </w:pPr>
    </w:p>
    <w:p w14:paraId="764D4A19" w14:textId="53142829" w:rsidR="002F20D4" w:rsidRPr="004D08C5" w:rsidRDefault="002F20D4" w:rsidP="001D5F54">
      <w:pPr>
        <w:rPr>
          <w:bCs/>
        </w:rPr>
      </w:pPr>
    </w:p>
    <w:p w14:paraId="4755A109" w14:textId="75268AE4" w:rsidR="002F20D4" w:rsidRPr="004D08C5" w:rsidRDefault="002F20D4" w:rsidP="001D5F54">
      <w:pPr>
        <w:rPr>
          <w:bCs/>
        </w:rPr>
      </w:pPr>
    </w:p>
    <w:p w14:paraId="62AB4F9D" w14:textId="5C4EF2DE" w:rsidR="002F20D4" w:rsidRPr="00004BFD" w:rsidRDefault="002F20D4" w:rsidP="001D5F54"/>
    <w:p w14:paraId="5BC8282E" w14:textId="287F2F9F" w:rsidR="002F20D4" w:rsidRPr="00004BFD" w:rsidRDefault="002F20D4" w:rsidP="001D5F54"/>
    <w:p w14:paraId="3252BEF4" w14:textId="2B61C1C7" w:rsidR="002F20D4" w:rsidRPr="00004BFD" w:rsidRDefault="002F20D4" w:rsidP="001D5F54"/>
    <w:p w14:paraId="6053C78F" w14:textId="67B81867" w:rsidR="002F20D4" w:rsidRPr="00004BFD" w:rsidRDefault="002F20D4" w:rsidP="001D5F54"/>
    <w:p w14:paraId="1C8D0B99" w14:textId="68E05CBC" w:rsidR="002F20D4" w:rsidRPr="00004BFD" w:rsidRDefault="002F20D4" w:rsidP="001D5F54"/>
    <w:p w14:paraId="0252961B" w14:textId="309C5EBB" w:rsidR="002F20D4" w:rsidRPr="00004BFD" w:rsidRDefault="002F20D4" w:rsidP="001D5F54"/>
    <w:p w14:paraId="79EAED7E" w14:textId="197A40F0" w:rsidR="002F20D4" w:rsidRPr="00004BFD" w:rsidRDefault="002F20D4" w:rsidP="001D5F54"/>
    <w:p w14:paraId="0219F586" w14:textId="21CAFE17" w:rsidR="002F20D4" w:rsidRPr="00004BFD" w:rsidRDefault="002F20D4" w:rsidP="001D5F54"/>
    <w:p w14:paraId="03826F5B" w14:textId="68365272" w:rsidR="002F20D4" w:rsidRDefault="002F20D4" w:rsidP="001D5F54"/>
    <w:p w14:paraId="0705D129" w14:textId="0535BB09" w:rsidR="00794148" w:rsidRDefault="00794148" w:rsidP="001D5F54"/>
    <w:p w14:paraId="7954F107" w14:textId="4AAF928D" w:rsidR="00794148" w:rsidRDefault="00794148" w:rsidP="001D5F54"/>
    <w:p w14:paraId="4C96128C" w14:textId="7117642A" w:rsidR="00794148" w:rsidRDefault="00794148" w:rsidP="001D5F54"/>
    <w:p w14:paraId="296A9DAA" w14:textId="7A2F46B7" w:rsidR="00440923" w:rsidRDefault="00440923" w:rsidP="001D5F54"/>
    <w:p w14:paraId="02B8D105" w14:textId="07376E15" w:rsidR="00440923" w:rsidRDefault="00440923" w:rsidP="001D5F54"/>
    <w:p w14:paraId="7486D71F" w14:textId="73F7B9A2" w:rsidR="00440923" w:rsidRDefault="00440923" w:rsidP="001D5F54"/>
    <w:p w14:paraId="5E0EA606" w14:textId="77777777" w:rsidR="00F353CB" w:rsidRDefault="00F353CB" w:rsidP="001D5F54"/>
    <w:p w14:paraId="40837CEF" w14:textId="0F5CB2EC" w:rsidR="00440923" w:rsidRDefault="00440923" w:rsidP="001D5F54"/>
    <w:p w14:paraId="110C7A99" w14:textId="77777777" w:rsidR="00F353CB" w:rsidRDefault="00F353CB" w:rsidP="001D5F54">
      <w:pPr>
        <w:sectPr w:rsidR="00F353CB" w:rsidSect="00923296">
          <w:pgSz w:w="12240" w:h="15840"/>
          <w:pgMar w:top="1800" w:right="2160" w:bottom="1800" w:left="2160" w:header="720" w:footer="720" w:gutter="0"/>
          <w:pgNumType w:fmt="lowerRoman"/>
          <w:cols w:space="720"/>
          <w:docGrid w:linePitch="360"/>
        </w:sectPr>
      </w:pPr>
    </w:p>
    <w:p w14:paraId="43C1A6A7" w14:textId="43A68E4F" w:rsidR="00263B9C" w:rsidRPr="00AD3AD3" w:rsidRDefault="002F20D4" w:rsidP="00F353CB">
      <w:pPr>
        <w:pStyle w:val="Title"/>
      </w:pPr>
      <w:bookmarkStart w:id="13" w:name="_Toc22331632"/>
      <w:r>
        <w:rPr>
          <w:color w:val="000000"/>
        </w:rPr>
        <w:lastRenderedPageBreak/>
        <w:t>LIST OF FIGURES</w:t>
      </w:r>
      <w:bookmarkEnd w:id="13"/>
    </w:p>
    <w:p w14:paraId="6EE34586" w14:textId="41302734" w:rsidR="00440923" w:rsidRPr="00440923" w:rsidRDefault="00035802">
      <w:pPr>
        <w:pStyle w:val="TableofFigures"/>
        <w:tabs>
          <w:tab w:val="right" w:leader="dot" w:pos="7910"/>
        </w:tabs>
        <w:rPr>
          <w:rFonts w:asciiTheme="minorHAnsi" w:eastAsiaTheme="minorEastAsia" w:hAnsiTheme="minorHAnsi"/>
          <w:b w:val="0"/>
          <w:noProof/>
          <w:sz w:val="22"/>
          <w:lang w:val="en-GB" w:eastAsia="en-GB"/>
        </w:rPr>
      </w:pPr>
      <w:r w:rsidRPr="00440923">
        <w:rPr>
          <w:b w:val="0"/>
          <w:szCs w:val="24"/>
          <w:lang w:bidi="en-US"/>
        </w:rPr>
        <w:fldChar w:fldCharType="begin"/>
      </w:r>
      <w:r w:rsidRPr="00440923">
        <w:rPr>
          <w:b w:val="0"/>
          <w:szCs w:val="24"/>
          <w:lang w:bidi="en-US"/>
        </w:rPr>
        <w:instrText xml:space="preserve"> TOC \h \z \c "Figure" </w:instrText>
      </w:r>
      <w:r w:rsidRPr="00440923">
        <w:rPr>
          <w:b w:val="0"/>
          <w:szCs w:val="24"/>
          <w:lang w:bidi="en-US"/>
        </w:rPr>
        <w:fldChar w:fldCharType="separate"/>
      </w:r>
      <w:hyperlink w:anchor="_Toc21074094" w:history="1">
        <w:r w:rsidR="00440923" w:rsidRPr="00440923">
          <w:rPr>
            <w:rStyle w:val="Hyperlink"/>
            <w:b w:val="0"/>
            <w:noProof/>
          </w:rPr>
          <w:t>Figure 1. The outline framework for the research.</w:t>
        </w:r>
        <w:r w:rsidR="00440923" w:rsidRPr="00440923">
          <w:rPr>
            <w:b w:val="0"/>
            <w:noProof/>
            <w:webHidden/>
          </w:rPr>
          <w:tab/>
        </w:r>
        <w:r w:rsidR="00440923" w:rsidRPr="00440923">
          <w:rPr>
            <w:b w:val="0"/>
            <w:noProof/>
            <w:webHidden/>
          </w:rPr>
          <w:fldChar w:fldCharType="begin"/>
        </w:r>
        <w:r w:rsidR="00440923" w:rsidRPr="00440923">
          <w:rPr>
            <w:b w:val="0"/>
            <w:noProof/>
            <w:webHidden/>
          </w:rPr>
          <w:instrText xml:space="preserve"> PAGEREF _Toc21074094 \h </w:instrText>
        </w:r>
        <w:r w:rsidR="00440923" w:rsidRPr="00440923">
          <w:rPr>
            <w:b w:val="0"/>
            <w:noProof/>
            <w:webHidden/>
          </w:rPr>
        </w:r>
        <w:r w:rsidR="00440923" w:rsidRPr="00440923">
          <w:rPr>
            <w:b w:val="0"/>
            <w:noProof/>
            <w:webHidden/>
          </w:rPr>
          <w:fldChar w:fldCharType="separate"/>
        </w:r>
        <w:r w:rsidR="0056454A">
          <w:rPr>
            <w:b w:val="0"/>
            <w:noProof/>
            <w:webHidden/>
          </w:rPr>
          <w:t>17</w:t>
        </w:r>
        <w:r w:rsidR="00440923" w:rsidRPr="00440923">
          <w:rPr>
            <w:b w:val="0"/>
            <w:noProof/>
            <w:webHidden/>
          </w:rPr>
          <w:fldChar w:fldCharType="end"/>
        </w:r>
      </w:hyperlink>
    </w:p>
    <w:p w14:paraId="1FEF1241" w14:textId="2F2BD07C" w:rsidR="00440923" w:rsidRPr="00440923" w:rsidRDefault="00B76C18">
      <w:pPr>
        <w:pStyle w:val="TableofFigures"/>
        <w:tabs>
          <w:tab w:val="right" w:leader="dot" w:pos="7910"/>
        </w:tabs>
        <w:rPr>
          <w:rFonts w:asciiTheme="minorHAnsi" w:eastAsiaTheme="minorEastAsia" w:hAnsiTheme="minorHAnsi"/>
          <w:b w:val="0"/>
          <w:noProof/>
          <w:sz w:val="22"/>
          <w:lang w:val="en-GB" w:eastAsia="en-GB"/>
        </w:rPr>
      </w:pPr>
      <w:hyperlink w:anchor="_Toc21074095" w:history="1">
        <w:r w:rsidR="00440923" w:rsidRPr="00440923">
          <w:rPr>
            <w:rStyle w:val="Hyperlink"/>
            <w:b w:val="0"/>
            <w:noProof/>
          </w:rPr>
          <w:t>Figure 2. Knowledge–Knowing–Learning Matrix.</w:t>
        </w:r>
        <w:r w:rsidR="00440923" w:rsidRPr="00440923">
          <w:rPr>
            <w:b w:val="0"/>
            <w:noProof/>
            <w:webHidden/>
          </w:rPr>
          <w:tab/>
        </w:r>
        <w:r w:rsidR="00440923" w:rsidRPr="00440923">
          <w:rPr>
            <w:b w:val="0"/>
            <w:noProof/>
            <w:webHidden/>
          </w:rPr>
          <w:fldChar w:fldCharType="begin"/>
        </w:r>
        <w:r w:rsidR="00440923" w:rsidRPr="00440923">
          <w:rPr>
            <w:b w:val="0"/>
            <w:noProof/>
            <w:webHidden/>
          </w:rPr>
          <w:instrText xml:space="preserve"> PAGEREF _Toc21074095 \h </w:instrText>
        </w:r>
        <w:r w:rsidR="00440923" w:rsidRPr="00440923">
          <w:rPr>
            <w:b w:val="0"/>
            <w:noProof/>
            <w:webHidden/>
          </w:rPr>
        </w:r>
        <w:r w:rsidR="00440923" w:rsidRPr="00440923">
          <w:rPr>
            <w:b w:val="0"/>
            <w:noProof/>
            <w:webHidden/>
          </w:rPr>
          <w:fldChar w:fldCharType="separate"/>
        </w:r>
        <w:r w:rsidR="0056454A">
          <w:rPr>
            <w:b w:val="0"/>
            <w:noProof/>
            <w:webHidden/>
          </w:rPr>
          <w:t>22</w:t>
        </w:r>
        <w:r w:rsidR="00440923" w:rsidRPr="00440923">
          <w:rPr>
            <w:b w:val="0"/>
            <w:noProof/>
            <w:webHidden/>
          </w:rPr>
          <w:fldChar w:fldCharType="end"/>
        </w:r>
      </w:hyperlink>
    </w:p>
    <w:p w14:paraId="319C02BC" w14:textId="0B519467" w:rsidR="00440923" w:rsidRPr="00440923" w:rsidRDefault="00B76C18">
      <w:pPr>
        <w:pStyle w:val="TableofFigures"/>
        <w:tabs>
          <w:tab w:val="right" w:leader="dot" w:pos="7910"/>
        </w:tabs>
        <w:rPr>
          <w:rFonts w:asciiTheme="minorHAnsi" w:eastAsiaTheme="minorEastAsia" w:hAnsiTheme="minorHAnsi"/>
          <w:b w:val="0"/>
          <w:noProof/>
          <w:sz w:val="22"/>
          <w:lang w:val="en-GB" w:eastAsia="en-GB"/>
        </w:rPr>
      </w:pPr>
      <w:hyperlink r:id="rId15" w:anchor="_Toc21074096" w:history="1">
        <w:r w:rsidR="00440923" w:rsidRPr="00440923">
          <w:rPr>
            <w:rStyle w:val="Hyperlink"/>
            <w:b w:val="0"/>
            <w:noProof/>
          </w:rPr>
          <w:t>Figure 3. Research model framework</w:t>
        </w:r>
        <w:r w:rsidR="00440923" w:rsidRPr="00440923">
          <w:rPr>
            <w:b w:val="0"/>
            <w:noProof/>
            <w:webHidden/>
          </w:rPr>
          <w:tab/>
        </w:r>
        <w:r w:rsidR="00440923" w:rsidRPr="00440923">
          <w:rPr>
            <w:b w:val="0"/>
            <w:noProof/>
            <w:webHidden/>
          </w:rPr>
          <w:fldChar w:fldCharType="begin"/>
        </w:r>
        <w:r w:rsidR="00440923" w:rsidRPr="00440923">
          <w:rPr>
            <w:b w:val="0"/>
            <w:noProof/>
            <w:webHidden/>
          </w:rPr>
          <w:instrText xml:space="preserve"> PAGEREF _Toc21074096 \h </w:instrText>
        </w:r>
        <w:r w:rsidR="00440923" w:rsidRPr="00440923">
          <w:rPr>
            <w:b w:val="0"/>
            <w:noProof/>
            <w:webHidden/>
          </w:rPr>
        </w:r>
        <w:r w:rsidR="00440923" w:rsidRPr="00440923">
          <w:rPr>
            <w:b w:val="0"/>
            <w:noProof/>
            <w:webHidden/>
          </w:rPr>
          <w:fldChar w:fldCharType="separate"/>
        </w:r>
        <w:r w:rsidR="0056454A">
          <w:rPr>
            <w:b w:val="0"/>
            <w:noProof/>
            <w:webHidden/>
          </w:rPr>
          <w:t>66</w:t>
        </w:r>
        <w:r w:rsidR="00440923" w:rsidRPr="00440923">
          <w:rPr>
            <w:b w:val="0"/>
            <w:noProof/>
            <w:webHidden/>
          </w:rPr>
          <w:fldChar w:fldCharType="end"/>
        </w:r>
      </w:hyperlink>
    </w:p>
    <w:p w14:paraId="4921A5D6" w14:textId="6412241F" w:rsidR="00440923" w:rsidRPr="00440923" w:rsidRDefault="00B76C18">
      <w:pPr>
        <w:pStyle w:val="TableofFigures"/>
        <w:tabs>
          <w:tab w:val="right" w:leader="dot" w:pos="7910"/>
        </w:tabs>
        <w:rPr>
          <w:rFonts w:asciiTheme="minorHAnsi" w:eastAsiaTheme="minorEastAsia" w:hAnsiTheme="minorHAnsi"/>
          <w:b w:val="0"/>
          <w:noProof/>
          <w:sz w:val="22"/>
          <w:lang w:val="en-GB" w:eastAsia="en-GB"/>
        </w:rPr>
      </w:pPr>
      <w:hyperlink r:id="rId16" w:anchor="_Toc21074097" w:history="1">
        <w:r w:rsidR="00440923" w:rsidRPr="00440923">
          <w:rPr>
            <w:rStyle w:val="Hyperlink"/>
            <w:b w:val="0"/>
            <w:noProof/>
          </w:rPr>
          <w:t>Figure 4. The research process onion.</w:t>
        </w:r>
        <w:r w:rsidR="00440923" w:rsidRPr="00440923">
          <w:rPr>
            <w:b w:val="0"/>
            <w:noProof/>
            <w:webHidden/>
          </w:rPr>
          <w:tab/>
        </w:r>
        <w:r w:rsidR="00440923" w:rsidRPr="00440923">
          <w:rPr>
            <w:b w:val="0"/>
            <w:noProof/>
            <w:webHidden/>
          </w:rPr>
          <w:fldChar w:fldCharType="begin"/>
        </w:r>
        <w:r w:rsidR="00440923" w:rsidRPr="00440923">
          <w:rPr>
            <w:b w:val="0"/>
            <w:noProof/>
            <w:webHidden/>
          </w:rPr>
          <w:instrText xml:space="preserve"> PAGEREF _Toc21074097 \h </w:instrText>
        </w:r>
        <w:r w:rsidR="00440923" w:rsidRPr="00440923">
          <w:rPr>
            <w:b w:val="0"/>
            <w:noProof/>
            <w:webHidden/>
          </w:rPr>
        </w:r>
        <w:r w:rsidR="00440923" w:rsidRPr="00440923">
          <w:rPr>
            <w:b w:val="0"/>
            <w:noProof/>
            <w:webHidden/>
          </w:rPr>
          <w:fldChar w:fldCharType="separate"/>
        </w:r>
        <w:r w:rsidR="0056454A">
          <w:rPr>
            <w:b w:val="0"/>
            <w:noProof/>
            <w:webHidden/>
          </w:rPr>
          <w:t>68</w:t>
        </w:r>
        <w:r w:rsidR="00440923" w:rsidRPr="00440923">
          <w:rPr>
            <w:b w:val="0"/>
            <w:noProof/>
            <w:webHidden/>
          </w:rPr>
          <w:fldChar w:fldCharType="end"/>
        </w:r>
      </w:hyperlink>
    </w:p>
    <w:p w14:paraId="2AE3DDC8" w14:textId="088FBF6F" w:rsidR="00440923" w:rsidRPr="00440923" w:rsidRDefault="00B76C18">
      <w:pPr>
        <w:pStyle w:val="TableofFigures"/>
        <w:tabs>
          <w:tab w:val="right" w:leader="dot" w:pos="7910"/>
        </w:tabs>
        <w:rPr>
          <w:rFonts w:asciiTheme="minorHAnsi" w:eastAsiaTheme="minorEastAsia" w:hAnsiTheme="minorHAnsi"/>
          <w:b w:val="0"/>
          <w:noProof/>
          <w:sz w:val="22"/>
          <w:lang w:val="en-GB" w:eastAsia="en-GB"/>
        </w:rPr>
      </w:pPr>
      <w:hyperlink w:anchor="_Toc21074098" w:history="1">
        <w:r w:rsidR="00440923" w:rsidRPr="00440923">
          <w:rPr>
            <w:rStyle w:val="Hyperlink"/>
            <w:b w:val="0"/>
            <w:noProof/>
            <w:lang w:bidi="en-US"/>
          </w:rPr>
          <w:t>Figure 5. Measurement model results for direct relationships</w:t>
        </w:r>
        <w:r w:rsidR="00440923" w:rsidRPr="00440923">
          <w:rPr>
            <w:b w:val="0"/>
            <w:noProof/>
            <w:webHidden/>
          </w:rPr>
          <w:tab/>
        </w:r>
        <w:r w:rsidR="00440923" w:rsidRPr="00440923">
          <w:rPr>
            <w:b w:val="0"/>
            <w:noProof/>
            <w:webHidden/>
          </w:rPr>
          <w:fldChar w:fldCharType="begin"/>
        </w:r>
        <w:r w:rsidR="00440923" w:rsidRPr="00440923">
          <w:rPr>
            <w:b w:val="0"/>
            <w:noProof/>
            <w:webHidden/>
          </w:rPr>
          <w:instrText xml:space="preserve"> PAGEREF _Toc21074098 \h </w:instrText>
        </w:r>
        <w:r w:rsidR="00440923" w:rsidRPr="00440923">
          <w:rPr>
            <w:b w:val="0"/>
            <w:noProof/>
            <w:webHidden/>
          </w:rPr>
        </w:r>
        <w:r w:rsidR="00440923" w:rsidRPr="00440923">
          <w:rPr>
            <w:b w:val="0"/>
            <w:noProof/>
            <w:webHidden/>
          </w:rPr>
          <w:fldChar w:fldCharType="separate"/>
        </w:r>
        <w:r w:rsidR="0056454A">
          <w:rPr>
            <w:b w:val="0"/>
            <w:noProof/>
            <w:webHidden/>
          </w:rPr>
          <w:t>113</w:t>
        </w:r>
        <w:r w:rsidR="00440923" w:rsidRPr="00440923">
          <w:rPr>
            <w:b w:val="0"/>
            <w:noProof/>
            <w:webHidden/>
          </w:rPr>
          <w:fldChar w:fldCharType="end"/>
        </w:r>
      </w:hyperlink>
    </w:p>
    <w:p w14:paraId="02C00FBC" w14:textId="62F2677F" w:rsidR="00440923" w:rsidRPr="00440923" w:rsidRDefault="00B76C18">
      <w:pPr>
        <w:pStyle w:val="TableofFigures"/>
        <w:tabs>
          <w:tab w:val="right" w:leader="dot" w:pos="7910"/>
        </w:tabs>
        <w:rPr>
          <w:rFonts w:asciiTheme="minorHAnsi" w:eastAsiaTheme="minorEastAsia" w:hAnsiTheme="minorHAnsi"/>
          <w:b w:val="0"/>
          <w:noProof/>
          <w:sz w:val="22"/>
          <w:lang w:val="en-GB" w:eastAsia="en-GB"/>
        </w:rPr>
      </w:pPr>
      <w:hyperlink w:anchor="_Toc21074099" w:history="1">
        <w:r w:rsidR="00440923" w:rsidRPr="00440923">
          <w:rPr>
            <w:rStyle w:val="Hyperlink"/>
            <w:b w:val="0"/>
            <w:noProof/>
            <w:lang w:bidi="en-US"/>
          </w:rPr>
          <w:t>Figure 6. Measurement model results for indirect relationships (bootstrapping mode)</w:t>
        </w:r>
        <w:r w:rsidR="00440923" w:rsidRPr="00440923">
          <w:rPr>
            <w:b w:val="0"/>
            <w:noProof/>
            <w:webHidden/>
          </w:rPr>
          <w:tab/>
        </w:r>
        <w:r w:rsidR="00440923" w:rsidRPr="00440923">
          <w:rPr>
            <w:b w:val="0"/>
            <w:noProof/>
            <w:webHidden/>
          </w:rPr>
          <w:fldChar w:fldCharType="begin"/>
        </w:r>
        <w:r w:rsidR="00440923" w:rsidRPr="00440923">
          <w:rPr>
            <w:b w:val="0"/>
            <w:noProof/>
            <w:webHidden/>
          </w:rPr>
          <w:instrText xml:space="preserve"> PAGEREF _Toc21074099 \h </w:instrText>
        </w:r>
        <w:r w:rsidR="00440923" w:rsidRPr="00440923">
          <w:rPr>
            <w:b w:val="0"/>
            <w:noProof/>
            <w:webHidden/>
          </w:rPr>
        </w:r>
        <w:r w:rsidR="00440923" w:rsidRPr="00440923">
          <w:rPr>
            <w:b w:val="0"/>
            <w:noProof/>
            <w:webHidden/>
          </w:rPr>
          <w:fldChar w:fldCharType="separate"/>
        </w:r>
        <w:r w:rsidR="0056454A">
          <w:rPr>
            <w:b w:val="0"/>
            <w:noProof/>
            <w:webHidden/>
          </w:rPr>
          <w:t>117</w:t>
        </w:r>
        <w:r w:rsidR="00440923" w:rsidRPr="00440923">
          <w:rPr>
            <w:b w:val="0"/>
            <w:noProof/>
            <w:webHidden/>
          </w:rPr>
          <w:fldChar w:fldCharType="end"/>
        </w:r>
      </w:hyperlink>
    </w:p>
    <w:p w14:paraId="69338316" w14:textId="08CB009D" w:rsidR="009717EC" w:rsidRDefault="00035802" w:rsidP="00004BFD">
      <w:pPr>
        <w:spacing w:line="480" w:lineRule="auto"/>
        <w:rPr>
          <w:rFonts w:cstheme="minorBidi"/>
          <w:szCs w:val="24"/>
          <w:lang w:bidi="en-US"/>
        </w:rPr>
      </w:pPr>
      <w:r w:rsidRPr="00440923">
        <w:rPr>
          <w:rFonts w:cstheme="minorBidi"/>
          <w:szCs w:val="24"/>
          <w:lang w:bidi="en-US"/>
        </w:rPr>
        <w:fldChar w:fldCharType="end"/>
      </w:r>
    </w:p>
    <w:p w14:paraId="1AC0D114" w14:textId="77777777" w:rsidR="009717EC" w:rsidRDefault="009717EC">
      <w:pPr>
        <w:widowControl/>
        <w:autoSpaceDE/>
        <w:autoSpaceDN/>
        <w:adjustRightInd/>
        <w:rPr>
          <w:rFonts w:cstheme="minorBidi"/>
          <w:szCs w:val="24"/>
          <w:lang w:bidi="en-US"/>
        </w:rPr>
      </w:pPr>
      <w:r>
        <w:rPr>
          <w:rFonts w:cstheme="minorBidi"/>
          <w:szCs w:val="24"/>
          <w:lang w:bidi="en-US"/>
        </w:rPr>
        <w:br w:type="page"/>
      </w:r>
    </w:p>
    <w:p w14:paraId="0429CF79" w14:textId="77777777" w:rsidR="00851433" w:rsidRPr="002A7627" w:rsidRDefault="00851433" w:rsidP="00004BFD">
      <w:pPr>
        <w:spacing w:line="480" w:lineRule="auto"/>
        <w:rPr>
          <w:lang w:bidi="en-US"/>
        </w:rPr>
        <w:sectPr w:rsidR="00851433" w:rsidRPr="002A7627" w:rsidSect="00031AF8">
          <w:pgSz w:w="12240" w:h="15840"/>
          <w:pgMar w:top="2880" w:right="2160" w:bottom="1800" w:left="2160" w:header="720" w:footer="720" w:gutter="0"/>
          <w:pgNumType w:fmt="lowerRoman"/>
          <w:cols w:space="720"/>
          <w:docGrid w:linePitch="360"/>
        </w:sectPr>
      </w:pPr>
    </w:p>
    <w:p w14:paraId="2B0315FA" w14:textId="64205670" w:rsidR="008377FA" w:rsidRPr="002A7627" w:rsidRDefault="0070671C" w:rsidP="0070671C">
      <w:pPr>
        <w:pStyle w:val="Title"/>
        <w:rPr>
          <w:color w:val="000000"/>
          <w:lang w:bidi="ar-AE"/>
        </w:rPr>
      </w:pPr>
      <w:bookmarkStart w:id="14" w:name="_Toc11533394"/>
      <w:bookmarkStart w:id="15" w:name="_Toc11533501"/>
      <w:bookmarkStart w:id="16" w:name="_Toc13959608"/>
      <w:bookmarkStart w:id="17" w:name="_Toc22331633"/>
      <w:bookmarkStart w:id="18" w:name="_Toc418162549"/>
      <w:bookmarkStart w:id="19" w:name="_Toc425603588"/>
      <w:bookmarkStart w:id="20" w:name="_Toc464033167"/>
      <w:bookmarkEnd w:id="0"/>
      <w:r>
        <w:rPr>
          <w:color w:val="000000"/>
        </w:rPr>
        <w:lastRenderedPageBreak/>
        <w:t>CHAPTER</w:t>
      </w:r>
      <w:r w:rsidR="001031A4">
        <w:rPr>
          <w:color w:val="000000"/>
        </w:rPr>
        <w:t xml:space="preserve"> </w:t>
      </w:r>
      <w:r>
        <w:rPr>
          <w:color w:val="000000"/>
        </w:rPr>
        <w:t xml:space="preserve">1: </w:t>
      </w:r>
      <w:bookmarkEnd w:id="14"/>
      <w:bookmarkEnd w:id="15"/>
      <w:bookmarkEnd w:id="16"/>
      <w:r>
        <w:rPr>
          <w:color w:val="000000"/>
        </w:rPr>
        <w:t>INT</w:t>
      </w:r>
      <w:r w:rsidR="00797508">
        <w:rPr>
          <w:color w:val="000000"/>
        </w:rPr>
        <w:t>R</w:t>
      </w:r>
      <w:r>
        <w:rPr>
          <w:color w:val="000000"/>
        </w:rPr>
        <w:t>ODUCTION</w:t>
      </w:r>
      <w:bookmarkEnd w:id="17"/>
    </w:p>
    <w:bookmarkEnd w:id="1"/>
    <w:bookmarkEnd w:id="18"/>
    <w:bookmarkEnd w:id="19"/>
    <w:bookmarkEnd w:id="20"/>
    <w:p w14:paraId="306EDCD5" w14:textId="0C637B1A" w:rsidR="008377FA" w:rsidRPr="001D5BB6" w:rsidRDefault="008377FA" w:rsidP="0017121F">
      <w:pPr>
        <w:pStyle w:val="AAAAAAA"/>
        <w:rPr>
          <w:color w:val="000000" w:themeColor="text1"/>
        </w:rPr>
      </w:pPr>
      <w:r w:rsidRPr="002A7627">
        <w:t>This study proposes a framework for integrating knowledge management benefits in the United Arab Emirates (UAE), focusing on a policing organization. It investigates how knowledge management is linked to organizational learning</w:t>
      </w:r>
      <w:r w:rsidR="00DE30F4">
        <w:t>,</w:t>
      </w:r>
      <w:r w:rsidRPr="002A7627">
        <w:t xml:space="preserve"> </w:t>
      </w:r>
      <w:r w:rsidR="00797508">
        <w:t>by</w:t>
      </w:r>
      <w:r w:rsidRPr="002A7627">
        <w:t xml:space="preserve"> exploring and analyzing the impact of knowledge management capabilities and human resources practices for </w:t>
      </w:r>
      <w:r w:rsidR="001A4AEB" w:rsidRPr="002A7627">
        <w:t xml:space="preserve">knowledge sharing </w:t>
      </w:r>
      <w:r w:rsidRPr="002A7627">
        <w:t xml:space="preserve">as independent variables on knowledge management benefits as a dependent variable. </w:t>
      </w:r>
      <w:r w:rsidR="00797508">
        <w:t>I</w:t>
      </w:r>
      <w:r w:rsidRPr="002A7627">
        <w:t xml:space="preserve">t </w:t>
      </w:r>
      <w:r w:rsidR="00797508">
        <w:t xml:space="preserve">also </w:t>
      </w:r>
      <w:r w:rsidRPr="002A7627">
        <w:t xml:space="preserve">examines the mediation </w:t>
      </w:r>
      <w:r w:rsidR="0034740D">
        <w:t>effect</w:t>
      </w:r>
      <w:r w:rsidR="0034740D" w:rsidRPr="002A7627">
        <w:t xml:space="preserve"> </w:t>
      </w:r>
      <w:r w:rsidRPr="002A7627">
        <w:t xml:space="preserve">of organizational learning on the relationship between the </w:t>
      </w:r>
      <w:r w:rsidR="00757459" w:rsidRPr="001D5BB6">
        <w:rPr>
          <w:color w:val="000000" w:themeColor="text1"/>
        </w:rPr>
        <w:t xml:space="preserve">explanatory </w:t>
      </w:r>
      <w:r w:rsidRPr="001D5BB6">
        <w:rPr>
          <w:color w:val="000000" w:themeColor="text1"/>
        </w:rPr>
        <w:t xml:space="preserve">and </w:t>
      </w:r>
      <w:r w:rsidR="004E036F" w:rsidRPr="001D5BB6">
        <w:rPr>
          <w:color w:val="000000" w:themeColor="text1"/>
        </w:rPr>
        <w:t xml:space="preserve">response </w:t>
      </w:r>
      <w:r w:rsidRPr="001D5BB6">
        <w:rPr>
          <w:color w:val="000000" w:themeColor="text1"/>
        </w:rPr>
        <w:t xml:space="preserve">variables. </w:t>
      </w:r>
    </w:p>
    <w:p w14:paraId="1EFA11F7" w14:textId="4F72258B" w:rsidR="008377FA" w:rsidRPr="002A7627" w:rsidRDefault="008377FA" w:rsidP="0017121F">
      <w:pPr>
        <w:pStyle w:val="AAAAAAA"/>
      </w:pPr>
      <w:r w:rsidRPr="001D5BB6">
        <w:rPr>
          <w:color w:val="000000" w:themeColor="text1"/>
        </w:rPr>
        <w:t xml:space="preserve">This is the first comprehensive study to explore </w:t>
      </w:r>
      <w:r w:rsidR="00DE30F4" w:rsidRPr="001D5BB6">
        <w:rPr>
          <w:color w:val="000000" w:themeColor="text1"/>
        </w:rPr>
        <w:t xml:space="preserve">knowledge management benefits </w:t>
      </w:r>
      <w:r w:rsidRPr="001D5BB6">
        <w:rPr>
          <w:color w:val="000000" w:themeColor="text1"/>
        </w:rPr>
        <w:t>in a policing or service organization, and</w:t>
      </w:r>
      <w:r w:rsidR="00054373" w:rsidRPr="001D5BB6">
        <w:rPr>
          <w:color w:val="000000" w:themeColor="text1"/>
        </w:rPr>
        <w:t xml:space="preserve"> therefore </w:t>
      </w:r>
      <w:r w:rsidRPr="001D5BB6">
        <w:rPr>
          <w:color w:val="000000" w:themeColor="text1"/>
        </w:rPr>
        <w:t xml:space="preserve">makes a </w:t>
      </w:r>
      <w:r w:rsidR="00BD338D" w:rsidRPr="001D5BB6">
        <w:rPr>
          <w:color w:val="000000" w:themeColor="text1"/>
        </w:rPr>
        <w:t>vital</w:t>
      </w:r>
      <w:r w:rsidRPr="001D5BB6">
        <w:rPr>
          <w:color w:val="000000" w:themeColor="text1"/>
        </w:rPr>
        <w:t xml:space="preserve"> contribution to the </w:t>
      </w:r>
      <w:r w:rsidR="00DE30F4" w:rsidRPr="001D5BB6">
        <w:rPr>
          <w:color w:val="000000" w:themeColor="text1"/>
        </w:rPr>
        <w:t xml:space="preserve">knowledge management </w:t>
      </w:r>
      <w:r w:rsidRPr="001D5BB6">
        <w:rPr>
          <w:color w:val="000000" w:themeColor="text1"/>
        </w:rPr>
        <w:t xml:space="preserve">literature. The study results </w:t>
      </w:r>
      <w:r w:rsidR="00797508" w:rsidRPr="001D5BB6">
        <w:rPr>
          <w:color w:val="000000" w:themeColor="text1"/>
        </w:rPr>
        <w:t xml:space="preserve">will provide </w:t>
      </w:r>
      <w:r w:rsidR="004E036F" w:rsidRPr="001D5BB6">
        <w:rPr>
          <w:color w:val="000000" w:themeColor="text1"/>
        </w:rPr>
        <w:t xml:space="preserve">knowledge management practitioners </w:t>
      </w:r>
      <w:r w:rsidR="00797508" w:rsidRPr="001D5BB6">
        <w:rPr>
          <w:color w:val="000000" w:themeColor="text1"/>
        </w:rPr>
        <w:t xml:space="preserve">with </w:t>
      </w:r>
      <w:r w:rsidRPr="001D5BB6">
        <w:rPr>
          <w:color w:val="000000" w:themeColor="text1"/>
        </w:rPr>
        <w:t xml:space="preserve">a better understanding of knowledge management </w:t>
      </w:r>
      <w:r w:rsidR="004E036F" w:rsidRPr="001D5BB6">
        <w:rPr>
          <w:color w:val="000000" w:themeColor="text1"/>
        </w:rPr>
        <w:t xml:space="preserve">benefits </w:t>
      </w:r>
      <w:r w:rsidRPr="001D5BB6">
        <w:rPr>
          <w:color w:val="000000" w:themeColor="text1"/>
        </w:rPr>
        <w:t xml:space="preserve">in </w:t>
      </w:r>
      <w:r w:rsidRPr="002A7627">
        <w:t>government organizations in general</w:t>
      </w:r>
      <w:r w:rsidR="00797508">
        <w:t>,</w:t>
      </w:r>
      <w:r w:rsidRPr="002A7627">
        <w:t xml:space="preserve"> and policing organizations in particular. This deeper understanding will assist in establishing policies and environments</w:t>
      </w:r>
      <w:r w:rsidRPr="002A7627" w:rsidDel="00A02CA0">
        <w:t xml:space="preserve"> </w:t>
      </w:r>
      <w:r w:rsidRPr="002A7627">
        <w:t xml:space="preserve">conducive to knowledge management. This </w:t>
      </w:r>
      <w:r w:rsidR="00BD338D">
        <w:t xml:space="preserve">research </w:t>
      </w:r>
      <w:r w:rsidRPr="002A7627">
        <w:t>contributes to a knowledge-based economy because it is the first in the UAE to explore knowledge management benefits.</w:t>
      </w:r>
    </w:p>
    <w:p w14:paraId="09541887" w14:textId="77777777" w:rsidR="00A817FD" w:rsidRDefault="008377FA" w:rsidP="009717EC">
      <w:pPr>
        <w:pStyle w:val="AAAAAAA"/>
        <w:rPr>
          <w:rFonts w:eastAsia="Times New Roman"/>
        </w:rPr>
        <w:sectPr w:rsidR="00A817FD" w:rsidSect="00A817FD">
          <w:headerReference w:type="default" r:id="rId17"/>
          <w:type w:val="continuous"/>
          <w:pgSz w:w="12240" w:h="15840"/>
          <w:pgMar w:top="2880" w:right="2160" w:bottom="1800" w:left="2160" w:header="720" w:footer="720" w:gutter="0"/>
          <w:pgNumType w:start="1"/>
          <w:cols w:space="720"/>
          <w:docGrid w:linePitch="381"/>
        </w:sectPr>
      </w:pPr>
      <w:r w:rsidRPr="002A7627">
        <w:t>This chapter introduces this research by highlighting important unresolved issues in the area, drawing on the literature</w:t>
      </w:r>
      <w:r w:rsidRPr="002A7627">
        <w:rPr>
          <w:rFonts w:eastAsia="Times New Roman"/>
        </w:rPr>
        <w:t xml:space="preserve">. </w:t>
      </w:r>
      <w:r w:rsidRPr="002A7627">
        <w:t xml:space="preserve">It </w:t>
      </w:r>
      <w:r w:rsidRPr="002A7627">
        <w:rPr>
          <w:rFonts w:eastAsia="Times New Roman"/>
        </w:rPr>
        <w:t xml:space="preserve">discusses the background to the </w:t>
      </w:r>
    </w:p>
    <w:p w14:paraId="208C034D" w14:textId="7C20972A" w:rsidR="00830760" w:rsidRPr="002A7627" w:rsidRDefault="008377FA" w:rsidP="009717EC">
      <w:pPr>
        <w:pStyle w:val="AAAAAAA"/>
        <w:rPr>
          <w:rFonts w:eastAsia="Times New Roman"/>
        </w:rPr>
      </w:pPr>
      <w:r w:rsidRPr="002A7627">
        <w:rPr>
          <w:rFonts w:eastAsia="Times New Roman"/>
        </w:rPr>
        <w:lastRenderedPageBreak/>
        <w:t xml:space="preserve">problem, identifies the research gap, sets out the research questions and </w:t>
      </w:r>
      <w:r w:rsidR="00830760">
        <w:rPr>
          <w:rFonts w:eastAsia="Times New Roman"/>
        </w:rPr>
        <w:t xml:space="preserve">objectives, and finally describes the study’s significance and </w:t>
      </w:r>
      <w:r w:rsidR="009717EC">
        <w:t>t</w:t>
      </w:r>
      <w:r w:rsidR="009717EC" w:rsidRPr="001D5F54">
        <w:t>he outline framework for the research</w:t>
      </w:r>
      <w:r w:rsidR="009717EC" w:rsidDel="009717EC">
        <w:rPr>
          <w:rFonts w:eastAsia="Times New Roman"/>
        </w:rPr>
        <w:t xml:space="preserve"> </w:t>
      </w:r>
      <w:r w:rsidR="00830760">
        <w:rPr>
          <w:rFonts w:eastAsia="Times New Roman"/>
        </w:rPr>
        <w:t xml:space="preserve">as shown in figure 1. </w:t>
      </w:r>
    </w:p>
    <w:p w14:paraId="7D18B816" w14:textId="707D3B7C" w:rsidR="008377FA" w:rsidRPr="002A7627" w:rsidRDefault="008377FA" w:rsidP="001D5F54">
      <w:pPr>
        <w:pStyle w:val="Heading1"/>
        <w:numPr>
          <w:ilvl w:val="1"/>
          <w:numId w:val="39"/>
        </w:numPr>
        <w:rPr>
          <w:color w:val="000000"/>
        </w:rPr>
      </w:pPr>
      <w:bookmarkStart w:id="21" w:name="_Toc11533395"/>
      <w:bookmarkStart w:id="22" w:name="_Toc11533502"/>
      <w:bookmarkStart w:id="23" w:name="_Toc13959609"/>
      <w:bookmarkStart w:id="24" w:name="_Toc22331634"/>
      <w:r w:rsidRPr="002A7627">
        <w:rPr>
          <w:color w:val="000000"/>
        </w:rPr>
        <w:t>Background</w:t>
      </w:r>
      <w:bookmarkEnd w:id="21"/>
      <w:bookmarkEnd w:id="22"/>
      <w:bookmarkEnd w:id="23"/>
      <w:bookmarkEnd w:id="24"/>
    </w:p>
    <w:p w14:paraId="1B4926C2" w14:textId="096D8C54" w:rsidR="008377FA" w:rsidRPr="001D5BB6" w:rsidRDefault="0070671C" w:rsidP="0017121F">
      <w:pPr>
        <w:pStyle w:val="AAAAAAA"/>
        <w:rPr>
          <w:color w:val="000000" w:themeColor="text1"/>
        </w:rPr>
      </w:pPr>
      <w:bookmarkStart w:id="25" w:name="_Toc22331635"/>
      <w:r>
        <w:rPr>
          <w:rStyle w:val="Heading2Char"/>
          <w:color w:val="000000"/>
          <w:u w:val="none"/>
        </w:rPr>
        <w:t xml:space="preserve">1.1.1. </w:t>
      </w:r>
      <w:bookmarkStart w:id="26" w:name="_Toc11533396"/>
      <w:bookmarkStart w:id="27" w:name="_Toc11533503"/>
      <w:bookmarkStart w:id="28" w:name="_Toc13959610"/>
      <w:r w:rsidR="008377FA" w:rsidRPr="002A7627">
        <w:rPr>
          <w:rStyle w:val="Heading2Char"/>
          <w:color w:val="000000"/>
          <w:u w:val="none"/>
        </w:rPr>
        <w:t>Knowledge management</w:t>
      </w:r>
      <w:bookmarkEnd w:id="25"/>
      <w:bookmarkEnd w:id="26"/>
      <w:bookmarkEnd w:id="27"/>
      <w:bookmarkEnd w:id="28"/>
      <w:r w:rsidR="0017121F" w:rsidRPr="002A7627">
        <w:t xml:space="preserve">. </w:t>
      </w:r>
      <w:r w:rsidR="008377FA" w:rsidRPr="001D5BB6">
        <w:rPr>
          <w:color w:val="000000" w:themeColor="text1"/>
        </w:rPr>
        <w:t xml:space="preserve">Knowledge management </w:t>
      </w:r>
      <w:r w:rsidR="004E036F" w:rsidRPr="001D5BB6">
        <w:rPr>
          <w:color w:val="000000" w:themeColor="text1"/>
        </w:rPr>
        <w:t>can be defined as</w:t>
      </w:r>
      <w:r w:rsidR="008377FA" w:rsidRPr="001D5BB6">
        <w:rPr>
          <w:color w:val="000000" w:themeColor="text1"/>
        </w:rPr>
        <w:t xml:space="preserve"> collecting, </w:t>
      </w:r>
      <w:r w:rsidR="004E036F" w:rsidRPr="001D5BB6">
        <w:rPr>
          <w:color w:val="000000" w:themeColor="text1"/>
        </w:rPr>
        <w:t>organizing</w:t>
      </w:r>
      <w:r w:rsidR="00054373" w:rsidRPr="001D5BB6">
        <w:rPr>
          <w:color w:val="000000" w:themeColor="text1"/>
        </w:rPr>
        <w:t>,</w:t>
      </w:r>
      <w:r w:rsidR="008377FA" w:rsidRPr="001D5BB6">
        <w:rPr>
          <w:color w:val="000000" w:themeColor="text1"/>
        </w:rPr>
        <w:t xml:space="preserve"> and sharing knowledge to enable organizational learning </w:t>
      </w:r>
      <w:r w:rsidR="008377FA" w:rsidRPr="001D5BB6">
        <w:rPr>
          <w:color w:val="000000" w:themeColor="text1"/>
        </w:rPr>
        <w:fldChar w:fldCharType="begin" w:fldLock="1"/>
      </w:r>
      <w:r w:rsidR="008377FA" w:rsidRPr="001D5BB6">
        <w:rPr>
          <w:color w:val="000000" w:themeColor="text1"/>
        </w:rPr>
        <w:instrText>ADDIN CSL_CITATION {"citationItems":[{"id":"ITEM-1","itemData":{"ISBN":"1635491614","author":[{"dropping-particle":"","family":"Marshall","given":"Shawn","non-dropping-particle":"","parse-names":false,"suffix":""}],"id":"ITEM-1","issued":{"date-parts":[["2017"]]},"publisher":"Larsen &amp; Keller Education","publisher-place":"London, UK","title":"Essential guide to knowledge management.","type":"book"},"uris":["http://www.mendeley.com/documents/?uuid=47abd153-ceb5-3e31-bb6c-b210d436714b"]}],"mendeley":{"formattedCitation":"(Marshall, 2017)","plainTextFormattedCitation":"(Marshall, 2017)","previouslyFormattedCitation":"(Marshall, 2017)"},"properties":{"noteIndex":0},"schema":"https://github.com/citation-style-language/schema/raw/master/csl-citation.json"}</w:instrText>
      </w:r>
      <w:r w:rsidR="008377FA" w:rsidRPr="001D5BB6">
        <w:rPr>
          <w:color w:val="000000" w:themeColor="text1"/>
        </w:rPr>
        <w:fldChar w:fldCharType="separate"/>
      </w:r>
      <w:r w:rsidR="008377FA" w:rsidRPr="001D5BB6">
        <w:rPr>
          <w:noProof/>
          <w:color w:val="000000" w:themeColor="text1"/>
        </w:rPr>
        <w:t>(Marshall, 2017)</w:t>
      </w:r>
      <w:r w:rsidR="008377FA" w:rsidRPr="001D5BB6">
        <w:rPr>
          <w:color w:val="000000" w:themeColor="text1"/>
        </w:rPr>
        <w:fldChar w:fldCharType="end"/>
      </w:r>
      <w:r w:rsidR="008377FA" w:rsidRPr="001D5BB6">
        <w:rPr>
          <w:color w:val="000000" w:themeColor="text1"/>
        </w:rPr>
        <w:t xml:space="preserve">. </w:t>
      </w:r>
      <w:r w:rsidR="00797508" w:rsidRPr="001D5BB6">
        <w:rPr>
          <w:color w:val="000000" w:themeColor="text1"/>
        </w:rPr>
        <w:t xml:space="preserve">Developing </w:t>
      </w:r>
      <w:r w:rsidR="004E036F" w:rsidRPr="001D5BB6">
        <w:rPr>
          <w:color w:val="000000" w:themeColor="text1"/>
        </w:rPr>
        <w:t xml:space="preserve">competitive advantage </w:t>
      </w:r>
      <w:r w:rsidR="008377FA" w:rsidRPr="001D5BB6">
        <w:rPr>
          <w:color w:val="000000" w:themeColor="text1"/>
        </w:rPr>
        <w:t xml:space="preserve">depends on </w:t>
      </w:r>
      <w:r w:rsidR="00797508" w:rsidRPr="001D5BB6">
        <w:rPr>
          <w:color w:val="000000" w:themeColor="text1"/>
        </w:rPr>
        <w:t xml:space="preserve">organizational </w:t>
      </w:r>
      <w:r w:rsidR="008377FA" w:rsidRPr="001D5BB6">
        <w:rPr>
          <w:color w:val="000000" w:themeColor="text1"/>
        </w:rPr>
        <w:t xml:space="preserve">knowledge </w:t>
      </w:r>
      <w:r w:rsidR="008377FA" w:rsidRPr="001D5BB6">
        <w:rPr>
          <w:color w:val="000000" w:themeColor="text1"/>
        </w:rPr>
        <w:fldChar w:fldCharType="begin" w:fldLock="1"/>
      </w:r>
      <w:r w:rsidR="00E24626" w:rsidRPr="001D5BB6">
        <w:rPr>
          <w:color w:val="000000" w:themeColor="text1"/>
        </w:rPr>
        <w:instrText>ADDIN CSL_CITATION {"citationItems":[{"id":"ITEM-1","itemData":{"DOI":"10.1016/j.indmarman.2008.12.003","ISBN":"0019-8501","ISSN":"0019-8501","PMID":"257","abstract":"This study utilized structural equations modeling (SEM) to explore the positive effects of relationship learning and absorptive capacity on competitive advantages of companies through their innovation performances in Taiwanese manufacturing industry. The results of this study showed that relationship learning and absorptive capacity positively influence upon innovation performances of companies, and further have positive effects on competitive advantages of companies. In addition, this study divided the sample into three groups by the levels of relationship learning and absorptive capacity and found that there was a significant difference of innovation performance among these three groups: ‘Highly Capable Companies’, ‘Medially Capable Companies’, and ‘Lowly Capable Companies’. It is important for ‘Lowly Capable Companies’ to increase both of their relationship learning and absorptive capacity to enhance their innovation performances.","author":[{"dropping-particle":"","family":"Chen","given":"Yu-Shan","non-dropping-particle":"","parse-names":false,"suffix":""},{"dropping-particle":"","family":"Lin","given":"Ming-Ji James","non-dropping-particle":"","parse-names":false,"suffix":""},{"dropping-particle":"","family":"Chang","given":"Ching-Hsun","non-dropping-particle":"","parse-names":false,"suffix":""}],"container-title":"Industrial Marketing Management","id":"ITEM-1","issue":"2","issued":{"date-parts":[["2009"]]},"page":"152-158","title":"The positive effects of relationship learning and absorptive capacity on innovation performance and competitive advantage in industrial markets","type":"article-journal","volume":"38"},"uris":["http://www.mendeley.com/documents/?uuid=6d966210-d75d-4058-a453-e0aa65aa81b7"]}],"mendeley":{"formattedCitation":"(Y.-S. Chen, Lin, &amp; Chang, 2009)","plainTextFormattedCitation":"(Y.-S. Chen, Lin, &amp; Chang, 2009)","previouslyFormattedCitation":"(Y.-S. Chen, Lin, &amp; Chang, 2009)"},"properties":{"noteIndex":0},"schema":"https://github.com/citation-style-language/schema/raw/master/csl-citation.json"}</w:instrText>
      </w:r>
      <w:r w:rsidR="008377FA" w:rsidRPr="001D5BB6">
        <w:rPr>
          <w:color w:val="000000" w:themeColor="text1"/>
        </w:rPr>
        <w:fldChar w:fldCharType="separate"/>
      </w:r>
      <w:r w:rsidR="00F31753" w:rsidRPr="001D5BB6">
        <w:rPr>
          <w:noProof/>
          <w:color w:val="000000" w:themeColor="text1"/>
        </w:rPr>
        <w:t>(Chen, Lin, &amp; Chang, 2009)</w:t>
      </w:r>
      <w:r w:rsidR="008377FA" w:rsidRPr="001D5BB6">
        <w:rPr>
          <w:color w:val="000000" w:themeColor="text1"/>
        </w:rPr>
        <w:fldChar w:fldCharType="end"/>
      </w:r>
      <w:r w:rsidR="008377FA" w:rsidRPr="001D5BB6">
        <w:rPr>
          <w:color w:val="000000" w:themeColor="text1"/>
        </w:rPr>
        <w:t xml:space="preserve"> and the amount of knowledge that is shared on three levels, between individuals, teams</w:t>
      </w:r>
      <w:r w:rsidR="00054373" w:rsidRPr="001D5BB6">
        <w:rPr>
          <w:color w:val="000000" w:themeColor="text1"/>
        </w:rPr>
        <w:t>,</w:t>
      </w:r>
      <w:r w:rsidR="008377FA" w:rsidRPr="001D5BB6">
        <w:rPr>
          <w:color w:val="000000" w:themeColor="text1"/>
        </w:rPr>
        <w:t xml:space="preserve"> and organizations </w:t>
      </w:r>
      <w:r w:rsidR="008377FA" w:rsidRPr="001D5BB6">
        <w:rPr>
          <w:color w:val="000000" w:themeColor="text1"/>
        </w:rPr>
        <w:fldChar w:fldCharType="begin" w:fldLock="1"/>
      </w:r>
      <w:r w:rsidR="00E24626" w:rsidRPr="001D5BB6">
        <w:rPr>
          <w:color w:val="000000" w:themeColor="text1"/>
        </w:rPr>
        <w:instrText>ADDIN CSL_CITATION {"citationItems":[{"id":"ITEM-1","itemData":{"abstract":"No theory or model of organizational learning has widespread acceptance. This paper clarifies the distinction between organizational learning and organizational adaptation and shows that change does not necessarily imply learning. There are different levels of learning, each having a different impact on the strategic management of the firm.","author":[{"dropping-particle":"","family":"Argote","given":"Linda","non-dropping-particle":"","parse-names":false,"suffix":""}],"id":"ITEM-1","issued":{"date-parts":[["2013"]]},"publisher":"Springer","publisher-place":"Boston, MA","title":"Organizational learning: Creating, retaining and transferring knowledge","type":"book"},"uris":["http://www.mendeley.com/documents/?uuid=13b65805-f12b-424d-b92a-cb06620b964d"]}],"mendeley":{"formattedCitation":"(Argote, 2013)","plainTextFormattedCitation":"(Argote, 2013)","previouslyFormattedCitation":"(Argote, 2013)"},"properties":{"noteIndex":0},"schema":"https://github.com/citation-style-language/schema/raw/master/csl-citation.json"}</w:instrText>
      </w:r>
      <w:r w:rsidR="008377FA" w:rsidRPr="001D5BB6">
        <w:rPr>
          <w:color w:val="000000" w:themeColor="text1"/>
        </w:rPr>
        <w:fldChar w:fldCharType="separate"/>
      </w:r>
      <w:r w:rsidR="008377FA" w:rsidRPr="001D5BB6">
        <w:rPr>
          <w:noProof/>
          <w:color w:val="000000" w:themeColor="text1"/>
        </w:rPr>
        <w:t>(Argote, 2013)</w:t>
      </w:r>
      <w:r w:rsidR="008377FA" w:rsidRPr="001D5BB6">
        <w:rPr>
          <w:color w:val="000000" w:themeColor="text1"/>
        </w:rPr>
        <w:fldChar w:fldCharType="end"/>
      </w:r>
      <w:r w:rsidR="008377FA" w:rsidRPr="001D5BB6">
        <w:rPr>
          <w:color w:val="000000" w:themeColor="text1"/>
        </w:rPr>
        <w:t>. Organizational learning can be enhanced when knowledge, learning</w:t>
      </w:r>
      <w:r w:rsidR="00054373" w:rsidRPr="001D5BB6">
        <w:rPr>
          <w:color w:val="000000" w:themeColor="text1"/>
        </w:rPr>
        <w:t>,</w:t>
      </w:r>
      <w:r w:rsidR="008377FA" w:rsidRPr="001D5BB6">
        <w:rPr>
          <w:color w:val="000000" w:themeColor="text1"/>
        </w:rPr>
        <w:t xml:space="preserve"> and processes are linked together through sharing new ideas and face-to-face communication </w:t>
      </w:r>
      <w:r w:rsidR="008377FA" w:rsidRPr="001D5BB6">
        <w:rPr>
          <w:color w:val="000000" w:themeColor="text1"/>
        </w:rPr>
        <w:fldChar w:fldCharType="begin" w:fldLock="1"/>
      </w:r>
      <w:r w:rsidR="008377FA" w:rsidRPr="001D5BB6">
        <w:rPr>
          <w:color w:val="000000" w:themeColor="text1"/>
        </w:rPr>
        <w:instrText>ADDIN CSL_CITATION {"citationItems":[{"id":"ITEM-1","itemData":{"DOI":"10.1108/02621711211208934","ISBN":"1352275031","ISSN":"0262-1711","PMID":"73370565","abstract":"Purpose - The main purpose of the paper is to assess and suggest the ways and means to enhance a collaborative knowledge sharing culture in academic institutions, with special reference to information technology (IT)-related education in the Management Faculty of the University of Pune. Design/methodology/approach - The research is descriptive and empirical in nature because the primary data were collected using the survey method through fact finding techniques such as questionnaire and interview. The main purpose of this research is to obtain information concerning the current status of the phenomena to describe \"what exists\" with respect to variables or conditions in a situation. Findings - The sustainability of any industry is closely linked to the manpower talent made available by the academic institutions. Therefore in order to service the needs of the industry in tune with rapidly changing trends, academic institutions have to implement innovative learning systems and be able to match up to the expectations of the industry for knowledge support. Collaborative knowledge sharing links the learning and knowledge processes to enhance organizational learning. The knowledge grows more with communication, sharing of ideas and transfer of knowledge through face-to-face communication, discussions, faculty development programs, industry-institute interactions. Academic institutions should align their human resource strategies, practices and processes in such a way that collaborative knowledge sharing becomes a part of the work culture and overcome the barriers to knowledge sharing. There is need to develop systems that can recognize and reward the efforts of employees who share their knowledge. This can empower collaborative knowledge sharing culture in an academic institute. Research limitations/implications - In the same context as the practical implications of the paper, it is also appropriate and important to study further how, and to what extent collaborative knowledge improves the performance of the academic institutes. Also, the impact of collaborative knowledge sharing on the quality of higher education. Practical implications - The recommendations in this paper focus on factors influencing collaborative knowledge sharing culture and also the practices of collaborative knowledge sharing to enhance organizational learning in an academic institute. Originality/value - This paper contributes original empirical data on the collaborative knowledge sharin…","author":[{"dropping-particle":"","family":"Kumaraswamy","given":"Kowta","non-dropping-particle":"","parse-names":false,"suffix":""},{"dropping-particle":"","family":"Chitale","given":"C.M.","non-dropping-particle":"","parse-names":false,"suffix":""}],"container-title":"Journal of Management Development","id":"ITEM-1","issue":"3","issued":{"date-parts":[["2012","3","16"]]},"page":"308-322","title":"Collaborative knowledge sharing strategy to enhance organizational learning","type":"article-journal","volume":"31"},"uris":["http://www.mendeley.com/documents/?uuid=15a8a49e-d251-4cca-b85e-032395ab5588"]}],"mendeley":{"formattedCitation":"(Kumaraswamy &amp; Chitale, 2012)","plainTextFormattedCitation":"(Kumaraswamy &amp; Chitale, 2012)","previouslyFormattedCitation":"(Kumaraswamy &amp; Chitale, 2012)"},"properties":{"noteIndex":0},"schema":"https://github.com/citation-style-language/schema/raw/master/csl-citation.json"}</w:instrText>
      </w:r>
      <w:r w:rsidR="008377FA" w:rsidRPr="001D5BB6">
        <w:rPr>
          <w:color w:val="000000" w:themeColor="text1"/>
        </w:rPr>
        <w:fldChar w:fldCharType="separate"/>
      </w:r>
      <w:r w:rsidR="008377FA" w:rsidRPr="001D5BB6">
        <w:rPr>
          <w:noProof/>
          <w:color w:val="000000" w:themeColor="text1"/>
        </w:rPr>
        <w:t>(Kumaraswamy &amp; Chitale, 2012)</w:t>
      </w:r>
      <w:r w:rsidR="008377FA" w:rsidRPr="001D5BB6">
        <w:rPr>
          <w:color w:val="000000" w:themeColor="text1"/>
        </w:rPr>
        <w:fldChar w:fldCharType="end"/>
      </w:r>
      <w:r w:rsidR="008377FA" w:rsidRPr="001D5BB6">
        <w:rPr>
          <w:color w:val="000000" w:themeColor="text1"/>
        </w:rPr>
        <w:t xml:space="preserve">. Knowledge and learning are related: knowledge can be considered as the content owned by the organization or its members, and learning as the process that is used to acquire the content </w:t>
      </w:r>
      <w:r w:rsidR="008377FA" w:rsidRPr="001D5BB6">
        <w:rPr>
          <w:color w:val="000000" w:themeColor="text1"/>
        </w:rPr>
        <w:fldChar w:fldCharType="begin" w:fldLock="1"/>
      </w:r>
      <w:r w:rsidR="007C79F2" w:rsidRPr="001D5BB6">
        <w:rPr>
          <w:color w:val="000000" w:themeColor="text1"/>
        </w:rPr>
        <w:instrText>ADDIN CSL_CITATION {"citationItems":[{"id":"ITEM-1","itemData":{"abstract":"Chapter 1","author":[{"dropping-particle":"","family":"Easterby-Smith","given":"Mark","non-dropping-particle":"","parse-names":false,"suffix":""},{"dropping-particle":"","family":"Lyles","given":"Marjorie A.","non-dropping-particle":"","parse-names":false,"suffix":""}],"container-title":"Handbook of organizational learning and knowledge management","editor":[{"dropping-particle":"","family":"Easterby-Smith","given":"Mark","non-dropping-particle":"","parse-names":false,"suffix":""}],"id":"ITEM-1","issued":{"date-parts":[["2015","9","12"]]},"page":"1-20","publisher":"John Wiley &amp; Sons","publisher-place":"Hoboken, NJ","title":"The evolving field of organizational learning and knowledge management","type":"chapter"},"uris":["http://www.mendeley.com/documents/?uuid=ec6b5e09-a661-4cc0-a19d-af7b42527b79"]}],"mendeley":{"formattedCitation":"(Easterby-Smith &amp; Lyles, 2015)","plainTextFormattedCitation":"(Easterby-Smith &amp; Lyles, 2015)","previouslyFormattedCitation":"(Easterby-Smith &amp; Lyles, 2015)"},"properties":{"noteIndex":0},"schema":"https://github.com/citation-style-language/schema/raw/master/csl-citation.json"}</w:instrText>
      </w:r>
      <w:r w:rsidR="008377FA" w:rsidRPr="001D5BB6">
        <w:rPr>
          <w:color w:val="000000" w:themeColor="text1"/>
        </w:rPr>
        <w:fldChar w:fldCharType="separate"/>
      </w:r>
      <w:r w:rsidR="0083144E" w:rsidRPr="001D5BB6">
        <w:rPr>
          <w:noProof/>
          <w:color w:val="000000" w:themeColor="text1"/>
        </w:rPr>
        <w:t>(Easterby-Smith &amp; Lyles, 2015)</w:t>
      </w:r>
      <w:r w:rsidR="008377FA" w:rsidRPr="001D5BB6">
        <w:rPr>
          <w:color w:val="000000" w:themeColor="text1"/>
        </w:rPr>
        <w:fldChar w:fldCharType="end"/>
      </w:r>
      <w:r w:rsidR="008377FA" w:rsidRPr="001D5BB6">
        <w:rPr>
          <w:color w:val="000000" w:themeColor="text1"/>
        </w:rPr>
        <w:t xml:space="preserve">. The outcomes of knowledge </w:t>
      </w:r>
      <w:r w:rsidR="00EA7FDD" w:rsidRPr="001D5BB6">
        <w:rPr>
          <w:color w:val="000000" w:themeColor="text1"/>
        </w:rPr>
        <w:t xml:space="preserve">management </w:t>
      </w:r>
      <w:r w:rsidR="008377FA" w:rsidRPr="001D5BB6">
        <w:rPr>
          <w:color w:val="000000" w:themeColor="text1"/>
        </w:rPr>
        <w:t xml:space="preserve">can be grouped into five </w:t>
      </w:r>
      <w:r w:rsidR="004E036F" w:rsidRPr="001D5BB6">
        <w:rPr>
          <w:color w:val="000000" w:themeColor="text1"/>
        </w:rPr>
        <w:t>categories</w:t>
      </w:r>
      <w:r w:rsidR="008377FA" w:rsidRPr="001D5BB6">
        <w:rPr>
          <w:color w:val="000000" w:themeColor="text1"/>
        </w:rPr>
        <w:t xml:space="preserve">: systematic knowledge </w:t>
      </w:r>
      <w:r w:rsidR="00EA7FDD" w:rsidRPr="001D5BB6">
        <w:rPr>
          <w:color w:val="000000" w:themeColor="text1"/>
        </w:rPr>
        <w:t>development</w:t>
      </w:r>
      <w:r w:rsidR="008377FA" w:rsidRPr="001D5BB6">
        <w:rPr>
          <w:color w:val="000000" w:themeColor="text1"/>
        </w:rPr>
        <w:t>, employee development, customer satisfaction, good external relationships</w:t>
      </w:r>
      <w:r w:rsidR="00054373" w:rsidRPr="001D5BB6">
        <w:rPr>
          <w:color w:val="000000" w:themeColor="text1"/>
        </w:rPr>
        <w:t>,</w:t>
      </w:r>
      <w:r w:rsidR="008377FA" w:rsidRPr="001D5BB6">
        <w:rPr>
          <w:color w:val="000000" w:themeColor="text1"/>
        </w:rPr>
        <w:t xml:space="preserve"> and organizational success </w:t>
      </w:r>
      <w:r w:rsidR="008377FA" w:rsidRPr="001D5BB6">
        <w:rPr>
          <w:color w:val="000000" w:themeColor="text1"/>
        </w:rPr>
        <w:fldChar w:fldCharType="begin" w:fldLock="1"/>
      </w:r>
      <w:r w:rsidR="007C79F2" w:rsidRPr="001D5BB6">
        <w:rPr>
          <w:color w:val="000000" w:themeColor="text1"/>
        </w:rPr>
        <w:instrText>ADDIN CSL_CITATION {"citationItems":[{"id":"ITEM-1","itemData":{"DOI":"10.1108/02635570610688850","ISSN":"0263-5577","abstract":"Criteria for measuring KM performance outcomes in organisations","author":[{"dropping-particle":"","family":"Choy","given":"Chong Siong","non-dropping-particle":"","parse-names":false,"suffix":""},{"dropping-particle":"","family":"Yew","given":"Wong Kuan","non-dropping-particle":"","parse-names":false,"suffix":""},{"dropping-particle":"","family":"Lin","given":"Binshan","non-dropping-particle":"","parse-names":false,"suffix":""}],"container-title":"Industrial Management and Data Systems","id":"ITEM-1","issue":"7","issued":{"date-parts":[["2006","8"]]},"page":"917-936","title":"Criteria for measuring KM performance outcomes in organisations","type":"article-journal","volume":"106"},"uris":["http://www.mendeley.com/documents/?uuid=7e3cc852-ba42-42df-973e-99abed53d35f"]}],"mendeley":{"formattedCitation":"(Choy, Yew, &amp; Lin, 2006)","plainTextFormattedCitation":"(Choy, Yew, &amp; Lin, 2006)","previouslyFormattedCitation":"(Choy, Yew, &amp; Lin, 2006)"},"properties":{"noteIndex":0},"schema":"https://github.com/citation-style-language/schema/raw/master/csl-citation.json"}</w:instrText>
      </w:r>
      <w:r w:rsidR="008377FA" w:rsidRPr="001D5BB6">
        <w:rPr>
          <w:color w:val="000000" w:themeColor="text1"/>
        </w:rPr>
        <w:fldChar w:fldCharType="separate"/>
      </w:r>
      <w:r w:rsidR="00E24626" w:rsidRPr="001D5BB6">
        <w:rPr>
          <w:noProof/>
          <w:color w:val="000000" w:themeColor="text1"/>
        </w:rPr>
        <w:t>(Choy, Yew, &amp; Lin, 2006)</w:t>
      </w:r>
      <w:r w:rsidR="008377FA" w:rsidRPr="001D5BB6">
        <w:rPr>
          <w:color w:val="000000" w:themeColor="text1"/>
        </w:rPr>
        <w:fldChar w:fldCharType="end"/>
      </w:r>
      <w:r w:rsidR="008377FA" w:rsidRPr="001D5BB6">
        <w:rPr>
          <w:color w:val="000000" w:themeColor="text1"/>
        </w:rPr>
        <w:t>.</w:t>
      </w:r>
    </w:p>
    <w:p w14:paraId="6060A868" w14:textId="7FF22292" w:rsidR="008377FA" w:rsidRPr="002A7627" w:rsidRDefault="008377FA" w:rsidP="0017121F">
      <w:pPr>
        <w:pStyle w:val="AAAAAAA"/>
      </w:pPr>
      <w:r w:rsidRPr="001D5BB6">
        <w:rPr>
          <w:color w:val="000000" w:themeColor="text1"/>
        </w:rPr>
        <w:t xml:space="preserve">Since the mid-1990s, knowledge management has been transformed from an emergent concept to a common function of organizations, and an increasing number of journals are devoted to the subject </w:t>
      </w:r>
      <w:r w:rsidRPr="001D5BB6">
        <w:rPr>
          <w:color w:val="000000" w:themeColor="text1"/>
        </w:rPr>
        <w:fldChar w:fldCharType="begin" w:fldLock="1"/>
      </w:r>
      <w:r w:rsidR="00E24626" w:rsidRPr="001D5BB6">
        <w:rPr>
          <w:color w:val="000000" w:themeColor="text1"/>
        </w:rPr>
        <w:instrText>ADDIN CSL_CITATION {"citationItems":[{"id":"ITEM-1","itemData":{"DOI":"10.1109/HICSS.2006.242","ISBN":"0-7695-2507-5","author":[{"dropping-particle":"","family":"McKeen","given":"J.D.","non-dropping-particle":"","parse-names":false,"suffix":""},{"dropping-particle":"","family":"Zack","given":"M.H.","non-dropping-particle":"","parse-names":false,"suffix":""},{"dropping-particle":"","family":"Singh","given":"S.","non-dropping-particle":"","parse-names":false,"suffix":""}],"container-title":"Proceedings of the 39th Annual Hawaii International Conference on System Sciences","id":"ITEM-1","issued":{"date-parts":[["2006"]]},"page":"152b-152b","publisher":"IEEE","publisher-place":"Hawaii","title":"Knowledge management and organizational performance: An exploratory survey","type":"paper-conference"},"uris":["http://www.mendeley.com/documents/?uuid=44b985dc-d102-3b0a-bdf6-51f270583fca"]}],"mendeley":{"formattedCitation":"(McKeen, Zack, &amp; Singh, 2006)","plainTextFormattedCitation":"(McKeen, Zack, &amp; Singh, 2006)","previouslyFormattedCitation":"(McKeen, Zack, &amp; Singh, 2006)"},"properties":{"noteIndex":0},"schema":"https://github.com/citation-style-language/schema/raw/master/csl-citation.json"}</w:instrText>
      </w:r>
      <w:r w:rsidRPr="001D5BB6">
        <w:rPr>
          <w:color w:val="000000" w:themeColor="text1"/>
        </w:rPr>
        <w:fldChar w:fldCharType="separate"/>
      </w:r>
      <w:r w:rsidRPr="001D5BB6">
        <w:rPr>
          <w:noProof/>
          <w:color w:val="000000" w:themeColor="text1"/>
        </w:rPr>
        <w:t>(McKeen, Zack, &amp; Singh, 2006)</w:t>
      </w:r>
      <w:r w:rsidRPr="001D5BB6">
        <w:rPr>
          <w:color w:val="000000" w:themeColor="text1"/>
        </w:rPr>
        <w:fldChar w:fldCharType="end"/>
      </w:r>
      <w:r w:rsidRPr="002A7627">
        <w:t xml:space="preserve">. </w:t>
      </w:r>
      <w:r w:rsidRPr="001D5BB6">
        <w:rPr>
          <w:color w:val="000000" w:themeColor="text1"/>
        </w:rPr>
        <w:t xml:space="preserve">Many organizations have started initiatives to promote knowledge management. </w:t>
      </w:r>
      <w:r w:rsidRPr="001D5BB6">
        <w:rPr>
          <w:color w:val="000000" w:themeColor="text1"/>
        </w:rPr>
        <w:lastRenderedPageBreak/>
        <w:t xml:space="preserve">However, a qualitative study in two IT organizations in Malaysia showed that not all of these initiatives are successful, and the expected benefits of knowledge management are often not achieved </w:t>
      </w:r>
      <w:r w:rsidRPr="001D5BB6">
        <w:rPr>
          <w:color w:val="000000" w:themeColor="text1"/>
        </w:rPr>
        <w:fldChar w:fldCharType="begin" w:fldLock="1"/>
      </w:r>
      <w:r w:rsidR="007C79F2" w:rsidRPr="001D5BB6">
        <w:rPr>
          <w:color w:val="000000" w:themeColor="text1"/>
        </w:rPr>
        <w:instrText>ADDIN CSL_CITATION {"citationItems":[{"id":"ITEM-1","itemData":{"DOI":"10.1108/02635570610688850","ISSN":"0263-5577","abstract":"Criteria for measuring KM performance outcomes in organisations","author":[{"dropping-particle":"","family":"Choy","given":"Chong Siong","non-dropping-particle":"","parse-names":false,"suffix":""},{"dropping-particle":"","family":"Yew","given":"Wong Kuan","non-dropping-particle":"","parse-names":false,"suffix":""},{"dropping-particle":"","family":"Lin","given":"Binshan","non-dropping-particle":"","parse-names":false,"suffix":""}],"container-title":"Industrial Management and Data Systems","id":"ITEM-1","issue":"7","issued":{"date-parts":[["2006","8"]]},"page":"917-936","title":"Criteria for measuring KM performance outcomes in organisations","type":"article-journal","volume":"106"},"uris":["http://www.mendeley.com/documents/?uuid=7e3cc852-ba42-42df-973e-99abed53d35f"]}],"mendeley":{"formattedCitation":"(Choy et al., 2006)","plainTextFormattedCitation":"(Choy et al., 2006)","previouslyFormattedCitation":"(Choy et al., 2006)"},"properties":{"noteIndex":0},"schema":"https://github.com/citation-style-language/schema/raw/master/csl-citation.json"}</w:instrText>
      </w:r>
      <w:r w:rsidRPr="001D5BB6">
        <w:rPr>
          <w:color w:val="000000" w:themeColor="text1"/>
        </w:rPr>
        <w:fldChar w:fldCharType="separate"/>
      </w:r>
      <w:r w:rsidR="00E24626" w:rsidRPr="001D5BB6">
        <w:rPr>
          <w:noProof/>
          <w:color w:val="000000" w:themeColor="text1"/>
        </w:rPr>
        <w:t>(Choy et al., 2006)</w:t>
      </w:r>
      <w:r w:rsidRPr="001D5BB6">
        <w:rPr>
          <w:color w:val="000000" w:themeColor="text1"/>
        </w:rPr>
        <w:fldChar w:fldCharType="end"/>
      </w:r>
      <w:r w:rsidRPr="001D5BB6">
        <w:rPr>
          <w:color w:val="000000" w:themeColor="text1"/>
        </w:rPr>
        <w:t xml:space="preserve">. One major barrier </w:t>
      </w:r>
      <w:r w:rsidR="00276A4D" w:rsidRPr="001D5BB6">
        <w:rPr>
          <w:color w:val="000000" w:themeColor="text1"/>
        </w:rPr>
        <w:t>that discourage</w:t>
      </w:r>
      <w:r w:rsidR="00C06AA1" w:rsidRPr="001D5BB6">
        <w:rPr>
          <w:color w:val="000000" w:themeColor="text1"/>
        </w:rPr>
        <w:t>s</w:t>
      </w:r>
      <w:r w:rsidR="00276A4D" w:rsidRPr="001D5BB6">
        <w:rPr>
          <w:color w:val="000000" w:themeColor="text1"/>
        </w:rPr>
        <w:t xml:space="preserve"> organization</w:t>
      </w:r>
      <w:r w:rsidR="00C06AA1" w:rsidRPr="001D5BB6">
        <w:rPr>
          <w:color w:val="000000" w:themeColor="text1"/>
        </w:rPr>
        <w:t>s</w:t>
      </w:r>
      <w:r w:rsidR="00276A4D" w:rsidRPr="001D5BB6">
        <w:rPr>
          <w:color w:val="000000" w:themeColor="text1"/>
        </w:rPr>
        <w:t xml:space="preserve"> from investing</w:t>
      </w:r>
      <w:r w:rsidRPr="001D5BB6">
        <w:rPr>
          <w:color w:val="000000" w:themeColor="text1"/>
        </w:rPr>
        <w:t xml:space="preserve"> in knowledge management is </w:t>
      </w:r>
      <w:r w:rsidR="000A42A1" w:rsidRPr="001D5BB6">
        <w:rPr>
          <w:color w:val="000000" w:themeColor="text1"/>
        </w:rPr>
        <w:t xml:space="preserve">the </w:t>
      </w:r>
      <w:r w:rsidRPr="001D5BB6">
        <w:rPr>
          <w:color w:val="000000" w:themeColor="text1"/>
        </w:rPr>
        <w:t xml:space="preserve">lack of adequate </w:t>
      </w:r>
      <w:r w:rsidR="00C06AA1" w:rsidRPr="001D5BB6">
        <w:rPr>
          <w:color w:val="000000" w:themeColor="text1"/>
        </w:rPr>
        <w:t xml:space="preserve">outcome </w:t>
      </w:r>
      <w:r w:rsidRPr="001D5BB6">
        <w:rPr>
          <w:color w:val="000000" w:themeColor="text1"/>
        </w:rPr>
        <w:t xml:space="preserve">measures </w:t>
      </w:r>
      <w:r w:rsidRPr="001D5BB6">
        <w:rPr>
          <w:color w:val="000000" w:themeColor="text1"/>
        </w:rPr>
        <w:fldChar w:fldCharType="begin" w:fldLock="1"/>
      </w:r>
      <w:r w:rsidR="004C27D4" w:rsidRPr="001D5BB6">
        <w:rPr>
          <w:color w:val="000000" w:themeColor="text1"/>
        </w:rPr>
        <w:instrText>ADDIN CSL_CITATION {"citationItems":[{"id":"ITEM-1","itemData":{"DOI":"10.1108/13673270910997088","ISSN":"1367-3270","abstract":"Purpose – The purpose of this paper is to report the results of an exploratory investigation of the organizational impact of knowledge management (KM).Design/methodology/approach – A search of the literature revealed 12 KM practices whose performance impact was assessed via a survey of business organizations.Findings – KM practices were found to be directly related to organizational performance which, in turn, was directly related to financial performance. There was no direct relationship found between KM practices and financial performance. A different set of KM practices was associated with each value discipline (i.e. customer intimacy, product development and operational excellence). A gap exists between the KM practices that firms believe to be important and those that were directly related to organizational performance.Research limitations/implications – The majority of the research constructs were formative, thus improving the measurement of KM practices will prove vital for validating and extending...","author":[{"dropping-particle":"","family":"Zack","given":"Michael H.","non-dropping-particle":"","parse-names":false,"suffix":""},{"dropping-particle":"","family":"McKeen","given":"James","non-dropping-particle":"","parse-names":false,"suffix":""},{"dropping-particle":"","family":"Singh","given":"Satyendra","non-dropping-particle":"","parse-names":false,"suffix":""}],"container-title":"Journal of Knowledge Management","id":"ITEM-1","issue":"6","issued":{"date-parts":[["2009","10","23"]]},"page":"392-409","publisher":"Emerald Group Publishing Limited","title":"Knowledge management and organizational performance: An exploratory analysis","type":"article-journal","volume":"13"},"uris":["http://www.mendeley.com/documents/?uuid=dc7dcbdd-0da7-3bc8-8590-8593ae317e9d"]}],"mendeley":{"formattedCitation":"(Zack, McKeen, &amp; Singh, 2009)","plainTextFormattedCitation":"(Zack, McKeen, &amp; Singh, 2009)","previouslyFormattedCitation":"(Zack, McKeen, &amp; Singh, 2009)"},"properties":{"noteIndex":0},"schema":"https://github.com/citation-style-language/schema/raw/master/csl-citation.json"}</w:instrText>
      </w:r>
      <w:r w:rsidRPr="001D5BB6">
        <w:rPr>
          <w:color w:val="000000" w:themeColor="text1"/>
        </w:rPr>
        <w:fldChar w:fldCharType="separate"/>
      </w:r>
      <w:r w:rsidR="00E24626" w:rsidRPr="001D5BB6">
        <w:rPr>
          <w:noProof/>
          <w:color w:val="000000" w:themeColor="text1"/>
        </w:rPr>
        <w:t>(Zack, McKeen, &amp; Singh, 2009)</w:t>
      </w:r>
      <w:r w:rsidRPr="001D5BB6">
        <w:rPr>
          <w:color w:val="000000" w:themeColor="text1"/>
        </w:rPr>
        <w:fldChar w:fldCharType="end"/>
      </w:r>
      <w:r w:rsidRPr="001D5BB6">
        <w:rPr>
          <w:color w:val="000000" w:themeColor="text1"/>
        </w:rPr>
        <w:t>. It is</w:t>
      </w:r>
      <w:r w:rsidR="00054373" w:rsidRPr="001D5BB6">
        <w:rPr>
          <w:color w:val="000000" w:themeColor="text1"/>
        </w:rPr>
        <w:t xml:space="preserve"> therefore</w:t>
      </w:r>
      <w:r w:rsidRPr="001D5BB6">
        <w:rPr>
          <w:color w:val="000000" w:themeColor="text1"/>
        </w:rPr>
        <w:t xml:space="preserve"> crucial to </w:t>
      </w:r>
      <w:r w:rsidR="00276A4D" w:rsidRPr="001D5BB6">
        <w:rPr>
          <w:color w:val="000000" w:themeColor="text1"/>
        </w:rPr>
        <w:t xml:space="preserve">understand </w:t>
      </w:r>
      <w:r w:rsidR="00C06AA1" w:rsidRPr="001D5BB6">
        <w:rPr>
          <w:color w:val="000000" w:themeColor="text1"/>
        </w:rPr>
        <w:t xml:space="preserve">more fully the measures and benefits of </w:t>
      </w:r>
      <w:r w:rsidRPr="001D5BB6">
        <w:rPr>
          <w:color w:val="000000" w:themeColor="text1"/>
        </w:rPr>
        <w:t xml:space="preserve">knowledge management </w:t>
      </w:r>
      <w:r w:rsidRPr="001D5BB6">
        <w:rPr>
          <w:color w:val="000000" w:themeColor="text1"/>
        </w:rPr>
        <w:fldChar w:fldCharType="begin" w:fldLock="1"/>
      </w:r>
      <w:r w:rsidRPr="001D5BB6">
        <w:rPr>
          <w:color w:val="000000" w:themeColor="text1"/>
        </w:rPr>
        <w:instrText>ADDIN CSL_CITATION {"citationItems":[{"id":"ITEM-1","itemData":{"DOI":"10.1108/13673270610679345","ISBN":"1367-3270","ISSN":"1367-3270","PMID":"230309068","abstract":"Purpose - This study aims to identify a set of criteria to assess the effectiveness of knowledge management (KM) and to understand how these criteria inter-relate with one another. From a research and practitioner's perspective, the study seeks to study how to expand these criteria to develop measures. Design/methodology/approach - The research methodology is based on literature review to determine a list of KM outcomes followed by the Delphi technique and survey questionnaire methods. The findings of the Delphi were used to supplement literature review findings. Both these results were used to develop the survey questionnaire. Survey-based research, which used a questionnaire targeting knowledge management professionals as respondents, was aimed at establishing criteria for assessing knowledge management success. Findings - Using the criteria based on survey results, a computer-assisted model is used to understand the shared underlying organizational framework in which KM operates and to identify how these criteria were linked. These relations should be explored and utilized to improve organizational performance. Research limitations/implications - Some of the limitations of this original research are limited number of experts participating in the study. Also, about 48 percent of the survey respondents represent for-profit organizations and thus, research results may be biased towards for-profit organizations. Future research should focus on translating the soft measures of knowledge management into detailed metrics. Originality/value - This is an academic research paper providing information on the underlying relations among KM outcomes. [PUBLICATION ABSTRACT]","author":[{"dropping-particle":"","family":"Anantatmula","given":"Vittal S.","non-dropping-particle":"","parse-names":false,"suffix":""},{"dropping-particle":"","family":"Kanungo","given":"Shivraj","non-dropping-particle":"","parse-names":false,"suffix":""}],"container-title":"Journal of Knowledge Management","id":"ITEM-1","issue":"4","issued":{"date-parts":[["2006"]]},"page":"25-42","title":"Structuring the underlying relations among the knowledge management outcomes","type":"article-journal","volume":"10"},"uris":["http://www.mendeley.com/documents/?uuid=050c029e-4cdc-43be-a3db-8042aea2fc27"]},{"id":"ITEM-2","itemData":{"DOI":"10.1108/03055720710759928","ISBN":"1367327091","ISSN":"0305-5728","abstract":"Purpose – The paper seeks to identify attributes of KM effectiveness and establish their relation with business results. The research premise is that KM outcomes are difficult to measure but their contributions to organizational performance can be assessed. Design/methodology/approach – The research paper has addressed the following questions: what are the key attributes of KM effectiveness? How can management use these key attributes to leverage knowledge assets for improved organizational performance? A literature review was used to identify the attributes of KM effectiveness. Then KM professionals and practitioners were invited to participate and respond to a survey-based questionnaire to establish important attributes of KM effectiveness. Interpretive structural modeling (ISM) was used to develop and determine the underlying relations among these key attributes. Findings – Leadership is the main driver for successful KM implementation. KM leadership is primarily responsible for supporting and sustaining a learning environment in organizations. Aligning KM initiatives with the strategic plan of organizations would direct KM efforts toward improved organizational performance such as customer satisfaction and business growth. KM initiatives promote customer satisfaction through better product or service quality. In turn, these outcomes promote new products and services, and increased revenue. Research limitations/implications – As KM practitioners and professionals have participated in this study, these results are limited to the KM discipline only. As the majority of the respondents are from for-profit organizations, the results may be biased towards for-profit organizations. The research findings and conclusions must be seen in the context of the profiles of the respondents and organizations they represent. Future research should focus on exploring how these attributes vary with respect to demographics and type of organization. Further research efforts should include more types of organizations from wider geographical regions. Practical implications – KM effectiveness can lead to improvements in performance such as customer satisfaction through better product or service quality. KM efforts can be directed to develop new product or service developments, and increased revenues. Originality/value – The research effort is an attempt to capture the mental model for successful KM implementation. The study is useful for KM professionals in developing and im…","author":[{"dropping-particle":"","family":"Anantatmula","given":"Vittal S.","non-dropping-particle":"","parse-names":false,"suffix":""}],"container-title":"Vine","id":"ITEM-2","issue":"2","issued":{"date-parts":[["2007"]]},"page":"133-149","title":"Linking KM effectiveness attributes to organizational performance","type":"article-journal","volume":"37"},"uris":["http://www.mendeley.com/documents/?uuid=267e0d0f-a05e-4b5d-9f99-9e05a5cdc5a4"]},{"id":"ITEM-3","itemData":{"DOI":"10.1108/JKM-05-2015-0166","ISBN":"1220140538","ISSN":"1367-3270","abstract":"Purpose – The paper aims to foster a better understanding of knowledge management (KM) benefits by integrating the qualitative findings of prior research under a multilayer conceptual framework. Design/methodology/approach – A meta-synthesis approach was conducted by adopting “Noblit and Hare’s” seven-step method. Findings – A breakdown structure for KM benefits which encompasses 3 “macro benefits” at Level 1, 7 “benefits” at Level 2 and 44 “micro benefits” at Level 3. Research limitations/implications – The main limitation is that this research does not provide criteria and measures to assess the benefits of KM. Practical implications – Organizations which intend to invest in KM can obtain a better insight about outcomes and benefits of implementingKMinitiatives. This study will provide those organizations which have already invested in KM with some ideas to evaluate their KM efforts qualitatively. Originality/value – Based on available data, this study is the first of its kind that has identified the benefits ofKMin three layers. Also, the number ofKMbenefits identified in this study is greater than that of any previous research.","author":[{"dropping-particle":"","family":"Yahyapour","given":"Shiva","non-dropping-particle":"","parse-names":false,"suffix":""},{"dropping-particle":"","family":"Shamizanjani","given":"Mehdi","non-dropping-particle":"","parse-names":false,"suffix":""},{"dropping-particle":"","family":"Mosakhani","given":"Mohammad","non-dropping-particle":"","parse-names":false,"suffix":""}],"container-title":"Journal of Knowledge Management","id":"ITEM-3","issue":"6","issued":{"date-parts":[["2015","10","12"]]},"page":"1295-1309","title":"A conceptual breakdown structure for knowledge management benefits using meta-synthesis method","type":"article-journal","volume":"19"},"uris":["http://www.mendeley.com/documents/?uuid=534d5029-a59c-4eb7-b595-6e3265aca0b8"]}],"mendeley":{"formattedCitation":"(Anantatmula, 2007; Anantatmula &amp; Kanungo, 2006; Yahyapour, Shamizanjani, &amp; Mosakhani, 2015)","plainTextFormattedCitation":"(Anantatmula, 2007; Anantatmula &amp; Kanungo, 2006; Yahyapour, Shamizanjani, &amp; Mosakhani, 2015)","previouslyFormattedCitation":"(Anantatmula, 2007; Anantatmula &amp; Kanungo, 2006; Yahyapour, Shamizanjani, &amp; Mosakhani, 2015)"},"properties":{"noteIndex":0},"schema":"https://github.com/citation-style-language/schema/raw/master/csl-citation.json"}</w:instrText>
      </w:r>
      <w:r w:rsidRPr="001D5BB6">
        <w:rPr>
          <w:color w:val="000000" w:themeColor="text1"/>
        </w:rPr>
        <w:fldChar w:fldCharType="separate"/>
      </w:r>
      <w:r w:rsidRPr="001D5BB6">
        <w:rPr>
          <w:noProof/>
          <w:color w:val="000000" w:themeColor="text1"/>
        </w:rPr>
        <w:t>(Anantatmula, 2007; Anantatmula &amp; Kanungo, 2006; Yahyapour, Shamizanjani, &amp; Mosakhani, 2015)</w:t>
      </w:r>
      <w:r w:rsidRPr="001D5BB6">
        <w:rPr>
          <w:color w:val="000000" w:themeColor="text1"/>
        </w:rPr>
        <w:fldChar w:fldCharType="end"/>
      </w:r>
      <w:r w:rsidRPr="002A7627">
        <w:t xml:space="preserve">. </w:t>
      </w:r>
    </w:p>
    <w:p w14:paraId="0F06C79B" w14:textId="1B333B9D" w:rsidR="008377FA" w:rsidRPr="001D5BB6" w:rsidRDefault="0070671C" w:rsidP="00690CD5">
      <w:pPr>
        <w:pStyle w:val="AAAAAAA"/>
        <w:rPr>
          <w:color w:val="000000" w:themeColor="text1"/>
        </w:rPr>
      </w:pPr>
      <w:bookmarkStart w:id="29" w:name="_Toc11533397"/>
      <w:bookmarkStart w:id="30" w:name="_Toc11533504"/>
      <w:bookmarkStart w:id="31" w:name="_Toc13959611"/>
      <w:bookmarkStart w:id="32" w:name="_Toc22331636"/>
      <w:r>
        <w:rPr>
          <w:rStyle w:val="Heading2Char"/>
          <w:color w:val="000000"/>
          <w:u w:val="none"/>
        </w:rPr>
        <w:t xml:space="preserve">1.1.2. </w:t>
      </w:r>
      <w:r w:rsidR="008377FA" w:rsidRPr="002A7627">
        <w:rPr>
          <w:rStyle w:val="Heading2Char"/>
          <w:color w:val="000000"/>
          <w:u w:val="none"/>
        </w:rPr>
        <w:t>Knowledge management benefits</w:t>
      </w:r>
      <w:bookmarkEnd w:id="29"/>
      <w:bookmarkEnd w:id="30"/>
      <w:bookmarkEnd w:id="31"/>
      <w:r w:rsidR="00690CD5" w:rsidRPr="002A7627">
        <w:rPr>
          <w:rStyle w:val="Heading2Char"/>
          <w:color w:val="000000"/>
          <w:u w:val="none"/>
        </w:rPr>
        <w:t>.</w:t>
      </w:r>
      <w:bookmarkEnd w:id="32"/>
      <w:r w:rsidR="00690CD5" w:rsidRPr="002A7627">
        <w:t xml:space="preserve"> </w:t>
      </w:r>
      <w:r w:rsidR="008377FA" w:rsidRPr="001D5BB6">
        <w:rPr>
          <w:color w:val="000000" w:themeColor="text1"/>
        </w:rPr>
        <w:t xml:space="preserve">Benefits can be defined as positive outcomes of change </w:t>
      </w:r>
      <w:r w:rsidR="008377FA" w:rsidRPr="001D5BB6">
        <w:rPr>
          <w:color w:val="000000" w:themeColor="text1"/>
        </w:rPr>
        <w:fldChar w:fldCharType="begin" w:fldLock="1"/>
      </w:r>
      <w:r w:rsidR="008377FA" w:rsidRPr="001D5BB6">
        <w:rPr>
          <w:color w:val="000000" w:themeColor="text1"/>
        </w:rPr>
        <w:instrText>ADDIN CSL_CITATION {"citationItems":[{"id":"ITEM-1","itemData":{"ISBN":"1409400948","ISSN":"1098-6596","PMID":"25246403","abstract":"The first edition of Gerald Bradley's Benefit Realisation Management quickly established itself as the definitive, practical guide to using measures to track performance throughout the life of a project or programme; enabling organisations to eliminate wasted investment, realise more benefits and realise them earlier.The second edition takes you step-by-step through the benefits realisation process, explaining along the way, how to:</w:instrText>
      </w:r>
      <w:r w:rsidR="008377FA" w:rsidRPr="001D5BB6">
        <w:rPr>
          <w:rFonts w:ascii="Cambria Math" w:hAnsi="Cambria Math" w:cs="Cambria Math"/>
          <w:color w:val="000000" w:themeColor="text1"/>
        </w:rPr>
        <w:instrText>∗</w:instrText>
      </w:r>
      <w:r w:rsidR="008377FA" w:rsidRPr="001D5BB6">
        <w:rPr>
          <w:color w:val="000000" w:themeColor="text1"/>
        </w:rPr>
        <w:instrText xml:space="preserve"> define your projects and programmes by mapping the benefits</w:instrText>
      </w:r>
      <w:r w:rsidR="008377FA" w:rsidRPr="001D5BB6">
        <w:rPr>
          <w:rFonts w:ascii="Cambria Math" w:hAnsi="Cambria Math" w:cs="Cambria Math"/>
          <w:color w:val="000000" w:themeColor="text1"/>
        </w:rPr>
        <w:instrText>∗</w:instrText>
      </w:r>
      <w:r w:rsidR="008377FA" w:rsidRPr="001D5BB6">
        <w:rPr>
          <w:color w:val="000000" w:themeColor="text1"/>
        </w:rPr>
        <w:instrText xml:space="preserve"> produce a convincing and accurate business case</w:instrText>
      </w:r>
      <w:r w:rsidR="008377FA" w:rsidRPr="001D5BB6">
        <w:rPr>
          <w:rFonts w:ascii="Cambria Math" w:hAnsi="Cambria Math" w:cs="Cambria Math"/>
          <w:color w:val="000000" w:themeColor="text1"/>
        </w:rPr>
        <w:instrText>∗</w:instrText>
      </w:r>
      <w:r w:rsidR="008377FA" w:rsidRPr="001D5BB6">
        <w:rPr>
          <w:color w:val="000000" w:themeColor="text1"/>
        </w:rPr>
        <w:instrText xml:space="preserve"> communicate the benefits and get all your stakeholders on board</w:instrText>
      </w:r>
      <w:r w:rsidR="008377FA" w:rsidRPr="001D5BB6">
        <w:rPr>
          <w:rFonts w:ascii="Cambria Math" w:hAnsi="Cambria Math" w:cs="Cambria Math"/>
          <w:color w:val="000000" w:themeColor="text1"/>
        </w:rPr>
        <w:instrText>∗</w:instrText>
      </w:r>
      <w:r w:rsidR="008377FA" w:rsidRPr="001D5BB6">
        <w:rPr>
          <w:color w:val="000000" w:themeColor="text1"/>
        </w:rPr>
        <w:instrText xml:space="preserve"> agree the measures you will use to encourage the desired behaviours, to monitor progress and to assess the ultimate success of the project or programme</w:instrText>
      </w:r>
      <w:r w:rsidR="008377FA" w:rsidRPr="001D5BB6">
        <w:rPr>
          <w:rFonts w:ascii="Cambria Math" w:hAnsi="Cambria Math" w:cs="Cambria Math"/>
          <w:color w:val="000000" w:themeColor="text1"/>
        </w:rPr>
        <w:instrText>∗</w:instrText>
      </w:r>
      <w:r w:rsidR="008377FA" w:rsidRPr="001D5BB6">
        <w:rPr>
          <w:color w:val="000000" w:themeColor="text1"/>
        </w:rPr>
        <w:instrText xml:space="preserve"> use the benefits realisation approach to understand and address the human aspects of the project, including resistance to change, training needs and new ways of working</w:instrText>
      </w:r>
      <w:r w:rsidR="008377FA" w:rsidRPr="001D5BB6">
        <w:rPr>
          <w:rFonts w:ascii="Cambria Math" w:hAnsi="Cambria Math" w:cs="Cambria Math"/>
          <w:color w:val="000000" w:themeColor="text1"/>
        </w:rPr>
        <w:instrText>∗</w:instrText>
      </w:r>
      <w:r w:rsidR="008377FA" w:rsidRPr="001D5BB6">
        <w:rPr>
          <w:color w:val="000000" w:themeColor="text1"/>
        </w:rPr>
        <w:instrText xml:space="preserve"> integrate this approach into your organisation's culture and systemsThe second edition includes expanded guidance on benefits realisation for portfolio management and includes revisions to the original text along with additional case study examples. The text of the latest edition is now printed in four-colour which make the detailed and varied benefit maps throughout the text immediately more striking and comprehensible.The benefits realisation management methodology fits closely with existing programme and project management approaches such as MSP and Prince 2, making it appropriate for both public and private sector environments. If you are investing heavily in change management, IT infrastructure or project working, then this book is a must-read that will justify its price many times over.","author":[{"dropping-particle":"","family":"Bradley","given":"Gerald","non-dropping-particle":"","parse-names":false,"suffix":""}],"edition":"2nd","id":"ITEM-1","issued":{"date-parts":[["2010"]]},"publisher":"Routledge","publisher-place":"London, UK","title":"Benefit realisation management : A practical guide to achieving benefits through change","type":"book"},"uris":["http://www.mendeley.com/documents/?uuid=fd42fb18-6d62-470f-9082-302abbb2232a"]}],"mendeley":{"formattedCitation":"(Bradley, 2010)","plainTextFormattedCitation":"(Bradley, 2010)","previouslyFormattedCitation":"(Bradley, 2010)"},"properties":{"noteIndex":0},"schema":"https://github.com/citation-style-language/schema/raw/master/csl-citation.json"}</w:instrText>
      </w:r>
      <w:r w:rsidR="008377FA" w:rsidRPr="001D5BB6">
        <w:rPr>
          <w:color w:val="000000" w:themeColor="text1"/>
        </w:rPr>
        <w:fldChar w:fldCharType="separate"/>
      </w:r>
      <w:r w:rsidR="008377FA" w:rsidRPr="001D5BB6">
        <w:rPr>
          <w:noProof/>
          <w:color w:val="000000" w:themeColor="text1"/>
        </w:rPr>
        <w:t>(Bradley, 2010)</w:t>
      </w:r>
      <w:r w:rsidR="008377FA" w:rsidRPr="001D5BB6">
        <w:rPr>
          <w:color w:val="000000" w:themeColor="text1"/>
        </w:rPr>
        <w:fldChar w:fldCharType="end"/>
      </w:r>
      <w:r w:rsidR="008377FA" w:rsidRPr="001D5BB6">
        <w:rPr>
          <w:color w:val="000000" w:themeColor="text1"/>
        </w:rPr>
        <w:t xml:space="preserve">, or advantages to stakeholders </w:t>
      </w:r>
      <w:r w:rsidR="008377FA" w:rsidRPr="001D5BB6">
        <w:rPr>
          <w:color w:val="000000" w:themeColor="text1"/>
        </w:rPr>
        <w:fldChar w:fldCharType="begin" w:fldLock="1"/>
      </w:r>
      <w:r w:rsidR="008377FA" w:rsidRPr="001D5BB6">
        <w:rPr>
          <w:color w:val="000000" w:themeColor="text1"/>
        </w:rPr>
        <w:instrText>ADDIN CSL_CITATION {"citationItems":[{"id":"ITEM-1","itemData":{"ISBN":"1118381602","abstract":"2nd ed. Revised edition of: Benefits management : delivering value from IS &amp; IT investments. c2006. The second edition of Benefits Management has been updated with current examples, further insights from experience and recent research. It shows how the enduring challenges achieving business value from information systems and technology projects can be addressed successfully. The approach, which is synthesized from best practices, sound theories and proven techniques from a range of management disciplines, is exemplified from the authors' extensive experience of working with a wide range of organizations. The book includes examples from a wide variety of projects including non-IT projects. Th. Chapter 1. The challenge of IS/IT projects -- Chapter 2. Understanding the strategic context -- Chapter 3. The foundations of benefits management -- Chapter 4. Establishing the why, what, and how -- Chapter 5. Building the business case -- Chapter 6. Stakeholder and change management -- Chapter 7. -- Implementing a benefits management approach -- Chapter 8. The importance of context -- Chapter 9. From projects to programmes to portfolios -- Chapter 10. Creating a better future -- Glossary -- References -- Index.","author":[{"dropping-particle":"","family":"Ward","given":"John","non-dropping-particle":"","parse-names":false,"suffix":""},{"dropping-particle":"","family":"Daniel","given":"Elizabeth","non-dropping-particle":"","parse-names":false,"suffix":""}],"id":"ITEM-1","issued":{"date-parts":[["2012"]]},"number-of-pages":"346","publisher":"Wiley","publisher-place":"London, UK","title":"Benefits management : How to increase the business value of your IT projects","type":"book"},"uris":["http://www.mendeley.com/documents/?uuid=bee1489b-84af-3ea7-be62-df0008916e65"]}],"mendeley":{"formattedCitation":"(Ward &amp; Daniel, 2012)","plainTextFormattedCitation":"(Ward &amp; Daniel, 2012)","previouslyFormattedCitation":"(Ward &amp; Daniel, 2012)"},"properties":{"noteIndex":0},"schema":"https://github.com/citation-style-language/schema/raw/master/csl-citation.json"}</w:instrText>
      </w:r>
      <w:r w:rsidR="008377FA" w:rsidRPr="001D5BB6">
        <w:rPr>
          <w:color w:val="000000" w:themeColor="text1"/>
        </w:rPr>
        <w:fldChar w:fldCharType="separate"/>
      </w:r>
      <w:r w:rsidR="008377FA" w:rsidRPr="001D5BB6">
        <w:rPr>
          <w:noProof/>
          <w:color w:val="000000" w:themeColor="text1"/>
        </w:rPr>
        <w:t>(Ward &amp; Daniel, 2012)</w:t>
      </w:r>
      <w:r w:rsidR="008377FA" w:rsidRPr="001D5BB6">
        <w:rPr>
          <w:color w:val="000000" w:themeColor="text1"/>
        </w:rPr>
        <w:fldChar w:fldCharType="end"/>
      </w:r>
      <w:r w:rsidR="008377FA" w:rsidRPr="001D5BB6">
        <w:rPr>
          <w:color w:val="000000" w:themeColor="text1"/>
        </w:rPr>
        <w:t>. The importance of this definition is that benefits could be owned by individuals or groups who get the return o</w:t>
      </w:r>
      <w:r w:rsidR="00EA7FDD" w:rsidRPr="001D5BB6">
        <w:rPr>
          <w:color w:val="000000" w:themeColor="text1"/>
        </w:rPr>
        <w:t>n</w:t>
      </w:r>
      <w:r w:rsidR="008377FA" w:rsidRPr="001D5BB6">
        <w:rPr>
          <w:color w:val="000000" w:themeColor="text1"/>
        </w:rPr>
        <w:t xml:space="preserve"> investment and</w:t>
      </w:r>
      <w:r w:rsidR="00EA7FDD" w:rsidRPr="001D5BB6">
        <w:rPr>
          <w:color w:val="000000" w:themeColor="text1"/>
        </w:rPr>
        <w:t xml:space="preserve"> a benefit of knowledge management is</w:t>
      </w:r>
      <w:r w:rsidR="008377FA" w:rsidRPr="001D5BB6">
        <w:rPr>
          <w:color w:val="000000" w:themeColor="text1"/>
        </w:rPr>
        <w:t xml:space="preserve"> therefore any business value achieved by leveraging knowledge. </w:t>
      </w:r>
      <w:r w:rsidR="00276A4D" w:rsidRPr="001D5BB6">
        <w:rPr>
          <w:color w:val="000000" w:themeColor="text1"/>
        </w:rPr>
        <w:t>Measuring the benefits</w:t>
      </w:r>
      <w:r w:rsidR="008377FA" w:rsidRPr="001D5BB6">
        <w:rPr>
          <w:color w:val="000000" w:themeColor="text1"/>
        </w:rPr>
        <w:t xml:space="preserve"> of knowledge management can be considered as one stage </w:t>
      </w:r>
      <w:r w:rsidR="00C06AA1" w:rsidRPr="001D5BB6">
        <w:rPr>
          <w:color w:val="000000" w:themeColor="text1"/>
        </w:rPr>
        <w:t xml:space="preserve">in the </w:t>
      </w:r>
      <w:r w:rsidR="008377FA" w:rsidRPr="001D5BB6">
        <w:rPr>
          <w:color w:val="000000" w:themeColor="text1"/>
        </w:rPr>
        <w:t xml:space="preserve">knowledge management process </w:t>
      </w:r>
      <w:r w:rsidR="008377FA" w:rsidRPr="001D5BB6">
        <w:rPr>
          <w:color w:val="000000" w:themeColor="text1"/>
        </w:rPr>
        <w:fldChar w:fldCharType="begin" w:fldLock="1"/>
      </w:r>
      <w:r w:rsidR="008377FA" w:rsidRPr="001D5BB6">
        <w:rPr>
          <w:color w:val="000000" w:themeColor="text1"/>
        </w:rPr>
        <w:instrText>ADDIN CSL_CITATION {"citationItems":[{"id":"ITEM-1","itemData":{"DOI":"10.1108/13673271011032427","ISSN":"1367-3270","abstract":"Knowledge management metrics in software development companies in Brazil","author":[{"dropping-particle":"","family":"Goldoni","given":"Vanessa","non-dropping-particle":"","parse-names":false,"suffix":""},{"dropping-particle":"","family":"Oliveira","given":"Mírian","non-dropping-particle":"","parse-names":false,"suffix":""}],"container-title":"Journal of Knowledge Management","id":"ITEM-1","issue":"2","issued":{"date-parts":[["2010","4","6"]]},"page":"301-313","title":"Knowledge management metrics in software development companies in Brazil","type":"article-journal","volume":"14"},"uris":["http://www.mendeley.com/documents/?uuid=9281e89b-5906-4ef8-a7df-8e5855d0f25f"]}],"mendeley":{"formattedCitation":"(Goldoni &amp; Oliveira, 2010)","plainTextFormattedCitation":"(Goldoni &amp; Oliveira, 2010)","previouslyFormattedCitation":"(Goldoni &amp; Oliveira, 2010)"},"properties":{"noteIndex":0},"schema":"https://github.com/citation-style-language/schema/raw/master/csl-citation.json"}</w:instrText>
      </w:r>
      <w:r w:rsidR="008377FA" w:rsidRPr="001D5BB6">
        <w:rPr>
          <w:color w:val="000000" w:themeColor="text1"/>
        </w:rPr>
        <w:fldChar w:fldCharType="separate"/>
      </w:r>
      <w:r w:rsidR="008377FA" w:rsidRPr="001D5BB6">
        <w:rPr>
          <w:noProof/>
          <w:color w:val="000000" w:themeColor="text1"/>
        </w:rPr>
        <w:t>(Goldoni &amp; Oliveira, 2010)</w:t>
      </w:r>
      <w:r w:rsidR="008377FA" w:rsidRPr="001D5BB6">
        <w:rPr>
          <w:color w:val="000000" w:themeColor="text1"/>
        </w:rPr>
        <w:fldChar w:fldCharType="end"/>
      </w:r>
      <w:r w:rsidR="008377FA" w:rsidRPr="001D5BB6">
        <w:rPr>
          <w:color w:val="000000" w:themeColor="text1"/>
        </w:rPr>
        <w:t xml:space="preserve">. Investigating the benefits of knowledge management to organizations is crucial because it provides a guide to knowledge efforts </w:t>
      </w:r>
      <w:r w:rsidR="008377FA" w:rsidRPr="001D5BB6">
        <w:rPr>
          <w:color w:val="000000" w:themeColor="text1"/>
        </w:rPr>
        <w:fldChar w:fldCharType="begin" w:fldLock="1"/>
      </w:r>
      <w:r w:rsidR="008377FA" w:rsidRPr="001D5BB6">
        <w:rPr>
          <w:color w:val="000000" w:themeColor="text1"/>
        </w:rPr>
        <w:instrText>ADDIN CSL_CITATION {"citationItems":[{"id":"ITEM-1","itemData":{"DOI":"10.1108/JKM-05-2015-0166","ISBN":"1220140538","ISSN":"1367-3270","abstract":"Purpose – The paper aims to foster a better understanding of knowledge management (KM) benefits by integrating the qualitative findings of prior research under a multilayer conceptual framework. Design/methodology/approach – A meta-synthesis approach was conducted by adopting “Noblit and Hare’s” seven-step method. Findings – A breakdown structure for KM benefits which encompasses 3 “macro benefits” at Level 1, 7 “benefits” at Level 2 and 44 “micro benefits” at Level 3. Research limitations/implications – The main limitation is that this research does not provide criteria and measures to assess the benefits of KM. Practical implications – Organizations which intend to invest in KM can obtain a better insight about outcomes and benefits of implementingKMinitiatives. This study will provide those organizations which have already invested in KM with some ideas to evaluate their KM efforts qualitatively. Originality/value – Based on available data, this study is the first of its kind that has identified the benefits ofKMin three layers. Also, the number ofKMbenefits identified in this study is greater than that of any previous research.","author":[{"dropping-particle":"","family":"Yahyapour","given":"Shiva","non-dropping-particle":"","parse-names":false,"suffix":""},{"dropping-particle":"","family":"Shamizanjani","given":"Mehdi","non-dropping-particle":"","parse-names":false,"suffix":""},{"dropping-particle":"","family":"Mosakhani","given":"Mohammad","non-dropping-particle":"","parse-names":false,"suffix":""}],"container-title":"Journal of Knowledge Management","id":"ITEM-1","issue":"6","issued":{"date-parts":[["2015","10","12"]]},"page":"1295-1309","title":"A conceptual breakdown structure for knowledge management benefits using meta-synthesis method","type":"article-journal","volume":"19"},"uris":["http://www.mendeley.com/documents/?uuid=534d5029-a59c-4eb7-b595-6e3265aca0b8"]}],"mendeley":{"formattedCitation":"(Yahyapour et al., 2015)","plainTextFormattedCitation":"(Yahyapour et al., 2015)","previouslyFormattedCitation":"(Yahyapour et al., 2015)"},"properties":{"noteIndex":0},"schema":"https://github.com/citation-style-language/schema/raw/master/csl-citation.json"}</w:instrText>
      </w:r>
      <w:r w:rsidR="008377FA" w:rsidRPr="001D5BB6">
        <w:rPr>
          <w:color w:val="000000" w:themeColor="text1"/>
        </w:rPr>
        <w:fldChar w:fldCharType="separate"/>
      </w:r>
      <w:r w:rsidR="008377FA" w:rsidRPr="001D5BB6">
        <w:rPr>
          <w:noProof/>
          <w:color w:val="000000" w:themeColor="text1"/>
        </w:rPr>
        <w:t>(Yahyapour et al., 2015)</w:t>
      </w:r>
      <w:r w:rsidR="008377FA" w:rsidRPr="001D5BB6">
        <w:rPr>
          <w:color w:val="000000" w:themeColor="text1"/>
        </w:rPr>
        <w:fldChar w:fldCharType="end"/>
      </w:r>
      <w:r w:rsidR="008377FA" w:rsidRPr="001D5BB6">
        <w:rPr>
          <w:color w:val="000000" w:themeColor="text1"/>
        </w:rPr>
        <w:t xml:space="preserve">. It also increases understanding of the purpose of knowledge management, making it easier to deliver the desired benefits </w:t>
      </w:r>
      <w:r w:rsidR="008377FA" w:rsidRPr="001D5BB6">
        <w:rPr>
          <w:color w:val="000000" w:themeColor="text1"/>
        </w:rPr>
        <w:fldChar w:fldCharType="begin" w:fldLock="1"/>
      </w:r>
      <w:r w:rsidR="007C79F2" w:rsidRPr="001D5BB6">
        <w:rPr>
          <w:color w:val="000000" w:themeColor="text1"/>
        </w:rPr>
        <w:instrText>ADDIN CSL_CITATION {"citationItems":[{"id":"ITEM-1","itemData":{"DOI":"10.1108/02635570610688850","ISSN":"0263-5577","abstract":"Criteria for measuring KM performance outcomes in organisations","author":[{"dropping-particle":"","family":"Choy","given":"Chong Siong","non-dropping-particle":"","parse-names":false,"suffix":""},{"dropping-particle":"","family":"Yew","given":"Wong Kuan","non-dropping-particle":"","parse-names":false,"suffix":""},{"dropping-particle":"","family":"Lin","given":"Binshan","non-dropping-particle":"","parse-names":false,"suffix":""}],"container-title":"Industrial Management and Data Systems","id":"ITEM-1","issue":"7","issued":{"date-parts":[["2006","8"]]},"page":"917-936","title":"Criteria for measuring KM performance outcomes in organisations","type":"article-journal","volume":"106"},"uris":["http://www.mendeley.com/documents/?uuid=7e3cc852-ba42-42df-973e-99abed53d35f"]}],"mendeley":{"formattedCitation":"(Choy et al., 2006)","plainTextFormattedCitation":"(Choy et al., 2006)","previouslyFormattedCitation":"(Choy et al., 2006)"},"properties":{"noteIndex":0},"schema":"https://github.com/citation-style-language/schema/raw/master/csl-citation.json"}</w:instrText>
      </w:r>
      <w:r w:rsidR="008377FA" w:rsidRPr="001D5BB6">
        <w:rPr>
          <w:color w:val="000000" w:themeColor="text1"/>
        </w:rPr>
        <w:fldChar w:fldCharType="separate"/>
      </w:r>
      <w:r w:rsidR="00E24626" w:rsidRPr="001D5BB6">
        <w:rPr>
          <w:noProof/>
          <w:color w:val="000000" w:themeColor="text1"/>
        </w:rPr>
        <w:t>(Choy et al., 2006)</w:t>
      </w:r>
      <w:r w:rsidR="008377FA" w:rsidRPr="001D5BB6">
        <w:rPr>
          <w:color w:val="000000" w:themeColor="text1"/>
        </w:rPr>
        <w:fldChar w:fldCharType="end"/>
      </w:r>
      <w:r w:rsidR="008377FA" w:rsidRPr="001D5BB6">
        <w:rPr>
          <w:color w:val="000000" w:themeColor="text1"/>
        </w:rPr>
        <w:t>.</w:t>
      </w:r>
    </w:p>
    <w:p w14:paraId="14BFB062" w14:textId="1A2465FA" w:rsidR="008377FA" w:rsidRPr="002A7627" w:rsidRDefault="0070671C" w:rsidP="00690CD5">
      <w:pPr>
        <w:pStyle w:val="AAAAAAA"/>
      </w:pPr>
      <w:bookmarkStart w:id="33" w:name="_Toc11533398"/>
      <w:bookmarkStart w:id="34" w:name="_Toc11533505"/>
      <w:bookmarkStart w:id="35" w:name="_Toc13959612"/>
      <w:bookmarkStart w:id="36" w:name="_Toc22331637"/>
      <w:r>
        <w:rPr>
          <w:rStyle w:val="Heading2Char"/>
          <w:color w:val="000000"/>
          <w:u w:val="none"/>
        </w:rPr>
        <w:t xml:space="preserve">1.1.3. </w:t>
      </w:r>
      <w:r w:rsidR="008377FA" w:rsidRPr="002A7627">
        <w:rPr>
          <w:rStyle w:val="Heading2Char"/>
          <w:color w:val="000000"/>
          <w:u w:val="none"/>
        </w:rPr>
        <w:t>Knowledge management initiatives in the UAE</w:t>
      </w:r>
      <w:bookmarkEnd w:id="33"/>
      <w:bookmarkEnd w:id="34"/>
      <w:bookmarkEnd w:id="35"/>
      <w:bookmarkEnd w:id="36"/>
      <w:r w:rsidR="00690CD5" w:rsidRPr="002A7627">
        <w:t xml:space="preserve">. </w:t>
      </w:r>
      <w:r w:rsidR="008377FA" w:rsidRPr="002A7627">
        <w:t xml:space="preserve">The UAE government’s Vision 2030 emphasized the importance of reading and knowledge </w:t>
      </w:r>
      <w:r w:rsidR="008377FA" w:rsidRPr="001D5BB6">
        <w:rPr>
          <w:color w:val="000000" w:themeColor="text1"/>
        </w:rPr>
        <w:t>as a way to build a knowledge-based economy</w:t>
      </w:r>
      <w:r w:rsidR="00054373" w:rsidRPr="001D5BB6">
        <w:rPr>
          <w:color w:val="000000" w:themeColor="text1"/>
        </w:rPr>
        <w:t>,</w:t>
      </w:r>
      <w:r w:rsidR="008377FA" w:rsidRPr="001D5BB6">
        <w:rPr>
          <w:color w:val="000000" w:themeColor="text1"/>
        </w:rPr>
        <w:t xml:space="preserve"> and considerable effort has</w:t>
      </w:r>
      <w:r w:rsidR="00054373" w:rsidRPr="001D5BB6">
        <w:rPr>
          <w:color w:val="000000" w:themeColor="text1"/>
        </w:rPr>
        <w:t xml:space="preserve"> </w:t>
      </w:r>
      <w:r w:rsidR="00054373" w:rsidRPr="001D5BB6">
        <w:rPr>
          <w:color w:val="000000" w:themeColor="text1"/>
        </w:rPr>
        <w:lastRenderedPageBreak/>
        <w:t xml:space="preserve">therefore </w:t>
      </w:r>
      <w:r w:rsidR="008377FA" w:rsidRPr="001D5BB6">
        <w:rPr>
          <w:color w:val="000000" w:themeColor="text1"/>
        </w:rPr>
        <w:t xml:space="preserve">been put into achieving this vision </w:t>
      </w:r>
      <w:r w:rsidR="008377FA" w:rsidRPr="001D5BB6">
        <w:rPr>
          <w:color w:val="000000" w:themeColor="text1"/>
        </w:rPr>
        <w:fldChar w:fldCharType="begin" w:fldLock="1"/>
      </w:r>
      <w:r w:rsidR="008377FA" w:rsidRPr="001D5BB6">
        <w:rPr>
          <w:color w:val="000000" w:themeColor="text1"/>
        </w:rPr>
        <w:instrText>ADDIN CSL_CITATION {"citationItems":[{"id":"ITEM-1","itemData":{"URL":"https://www.government.ae/en/about-the-uae/economy","accessed":{"date-parts":[["2019","6","11"]]},"author":[{"dropping-particle":"","family":"National Media Council","given":"","non-dropping-particle":"","parse-names":false,"suffix":""}],"id":"ITEM-1","issued":{"date-parts":[["2011"]]},"title":"Economy","type":"webpage"},"uris":["http://www.mendeley.com/documents/?uuid=59eb1c51-cfd3-307d-9f3f-138505713d84"]}],"mendeley":{"formattedCitation":"(National Media Council, 2011)","plainTextFormattedCitation":"(National Media Council, 2011)","previouslyFormattedCitation":"(National Media Council, 2011)"},"properties":{"noteIndex":0},"schema":"https://github.com/citation-style-language/schema/raw/master/csl-citation.json"}</w:instrText>
      </w:r>
      <w:r w:rsidR="008377FA" w:rsidRPr="001D5BB6">
        <w:rPr>
          <w:color w:val="000000" w:themeColor="text1"/>
        </w:rPr>
        <w:fldChar w:fldCharType="separate"/>
      </w:r>
      <w:r w:rsidR="008377FA" w:rsidRPr="001D5BB6">
        <w:rPr>
          <w:noProof/>
          <w:color w:val="000000" w:themeColor="text1"/>
        </w:rPr>
        <w:t>(National Media Council, 2011)</w:t>
      </w:r>
      <w:r w:rsidR="008377FA" w:rsidRPr="001D5BB6">
        <w:rPr>
          <w:color w:val="000000" w:themeColor="text1"/>
        </w:rPr>
        <w:fldChar w:fldCharType="end"/>
      </w:r>
      <w:r w:rsidR="008377FA" w:rsidRPr="001D5BB6">
        <w:rPr>
          <w:color w:val="000000" w:themeColor="text1"/>
        </w:rPr>
        <w:t>. The UAE government believes that knowledge is the basis of all development and</w:t>
      </w:r>
      <w:r w:rsidR="00054373" w:rsidRPr="001D5BB6">
        <w:rPr>
          <w:color w:val="000000" w:themeColor="text1"/>
        </w:rPr>
        <w:t xml:space="preserve"> </w:t>
      </w:r>
      <w:r w:rsidR="008377FA" w:rsidRPr="001D5BB6">
        <w:rPr>
          <w:color w:val="000000" w:themeColor="text1"/>
        </w:rPr>
        <w:t>has supported national and international projects to increase awareness of knowledge management. For example, the country’s president, H.</w:t>
      </w:r>
      <w:r w:rsidR="00890F57" w:rsidRPr="001D5BB6">
        <w:rPr>
          <w:color w:val="000000" w:themeColor="text1"/>
        </w:rPr>
        <w:t xml:space="preserve"> </w:t>
      </w:r>
      <w:r w:rsidR="008377FA" w:rsidRPr="001D5BB6">
        <w:rPr>
          <w:color w:val="000000" w:themeColor="text1"/>
        </w:rPr>
        <w:t>H. Sh</w:t>
      </w:r>
      <w:r w:rsidR="00C06AA1" w:rsidRPr="001D5BB6">
        <w:rPr>
          <w:color w:val="000000" w:themeColor="text1"/>
        </w:rPr>
        <w:t>e</w:t>
      </w:r>
      <w:r w:rsidR="008377FA" w:rsidRPr="001D5BB6">
        <w:rPr>
          <w:color w:val="000000" w:themeColor="text1"/>
        </w:rPr>
        <w:t xml:space="preserve">ikh Khalifa bin Zayed Al Nahyan, launched the National Reading Law as part of a 10-year plan to encourage reading </w:t>
      </w:r>
      <w:r w:rsidR="008377FA" w:rsidRPr="001D5BB6">
        <w:rPr>
          <w:noProof/>
          <w:color w:val="000000" w:themeColor="text1"/>
        </w:rPr>
        <w:t>(UAE Cabinet, 2016)</w:t>
      </w:r>
      <w:r w:rsidR="008377FA" w:rsidRPr="001D5BB6">
        <w:rPr>
          <w:color w:val="000000" w:themeColor="text1"/>
        </w:rPr>
        <w:t xml:space="preserve">. Reading is considered to be closely linked to knowledge because reading tends to </w:t>
      </w:r>
      <w:r w:rsidR="008377FA" w:rsidRPr="002A7627">
        <w:t xml:space="preserve">increase knowledge and ability to manage content </w:t>
      </w:r>
      <w:r w:rsidR="008377FA" w:rsidRPr="002A7627">
        <w:fldChar w:fldCharType="begin" w:fldLock="1"/>
      </w:r>
      <w:r w:rsidR="00E24626" w:rsidRPr="002A7627">
        <w:instrText>ADDIN CSL_CITATION {"citationItems":[{"id":"ITEM-1","itemData":{"abstract":"Reading exhibits a principle of expertise: the more one does it the more skilled\\none is likely to become both in the activity and in content knowledge. Our\\nexperiences with text lead to the acquisition of both vocabulary and general\\nknowledge. Research from our group examines how reading can have other\\noutcomes. With a starting point of fiction as an entryway into simulations of\\nsocial interactions, we review empirical studies of how the reading of fiction can\\nimprove empathy and other social abilities, and prompt changes in personality.","author":[{"dropping-particle":"","family":"Mar","given":"Raymond","non-dropping-particle":"","parse-names":false,"suffix":""},{"dropping-particle":"","family":"Djikic","given":"Maja","non-dropping-particle":"","parse-names":false,"suffix":""},{"dropping-particle":"","family":"Oatley","given":"Keith","non-dropping-particle":"","parse-names":false,"suffix":""}],"container-title":"Directions in empirical studies in literature: In honor of Willie van Peer","editor":[{"dropping-particle":"","family":"Zyngier","given":"S.","non-dropping-particle":"","parse-names":false,"suffix":""},{"dropping-particle":"","family":"Bortolussi","given":"M.","non-dropping-particle":"","parse-names":false,"suffix":""},{"dropping-particle":"","family":"Chesnokova","given":"A.","non-dropping-particle":"","parse-names":false,"suffix":""},{"dropping-particle":"","family":"Auracher","given":"J.","non-dropping-particle":"","parse-names":false,"suffix":""}],"id":"ITEM-1","issued":{"date-parts":[["2008"]]},"page":"127-137","publisher":"Benjamins","publisher-place":"Amsterdam, Netherlands","title":"Effects of reading on knowledge, social abilities, and selfhood: Theory and empirical studies","type":"chapter"},"uris":["http://www.mendeley.com/documents/?uuid=d3873760-e81e-47c2-a410-3bd1b27f3ce1"]}],"mendeley":{"formattedCitation":"(Mar, Djikic, &amp; Oatley, 2008)","plainTextFormattedCitation":"(Mar, Djikic, &amp; Oatley, 2008)","previouslyFormattedCitation":"(Mar, Djikic, &amp; Oatley, 2008)"},"properties":{"noteIndex":0},"schema":"https://github.com/citation-style-language/schema/raw/master/csl-citation.json"}</w:instrText>
      </w:r>
      <w:r w:rsidR="008377FA" w:rsidRPr="002A7627">
        <w:fldChar w:fldCharType="separate"/>
      </w:r>
      <w:r w:rsidR="008377FA" w:rsidRPr="002A7627">
        <w:rPr>
          <w:noProof/>
        </w:rPr>
        <w:t>(Mar, Djikic, &amp; Oatley, 2008)</w:t>
      </w:r>
      <w:r w:rsidR="008377FA" w:rsidRPr="002A7627">
        <w:fldChar w:fldCharType="end"/>
      </w:r>
      <w:r w:rsidR="008377FA" w:rsidRPr="002A7627">
        <w:t xml:space="preserve">. </w:t>
      </w:r>
    </w:p>
    <w:p w14:paraId="18DE4B23" w14:textId="0D93F413" w:rsidR="008377FA" w:rsidRPr="002A7627" w:rsidRDefault="008377FA" w:rsidP="00690CD5">
      <w:pPr>
        <w:pStyle w:val="AAAAAAA"/>
      </w:pPr>
      <w:r w:rsidRPr="001D5BB6">
        <w:rPr>
          <w:color w:val="000000" w:themeColor="text1"/>
        </w:rPr>
        <w:t xml:space="preserve">The Mohammed Bin Rashed Al Maktoum Foundation has been established with a budget of US$10 billion to promote knowledge sharing in the region </w:t>
      </w:r>
      <w:r w:rsidRPr="001D5BB6">
        <w:rPr>
          <w:color w:val="000000" w:themeColor="text1"/>
        </w:rPr>
        <w:fldChar w:fldCharType="begin" w:fldLock="1"/>
      </w:r>
      <w:r w:rsidRPr="001D5BB6">
        <w:rPr>
          <w:color w:val="000000" w:themeColor="text1"/>
        </w:rPr>
        <w:instrText>ADDIN CSL_CITATION {"citationItems":[{"id":"ITEM-1","itemData":{"URL":"https://mbrf.ae/en/foundation/about-us","accessed":{"date-parts":[["2019","6","11"]]},"author":[{"dropping-particle":"","family":"Maktoum Foundation","given":"","non-dropping-particle":"Al","parse-names":false,"suffix":""}],"id":"ITEM-1","issued":{"date-parts":[["2007"]]},"title":"About us","type":"webpage"},"uris":["http://www.mendeley.com/documents/?uuid=16c097dd-c96b-3adc-8db8-aff5c610192c"]}],"mendeley":{"formattedCitation":"(Al Maktoum Foundation, 2007)","plainTextFormattedCitation":"(Al Maktoum Foundation, 2007)","previouslyFormattedCitation":"(Al Maktoum Foundation, 2007)"},"properties":{"noteIndex":0},"schema":"https://github.com/citation-style-language/schema/raw/master/csl-citation.json"}</w:instrText>
      </w:r>
      <w:r w:rsidRPr="001D5BB6">
        <w:rPr>
          <w:color w:val="000000" w:themeColor="text1"/>
        </w:rPr>
        <w:fldChar w:fldCharType="separate"/>
      </w:r>
      <w:r w:rsidRPr="001D5BB6">
        <w:rPr>
          <w:noProof/>
          <w:color w:val="000000" w:themeColor="text1"/>
        </w:rPr>
        <w:t>(Al Maktoum Foundation, 2007)</w:t>
      </w:r>
      <w:r w:rsidRPr="001D5BB6">
        <w:rPr>
          <w:color w:val="000000" w:themeColor="text1"/>
        </w:rPr>
        <w:fldChar w:fldCharType="end"/>
      </w:r>
      <w:r w:rsidRPr="001D5BB6">
        <w:rPr>
          <w:color w:val="000000" w:themeColor="text1"/>
        </w:rPr>
        <w:t xml:space="preserve">. It is committed to </w:t>
      </w:r>
      <w:r w:rsidR="007037D0" w:rsidRPr="001D5BB6">
        <w:rPr>
          <w:color w:val="000000" w:themeColor="text1"/>
        </w:rPr>
        <w:t>build</w:t>
      </w:r>
      <w:r w:rsidR="00C06AA1" w:rsidRPr="001D5BB6">
        <w:rPr>
          <w:color w:val="000000" w:themeColor="text1"/>
        </w:rPr>
        <w:t>ing</w:t>
      </w:r>
      <w:r w:rsidR="007037D0" w:rsidRPr="001D5BB6">
        <w:rPr>
          <w:color w:val="000000" w:themeColor="text1"/>
        </w:rPr>
        <w:t xml:space="preserve"> and shar</w:t>
      </w:r>
      <w:r w:rsidR="00C06AA1" w:rsidRPr="001D5BB6">
        <w:rPr>
          <w:color w:val="000000" w:themeColor="text1"/>
        </w:rPr>
        <w:t>ing</w:t>
      </w:r>
      <w:r w:rsidR="007037D0" w:rsidRPr="001D5BB6">
        <w:rPr>
          <w:color w:val="000000" w:themeColor="text1"/>
        </w:rPr>
        <w:t xml:space="preserve"> knowledge</w:t>
      </w:r>
      <w:r w:rsidR="00C06AA1" w:rsidRPr="001D5BB6">
        <w:rPr>
          <w:color w:val="000000" w:themeColor="text1"/>
        </w:rPr>
        <w:t>,</w:t>
      </w:r>
      <w:r w:rsidRPr="001D5BB6">
        <w:rPr>
          <w:color w:val="000000" w:themeColor="text1"/>
        </w:rPr>
        <w:t xml:space="preserve"> and has proposed </w:t>
      </w:r>
      <w:r w:rsidR="00C06AA1" w:rsidRPr="001D5BB6">
        <w:rPr>
          <w:color w:val="000000" w:themeColor="text1"/>
        </w:rPr>
        <w:t xml:space="preserve">a number of </w:t>
      </w:r>
      <w:r w:rsidRPr="001D5BB6">
        <w:rPr>
          <w:color w:val="000000" w:themeColor="text1"/>
        </w:rPr>
        <w:t xml:space="preserve">strategic initiatives to bridge knowledge management gaps at both regional and organizational levels </w:t>
      </w:r>
      <w:r w:rsidRPr="002A7627">
        <w:fldChar w:fldCharType="begin" w:fldLock="1"/>
      </w:r>
      <w:r w:rsidR="004C27D4" w:rsidRPr="002A7627">
        <w:instrText>ADDIN CSL_CITATION {"citationItems":[{"id":"ITEM-1","itemData":{"DOI":"10.1108/13673270810902975","ISSN":"1367-3270","abstract":"Purpose – The paper seeks to pinpoint new directions of the evolution of knowledge in the Arab region, and to outline the role of knowledge management principles in constructing the knowledge society. Design/methodology/approach – The article addresses initiatives towards narrowing the knowledge gap and building an egalitarian knowledge society in the Arab region. It reviews, interprets and relates the relevant literature and sheds the light on the Arab region’s future plans. Findings – The article outlines some of the regionally relevant elements needed for building the knowledge society. It also suggests some means of tapping the diversified workforce’s tacit knowledge, reversing the ‘‘brain drain,’’ and building potential leadership models. Originality/value – This article represents an overview and interpretation of the role of knowledge management as it relates to the effectiveness of concepts such as ‘‘knowmadism’’ and the practicality of ‘‘megatribe knowledge.’’ The article provides rendition and a roadmap for decision makers, knowledge workers, and future researchers in the domain of the ‘‘knowledge society’’ within the Arab region.","author":[{"dropping-particle":"","family":"Mohamed","given":"Mirghani S.","non-dropping-particle":"","parse-names":false,"suffix":""},{"dropping-particle":"","family":"O'Sullivan","given":"Kevin J.","non-dropping-particle":"","parse-names":false,"suffix":""},{"dropping-particle":"","family":"Ribière","given":"Vincent","non-dropping-particle":"","parse-names":false,"suffix":""}],"container-title":"Journal of Knowledge Management","editor":[{"dropping-particle":"","family":"Carrillo","given":"Francisco Javier","non-dropping-particle":"","parse-names":false,"suffix":""}],"id":"ITEM-1","issue":"5","issued":{"date-parts":[["2008","9","12"]]},"page":"107-120","title":"A paradigm shift in the Arab region knowledge evolution","type":"article-journal","volume":"12"},"uris":["http://www.mendeley.com/documents/?uuid=98be16dd-d751-4bd7-92ce-9789567087e9"]}],"mendeley":{"formattedCitation":"(Mohamed, O’Sullivan, &amp; Ribière, 2008)","plainTextFormattedCitation":"(Mohamed, O’Sullivan, &amp; Ribière, 2008)","previouslyFormattedCitation":"(Mohamed, O’Sullivan, &amp; Ribière, 2008)"},"properties":{"noteIndex":0},"schema":"https://github.com/citation-style-language/schema/raw/master/csl-citation.json"}</w:instrText>
      </w:r>
      <w:r w:rsidRPr="002A7627">
        <w:fldChar w:fldCharType="separate"/>
      </w:r>
      <w:r w:rsidR="00E24626" w:rsidRPr="002A7627">
        <w:rPr>
          <w:noProof/>
        </w:rPr>
        <w:t>(Mohamed, O’Sullivan, &amp; Ribière, 2008)</w:t>
      </w:r>
      <w:r w:rsidRPr="002A7627">
        <w:fldChar w:fldCharType="end"/>
      </w:r>
      <w:r w:rsidRPr="002A7627">
        <w:t xml:space="preserve">. </w:t>
      </w:r>
    </w:p>
    <w:p w14:paraId="22F545A6" w14:textId="1FF77300" w:rsidR="008377FA" w:rsidRPr="002A7627" w:rsidRDefault="008377FA" w:rsidP="00690CD5">
      <w:pPr>
        <w:pStyle w:val="AAAAAAA"/>
      </w:pPr>
      <w:r w:rsidRPr="002A7627">
        <w:t xml:space="preserve">There have been few studies on knowledge management in the UAE. </w:t>
      </w:r>
      <w:r w:rsidR="00AA406D" w:rsidRPr="002A7627">
        <w:fldChar w:fldCharType="begin" w:fldLock="1"/>
      </w:r>
      <w:r w:rsidR="00E24626" w:rsidRPr="002A7627">
        <w:instrText>ADDIN CSL_CITATION {"citationItems":[{"id":"ITEM-1","itemData":{"DOI":"10.1108/JWL-05-2016-0041","ISSN":"1366-5626","abstract":"Purpose This paper aims to examine a research model that links knowledge sharing enablers, processes and outcome dimensions in law enforcement in the United Arab Emirates (UAE). It attempts to examine the impact of knowledge self-efficacy and top management support on knowledge donating and collecting. It also attempts to examine the effect of these two aspects of knowledge sharing on firm innovation capability. Design/methodology/approach This study used a quantitative approach, with data collected by questionnaire from 685 police officers in a law enforcement agency in the UAE. Findings Knowledge self-efficacy and top management support have a positive impact on knowledge donating and collecting. Only knowledge collecting, however, had a positive effect on firm innovation capability. Research limitations/implications The study has significant academic and practical implications. It supports a previous research model that links enablers, processes and outcomes of knowledge sharing, and confirms them in the context of law enforcement in the UAE. It could also help law enforcement agencies to promote a knowledge sharing culture to support innovation in the UAE. Originality/value The research model is likely to be particularly valuable in knowledge-intensive organizations such as the law enforcement sector. Knowledge sharing is often overlooked by organizations in the UAE because there has to date been little research in this field.","author":[{"dropping-particle":"","family":"Hussein","given":"AlShaima Taleb Taleb","non-dropping-particle":"","parse-names":false,"suffix":""},{"dropping-particle":"","family":"Singh","given":"Sanjay Kumar","non-dropping-particle":"","parse-names":false,"suffix":""},{"dropping-particle":"","family":"Farouk","given":"Sherine","non-dropping-particle":"","parse-names":false,"suffix":""},{"dropping-particle":"","family":"Sohal","given":"Amrik S.","non-dropping-particle":"","parse-names":false,"suffix":""}],"container-title":"Journal of Workplace Learning","id":"ITEM-1","issue":"8","issued":{"date-parts":[["2016","10","10"]]},"page":"484-495","title":"Knowledge sharing enablers, processes and firm innovation capability","type":"article-journal","volume":"28"},"uris":["http://www.mendeley.com/documents/?uuid=6cc4e2c3-3f32-43e9-bcbb-5cbc898f37e1"]}],"mendeley":{"formattedCitation":"(Hussein, Singh, Farouk, &amp; Sohal, 2016)","manualFormatting":"Hussein, Singh, Farouk, and Sohal (2016)","plainTextFormattedCitation":"(Hussein, Singh, Farouk, &amp; Sohal, 2016)","previouslyFormattedCitation":"(Hussein, Singh, Farouk, &amp; Sohal, 2016)"},"properties":{"noteIndex":0},"schema":"https://github.com/citation-style-language/schema/raw/master/csl-citation.json"}</w:instrText>
      </w:r>
      <w:r w:rsidR="00AA406D" w:rsidRPr="002A7627">
        <w:fldChar w:fldCharType="separate"/>
      </w:r>
      <w:r w:rsidR="00AA406D" w:rsidRPr="002A7627">
        <w:rPr>
          <w:noProof/>
        </w:rPr>
        <w:t>Hussein, Singh, Farouk, and Sohal (2016)</w:t>
      </w:r>
      <w:r w:rsidR="00AA406D" w:rsidRPr="002A7627">
        <w:fldChar w:fldCharType="end"/>
      </w:r>
      <w:r w:rsidRPr="002A7627">
        <w:t xml:space="preserve"> developed a knowledge model for a policing organization in the UAE that links the enablers, processes</w:t>
      </w:r>
      <w:r w:rsidR="00054373" w:rsidRPr="002A7627">
        <w:t>,</w:t>
      </w:r>
      <w:r w:rsidRPr="002A7627">
        <w:t xml:space="preserve"> and outcomes of knowledge management. </w:t>
      </w:r>
      <w:r w:rsidRPr="002A7627">
        <w:fldChar w:fldCharType="begin" w:fldLock="1"/>
      </w:r>
      <w:r w:rsidR="00500081" w:rsidRPr="002A7627">
        <w:instrText>ADDIN CSL_CITATION {"citationItems":[{"id":"ITEM-1","itemData":{"DOI":"10.1108/JWL-11-2017-0105","ISSN":"1366-5626","abstract":"Purpose The purpose of this paper is to examine the impact of leadership and rewards on the contribution to knowledge sharing in public organizations of the United Arab Emirates (UAE). Design/methodology/approach Data were collected from 154 employees from various organizational units of a law enforcement organization in the UAE, and structural equation modeling was used to test the proposed hypotheses. Findings Leadership inspiration was found to be positively effective in enhancing the contribution of knowledge sharing in terms of solving problems, increasing opportunity and improving the productivity of the workforce. Furthermore, it was found that the reward system had no impact on the contribution to knowledge sharing. Research limitations The method of data collection focused on the employees who were attending a training workshop in the department. This survey raises concerns related to non-response bias and common method bias, which describes the measurement error that is compounded by the sociabi...","author":[{"dropping-particle":"","family":"Dari","given":"Taghreed","non-dropping-particle":"Al","parse-names":false,"suffix":""},{"dropping-particle":"","family":"Jabeen","given":"Fauzia","non-dropping-particle":"","parse-names":false,"suffix":""},{"dropping-particle":"","family":"Papastathopoulos","given":"Avraam","non-dropping-particle":"","parse-names":false,"suffix":""}],"container-title":"Journal of Workplace Learning","id":"ITEM-1","issue":"6","issued":{"date-parts":[["2018","8","13"]]},"page":"488-512","title":"Examining the role of leadership inspiration, rewards and its relationship with contribution to knowledge sharing","type":"article-journal","volume":"30"},"uris":["http://www.mendeley.com/documents/?uuid=d061c55c-2368-39bc-b245-9886ca7951b0"]}],"mendeley":{"formattedCitation":"(Al Dari, Jabeen, &amp; Papastathopoulos, 2018a)","manualFormatting":"Al Dari, Jabeen, and Papastathopoulos (2018)","plainTextFormattedCitation":"(Al Dari, Jabeen, &amp; Papastathopoulos, 2018a)","previouslyFormattedCitation":"(Al Dari, Jabeen, &amp; Papastathopoulos, 2018a)"},"properties":{"noteIndex":0},"schema":"https://github.com/citation-style-language/schema/raw/master/csl-citation.json"}</w:instrText>
      </w:r>
      <w:r w:rsidRPr="002A7627">
        <w:fldChar w:fldCharType="separate"/>
      </w:r>
      <w:r w:rsidRPr="002A7627">
        <w:rPr>
          <w:noProof/>
        </w:rPr>
        <w:t>Al Dari, Jabeen</w:t>
      </w:r>
      <w:r w:rsidR="00500081" w:rsidRPr="002A7627">
        <w:rPr>
          <w:noProof/>
        </w:rPr>
        <w:t>,</w:t>
      </w:r>
      <w:r w:rsidRPr="002A7627">
        <w:rPr>
          <w:noProof/>
        </w:rPr>
        <w:t xml:space="preserve"> and Papastathopoulos (2018)</w:t>
      </w:r>
      <w:r w:rsidRPr="002A7627">
        <w:fldChar w:fldCharType="end"/>
      </w:r>
      <w:r w:rsidRPr="002A7627">
        <w:t xml:space="preserve"> investigated the role of transformational leadership and rewards on knowledge sharing in the UAE policing organization. </w:t>
      </w:r>
      <w:r w:rsidR="00AA406D" w:rsidRPr="002A7627">
        <w:fldChar w:fldCharType="begin" w:fldLock="1"/>
      </w:r>
      <w:r w:rsidR="00E24626" w:rsidRPr="002A7627">
        <w:instrText>ADDIN CSL_CITATION {"citationItems":[{"id":"ITEM-1","itemData":{"DOI":"10.1108/13673271211262763","ISBN":"1367327121","ISSN":"1367-3270","author":[{"dropping-particle":"","family":"Siddique","given":"C. Muhammed","non-dropping-particle":"","parse-names":false,"suffix":""}],"container-title":"Journal of Knowledge Management","id":"ITEM-1","issue":"5","issued":{"date-parts":[["2012","9","7"]]},"page":"702-723","title":"Knowledge management initiatives in the United Arab Emirates: A baseline study","type":"article-journal","volume":"16"},"uris":["http://www.mendeley.com/documents/?uuid=4416d806-e6e9-49fa-a6ff-2917a0c3d074"]}],"mendeley":{"formattedCitation":"(Siddique, 2012)","manualFormatting":"Siddique (2012)","plainTextFormattedCitation":"(Siddique, 2012)","previouslyFormattedCitation":"(Siddique, 2012)"},"properties":{"noteIndex":0},"schema":"https://github.com/citation-style-language/schema/raw/master/csl-citation.json"}</w:instrText>
      </w:r>
      <w:r w:rsidR="00AA406D" w:rsidRPr="002A7627">
        <w:fldChar w:fldCharType="separate"/>
      </w:r>
      <w:r w:rsidR="00AA406D" w:rsidRPr="002A7627">
        <w:rPr>
          <w:noProof/>
        </w:rPr>
        <w:t>Siddique (2012)</w:t>
      </w:r>
      <w:r w:rsidR="00AA406D" w:rsidRPr="002A7627">
        <w:fldChar w:fldCharType="end"/>
      </w:r>
      <w:r w:rsidRPr="002A7627">
        <w:t xml:space="preserve"> investigated knowledge management practices and benefits but focused on private companies.</w:t>
      </w:r>
    </w:p>
    <w:p w14:paraId="367DB32B" w14:textId="7E0C53D5" w:rsidR="008377FA" w:rsidRPr="002A7627" w:rsidRDefault="008377FA" w:rsidP="00690CD5">
      <w:pPr>
        <w:pStyle w:val="AAAAAAA"/>
      </w:pPr>
      <w:r w:rsidRPr="001D5BB6">
        <w:rPr>
          <w:color w:val="000000" w:themeColor="text1"/>
        </w:rPr>
        <w:t xml:space="preserve">It is still debatable whether knowledge management initiatives </w:t>
      </w:r>
      <w:r w:rsidR="00621F08" w:rsidRPr="001D5BB6">
        <w:rPr>
          <w:color w:val="000000" w:themeColor="text1"/>
        </w:rPr>
        <w:t>support</w:t>
      </w:r>
      <w:r w:rsidRPr="001D5BB6">
        <w:rPr>
          <w:color w:val="000000" w:themeColor="text1"/>
        </w:rPr>
        <w:t xml:space="preserve"> the </w:t>
      </w:r>
      <w:r w:rsidR="00621F08" w:rsidRPr="001D5BB6">
        <w:rPr>
          <w:color w:val="000000" w:themeColor="text1"/>
        </w:rPr>
        <w:lastRenderedPageBreak/>
        <w:t>shift</w:t>
      </w:r>
      <w:r w:rsidRPr="001D5BB6">
        <w:rPr>
          <w:color w:val="000000" w:themeColor="text1"/>
        </w:rPr>
        <w:t xml:space="preserve"> to a knowledge-based economy </w:t>
      </w:r>
      <w:r w:rsidRPr="001D5BB6">
        <w:rPr>
          <w:color w:val="000000" w:themeColor="text1"/>
        </w:rPr>
        <w:fldChar w:fldCharType="begin" w:fldLock="1"/>
      </w:r>
      <w:r w:rsidR="00E24626" w:rsidRPr="001D5BB6">
        <w:rPr>
          <w:color w:val="000000" w:themeColor="text1"/>
        </w:rPr>
        <w:instrText>ADDIN CSL_CITATION {"citationItems":[{"id":"ITEM-1","itemData":{"DOI":"10.1108/13673271211262763","ISBN":"1367327121","ISSN":"1367-3270","author":[{"dropping-particle":"","family":"Siddique","given":"C. Muhammed","non-dropping-particle":"","parse-names":false,"suffix":""}],"container-title":"Journal of Knowledge Management","id":"ITEM-1","issue":"5","issued":{"date-parts":[["2012","9","7"]]},"page":"702-723","title":"Knowledge management initiatives in the United Arab Emirates: A baseline study","type":"article-journal","volume":"16"},"uris":["http://www.mendeley.com/documents/?uuid=4416d806-e6e9-49fa-a6ff-2917a0c3d074"]}],"mendeley":{"formattedCitation":"(Siddique, 2012)","manualFormatting":"(Siddique, 2012)","plainTextFormattedCitation":"(Siddique, 2012)","previouslyFormattedCitation":"(Siddique, 2012)"},"properties":{"noteIndex":0},"schema":"https://github.com/citation-style-language/schema/raw/master/csl-citation.json"}</w:instrText>
      </w:r>
      <w:r w:rsidRPr="001D5BB6">
        <w:rPr>
          <w:color w:val="000000" w:themeColor="text1"/>
        </w:rPr>
        <w:fldChar w:fldCharType="separate"/>
      </w:r>
      <w:r w:rsidRPr="001D5BB6">
        <w:rPr>
          <w:noProof/>
          <w:color w:val="000000" w:themeColor="text1"/>
        </w:rPr>
        <w:t>(Siddique, 2012)</w:t>
      </w:r>
      <w:r w:rsidRPr="001D5BB6">
        <w:rPr>
          <w:color w:val="000000" w:themeColor="text1"/>
        </w:rPr>
        <w:fldChar w:fldCharType="end"/>
      </w:r>
      <w:r w:rsidRPr="001D5BB6">
        <w:rPr>
          <w:color w:val="000000" w:themeColor="text1"/>
        </w:rPr>
        <w:t>. Some researchers believe that knowledge management, technology</w:t>
      </w:r>
      <w:r w:rsidR="00054373" w:rsidRPr="001D5BB6">
        <w:rPr>
          <w:color w:val="000000" w:themeColor="text1"/>
        </w:rPr>
        <w:t>,</w:t>
      </w:r>
      <w:r w:rsidRPr="001D5BB6">
        <w:rPr>
          <w:color w:val="000000" w:themeColor="text1"/>
        </w:rPr>
        <w:t xml:space="preserve"> and globalization are the key drivers to deliver </w:t>
      </w:r>
      <w:r w:rsidR="00054373" w:rsidRPr="001D5BB6">
        <w:rPr>
          <w:color w:val="000000" w:themeColor="text1"/>
        </w:rPr>
        <w:t xml:space="preserve">the </w:t>
      </w:r>
      <w:r w:rsidRPr="001D5BB6">
        <w:rPr>
          <w:color w:val="000000" w:themeColor="text1"/>
        </w:rPr>
        <w:t xml:space="preserve">organizational strategy </w:t>
      </w:r>
      <w:r w:rsidR="00C06AA1" w:rsidRPr="001D5BB6">
        <w:rPr>
          <w:color w:val="000000" w:themeColor="text1"/>
        </w:rPr>
        <w:t>required to</w:t>
      </w:r>
      <w:r w:rsidRPr="001D5BB6">
        <w:rPr>
          <w:color w:val="000000" w:themeColor="text1"/>
        </w:rPr>
        <w:t xml:space="preserve"> transfer to </w:t>
      </w:r>
      <w:r w:rsidR="00C06AA1" w:rsidRPr="001D5BB6">
        <w:rPr>
          <w:color w:val="000000" w:themeColor="text1"/>
        </w:rPr>
        <w:t xml:space="preserve">a </w:t>
      </w:r>
      <w:r w:rsidRPr="001D5BB6">
        <w:rPr>
          <w:color w:val="000000" w:themeColor="text1"/>
        </w:rPr>
        <w:t xml:space="preserve">knowledge-based economy </w:t>
      </w:r>
      <w:r w:rsidRPr="001D5BB6">
        <w:rPr>
          <w:color w:val="000000" w:themeColor="text1"/>
        </w:rPr>
        <w:fldChar w:fldCharType="begin" w:fldLock="1"/>
      </w:r>
      <w:r w:rsidRPr="001D5BB6">
        <w:rPr>
          <w:color w:val="000000" w:themeColor="text1"/>
        </w:rPr>
        <w:instrText>ADDIN CSL_CITATION {"citationItems":[{"id":"ITEM-1","itemData":{"author":[{"dropping-particle":"","family":"Houghton","given":"John","non-dropping-particle":"","parse-names":false,"suffix":""},{"dropping-particle":"","family":"Sheehan","given":"Peter","non-dropping-particle":"","parse-names":false,"suffix":""}],"collection-title":"CSES Working Paper","id":"ITEM-1","issued":{"date-parts":[["2000"]]},"number":"18","publisher":"Victoria University","publisher-place":"Melbourne, Australia","title":"A primer on the knowledge economy","type":"report"},"uris":["http://www.mendeley.com/documents/?uuid=a0aa2f8f-2c69-48e3-ba93-f467e6bebedd"]},{"id":"ITEM-2","itemData":{"author":[{"dropping-particle":"","family":"Saisana","given":"Michaela","non-dropping-particle":"","parse-names":false,"suffix":""},{"dropping-particle":"","family":"Munda","given":"Giuseppe","non-dropping-particle":"","parse-names":false,"suffix":""}],"container-title":"EUR Reports","id":"ITEM-2","issued":{"date-parts":[["2008"]]},"publisher":"European Communities","publisher-place":"Rome, Italy","title":"Knowledge Economy: Measures and drivers","type":"report"},"uris":["http://www.mendeley.com/documents/?uuid=44611c24-d8d8-4e8d-a3ad-b3ac0474035f"]}],"mendeley":{"formattedCitation":"(Houghton &amp; Sheehan, 2000; Saisana &amp; Munda, 2008)","plainTextFormattedCitation":"(Houghton &amp; Sheehan, 2000; Saisana &amp; Munda, 2008)","previouslyFormattedCitation":"(Houghton &amp; Sheehan, 2000; Saisana &amp; Munda, 2008)"},"properties":{"noteIndex":0},"schema":"https://github.com/citation-style-language/schema/raw/master/csl-citation.json"}</w:instrText>
      </w:r>
      <w:r w:rsidRPr="001D5BB6">
        <w:rPr>
          <w:color w:val="000000" w:themeColor="text1"/>
        </w:rPr>
        <w:fldChar w:fldCharType="separate"/>
      </w:r>
      <w:r w:rsidRPr="001D5BB6">
        <w:rPr>
          <w:noProof/>
          <w:color w:val="000000" w:themeColor="text1"/>
        </w:rPr>
        <w:t>(Houghton &amp; Sheehan, 2000; Saisana &amp; Munda, 2008)</w:t>
      </w:r>
      <w:r w:rsidRPr="001D5BB6">
        <w:rPr>
          <w:color w:val="000000" w:themeColor="text1"/>
        </w:rPr>
        <w:fldChar w:fldCharType="end"/>
      </w:r>
      <w:r w:rsidRPr="001D5BB6">
        <w:rPr>
          <w:color w:val="000000" w:themeColor="text1"/>
        </w:rPr>
        <w:t xml:space="preserve">. Companies with advanced knowledge management systems and highly effective networks are in a good position to capture and share knowledge to innovate and develop new products </w:t>
      </w:r>
      <w:r w:rsidRPr="001D5BB6">
        <w:rPr>
          <w:color w:val="000000" w:themeColor="text1"/>
        </w:rPr>
        <w:fldChar w:fldCharType="begin" w:fldLock="1"/>
      </w:r>
      <w:r w:rsidR="00E24626" w:rsidRPr="001D5BB6">
        <w:rPr>
          <w:color w:val="000000" w:themeColor="text1"/>
        </w:rPr>
        <w:instrText>ADDIN CSL_CITATION {"citationItems":[{"id":"ITEM-1","itemData":{"DOI":"10.1108/JWL-05-2016-0041","ISSN":"1366-5626","abstract":"Purpose This paper aims to examine a research model that links knowledge sharing enablers, processes and outcome dimensions in law enforcement in the United Arab Emirates (UAE). It attempts to examine the impact of knowledge self-efficacy and top management support on knowledge donating and collecting. It also attempts to examine the effect of these two aspects of knowledge sharing on firm innovation capability. Design/methodology/approach This study used a quantitative approach, with data collected by questionnaire from 685 police officers in a law enforcement agency in the UAE. Findings Knowledge self-efficacy and top management support have a positive impact on knowledge donating and collecting. Only knowledge collecting, however, had a positive effect on firm innovation capability. Research limitations/implications The study has significant academic and practical implications. It supports a previous research model that links enablers, processes and outcomes of knowledge sharing, and confirms them in the context of law enforcement in the UAE. It could also help law enforcement agencies to promote a knowledge sharing culture to support innovation in the UAE. Originality/value The research model is likely to be particularly valuable in knowledge-intensive organizations such as the law enforcement sector. Knowledge sharing is often overlooked by organizations in the UAE because there has to date been little research in this field.","author":[{"dropping-particle":"","family":"Hussein","given":"AlShaima Taleb Taleb","non-dropping-particle":"","parse-names":false,"suffix":""},{"dropping-particle":"","family":"Singh","given":"Sanjay Kumar","non-dropping-particle":"","parse-names":false,"suffix":""},{"dropping-particle":"","family":"Farouk","given":"Sherine","non-dropping-particle":"","parse-names":false,"suffix":""},{"dropping-particle":"","family":"Sohal","given":"Amrik S.","non-dropping-particle":"","parse-names":false,"suffix":""}],"container-title":"Journal of Workplace Learning","id":"ITEM-1","issue":"8","issued":{"date-parts":[["2016","10","10"]]},"page":"484-495","title":"Knowledge sharing enablers, processes and firm innovation capability","type":"article-journal","volume":"28"},"uris":["http://www.mendeley.com/documents/?uuid=6cc4e2c3-3f32-43e9-bcbb-5cbc898f37e1"]},{"id":"ITEM-2","itemData":{"DOI":"10.1108/13673271211262763","ISBN":"1367327121","ISSN":"1367-3270","author":[{"dropping-particle":"","family":"Siddique","given":"C. Muhammed","non-dropping-particle":"","parse-names":false,"suffix":""}],"container-title":"Journal of Knowledge Management","id":"ITEM-2","issue":"5","issued":{"date-parts":[["2012","9","7"]]},"page":"702-723","title":"Knowledge management initiatives in the United Arab Emirates: A baseline study","type":"article-journal","volume":"16"},"uris":["http://www.mendeley.com/documents/?uuid=4416d806-e6e9-49fa-a6ff-2917a0c3d074"]}],"mendeley":{"formattedCitation":"(Hussein et al., 2016; Siddique, 2012)","plainTextFormattedCitation":"(Hussein et al., 2016; Siddique, 2012)","previouslyFormattedCitation":"(Hussein et al., 2016; Siddique, 2012)"},"properties":{"noteIndex":0},"schema":"https://github.com/citation-style-language/schema/raw/master/csl-citation.json"}</w:instrText>
      </w:r>
      <w:r w:rsidRPr="001D5BB6">
        <w:rPr>
          <w:color w:val="000000" w:themeColor="text1"/>
        </w:rPr>
        <w:fldChar w:fldCharType="separate"/>
      </w:r>
      <w:r w:rsidR="00AA406D" w:rsidRPr="001D5BB6">
        <w:rPr>
          <w:noProof/>
          <w:color w:val="000000" w:themeColor="text1"/>
        </w:rPr>
        <w:t>(Hussein et al., 2016; Siddique, 2012)</w:t>
      </w:r>
      <w:r w:rsidRPr="001D5BB6">
        <w:rPr>
          <w:color w:val="000000" w:themeColor="text1"/>
        </w:rPr>
        <w:fldChar w:fldCharType="end"/>
      </w:r>
      <w:r w:rsidRPr="001D5BB6">
        <w:rPr>
          <w:color w:val="000000" w:themeColor="text1"/>
        </w:rPr>
        <w:t>. Achieving organizational strateg</w:t>
      </w:r>
      <w:r w:rsidR="00EA7FDD" w:rsidRPr="001D5BB6">
        <w:rPr>
          <w:color w:val="000000" w:themeColor="text1"/>
        </w:rPr>
        <w:t>ies</w:t>
      </w:r>
      <w:r w:rsidRPr="001D5BB6">
        <w:rPr>
          <w:color w:val="000000" w:themeColor="text1"/>
        </w:rPr>
        <w:t xml:space="preserve"> and innovating new products are considered knowledge management benefits </w:t>
      </w:r>
      <w:r w:rsidRPr="002A7627">
        <w:fldChar w:fldCharType="begin" w:fldLock="1"/>
      </w:r>
      <w:r w:rsidRPr="002A7627">
        <w:instrText>ADDIN CSL_CITATION {"citationItems":[{"id":"ITEM-1","itemData":{"author":[{"dropping-particle":"","family":"Dalkir","given":"K.","non-dropping-particle":"","parse-names":false,"suffix":""}],"id":"ITEM-1","issued":{"date-parts":[["2017"]]},"publisher":"Massachusetts Institute of Technology","publisher-place":"Cambridge, MA","title":"Knowledge management in theory and practice","type":"book"},"uris":["http://www.mendeley.com/documents/?uuid=7919d89b-6c2d-467b-b622-402430e489b6"]}],"mendeley":{"formattedCitation":"(Dalkir, 2017)","plainTextFormattedCitation":"(Dalkir, 2017)","previouslyFormattedCitation":"(Dalkir, 2017)"},"properties":{"noteIndex":0},"schema":"https://github.com/citation-style-language/schema/raw/master/csl-citation.json"}</w:instrText>
      </w:r>
      <w:r w:rsidRPr="002A7627">
        <w:fldChar w:fldCharType="separate"/>
      </w:r>
      <w:r w:rsidRPr="002A7627">
        <w:rPr>
          <w:noProof/>
        </w:rPr>
        <w:t>(Dalkir, 2017)</w:t>
      </w:r>
      <w:r w:rsidRPr="002A7627">
        <w:fldChar w:fldCharType="end"/>
      </w:r>
      <w:r w:rsidRPr="002A7627">
        <w:t xml:space="preserve">. </w:t>
      </w:r>
    </w:p>
    <w:p w14:paraId="6F2A00E9" w14:textId="4456A6F1" w:rsidR="008377FA" w:rsidRPr="002A7627" w:rsidRDefault="0070671C" w:rsidP="00690CD5">
      <w:pPr>
        <w:pStyle w:val="AAAAAAA"/>
      </w:pPr>
      <w:bookmarkStart w:id="37" w:name="_Toc11533399"/>
      <w:bookmarkStart w:id="38" w:name="_Toc11533506"/>
      <w:bookmarkStart w:id="39" w:name="_Toc13959613"/>
      <w:bookmarkStart w:id="40" w:name="_Toc22331638"/>
      <w:r>
        <w:rPr>
          <w:rStyle w:val="Heading2Char"/>
          <w:color w:val="000000"/>
          <w:u w:val="none"/>
        </w:rPr>
        <w:t xml:space="preserve">1.1.4. </w:t>
      </w:r>
      <w:r w:rsidR="008377FA" w:rsidRPr="002A7627">
        <w:rPr>
          <w:rStyle w:val="Heading2Char"/>
          <w:color w:val="000000"/>
          <w:u w:val="none"/>
        </w:rPr>
        <w:t>Knowledge management and organizational learning</w:t>
      </w:r>
      <w:bookmarkEnd w:id="37"/>
      <w:bookmarkEnd w:id="38"/>
      <w:bookmarkEnd w:id="39"/>
      <w:bookmarkEnd w:id="40"/>
      <w:r w:rsidR="00690CD5" w:rsidRPr="002A7627">
        <w:t xml:space="preserve">. </w:t>
      </w:r>
      <w:r w:rsidR="008377FA" w:rsidRPr="002A7627">
        <w:t xml:space="preserve">Knowledge management and organizational learning are related but are often treated as independent subjects in research </w:t>
      </w:r>
      <w:r w:rsidR="008377FA" w:rsidRPr="002A7627">
        <w:fldChar w:fldCharType="begin" w:fldLock="1"/>
      </w:r>
      <w:r w:rsidR="007C79F2" w:rsidRPr="002A7627">
        <w:instrText>ADDIN CSL_CITATION {"citationItems":[{"id":"ITEM-1","itemData":{"abstract":"Chapter 1","author":[{"dropping-particle":"","family":"Easterby-Smith","given":"Mark","non-dropping-particle":"","parse-names":false,"suffix":""},{"dropping-particle":"","family":"Lyles","given":"Marjorie A.","non-dropping-particle":"","parse-names":false,"suffix":""}],"container-title":"Handbook of organizational learning and knowledge management","editor":[{"dropping-particle":"","family":"Easterby-Smith","given":"Mark","non-dropping-particle":"","parse-names":false,"suffix":""}],"id":"ITEM-1","issued":{"date-parts":[["2015","9","12"]]},"page":"1-20","publisher":"John Wiley &amp; Sons","publisher-place":"Hoboken, NJ","title":"The evolving field of organizational learning and knowledge management","type":"chapter"},"uris":["http://www.mendeley.com/documents/?uuid=ec6b5e09-a661-4cc0-a19d-af7b42527b79"]}],"mendeley":{"formattedCitation":"(Easterby-Smith &amp; Lyles, 2015)","plainTextFormattedCitation":"(Easterby-Smith &amp; Lyles, 2015)","previouslyFormattedCitation":"(Easterby-Smith &amp; Lyles, 2015)"},"properties":{"noteIndex":0},"schema":"https://github.com/citation-style-language/schema/raw/master/csl-citation.json"}</w:instrText>
      </w:r>
      <w:r w:rsidR="008377FA" w:rsidRPr="002A7627">
        <w:fldChar w:fldCharType="separate"/>
      </w:r>
      <w:r w:rsidR="0083144E" w:rsidRPr="002A7627">
        <w:rPr>
          <w:noProof/>
        </w:rPr>
        <w:t>(Easterby-Smith &amp; Lyles, 2015)</w:t>
      </w:r>
      <w:r w:rsidR="008377FA" w:rsidRPr="002A7627">
        <w:fldChar w:fldCharType="end"/>
      </w:r>
      <w:r w:rsidR="008377FA" w:rsidRPr="002A7627">
        <w:t xml:space="preserve">. </w:t>
      </w:r>
      <w:r w:rsidR="00AA406D" w:rsidRPr="002A7627">
        <w:fldChar w:fldCharType="begin" w:fldLock="1"/>
      </w:r>
      <w:r w:rsidR="00AA406D" w:rsidRPr="002A7627">
        <w:instrText>ADDIN CSL_CITATION {"citationItems":[{"id":"ITEM-1","itemData":{"author":[{"dropping-particle":"","family":"Dalkir","given":"K.","non-dropping-particle":"","parse-names":false,"suffix":""}],"id":"ITEM-1","issued":{"date-parts":[["2017"]]},"publisher":"Massachusetts Institute of Technology","publisher-place":"Cambridge, MA","title":"Knowledge management in theory and practice","type":"book"},"uris":["http://www.mendeley.com/documents/?uuid=7919d89b-6c2d-467b-b622-402430e489b6"]}],"mendeley":{"formattedCitation":"(Dalkir, 2017)","manualFormatting":"Dalkir (2017)","plainTextFormattedCitation":"(Dalkir, 2017)","previouslyFormattedCitation":"(Dalkir, 2017)"},"properties":{"noteIndex":0},"schema":"https://github.com/citation-style-language/schema/raw/master/csl-citation.json"}</w:instrText>
      </w:r>
      <w:r w:rsidR="00AA406D" w:rsidRPr="002A7627">
        <w:fldChar w:fldCharType="separate"/>
      </w:r>
      <w:r w:rsidR="00AA406D" w:rsidRPr="002A7627">
        <w:rPr>
          <w:noProof/>
        </w:rPr>
        <w:t>Dalkir (2017)</w:t>
      </w:r>
      <w:r w:rsidR="00AA406D" w:rsidRPr="002A7627">
        <w:fldChar w:fldCharType="end"/>
      </w:r>
      <w:r w:rsidR="008377FA" w:rsidRPr="002A7627">
        <w:t xml:space="preserve"> defined organizational learning as the process by which organizations develop by using their mistakes to enhance innovation. Organizational learning and knowledge management are important fields that create added value for organizations and help them to achieve their strategy </w:t>
      </w:r>
      <w:r w:rsidR="008377FA" w:rsidRPr="002A7627">
        <w:fldChar w:fldCharType="begin" w:fldLock="1"/>
      </w:r>
      <w:r w:rsidR="00D23886" w:rsidRPr="002A7627">
        <w:instrText>ADDIN CSL_CITATION {"citationItems":[{"id":"ITEM-1","itemData":{"DOI":"10.1108/JKM-01-2017-0041","ISSN":"1367-3270","abstract":"Purpose – This paper aims to focus on research regarding organizational learning (OL) and knowledge management (KM), and to specifically investigate whether OL has been conceptually absorbed by KM. Design/methodology/approach – This study is based on 16,185 articles from the Scopus and ISI Web of Science databases, using VantagePoint 10.0 software. The method used in this study is a systematic literature review covering KM and OL publications from the 1970s, when the OL field started to grow, up to 2016. Findings – Nuclear processes of OL, creation and acquisition of knowledge, have been conceptually absorbed by KM literature in the past years. Research limitations/implications – Only two databases have been considered, Scopus and ISI Web of Science, because of their academic prestige. However, these databases include a large number of articles on KM and OL. Search terms used could exclude some relevant terms, although all major descriptive terms have been included. Practical implications – This paper identifies thematic clusters in KM and OL, evolution of both fields, most cited authors and representative journals by topic. Originality/value – This is the first paper to jointly analyse the evolution of KM and OL. This paper showsa conceptual absorption of OL into KM, which may enrich academic discussion and also provide some clarity to the conceptualization of these two fields.","author":[{"dropping-particle":"","family":"Castaneda","given":"Delio Ignacio","non-dropping-particle":"","parse-names":false,"suffix":""},{"dropping-particle":"","family":"Manrique","given":"Luisa Fernanda","non-dropping-particle":"","parse-names":false,"suffix":""},{"dropping-particle":"","family":"Cuellar","given":"Sergio","non-dropping-particle":"","parse-names":false,"suffix":""}],"container-title":"Journal of Knowledge Management","id":"ITEM-1","issue":"2","issued":{"date-parts":[["2018","3","12"]]},"page":"299-325","title":"Is organizational learning being absorbed by knowledge management? A systematic review","type":"article-journal","volume":"22"},"uris":["http://www.mendeley.com/documents/?uuid=b50daaa9-cc4a-4883-b2ee-eca446dd0d9d"]}],"mendeley":{"formattedCitation":"(Castaneda, Manrique, &amp; Cuellar, 2018)","plainTextFormattedCitation":"(Castaneda, Manrique, &amp; Cuellar, 2018)","previouslyFormattedCitation":"(Castaneda, Manrique, &amp; Cuellar, 2018)"},"properties":{"noteIndex":0},"schema":"https://github.com/citation-style-language/schema/raw/master/csl-citation.json"}</w:instrText>
      </w:r>
      <w:r w:rsidR="008377FA" w:rsidRPr="002A7627">
        <w:fldChar w:fldCharType="separate"/>
      </w:r>
      <w:r w:rsidR="008377FA" w:rsidRPr="002A7627">
        <w:rPr>
          <w:noProof/>
        </w:rPr>
        <w:t>(Castaneda, Manrique, &amp; Cuellar, 2018)</w:t>
      </w:r>
      <w:r w:rsidR="008377FA" w:rsidRPr="002A7627">
        <w:fldChar w:fldCharType="end"/>
      </w:r>
      <w:r w:rsidR="008377FA" w:rsidRPr="002A7627">
        <w:t>. Leading companies are sometimes described as ‘fast learners’ and seen as more effective in using their knowledge</w:t>
      </w:r>
      <w:r w:rsidR="00C06AA1">
        <w:t>.</w:t>
      </w:r>
      <w:r w:rsidR="008377FA" w:rsidRPr="002A7627">
        <w:t xml:space="preserve"> </w:t>
      </w:r>
      <w:r w:rsidR="00C06AA1">
        <w:t>B</w:t>
      </w:r>
      <w:r w:rsidR="008377FA" w:rsidRPr="002A7627">
        <w:t xml:space="preserve">oth knowledge management and organizational learning are </w:t>
      </w:r>
      <w:r w:rsidR="00C06AA1">
        <w:t xml:space="preserve">therefore </w:t>
      </w:r>
      <w:r w:rsidR="008377FA" w:rsidRPr="002A7627">
        <w:t xml:space="preserve">active subjects that have experienced radical changes over the last 20 years, with further change likely over the next 10 years </w:t>
      </w:r>
      <w:r w:rsidR="008377FA" w:rsidRPr="002A7627">
        <w:fldChar w:fldCharType="begin" w:fldLock="1"/>
      </w:r>
      <w:r w:rsidR="007C79F2" w:rsidRPr="002A7627">
        <w:instrText>ADDIN CSL_CITATION {"citationItems":[{"id":"ITEM-1","itemData":{"abstract":"Chapter 1","author":[{"dropping-particle":"","family":"Easterby-Smith","given":"Mark","non-dropping-particle":"","parse-names":false,"suffix":""},{"dropping-particle":"","family":"Lyles","given":"Marjorie A.","non-dropping-particle":"","parse-names":false,"suffix":""}],"container-title":"Handbook of organizational learning and knowledge management","editor":[{"dropping-particle":"","family":"Easterby-Smith","given":"Mark","non-dropping-particle":"","parse-names":false,"suffix":""}],"id":"ITEM-1","issued":{"date-parts":[["2015","9","12"]]},"page":"1-20","publisher":"John Wiley &amp; Sons","publisher-place":"Hoboken, NJ","title":"The evolving field of organizational learning and knowledge management","type":"chapter"},"uris":["http://www.mendeley.com/documents/?uuid=ec6b5e09-a661-4cc0-a19d-af7b42527b79"]}],"mendeley":{"formattedCitation":"(Easterby-Smith &amp; Lyles, 2015)","plainTextFormattedCitation":"(Easterby-Smith &amp; Lyles, 2015)","previouslyFormattedCitation":"(Easterby-Smith &amp; Lyles, 2015)"},"properties":{"noteIndex":0},"schema":"https://github.com/citation-style-language/schema/raw/master/csl-citation.json"}</w:instrText>
      </w:r>
      <w:r w:rsidR="008377FA" w:rsidRPr="002A7627">
        <w:fldChar w:fldCharType="separate"/>
      </w:r>
      <w:r w:rsidR="0083144E" w:rsidRPr="002A7627">
        <w:rPr>
          <w:noProof/>
        </w:rPr>
        <w:t>(Easterby-Smith &amp; Lyles, 2015)</w:t>
      </w:r>
      <w:r w:rsidR="008377FA" w:rsidRPr="002A7627">
        <w:fldChar w:fldCharType="end"/>
      </w:r>
      <w:r w:rsidR="008377FA" w:rsidRPr="002A7627">
        <w:t>.</w:t>
      </w:r>
    </w:p>
    <w:p w14:paraId="3971DA70" w14:textId="6DA13814" w:rsidR="008377FA" w:rsidRPr="002A7627" w:rsidRDefault="008377FA" w:rsidP="00690CD5">
      <w:pPr>
        <w:pStyle w:val="AAAAAAA"/>
      </w:pPr>
      <w:r w:rsidRPr="002A7627">
        <w:t xml:space="preserve">Knowledge management and organizational learning have been studied </w:t>
      </w:r>
      <w:r w:rsidRPr="002A7627">
        <w:lastRenderedPageBreak/>
        <w:t xml:space="preserve">together in an investigation of their impact on organizational performance </w:t>
      </w:r>
      <w:r w:rsidRPr="002A7627">
        <w:fldChar w:fldCharType="begin" w:fldLock="1"/>
      </w:r>
      <w:r w:rsidR="007C79F2" w:rsidRPr="002A7627">
        <w:instrText>ADDIN CSL_CITATION {"citationItems":[{"id":"ITEM-1","itemData":{"abstract":"Chapter 1","author":[{"dropping-particle":"","family":"Easterby-Smith","given":"Mark","non-dropping-particle":"","parse-names":false,"suffix":""},{"dropping-particle":"","family":"Lyles","given":"Marjorie A.","non-dropping-particle":"","parse-names":false,"suffix":""}],"container-title":"Handbook of organizational learning and knowledge management","editor":[{"dropping-particle":"","family":"Easterby-Smith","given":"Mark","non-dropping-particle":"","parse-names":false,"suffix":""}],"id":"ITEM-1","issued":{"date-parts":[["2015","9","12"]]},"page":"1-20","publisher":"John Wiley &amp; Sons","publisher-place":"Hoboken, NJ","title":"The evolving field of organizational learning and knowledge management","type":"chapter"},"uris":["http://www.mendeley.com/documents/?uuid=ec6b5e09-a661-4cc0-a19d-af7b42527b79"]}],"mendeley":{"formattedCitation":"(Easterby-Smith &amp; Lyles, 2015)","plainTextFormattedCitation":"(Easterby-Smith &amp; Lyles, 2015)","previouslyFormattedCitation":"(Easterby-Smith &amp; Lyles, 2015)"},"properties":{"noteIndex":0},"schema":"https://github.com/citation-style-language/schema/raw/master/csl-citation.json"}</w:instrText>
      </w:r>
      <w:r w:rsidRPr="002A7627">
        <w:fldChar w:fldCharType="separate"/>
      </w:r>
      <w:r w:rsidR="0083144E" w:rsidRPr="002A7627">
        <w:rPr>
          <w:noProof/>
        </w:rPr>
        <w:t>(Easterby-Smith &amp; Lyles, 2015)</w:t>
      </w:r>
      <w:r w:rsidRPr="002A7627">
        <w:fldChar w:fldCharType="end"/>
      </w:r>
      <w:r w:rsidRPr="002A7627">
        <w:t xml:space="preserve">. However, the majority of studies have treated them separately </w:t>
      </w:r>
      <w:r w:rsidRPr="002A7627">
        <w:fldChar w:fldCharType="begin" w:fldLock="1"/>
      </w:r>
      <w:r w:rsidRPr="002A7627">
        <w:instrText>ADDIN CSL_CITATION {"citationItems":[{"id":"ITEM-1","itemData":{"DOI":"10.1177/1350507604048270","ISSN":"1350-5076","abstract":"Prior reviews of organizational learning (OL) have noted an exponential growth in the literature through the 1990s and have expressed concerns about the lack of empirical research. In this paper, we review the literature published during the period 1990–2002 and take stock of the state of empirical research in OL. Based on the 123 articles reviewed, we note a phenomenal growth in empirical research and the emergence of a learning perspective. We discuss key research findings pertaining to internal and external learning, and the facilitators of organizational learning. We discuss the implications of the empirical research and suggest directions for future research.","author":[{"dropping-particle":"","family":"Bapuji","given":"Hari","non-dropping-particle":"","parse-names":false,"suffix":""},{"dropping-particle":"","family":"Crossan","given":"Mary","non-dropping-particle":"","parse-names":false,"suffix":""}],"container-title":"Management Learning","id":"ITEM-1","issue":"4","issued":{"date-parts":[["2004","12","19"]]},"page":"397-417","title":"From questions to answers: Reviewing organizational learning research","type":"article-journal","volume":"35"},"uris":["http://www.mendeley.com/documents/?uuid=c76e255f-8b4c-46de-b337-5e4b717e2558"]},{"id":"ITEM-2","itemData":{"ISBN":"0972-9216","ISSN":"09729216","PMID":"1751972510","abstract":"Knowledge and Knowledge Management (KM) practices have been recognized as valuable means for tapping collective intelligence and skills of employees to create greater organization knowledge. Further, promoting conducive work culture improves productivity and enhances performance. Researches, both industrial and academic, have been undertaken to explore KM concepts, frameworks, technologies, applications, knowledge-based work culture, etc. This paper explores the development of KM through review and categorization of research papers published during the past 15 years into seven broad categories. The categories have been chosen to track the development in the field of KM from basic, foundational research to integrated research with the areas of Organization Culture (OC) and Organization Performance (OP). The objective of the researcher is to identify and define significant gap in the existing literature and suggest a direction for future research.","author":[{"dropping-particle":"","family":"Brahma","given":"Sanghamitra","non-dropping-particle":"","parse-names":false,"suffix":""},{"dropping-particle":"","family":"Mishra","given":"Sumita","non-dropping-particle":"","parse-names":false,"suffix":""}],"container-title":"Journal of Knowledge Management","id":"ITEM-2","issue":"4","issued":{"date-parts":[["2015"]]},"page":"45-69","title":"Understanding researchable issues in knowledge management","type":"article-journal","volume":"13"},"uris":["http://www.mendeley.com/documents/?uuid=5522b5da-aa36-4fb3-b0c4-b22ab7e99d84"]},{"id":"ITEM-3","itemData":{"DOI":"10.1016/j.chb.2015.08.030","ISBN":"0747-5632","ISSN":"07475632","PMID":"17147636","abstract":"Although numerous studies have discussed the importance of the relationship between knowledge management and software process improvement (SPI), a research gap still exists in relation to how the specific role of knowledge sharing influences successful SPI implementation. This study advances our knowledge by developing an innovative model for exploring the impact of knowledge sharing on SPI success, the impact of knowledge sharing in specific organizational cultures, and how the support of top management specifically influences the path to SPI success. To empirically test the model, this study adopts the statistical technique of partial least squares (PLS) to analyze 118 samples collected from SPI-certified Taiwanese organizations. The results suggest that clan-type organizational culture has a stronger association with knowledge sharing than hierarchy-type in the context of SPI success. SPI knowledge sharing is found to be a mediator of both clan culture and top management support in the context of SPI success. The findings also include the implication to improve our knowledge about how organizational culture and top management support drive effective knowledge sharing on the way to SPI success.","author":[{"dropping-particle":"","family":"Lee","given":"Jung-Chieh","non-dropping-particle":"","parse-names":false,"suffix":""},{"dropping-particle":"","family":"Shiue","given":"Yih-Chearng","non-dropping-particle":"","parse-names":false,"suffix":""},{"dropping-particle":"","family":"Chen","given":"Chung-Yang","non-dropping-particle":"","parse-names":false,"suffix":""}],"container-title":"Computers in Human Behavior","id":"ITEM-3","issued":{"date-parts":[["2016","1"]]},"page":"462-474","publisher":"Elsevier Ltd","title":"Examining the impacts of organizational culture and top management support of knowledge sharing on the success of software process improvement","type":"article-journal","volume":"54"},"uris":["http://www.mendeley.com/documents/?uuid=a9eb4738-24a4-4793-bf5f-3ff76dfceb5f"]},{"id":"ITEM-4","itemData":{"DOI":"10.1108/13673271311315231","ISBN":"1367327091","ISSN":"1367-3270","abstract":"Global ranking of knowledge management and intellectual capital academic journals: 2013 update","author":[{"dropping-particle":"","family":"Serenko","given":"Alexander","non-dropping-particle":"","parse-names":false,"suffix":""},{"dropping-particle":"","family":"Bontis","given":"Nick","non-dropping-particle":"","parse-names":false,"suffix":""}],"container-title":"Journal of Knowledge Management","id":"ITEM-4","issue":"2","issued":{"date-parts":[["2013","3","29"]]},"page":"307-326","title":"Global ranking of knowledge management and intellectual capital academic journals: 2013 update","type":"article-journal","volume":"17"},"uris":["http://www.mendeley.com/documents/?uuid=e7137169-7a22-47d5-a4e9-ece92f1b052f"]},{"id":"ITEM-5","itemData":{"DOI":"10.1108/JKM-06-2014-0220","ISBN":"1367-3270","ISSN":"1367-3270","abstract":"Purpose - The purpose of this study is to develop a list of citation classics published in knowledge management (KM) journals and to analyze the key attributes and characteristics of the selected articles to understand the development of the KM discipline. Design/methodology/approach - This study identifies 100 citation classics from seven KM-centric journals based on their citation impact reported by Google Scholar and analyzes their attributes. Findings - The KM discipline is at the pre-science stage because of the influence of normative studies espousing KM practice. However, KM is progressing toward normal science and academic maturity. While the discipline does not exhibit the signs of the superstar effect, scholars from the USA and UK have made the most significant impact on the development of the KM school of thought. KM scholars should be more engaged in international collaboration. Practical implications - Practitioners played a key role in the development of the KM discipline and thus there is an opportunity to develop more scientific research approaches based on critical and performative research agenda. Originality/value - The study is novel and a must read for KM scholars because it is the first to comprehensively analyze the ideas that are the origins of the KM discipline.","author":[{"dropping-particle":"","family":"Serenko","given":"Alexander","non-dropping-particle":"","parse-names":false,"suffix":""},{"dropping-particle":"","family":"Dumay","given":"John","non-dropping-particle":"","parse-names":false,"suffix":""}],"container-title":"Journal of Knowledge Management","id":"ITEM-5","issue":"2","issued":{"date-parts":[["2015","4","7"]]},"page":"401-431","title":"Citation classics published in knowledge management journals. Part I: Articles and their characteristics","type":"article-journal","volume":"19"},"uris":["http://www.mendeley.com/documents/?uuid=a877abd5-80e2-408e-a6d7-061ba0778739"]},{"id":"ITEM-6","itemData":{"DOI":"10.1108/JKM-02-2015-0086","ISBN":"0520140184","ISSN":"1367-3270","abstract":"Purpose – The purpose of this study was to discover growing, stable and declining knowledge management (KM) research trends. Design/methodology/approach – Citations to 100 KM citation classics as identified by Serenko and Dumay (2015) were collected and analyzed for growing, stable and declining research trends. Findings – This research has two findings that were not theoretically expected. First, a majority of KM citation classics exhibit a bimodal citation distribution peak. Second, there are a growing number of citations for all research topics. These unexpected findings warranted further theoretical elaboration and empirical investigation. The analysis of erroneous citations and a five-year citation trend (2009 – 2013) reveals that the continuously growing volume of citations may result from what the authors call the Google Scholar Effect. Research limitations/implications – The results from this study open up two significant research opportunities. First, more research is needed to understand the impact Google Scholar is having on domains beyond KM. Second, more comprehensive research on the impact of erroneous citations is required because these have the most potential for damaging academic discourse and reputation. Practical implications – Researchers need to be aware of how technology is changing their profession and their citation behavior because of the pressure from the contemporary \" publish or perish \" environment, which prevents research from being state-of-the-art. Similarly, KM reviewers and editors need to be more aware of the pressure and prevalence of mis-citations and take action to raise awareness and to prevent mis-citations. Originality/value – This study is important from a scientometric research perspective as part of a growing research field using Google Scholar to measure the impact and power it has in influencing what gets cited and by whom.","author":[{"dropping-particle":"","family":"Serenko","given":"Alexander","non-dropping-particle":"","parse-names":false,"suffix":""},{"dropping-particle":"","family":"Dumay","given":"John","non-dropping-particle":"","parse-names":false,"suffix":""}],"container-title":"Journal of Knowledge Management","id":"ITEM-6","issue":"6","issued":{"date-parts":[["2015","10","12"]]},"page":"1335-1355","title":"Citation classics published in Knowledge Management journals. Part II: Studying research trends and discovering the Google Scholar Effect","type":"article-journal","volume":"19"},"uris":["http://www.mendeley.com/documents/?uuid=1a0a5147-e9cd-4da1-b1d7-10a119e9c57d"]}],"mendeley":{"formattedCitation":"(Bapuji &amp; Crossan, 2004; Brahma &amp; Mishra, 2015; J.-C. Lee, Shiue, &amp; Chen, 2016; Serenko &amp; Bontis, 2013; Serenko &amp; Dumay, 2015a, 2015b)","plainTextFormattedCitation":"(Bapuji &amp; Crossan, 2004; Brahma &amp; Mishra, 2015; J.-C. Lee, Shiue, &amp; Chen, 2016; Serenko &amp; Bontis, 2013; Serenko &amp; Dumay, 2015a, 2015b)","previouslyFormattedCitation":"(Bapuji &amp; Crossan, 2004; Brahma &amp; Mishra, 2015; J.-C. Lee, Shiue, &amp; Chen, 2016; Serenko &amp; Bontis, 2013; Serenko &amp; Dumay, 2015a, 2015b)"},"properties":{"noteIndex":0},"schema":"https://github.com/citation-style-language/schema/raw/master/csl-citation.json"}</w:instrText>
      </w:r>
      <w:r w:rsidRPr="002A7627">
        <w:fldChar w:fldCharType="separate"/>
      </w:r>
      <w:r w:rsidRPr="002A7627">
        <w:rPr>
          <w:noProof/>
        </w:rPr>
        <w:t>(Bapuji &amp; Crossan, 2004; Brahma &amp; Mishra, 2015; Lee, Shiue, &amp; Chen, 2016; Serenko &amp; Bontis, 2013; Serenko &amp; Dumay, 2015a, 2015b)</w:t>
      </w:r>
      <w:r w:rsidRPr="002A7627">
        <w:fldChar w:fldCharType="end"/>
      </w:r>
      <w:r w:rsidRPr="002A7627">
        <w:t xml:space="preserve">. The few studies that have investigated the two concepts together have found a close relationship between them </w:t>
      </w:r>
      <w:r w:rsidRPr="002A7627">
        <w:fldChar w:fldCharType="begin" w:fldLock="1"/>
      </w:r>
      <w:r w:rsidRPr="002A7627">
        <w:instrText>ADDIN CSL_CITATION {"citationItems":[{"id":"ITEM-1","itemData":{"DOI":"10.1108/JKM-09-2017-0409","ISBN":"1020160217","ISSN":"1367-3270","abstract":"Ahmed Attia, Ingy Essam Eldin, (2018) \"Organizational learning, knowledge management capability and supply chain management practices in the Saudi food industry\", Journal of Knowledge Management, Vol. 22 Issue: 6, pp.1217-1242,","author":[{"dropping-particle":"","family":"Attia","given":"Ahmed","non-dropping-particle":"","parse-names":false,"suffix":""},{"dropping-particle":"","family":"Essam Eldin","given":"Ingy","non-dropping-particle":"","parse-names":false,"suffix":""}],"container-title":"Journal of Knowledge Management","id":"ITEM-1","issue":"6","issued":{"date-parts":[["2018","8","13"]]},"page":"1217-1242","title":"Organizational learning, knowledge management capability and supply chain management practices in the Saudi food industry","type":"article-journal","volume":"22"},"uris":["http://www.mendeley.com/documents/?uuid=b179f4e2-c764-486e-8cc2-591f0c68e771"]}],"mendeley":{"formattedCitation":"(Attia &amp; Essam Eldin, 2018)","plainTextFormattedCitation":"(Attia &amp; Essam Eldin, 2018)","previouslyFormattedCitation":"(Attia &amp; Essam Eldin, 2018)"},"properties":{"noteIndex":0},"schema":"https://github.com/citation-style-language/schema/raw/master/csl-citation.json"}</w:instrText>
      </w:r>
      <w:r w:rsidRPr="002A7627">
        <w:fldChar w:fldCharType="separate"/>
      </w:r>
      <w:r w:rsidRPr="002A7627">
        <w:rPr>
          <w:noProof/>
        </w:rPr>
        <w:t>(Attia &amp; Essam Eldin, 2018)</w:t>
      </w:r>
      <w:r w:rsidRPr="002A7627">
        <w:fldChar w:fldCharType="end"/>
      </w:r>
      <w:r w:rsidRPr="002A7627">
        <w:t xml:space="preserve">. One study in the UAE </w:t>
      </w:r>
      <w:r w:rsidR="00621F08" w:rsidRPr="00CE21A7">
        <w:rPr>
          <w:color w:val="000000" w:themeColor="text1"/>
        </w:rPr>
        <w:t xml:space="preserve">investigated </w:t>
      </w:r>
      <w:r w:rsidRPr="00CE21A7">
        <w:rPr>
          <w:color w:val="000000" w:themeColor="text1"/>
        </w:rPr>
        <w:t xml:space="preserve">the </w:t>
      </w:r>
      <w:r w:rsidR="00621F08" w:rsidRPr="00CE21A7">
        <w:rPr>
          <w:color w:val="000000" w:themeColor="text1"/>
        </w:rPr>
        <w:t xml:space="preserve">effect </w:t>
      </w:r>
      <w:r w:rsidRPr="002A7627">
        <w:t xml:space="preserve">of knowledge management on building a learning culture </w:t>
      </w:r>
      <w:r w:rsidRPr="002A7627">
        <w:fldChar w:fldCharType="begin" w:fldLock="1"/>
      </w:r>
      <w:r w:rsidRPr="002A7627">
        <w:instrText>ADDIN CSL_CITATION {"citationItems":[{"id":"ITEM-1","itemData":{"DOI":"10.1108/MD-08-2013-0427","ISSN":"0025-1747","abstract":"Purpose – The purpose of this paper is to empirically investigate the role of knowledge management (KM) in creating a culture of learning and creativity in a non-western context. It further seeks to stimulate broader empirical and theoretical discussions on this topic. Design/methodology/approach – As little is known about KM approaches in the regional context, the qualitative approach was chosen as an appropriate method of studying this phenomenon. The openness of the qualitative method enables data collection that is not constrained by predetermined categories of analysis, and thus allows for a level of depth and detail that quantitative methods cannot provide. The empirical investigation is based on semi-structured interviews and conducted in the KM department of Dubai Municipality. Findings – Results indicate that the impact of KM on organisational learning (OL) is below expectations. Written official statements or policies are not sufficient to enforce learning and creativity. Notably, institutional ...","author":[{"dropping-particle":"","family":"Haak-Saheem","given":"Washika","non-dropping-particle":"","parse-names":false,"suffix":""},{"dropping-particle":"","family":"Darwish","given":"Tamer K.","non-dropping-particle":"","parse-names":false,"suffix":""}],"container-title":"Management Decision","editor":[{"dropping-particle":"","family":"C. Ickis","given":"John","non-dropping-particle":"","parse-names":false,"suffix":""},{"dropping-particle":"","family":"G. Woodside","given":"Arch","non-dropping-particle":"","parse-names":false,"suffix":""},{"dropping-particle":"","family":"Ogliastri","given":"Enrique","non-dropping-particle":"","parse-names":false,"suffix":""}],"id":"ITEM-1","issue":"9","issued":{"date-parts":[["2014","10","14"]]},"page":"1611-1629","publisher":"Emerald Group Publishing Limited","title":"The role of knowledge management in creating a culture of learning","type":"article-journal","volume":"52"},"uris":["http://www.mendeley.com/documents/?uuid=795567e2-65fc-347e-842c-6bcf54d6480d"]}],"mendeley":{"formattedCitation":"(Haak-Saheem &amp; Darwish, 2014)","plainTextFormattedCitation":"(Haak-Saheem &amp; Darwish, 2014)","previouslyFormattedCitation":"(Haak-Saheem &amp; Darwish, 2014)"},"properties":{"noteIndex":0},"schema":"https://github.com/citation-style-language/schema/raw/master/csl-citation.json"}</w:instrText>
      </w:r>
      <w:r w:rsidRPr="002A7627">
        <w:fldChar w:fldCharType="separate"/>
      </w:r>
      <w:r w:rsidRPr="002A7627">
        <w:rPr>
          <w:noProof/>
        </w:rPr>
        <w:t>(Haak-Saheem &amp; Darwish, 2014)</w:t>
      </w:r>
      <w:r w:rsidRPr="002A7627">
        <w:fldChar w:fldCharType="end"/>
      </w:r>
      <w:r w:rsidRPr="002A7627">
        <w:t xml:space="preserve">. The study found that </w:t>
      </w:r>
      <w:r w:rsidRPr="00CE21A7">
        <w:rPr>
          <w:color w:val="000000" w:themeColor="text1"/>
        </w:rPr>
        <w:t xml:space="preserve">knowledge management </w:t>
      </w:r>
      <w:r w:rsidR="00C06AA1" w:rsidRPr="00CE21A7">
        <w:rPr>
          <w:color w:val="000000" w:themeColor="text1"/>
        </w:rPr>
        <w:t xml:space="preserve">had a low impact </w:t>
      </w:r>
      <w:r w:rsidRPr="00CE21A7">
        <w:rPr>
          <w:color w:val="000000" w:themeColor="text1"/>
        </w:rPr>
        <w:t xml:space="preserve">on organizational learning because the institutional policies </w:t>
      </w:r>
      <w:r w:rsidR="00C06AA1" w:rsidRPr="00CE21A7">
        <w:rPr>
          <w:color w:val="000000" w:themeColor="text1"/>
        </w:rPr>
        <w:t>were</w:t>
      </w:r>
      <w:r w:rsidR="00C06AA1" w:rsidRPr="002A7627">
        <w:t xml:space="preserve"> </w:t>
      </w:r>
      <w:r w:rsidRPr="002A7627">
        <w:t xml:space="preserve">not adequate to enforce learning. </w:t>
      </w:r>
    </w:p>
    <w:p w14:paraId="5FD5D4D3" w14:textId="5CF144CF" w:rsidR="008377FA" w:rsidRPr="002A7627" w:rsidRDefault="008377FA" w:rsidP="00690CD5">
      <w:pPr>
        <w:pStyle w:val="AAAAAAA"/>
      </w:pPr>
      <w:r w:rsidRPr="002A7627">
        <w:t xml:space="preserve">Organizational learning has also been found to enhance organizational innovation </w:t>
      </w:r>
      <w:r w:rsidRPr="002A7627">
        <w:fldChar w:fldCharType="begin" w:fldLock="1"/>
      </w:r>
      <w:r w:rsidR="004C27D4" w:rsidRPr="002A7627">
        <w:instrText>ADDIN CSL_CITATION {"citationItems":[{"id":"ITEM-1","itemData":{"DOI":"10.1108/08858621011066026","ISBN":"0025174121122","ISSN":"0885-8624","PMID":"22004655","abstract":"This study sets out to examine the relationship between firms' learning orientation and network collaboration. The aim is to investigate how learning orientation enhances network collaboration and to discuss the role of the co?innovation focus in the learning orientation?network collaboration relationship.Design/methodology/approach ? Based on a partial least squares (PLS) structural equation modeling analysis of 90 small and medium?sized industrial firms (SMEs), the study tests hypotheses regarding how two diverse learning orientations ? i.e. exploration and exploitation ? precede firms' network collaboration.Findings ? The analysis shows that learning drives firms' co?innovation focus in terms of product and process co?innovation. In particular, the explorative learning orientation is found to foster firms' network collaboration through product co?innovation. Exploitative learning orientation promotes process innovations but discourages networking.Practical implications ? A key implication for business practitioners is the understanding that SMEs' explorative learning approaches drive their network collaboration. The development of novel product innovation calls for learning with partners in inter?organizational networks, whereas process improvements rely on the firm's intra?organizational learning.Originality/value ? The paper provides evidence of the connection between firms' learning orientation, co?innovation focus, and networking. Thus, it contributes to the literature on organizational learning, innovation management, and business networks by explicating how learning drives a firm's networking through its co?innovation focus.; Purpose ? This study sets out to examine the relationship between firms' learning orientation and network collaboration. The aim is to investigate how learning orientation enhances network collaboration and to discuss the role of the co?innovation focus in the learning orientation?network collaboration relationship.Design/methodology/approach ? Based on a partial least squares (PLS) structural equation modeling analysis of 90 small and medium?sized industrial firms (SMEs), the study tests hypotheses regarding how two diverse learning orientations ? i.e. exploration and exploitation ? precede firms' network collaboration.Findings ? The analysis shows that learning drives firms' co?innovation focus in terms of product and process co?innovation. In particular, the explorative learning orientation is found to foster firms' net…","author":[{"dropping-particle":"","family":"Westerlund","given":"Mika","non-dropping-particle":"","parse-names":false,"suffix":""},{"dropping-particle":"","family":"Rajala","given":"Risto","non-dropping-particle":"","parse-names":false,"suffix":""}],"container-title":"Journal of Business &amp; Industrial Marketing","editor":[{"dropping-particle":"","family":"Peters","given":"Linda D.","non-dropping-particle":"","parse-names":false,"suffix":""}],"id":"ITEM-1","issue":"6","issued":{"date-parts":[["2010","8","3"]]},"page":"435-442","title":"Learning and innovation in inter‐organizational network collaboration","type":"article-journal","volume":"25"},"uris":["http://www.mendeley.com/documents/?uuid=4de41ab3-5dd0-4379-a6e2-4835dd8ae02c"]},{"id":"ITEM-2","itemData":{"ISBN":"9781351362283","abstract":"Integrating leadership and creativity theories, we tested a model that links empowering leadership with team creativity. Using longitudinal data from 102 R&amp;D teams across three IT companies, we found empowering leadership positively influenced team creativity via team learning behavior and team creative efficacy. And team task complexity strengthened these relationships. [ABSTRACT FROM AUTHOR] Copyright of Academy of Management Annual Meeting Proceedings is the property of Academy of Management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Abstracts.)","author":[{"dropping-particle":"","family":"Zhang","given":"X.","non-dropping-particle":"","parse-names":false,"suffix":""},{"dropping-particle":"","family":"Kwan","given":"Ho Kwong","non-dropping-particle":"","parse-names":false,"suffix":""}],"container-title":"Creative Leadership: Contexts and Prospects","editor":[{"dropping-particle":"","family":"Mainemeli","given":"Charalampos","non-dropping-particle":"","parse-names":false,"suffix":""},{"dropping-particle":"","family":"Epitropaki","given":"Olga","non-dropping-particle":"","parse-names":false,"suffix":""}],"id":"ITEM-2","issued":{"date-parts":[["2018"]]},"page":"95-121","publisher":"Routledge","publisher-place":"London, UK","title":"Empowering leadership and team creativity: The roles of team learning behavior, team creative efficacy, and team task complexity","type":"chapter"},"uris":["http://www.mendeley.com/documents/?uuid=6abeb1e3-2bf1-4d4e-87fe-384df104a8c2"]}],"mendeley":{"formattedCitation":"(Westerlund &amp; Rajala, 2010; X. Zhang &amp; Kwan, 2018)","plainTextFormattedCitation":"(Westerlund &amp; Rajala, 2010; X. Zhang &amp; Kwan, 2018)","previouslyFormattedCitation":"(Westerlund &amp; Rajala, 2010; X. Zhang &amp; Kwan, 2018)"},"properties":{"noteIndex":0},"schema":"https://github.com/citation-style-language/schema/raw/master/csl-citation.json"}</w:instrText>
      </w:r>
      <w:r w:rsidRPr="002A7627">
        <w:fldChar w:fldCharType="separate"/>
      </w:r>
      <w:r w:rsidR="00E24626" w:rsidRPr="002A7627">
        <w:rPr>
          <w:noProof/>
        </w:rPr>
        <w:t>(Westerlund &amp; Rajala, 2010; Zhang &amp; Kwan, 2018)</w:t>
      </w:r>
      <w:r w:rsidRPr="002A7627">
        <w:fldChar w:fldCharType="end"/>
      </w:r>
      <w:r w:rsidRPr="002A7627">
        <w:t xml:space="preserve"> and build organizational memory </w:t>
      </w:r>
      <w:r w:rsidRPr="002A7627">
        <w:fldChar w:fldCharType="begin" w:fldLock="1"/>
      </w:r>
      <w:r w:rsidR="00E24626" w:rsidRPr="002A7627">
        <w:instrText>ADDIN CSL_CITATION {"citationItems":[{"id":"ITEM-1","itemData":{"DOI":"10.1111/j.1467-8551.2004.t01-2-00402.x","ISBN":"10453172","ISSN":"1045-3172","PMID":"12276100","abstract":"While adopting a knowledge-based perspective on organizations has been valuable, since, among other things, it enables us to see links between organizational learning and a firm's competitive advantage through the development of idiosyncratic capabilities, it has nonetheless tended to treat organizational knowledge as 'given', exploring how it is related to other 'given' variables. The focus of this special issue is to unpack the notion of organizational knowledge by exploring the processes and practices through which knowledge is constructed and created in organizations. A constructivist perspective assumes that 'knowledge' presupposes work and seeks to explore how what comes to be considered as organizational knowledge is established and validated (or fails to do so). By seeing organizational knowledge as work we can further probe into how knowledge is shaped by organizational strategies and incentives and, more radically, how power and politics influence the struggle between competing bodies of knowledge in organizations.","author":[{"dropping-particle":"","family":"Tsoukas","given":"Haridimos","non-dropping-particle":"","parse-names":false,"suffix":""},{"dropping-particle":"","family":"Mylonopoulos","given":"Nikos","non-dropping-particle":"","parse-names":false,"suffix":""}],"container-title":"British Journal of Management","id":"ITEM-1","issue":"S1","issued":{"date-parts":[["2004","3"]]},"page":"S1-S8","title":"Organizations as knowledge systems: Knowledge, learning and dynamic capabilities","type":"article-journal","volume":"15"},"uris":["http://www.mendeley.com/documents/?uuid=6b1d66b0-080c-45ac-8d46-ab9ff7ccfb2f"]}],"mendeley":{"formattedCitation":"(Tsoukas &amp; Mylonopoulos, 2004a)","plainTextFormattedCitation":"(Tsoukas &amp; Mylonopoulos, 2004a)","previouslyFormattedCitation":"(Tsoukas &amp; Mylonopoulos, 2004a)"},"properties":{"noteIndex":0},"schema":"https://github.com/citation-style-language/schema/raw/master/csl-citation.json"}</w:instrText>
      </w:r>
      <w:r w:rsidRPr="002A7627">
        <w:fldChar w:fldCharType="separate"/>
      </w:r>
      <w:r w:rsidR="00F31753" w:rsidRPr="002A7627">
        <w:rPr>
          <w:noProof/>
        </w:rPr>
        <w:t>(Tsoukas &amp; Mylonopoulos, 2004a)</w:t>
      </w:r>
      <w:r w:rsidRPr="002A7627">
        <w:fldChar w:fldCharType="end"/>
      </w:r>
      <w:r w:rsidRPr="002A7627">
        <w:t>. Other studies have show</w:t>
      </w:r>
      <w:r w:rsidR="00054373" w:rsidRPr="002A7627">
        <w:t>n</w:t>
      </w:r>
      <w:r w:rsidRPr="002A7627">
        <w:t xml:space="preserve"> the negative impact of not sharing knowledge on organizational learning, and particularly that it prevents organizations from solving problems effectively </w:t>
      </w:r>
      <w:r w:rsidRPr="002A7627">
        <w:fldChar w:fldCharType="begin" w:fldLock="1"/>
      </w:r>
      <w:r w:rsidR="004C27D4" w:rsidRPr="002A7627">
        <w:instrText>ADDIN CSL_CITATION {"citationItems":[{"id":"ITEM-1","itemData":{"DOI":"10.1016/j.leaqua.2011.07.007","ISBN":"1048-9843","ISSN":"10489843","PMID":"65497275","abstract":"In seeking to understand the factors contributing to work group creativity in Chinese organizations, we explored the roles of two different leadership styles (transformational and authoritarian) that Chinese leaders play in group creativity through influencing internal group processes, i.e., collective efficacy and knowledge sharing among group members. We tested our hypotheses with a sample of 163 work groups involving 973 employees in twelve Chinese companies. We found transformational leadership to relate positively but authoritarian leadership to relate negatively to group creativity, mediated by both collective efficacy and knowledge sharing among members within the group. We discuss the implications of these findings for research on group leadership, group creativity and cross-cultural management. © 2011 Elsevier Inc.","author":[{"dropping-particle":"","family":"Zhang","given":"Ann Yan","non-dropping-particle":"","parse-names":false,"suffix":""},{"dropping-particle":"","family":"Tsui","given":"Anne S.","non-dropping-particle":"","parse-names":false,"suffix":""},{"dropping-particle":"","family":"Wang","given":"Duan Xu","non-dropping-particle":"","parse-names":false,"suffix":""}],"container-title":"The Leadership Quarterly","id":"ITEM-1","issue":"5","issued":{"date-parts":[["2011","10"]]},"page":"851-862","title":"Leadership behaviors and group creativity in Chinese organizations: The role of group processes","type":"article-journal","volume":"22"},"uris":["http://www.mendeley.com/documents/?uuid=1448921b-da0d-4db1-bd45-71dbf463cc0b"]}],"mendeley":{"formattedCitation":"(A. Y. Zhang, Tsui, &amp; Wang, 2011)","manualFormatting":"(Zhang, Tsui, &amp; Wang, 2011)","plainTextFormattedCitation":"(A. Y. Zhang, Tsui, &amp; Wang, 2011)","previouslyFormattedCitation":"(A. Y. Zhang, Tsui, &amp; Wang, 2011)"},"properties":{"noteIndex":0},"schema":"https://github.com/citation-style-language/schema/raw/master/csl-citation.json"}</w:instrText>
      </w:r>
      <w:r w:rsidRPr="002A7627">
        <w:fldChar w:fldCharType="separate"/>
      </w:r>
      <w:r w:rsidRPr="002A7627">
        <w:rPr>
          <w:noProof/>
        </w:rPr>
        <w:t>(Zhang, Tsui, &amp; Wang, 2011)</w:t>
      </w:r>
      <w:r w:rsidRPr="002A7627">
        <w:fldChar w:fldCharType="end"/>
      </w:r>
      <w:r w:rsidRPr="002A7627">
        <w:t xml:space="preserve">. </w:t>
      </w:r>
    </w:p>
    <w:p w14:paraId="29529033" w14:textId="1DA93EBF" w:rsidR="008377FA" w:rsidRPr="002A7627" w:rsidRDefault="00690CD5" w:rsidP="001D5F54">
      <w:pPr>
        <w:pStyle w:val="Heading1"/>
        <w:numPr>
          <w:ilvl w:val="1"/>
          <w:numId w:val="39"/>
        </w:numPr>
        <w:rPr>
          <w:color w:val="000000"/>
          <w:lang w:bidi="ar-AE"/>
        </w:rPr>
      </w:pPr>
      <w:bookmarkStart w:id="41" w:name="_Toc11533400"/>
      <w:bookmarkStart w:id="42" w:name="_Toc11533507"/>
      <w:bookmarkStart w:id="43" w:name="_Toc13959614"/>
      <w:bookmarkStart w:id="44" w:name="_Toc22331639"/>
      <w:r w:rsidRPr="002A7627">
        <w:rPr>
          <w:color w:val="000000"/>
          <w:lang w:bidi="ar-AE"/>
        </w:rPr>
        <w:t>Gap</w:t>
      </w:r>
      <w:bookmarkEnd w:id="41"/>
      <w:bookmarkEnd w:id="42"/>
      <w:bookmarkEnd w:id="43"/>
      <w:r w:rsidR="00E80E86">
        <w:rPr>
          <w:color w:val="000000"/>
          <w:lang w:bidi="ar-AE"/>
        </w:rPr>
        <w:t xml:space="preserve">s / Needs for </w:t>
      </w:r>
      <w:r w:rsidR="005F6EC8">
        <w:rPr>
          <w:color w:val="000000"/>
          <w:lang w:bidi="ar-AE"/>
        </w:rPr>
        <w:t>R</w:t>
      </w:r>
      <w:r w:rsidR="00E80E86">
        <w:rPr>
          <w:color w:val="000000"/>
          <w:lang w:bidi="ar-AE"/>
        </w:rPr>
        <w:t>esearch</w:t>
      </w:r>
      <w:bookmarkEnd w:id="44"/>
    </w:p>
    <w:p w14:paraId="5F72BD6E" w14:textId="0449F43D" w:rsidR="008377FA" w:rsidRPr="001D5F54" w:rsidRDefault="00501995" w:rsidP="0064072A">
      <w:pPr>
        <w:pStyle w:val="AAAAAAA"/>
      </w:pPr>
      <w:r w:rsidRPr="0064072A">
        <w:rPr>
          <w:color w:val="000000" w:themeColor="text1"/>
          <w:lang w:bidi="ar-AE"/>
        </w:rPr>
        <w:t>Few, if any,</w:t>
      </w:r>
      <w:r w:rsidR="008377FA" w:rsidRPr="0064072A">
        <w:rPr>
          <w:color w:val="000000" w:themeColor="text1"/>
          <w:lang w:bidi="ar-AE"/>
        </w:rPr>
        <w:t xml:space="preserve"> </w:t>
      </w:r>
      <w:r w:rsidR="008377FA" w:rsidRPr="002A7627">
        <w:rPr>
          <w:lang w:bidi="ar-AE"/>
        </w:rPr>
        <w:t xml:space="preserve">studies have explored the factors leveraging knowledge management outcomes and benefits, and the majority focused on tangible rather than intangible benefits </w:t>
      </w:r>
      <w:r w:rsidR="00E24626" w:rsidRPr="002A7627">
        <w:rPr>
          <w:noProof/>
          <w:lang w:bidi="ar-AE"/>
        </w:rPr>
        <w:t xml:space="preserve">(Andreeva &amp; Kianto, 2012; Chuang, 2004; Darroch &amp; McNaughton, 2002; </w:t>
      </w:r>
      <w:r w:rsidR="0009577B" w:rsidRPr="001D5F54">
        <w:rPr>
          <w:rFonts w:eastAsia="Times New Roman"/>
        </w:rPr>
        <w:t>Pee and Kankanhalli, 2016;</w:t>
      </w:r>
      <w:r w:rsidR="0009577B">
        <w:rPr>
          <w:rFonts w:eastAsia="Times New Roman"/>
          <w:sz w:val="20"/>
          <w:szCs w:val="20"/>
        </w:rPr>
        <w:t xml:space="preserve"> </w:t>
      </w:r>
      <w:r w:rsidR="00E24626" w:rsidRPr="002A7627">
        <w:rPr>
          <w:noProof/>
          <w:lang w:bidi="ar-AE"/>
        </w:rPr>
        <w:t>Zack et al., 2009)</w:t>
      </w:r>
      <w:r w:rsidR="008377FA" w:rsidRPr="002A7627">
        <w:rPr>
          <w:lang w:bidi="ar-AE"/>
        </w:rPr>
        <w:t xml:space="preserve">. Very few </w:t>
      </w:r>
      <w:r w:rsidR="008377FA" w:rsidRPr="002A7627">
        <w:t xml:space="preserve">have </w:t>
      </w:r>
      <w:r w:rsidR="00621F08" w:rsidRPr="0064072A">
        <w:rPr>
          <w:color w:val="000000" w:themeColor="text1"/>
        </w:rPr>
        <w:t>examined</w:t>
      </w:r>
      <w:r w:rsidR="00621F08" w:rsidRPr="00501995">
        <w:rPr>
          <w:color w:val="FF0000"/>
        </w:rPr>
        <w:t xml:space="preserve"> </w:t>
      </w:r>
      <w:r w:rsidR="008377FA" w:rsidRPr="002A7627">
        <w:t>the impact of knowledge management on both financial and non-</w:t>
      </w:r>
      <w:r w:rsidR="008377FA" w:rsidRPr="002A7627">
        <w:lastRenderedPageBreak/>
        <w:t xml:space="preserve">financial benefits </w:t>
      </w:r>
      <w:r w:rsidR="008377FA" w:rsidRPr="001D5F54">
        <w:rPr>
          <w:lang w:bidi="ar-AE"/>
        </w:rPr>
        <w:t>(</w:t>
      </w:r>
      <w:r w:rsidR="00EA458F" w:rsidRPr="006348EC">
        <w:rPr>
          <w:lang w:bidi="ar-AE"/>
        </w:rPr>
        <w:t xml:space="preserve">Al Ahbabi, Singh, </w:t>
      </w:r>
      <w:r w:rsidR="00EA458F">
        <w:rPr>
          <w:lang w:bidi="ar-AE"/>
        </w:rPr>
        <w:t xml:space="preserve">Balasubramanian </w:t>
      </w:r>
      <w:r>
        <w:rPr>
          <w:lang w:bidi="ar-AE"/>
        </w:rPr>
        <w:t xml:space="preserve">&amp; </w:t>
      </w:r>
      <w:r w:rsidR="00EA458F" w:rsidRPr="006348EC">
        <w:rPr>
          <w:lang w:bidi="ar-AE"/>
        </w:rPr>
        <w:t>Gaur, 201</w:t>
      </w:r>
      <w:r w:rsidR="005A7778">
        <w:rPr>
          <w:lang w:bidi="ar-AE"/>
        </w:rPr>
        <w:t>9</w:t>
      </w:r>
      <w:r w:rsidR="00EA458F">
        <w:rPr>
          <w:lang w:bidi="ar-AE"/>
        </w:rPr>
        <w:t xml:space="preserve">; </w:t>
      </w:r>
      <w:r w:rsidR="008377FA" w:rsidRPr="001D5F54">
        <w:rPr>
          <w:lang w:bidi="ar-AE"/>
        </w:rPr>
        <w:t>Durham &amp; Kennedy, 1997; Marr, Schiuma, &amp; Neely, 2004; Yahyapour et al., 2015).</w:t>
      </w:r>
      <w:r w:rsidR="008377FA" w:rsidRPr="00EA458F">
        <w:rPr>
          <w:lang w:bidi="ar-AE"/>
        </w:rPr>
        <w:t xml:space="preserve"> Intangible benefits, however, increase the market value of organizations over the accounting value because of the increase in intellectual capital </w:t>
      </w:r>
      <w:r w:rsidR="00F31753" w:rsidRPr="001D5F54">
        <w:rPr>
          <w:lang w:bidi="ar-AE"/>
        </w:rPr>
        <w:t>(Chong, 2005; Lin &amp; Tseng, 2005)</w:t>
      </w:r>
      <w:r w:rsidR="008377FA" w:rsidRPr="00EA458F">
        <w:rPr>
          <w:lang w:bidi="ar-AE"/>
        </w:rPr>
        <w:t xml:space="preserve">. </w:t>
      </w:r>
      <w:r w:rsidR="008377FA" w:rsidRPr="001D5F54">
        <w:rPr>
          <w:lang w:bidi="ar-AE"/>
        </w:rPr>
        <w:t>Most studies on the factors affecting knowledge management benefits have also focused on developed countries (Aragón-Correa, García-Morales, &amp; Cordón-Pozo, 2007), and few studies have explored this issue in developing countries. This is particularly true for factors affecting intangible knowledge management benefits, such as the effect of organizational culture and transformational leadership (Al-Shammari, 2008; Shao, Wang, &amp; Feng, 2015). There have been almost no studies on knowledge management benefits in the UAE (</w:t>
      </w:r>
      <w:r w:rsidR="00EA458F">
        <w:rPr>
          <w:lang w:bidi="ar-AE"/>
        </w:rPr>
        <w:t>Al Ahbabi</w:t>
      </w:r>
      <w:r>
        <w:rPr>
          <w:lang w:bidi="ar-AE"/>
        </w:rPr>
        <w:t xml:space="preserve"> et al.</w:t>
      </w:r>
      <w:r w:rsidR="00EA458F">
        <w:rPr>
          <w:lang w:bidi="ar-AE"/>
        </w:rPr>
        <w:t>, 201</w:t>
      </w:r>
      <w:r w:rsidR="005A7778">
        <w:rPr>
          <w:lang w:bidi="ar-AE"/>
        </w:rPr>
        <w:t>9</w:t>
      </w:r>
      <w:r w:rsidR="00EA458F">
        <w:rPr>
          <w:lang w:bidi="ar-AE"/>
        </w:rPr>
        <w:t xml:space="preserve">; </w:t>
      </w:r>
      <w:r w:rsidR="008377FA" w:rsidRPr="001D5F54">
        <w:rPr>
          <w:lang w:bidi="ar-AE"/>
        </w:rPr>
        <w:t>Siddique, 2012)</w:t>
      </w:r>
      <w:r w:rsidR="008377FA" w:rsidRPr="002A7627">
        <w:t xml:space="preserve">. </w:t>
      </w:r>
    </w:p>
    <w:p w14:paraId="7D4C7F63" w14:textId="321A0A14" w:rsidR="008377FA" w:rsidRPr="002A7627" w:rsidRDefault="008377FA" w:rsidP="00690CD5">
      <w:pPr>
        <w:pStyle w:val="AAAAAAA"/>
      </w:pPr>
      <w:r w:rsidRPr="002A7627">
        <w:rPr>
          <w:lang w:bidi="ar-AE"/>
        </w:rPr>
        <w:t>Previous s</w:t>
      </w:r>
      <w:r w:rsidRPr="002A7627">
        <w:t xml:space="preserve">tudies in both developed and developing countries have tended to focus on a single benefit, such as organizational effectiveness </w:t>
      </w:r>
      <w:r w:rsidRPr="002A7627">
        <w:rPr>
          <w:noProof/>
        </w:rPr>
        <w:t>(Pee &amp; Kankanhalli, 2016)</w:t>
      </w:r>
      <w:r w:rsidRPr="002A7627">
        <w:t xml:space="preserve"> or dynamic capability </w:t>
      </w:r>
      <w:r w:rsidRPr="002A7627">
        <w:rPr>
          <w:noProof/>
        </w:rPr>
        <w:t>(Tseng &amp; Lee, 2014)</w:t>
      </w:r>
      <w:r w:rsidRPr="002A7627">
        <w:t xml:space="preserve">. </w:t>
      </w:r>
      <w:r w:rsidRPr="002A7627">
        <w:rPr>
          <w:lang w:bidi="ar-AE"/>
        </w:rPr>
        <w:t>Very few studies that investigated factors leveraging the outcomes or benefits of knowledge management have considered benefits in the broadest sense: most focused only on organizational performance</w:t>
      </w:r>
      <w:r w:rsidRPr="002A7627">
        <w:t xml:space="preserve"> </w:t>
      </w:r>
      <w:r w:rsidRPr="002A7627">
        <w:rPr>
          <w:noProof/>
          <w:lang w:bidi="ar-AE"/>
        </w:rPr>
        <w:t>(Al Saifi, 2015; Lee &amp; Choi, 2003; McKeen et al., 2006</w:t>
      </w:r>
      <w:r w:rsidR="0009577B">
        <w:rPr>
          <w:noProof/>
          <w:lang w:bidi="ar-AE"/>
        </w:rPr>
        <w:t xml:space="preserve">; </w:t>
      </w:r>
      <w:r w:rsidR="0009577B" w:rsidRPr="00C46D27">
        <w:rPr>
          <w:noProof/>
          <w:lang w:bidi="ar-AE"/>
        </w:rPr>
        <w:t>Vorobyova &amp; Raju, 2018</w:t>
      </w:r>
      <w:r w:rsidRPr="002A7627">
        <w:rPr>
          <w:noProof/>
          <w:lang w:bidi="ar-AE"/>
        </w:rPr>
        <w:t>)</w:t>
      </w:r>
      <w:r w:rsidRPr="002A7627">
        <w:rPr>
          <w:rFonts w:ascii="RealpageTIM11" w:hAnsi="RealpageTIM11" w:cs="RealpageTIM11"/>
        </w:rPr>
        <w:t xml:space="preserve">. </w:t>
      </w:r>
    </w:p>
    <w:p w14:paraId="7ABFE59C" w14:textId="2B631AFF" w:rsidR="008377FA" w:rsidRPr="002A7627" w:rsidRDefault="008377FA" w:rsidP="00690CD5">
      <w:pPr>
        <w:pStyle w:val="AAAAAAA"/>
      </w:pPr>
      <w:r w:rsidRPr="002A7627">
        <w:rPr>
          <w:lang w:bidi="ar-AE"/>
        </w:rPr>
        <w:t xml:space="preserve">Most international studies have investigated factors that enable knowledge sharing </w:t>
      </w:r>
      <w:r w:rsidR="00EA7FDD">
        <w:rPr>
          <w:lang w:bidi="ar-AE"/>
        </w:rPr>
        <w:t>or explored the effect of</w:t>
      </w:r>
      <w:r w:rsidR="00EA7FDD" w:rsidRPr="002A7627">
        <w:rPr>
          <w:lang w:bidi="ar-AE"/>
        </w:rPr>
        <w:t xml:space="preserve"> </w:t>
      </w:r>
      <w:r w:rsidRPr="002A7627">
        <w:rPr>
          <w:lang w:bidi="ar-AE"/>
        </w:rPr>
        <w:t xml:space="preserve">knowledge management on employee knowledge-sharing behavior </w:t>
      </w:r>
      <w:r w:rsidR="00E24626" w:rsidRPr="002A7627">
        <w:rPr>
          <w:noProof/>
          <w:lang w:bidi="ar-AE"/>
        </w:rPr>
        <w:t xml:space="preserve">(Liao, To, &amp; Hsu, 2013; Nandy, 2015; Stenius, Hankonen, Ravaja, </w:t>
      </w:r>
      <w:r w:rsidR="00E24626" w:rsidRPr="002A7627">
        <w:rPr>
          <w:noProof/>
          <w:lang w:bidi="ar-AE"/>
        </w:rPr>
        <w:lastRenderedPageBreak/>
        <w:t>&amp; Haukkala, 2016; Zhang &amp; Jiang, 2015)</w:t>
      </w:r>
      <w:r w:rsidRPr="002A7627">
        <w:rPr>
          <w:lang w:bidi="ar-AE"/>
        </w:rPr>
        <w:t xml:space="preserve">. Very few studies have </w:t>
      </w:r>
      <w:r w:rsidR="00621F08" w:rsidRPr="0064072A">
        <w:rPr>
          <w:lang w:bidi="ar-AE"/>
        </w:rPr>
        <w:t>examined</w:t>
      </w:r>
      <w:r w:rsidRPr="002A7627">
        <w:rPr>
          <w:lang w:bidi="ar-AE"/>
        </w:rPr>
        <w:t xml:space="preserve"> the benefits of knowledge management </w:t>
      </w:r>
      <w:r w:rsidR="00E24626" w:rsidRPr="002A7627">
        <w:rPr>
          <w:noProof/>
          <w:lang w:bidi="ar-AE"/>
        </w:rPr>
        <w:t>(Edvardsson &amp; Durst, 2013; Siddique, 2012)</w:t>
      </w:r>
      <w:r w:rsidRPr="002A7627">
        <w:rPr>
          <w:lang w:bidi="ar-AE"/>
        </w:rPr>
        <w:t>. Conceptual studies reviewing the literature on knowledge management found that k</w:t>
      </w:r>
      <w:r w:rsidRPr="002A7627">
        <w:t>nowledge management activities afforded a range of benefits</w:t>
      </w:r>
      <w:r w:rsidR="00054373" w:rsidRPr="002A7627">
        <w:t>,</w:t>
      </w:r>
      <w:r w:rsidRPr="002A7627">
        <w:t xml:space="preserve"> including innovation, employee development, consumer satisfaction</w:t>
      </w:r>
      <w:r w:rsidR="00054373" w:rsidRPr="002A7627">
        <w:t>,</w:t>
      </w:r>
      <w:r w:rsidRPr="002A7627">
        <w:t xml:space="preserve"> and organizational success </w:t>
      </w:r>
      <w:r w:rsidR="00E24626" w:rsidRPr="002A7627">
        <w:rPr>
          <w:noProof/>
        </w:rPr>
        <w:t>(Edvardsson &amp; Durst, 2013)</w:t>
      </w:r>
      <w:r w:rsidRPr="002A7627">
        <w:t xml:space="preserve">. Knowledge management was found to be important in improving organizational performance and also enabling companies to embrace globalization more easily </w:t>
      </w:r>
      <w:r w:rsidR="004C27D4" w:rsidRPr="002A7627">
        <w:rPr>
          <w:noProof/>
        </w:rPr>
        <w:t>(Vorobyova &amp; Raju, 2018)</w:t>
      </w:r>
      <w:r w:rsidRPr="002A7627">
        <w:t xml:space="preserve">. </w:t>
      </w:r>
      <w:r w:rsidR="00AA406D" w:rsidRPr="002A7627">
        <w:rPr>
          <w:noProof/>
        </w:rPr>
        <w:t>Ragab and Arisha (2013)</w:t>
      </w:r>
      <w:r w:rsidR="00AA406D" w:rsidRPr="002A7627">
        <w:t xml:space="preserve"> </w:t>
      </w:r>
      <w:r w:rsidRPr="002A7627">
        <w:t xml:space="preserve">reviewed 350 published articles and confirmed the importance of addressing knowledge management measurements and benefits. </w:t>
      </w:r>
    </w:p>
    <w:p w14:paraId="2ED87A33" w14:textId="7FE658BB" w:rsidR="008377FA" w:rsidRPr="002A7627" w:rsidRDefault="008377FA" w:rsidP="00690CD5">
      <w:pPr>
        <w:pStyle w:val="AAAAAAA"/>
      </w:pPr>
      <w:r w:rsidRPr="002A7627">
        <w:t>Building a knowledge-based economy in Abu Dhabi, and the strategic vision of the UAE’s government to diversify its economy and reduce its dependency on oil</w:t>
      </w:r>
      <w:r w:rsidR="00501995">
        <w:t>,</w:t>
      </w:r>
      <w:r w:rsidRPr="002A7627">
        <w:t xml:space="preserve"> has led to sustainable development and regional competitiveness </w:t>
      </w:r>
      <w:r w:rsidRPr="002A7627">
        <w:fldChar w:fldCharType="begin" w:fldLock="1"/>
      </w:r>
      <w:r w:rsidR="004C27D4" w:rsidRPr="002A7627">
        <w:instrText>ADDIN CSL_CITATION {"citationItems":[{"id":"ITEM-1","itemData":{"author":[{"dropping-particle":"","family":"Department of Economic Development","given":"","non-dropping-particle":"","parse-names":false,"suffix":""},{"dropping-particle":"","family":"INSEAD Innovation and Policy Initiative Statistics Centre","given":"","non-dropping-particle":"","parse-names":false,"suffix":""}],"id":"ITEM-1","issued":{"date-parts":[["2015"]]},"publisher":"Department of Economic Development","publisher-place":"Abu Dhabi, UAE","title":"The Abu Dhabi innvation index","type":"report"},"uris":["http://www.mendeley.com/documents/?uuid=6271e7b6-9eb5-42f3-84d7-cb1e29a177b3"]}],"mendeley":{"formattedCitation":"(Department of Economic Development &amp; INSEAD Innovation and Policy Initiative Statistics Centre, 2015)","plainTextFormattedCitation":"(Department of Economic Development &amp; INSEAD Innovation and Policy Initiative Statistics Centre, 2015)","previouslyFormattedCitation":"(Department of Economic Development &amp; INSEAD Innovation and Policy Initiative Statistics Centre, 2015)"},"properties":{"noteIndex":0},"schema":"https://github.com/citation-style-language/schema/raw/master/csl-citation.json"}</w:instrText>
      </w:r>
      <w:r w:rsidRPr="002A7627">
        <w:fldChar w:fldCharType="separate"/>
      </w:r>
      <w:r w:rsidR="00E24626" w:rsidRPr="002A7627">
        <w:rPr>
          <w:noProof/>
        </w:rPr>
        <w:t xml:space="preserve">(Department of Economic Development &amp; INSEAD Innovation and Policy Initiative Statistics Centre, </w:t>
      </w:r>
      <w:r w:rsidR="00825DC2" w:rsidRPr="002A7627">
        <w:rPr>
          <w:noProof/>
        </w:rPr>
        <w:t>201</w:t>
      </w:r>
      <w:r w:rsidR="00825DC2">
        <w:rPr>
          <w:noProof/>
        </w:rPr>
        <w:t>4</w:t>
      </w:r>
      <w:r w:rsidR="00E24626" w:rsidRPr="002A7627">
        <w:rPr>
          <w:noProof/>
        </w:rPr>
        <w:t>)</w:t>
      </w:r>
      <w:r w:rsidRPr="002A7627">
        <w:fldChar w:fldCharType="end"/>
      </w:r>
      <w:r w:rsidRPr="002A7627">
        <w:t xml:space="preserve">. The country is, however, encountering challenges in enhancing the skills of the Emirati workforce </w:t>
      </w:r>
      <w:r w:rsidR="0075026B" w:rsidRPr="002A7627">
        <w:fldChar w:fldCharType="begin" w:fldLock="1"/>
      </w:r>
      <w:r w:rsidR="0075026B" w:rsidRPr="002A7627">
        <w:instrText>ADDIN CSL_CITATION {"citationItems":[{"id":"ITEM-1","itemData":{"author":[{"dropping-particle":"","family":"Trends Research and Advisory","given":"","non-dropping-particle":"","parse-names":false,"suffix":""}],"id":"ITEM-1","issued":{"date-parts":[["2016","6","14"]]},"title":"UAE economic diversification record","type":"webpage"},"uris":["http://www.mendeley.com/documents/?uuid=e8564f41-2f45-4a94-aacd-53322f3aa827"]}],"mendeley":{"formattedCitation":"(Trends Research and Advisory, 2016)","plainTextFormattedCitation":"(Trends Research and Advisory, 2016)","previouslyFormattedCitation":"(Trends Research and Advisory, 2016)"},"properties":{"noteIndex":0},"schema":"https://github.com/citation-style-language/schema/raw/master/csl-citation.json"}</w:instrText>
      </w:r>
      <w:r w:rsidR="0075026B" w:rsidRPr="002A7627">
        <w:fldChar w:fldCharType="separate"/>
      </w:r>
      <w:r w:rsidR="00F85905">
        <w:rPr>
          <w:noProof/>
        </w:rPr>
        <w:t>(Radwan</w:t>
      </w:r>
      <w:r w:rsidR="0075026B" w:rsidRPr="002A7627">
        <w:rPr>
          <w:noProof/>
        </w:rPr>
        <w:t xml:space="preserve">, </w:t>
      </w:r>
      <w:r w:rsidR="00F85905">
        <w:rPr>
          <w:noProof/>
        </w:rPr>
        <w:t>2017</w:t>
      </w:r>
      <w:r w:rsidR="0075026B" w:rsidRPr="002A7627">
        <w:rPr>
          <w:noProof/>
        </w:rPr>
        <w:t>)</w:t>
      </w:r>
      <w:r w:rsidR="0075026B" w:rsidRPr="002A7627">
        <w:fldChar w:fldCharType="end"/>
      </w:r>
      <w:r w:rsidRPr="002A7627">
        <w:t xml:space="preserve">. Individuals are the creators and holders of knowledge </w:t>
      </w:r>
      <w:r w:rsidRPr="002A7627">
        <w:fldChar w:fldCharType="begin" w:fldLock="1"/>
      </w:r>
      <w:r w:rsidRPr="002A7627">
        <w:instrText>ADDIN CSL_CITATION {"citationItems":[{"id":"ITEM-1","itemData":{"DOI":"10.1108/03090591311319780","ISSN":"2046-9012","abstract":"Purpose - The aim of the paper is to identify which variables of training policy have a significant and positive impact on organisational performance. Design/methodology/approach - A targeted literature review was conducted to identify and collate a comprehensive range of human resource management and training conceptualisations/investigations. This was the basis for the approach to contrast hypotheses. The paper used a sample of Spanish companies and the method of analysis was regression. Findings - The results obtained in this paper do suggest that the training policy positively correlates with organisational performance, both using objective result measures (productivity and financial performance) and in the subjective measure of perceived financial performance and in intermediate result measures. Research limitations/implications - The study was confined to the analysis of a single Spanish region, and specifically referred to its hotel industry, which means that the results obtained must be situated within that specific context examined. To this must be added that the data were collected from a single source (CEOs) and, of course, it would have been more appropriate to use data from multiple sources. Originality/value - From an academic point-of-view, the research initiative presented here is placed within the new line of development for research into training and performance that tries to overcome the restrictions faced in other publications, trying to go one step further in the search for more specific connections between human resources and performance. From a practical viewpoint, this research work could help hotel entrepreneurs in two ways: first, by providing evidence that the resources allocated by hotel firms to the training of their staff have a positive impact on their profit levels; and second, by showing which variables should be considered to achieve this relationship.","author":[{"dropping-particle":"","family":"Ubeda-García","given":"Mercedes","non-dropping-particle":"","parse-names":false,"suffix":""},{"dropping-particle":"","family":"Marco-Lajara","given":"Bartolomé","non-dropping-particle":"","parse-names":false,"suffix":""},{"dropping-particle":"","family":"Sabater-Sempere","given":"Vicente","non-dropping-particle":"","parse-names":false,"suffix":""},{"dropping-particle":"","family":"García-Lillo","given":"Francisco","non-dropping-particle":"","parse-names":false,"suffix":""}],"container-title":"European Journal of Training and Development","id":"ITEM-1","issue":"4","issued":{"date-parts":[["2013","6","3"]]},"page":"380-413","title":"Does training influence organisational performance?","type":"article-journal","volume":"37"},"uris":["http://www.mendeley.com/documents/?uuid=64fd8399-2309-4819-8e46-89f4a4904818"]}],"mendeley":{"formattedCitation":"(Ubeda-García, Marco-Lajara, Sabater-Sempere, &amp; García-Lillo, 2013)","plainTextFormattedCitation":"(Ubeda-García, Marco-Lajara, Sabater-Sempere, &amp; García-Lillo, 2013)","previouslyFormattedCitation":"(Ubeda-García, Marco-Lajara, Sabater-Sempere, &amp; García-Lillo, 2013)"},"properties":{"noteIndex":0},"schema":"https://github.com/citation-style-language/schema/raw/master/csl-citation.json"}</w:instrText>
      </w:r>
      <w:r w:rsidRPr="002A7627">
        <w:fldChar w:fldCharType="separate"/>
      </w:r>
      <w:r w:rsidRPr="002A7627">
        <w:rPr>
          <w:noProof/>
        </w:rPr>
        <w:t>(Ubeda-García, Marco-Lajara, Sabater-Sempere, &amp; García-Lillo, 2013)</w:t>
      </w:r>
      <w:r w:rsidRPr="002A7627">
        <w:fldChar w:fldCharType="end"/>
      </w:r>
      <w:r w:rsidRPr="002A7627">
        <w:t>, and</w:t>
      </w:r>
      <w:r w:rsidR="00054373" w:rsidRPr="002A7627">
        <w:t xml:space="preserve"> therefore </w:t>
      </w:r>
      <w:r w:rsidRPr="002A7627">
        <w:t xml:space="preserve">an essential element in sharing ideas and expertise to develop the organizational knowledge base </w:t>
      </w:r>
      <w:r w:rsidRPr="002A7627">
        <w:fldChar w:fldCharType="begin" w:fldLock="1"/>
      </w:r>
      <w:r w:rsidR="00E24626" w:rsidRPr="002A7627">
        <w:instrText>ADDIN CSL_CITATION {"citationItems":[{"id":"ITEM-1","itemData":{"DOI":"10.1108/17515631011013096","ISSN":"1751-5637","abstract":"The purpose of this paper is to investigate the relations between people development management (PDM) as independent variable and knowledge management (KM) as dependent variable, in some Iranian healthcare centers. Design/methodology/approach Applying the structural equation model (SEM) approach. Investigating causal relations of the variables through Lisrel software. Findings Findings show that in the researched organizations there is a significant positive relation between PDM and its components, and KM. PDM have direct significant effect (0.85) on KM. The relation between the factor titled as learning needs analysis and induction?, and KM is fairly more important than the other factors. Research limitations/implications More research needs to be done in the same areas to judge about the effect of human assets strategies on KM. In case of the surveyed organization, it seems there is a vital need to review the PDM and KM strategies and develop some procedures to improve and keep the business up. Practical implications Although the proposed model has proved no causal relation between PDM components and KM, except in the case of learning needs analysis and induction?, it does not mean that no correction action is needed in other dimensions. In other words, it is necessary to expand a well-developed people development management project to meet a successful knowledge Our conceptual model of research has two dimensions. In one side we chose Newman's model of knowledge management, On the other side we consider a comprehensive pattern of people development management, named People Developer Standard. Through this model an appropriate framework to manage and develop the human assets and a series of developer activities will be formed to achieve people excellence.","author":[{"dropping-particle":"","family":"Monavvarian","given":"Abbas","non-dropping-particle":"","parse-names":false,"suffix":""},{"dropping-particle":"","family":"Khamda","given":"Zahra","non-dropping-particle":"","parse-names":false,"suffix":""}],"container-title":"Business Strategy Series","id":"ITEM-1","issue":"1","issued":{"date-parts":[["2010","1","12"]]},"page":"20-42","title":"Towards successful knowledge management: People development approach","type":"article-journal","volume":"11"},"uris":["http://www.mendeley.com/documents/?uuid=0d456d16-5288-411f-93f9-299623d54ccc"]}],"mendeley":{"formattedCitation":"(Monavvarian &amp; Khamda, 2010)","plainTextFormattedCitation":"(Monavvarian &amp; Khamda, 2010)","previouslyFormattedCitation":"(Monavvarian &amp; Khamda, 2010)"},"properties":{"noteIndex":0},"schema":"https://github.com/citation-style-language/schema/raw/master/csl-citation.json"}</w:instrText>
      </w:r>
      <w:r w:rsidRPr="002A7627">
        <w:fldChar w:fldCharType="separate"/>
      </w:r>
      <w:r w:rsidRPr="002A7627">
        <w:rPr>
          <w:noProof/>
        </w:rPr>
        <w:t>(Monavvarian &amp; Khamda, 2010)</w:t>
      </w:r>
      <w:r w:rsidRPr="002A7627">
        <w:fldChar w:fldCharType="end"/>
      </w:r>
      <w:r w:rsidRPr="002A7627">
        <w:t xml:space="preserve">. The UAE government has tried to encourage both public and private sector organizations to apply knowledge management theory and practice, to create an organizational culture that will encourage both </w:t>
      </w:r>
      <w:r w:rsidRPr="002A7627">
        <w:lastRenderedPageBreak/>
        <w:t xml:space="preserve">product and service innovation </w:t>
      </w:r>
      <w:r w:rsidRPr="002A7627">
        <w:fldChar w:fldCharType="begin" w:fldLock="1"/>
      </w:r>
      <w:r w:rsidR="00E24626" w:rsidRPr="002A7627">
        <w:instrText>ADDIN CSL_CITATION {"citationItems":[{"id":"ITEM-1","itemData":{"DOI":"10.1108/13673271211262763","ISBN":"1367327121","ISSN":"1367-3270","author":[{"dropping-particle":"","family":"Siddique","given":"C. Muhammed","non-dropping-particle":"","parse-names":false,"suffix":""}],"container-title":"Journal of Knowledge Management","id":"ITEM-1","issue":"5","issued":{"date-parts":[["2012","9","7"]]},"page":"702-723","title":"Knowledge management initiatives in the United Arab Emirates: A baseline study","type":"article-journal","volume":"16"},"uris":["http://www.mendeley.com/documents/?uuid=4416d806-e6e9-49fa-a6ff-2917a0c3d074"]}],"mendeley":{"formattedCitation":"(Siddique, 2012)","manualFormatting":"(Siddique, 2012)","plainTextFormattedCitation":"(Siddique, 2012)","previouslyFormattedCitation":"(Siddique, 2012)"},"properties":{"noteIndex":0},"schema":"https://github.com/citation-style-language/schema/raw/master/csl-citation.json"}</w:instrText>
      </w:r>
      <w:r w:rsidRPr="002A7627">
        <w:fldChar w:fldCharType="separate"/>
      </w:r>
      <w:r w:rsidRPr="002A7627">
        <w:rPr>
          <w:noProof/>
        </w:rPr>
        <w:t>(Siddique, 2012)</w:t>
      </w:r>
      <w:r w:rsidRPr="002A7627">
        <w:fldChar w:fldCharType="end"/>
      </w:r>
      <w:r w:rsidRPr="002A7627">
        <w:t>. By considering the UAE’s vision in building human capital, UAE organizations are expected to be successful in implementing knowledge management practices to develop and share knowledge to gain competencies. However, at present</w:t>
      </w:r>
      <w:r w:rsidR="00054373" w:rsidRPr="002A7627">
        <w:t>,</w:t>
      </w:r>
      <w:r w:rsidRPr="002A7627">
        <w:t xml:space="preserve"> the lack of studies on the benefits of knowledge management make</w:t>
      </w:r>
      <w:r w:rsidR="00054373" w:rsidRPr="002A7627">
        <w:t>s</w:t>
      </w:r>
      <w:r w:rsidRPr="002A7627">
        <w:t xml:space="preserve"> it hard to asses</w:t>
      </w:r>
      <w:r w:rsidR="00781ECB" w:rsidRPr="002A7627">
        <w:t>s</w:t>
      </w:r>
      <w:r w:rsidRPr="002A7627">
        <w:t xml:space="preserve"> if this is true. Gaining competitive advantage is often one of the most critical concerns for organizations and may</w:t>
      </w:r>
      <w:r w:rsidR="00501995">
        <w:t xml:space="preserve"> </w:t>
      </w:r>
      <w:r w:rsidRPr="002A7627">
        <w:t>be helped by the use of information technology</w:t>
      </w:r>
      <w:r w:rsidR="00B77DFC">
        <w:t xml:space="preserve"> (IT)</w:t>
      </w:r>
      <w:r w:rsidRPr="002A7627">
        <w:t xml:space="preserve"> to support knowledge management. IT-enabled knowledge management capability affects the benefits of knowledge management because it enhances individual performance, innovation, organizational capabilities and competitive advantage </w:t>
      </w:r>
      <w:r w:rsidRPr="002A7627">
        <w:fldChar w:fldCharType="begin" w:fldLock="1"/>
      </w:r>
      <w:r w:rsidR="00E24626" w:rsidRPr="002A7627">
        <w:instrText>ADDIN CSL_CITATION {"citationItems":[{"id":"ITEM-1","itemData":{"DOI":"10.1002/ceat.201000522","ISBN":"07421222","ISSN":"09307516","PMID":"4753208","abstract":"A hallmark of the new economy is the ability of organizations to realize economic value from their collection of knowledge assets as well as their assets of information, production distribution, and affiliation. Despite the competitive necessity of becoming a knowledge-based organization, senior managers have found it difficult to transform their firms through programs of knowledge management. This is particularly true if their organizations have long histories of process and a tradition of business success. This research examines the issue of effective knowledge management from the perspective of organizational capabilities. This perspective suggests that a knowledge infrastructure consisting of technology, structure, and culture along with a knowledge process architecture of acquisition, conversion, application, and protection are essential organizational capabilities or \"preconditions\" for effective knowledge management. Through analysis of surveys collected from over 300 senior executives, this research empirically models and uncovers key aspects of these dimensions. The results provide a basis for understanding the competitive predisposition of a firm as it enters a program of knowledge management.","author":[{"dropping-particle":"","family":"Palacios","given":"J. G.","non-dropping-particle":"","parse-names":false,"suffix":""},{"dropping-particle":"","family":"Kaspereit","given":"M.","non-dropping-particle":"","parse-names":false,"suffix":""},{"dropping-particle":"","family":"Kienle","given":"A.","non-dropping-particle":"","parse-names":false,"suffix":""}],"container-title":"Chemical Engineering and Technology","id":"ITEM-1","issue":"5","issued":{"date-parts":[["2011","5"]]},"page":"688-698","title":"Integrated simulated moving bed processes for production of single enantiomers","type":"article-journal","volume":"34"},"uris":["http://www.mendeley.com/documents/?uuid=ecd410c7-2ed2-4e2c-89f3-a5799c978db6"]},{"id":"ITEM-2","itemData":{"DOI":"10.1287/isre.1100.0298","ISSN":"1047-7047","abstract":"W e theoretically and empirically investigate the relationship between information technology (IT) and firm innovation. Invoking absorptive capacity (ACAP) theory, we introduce and develop the concepts of three types of IT-enabled knowledge capabilities. Firm innovation is examined through two observable innovation outcomes: patents, and new product and service introductions. These innovation outcomes are often labeled as competitive actions aggressively undertaken by firms to gain market share or to achieve profitability. We use secondary data about IT-enabled knowledge capabilities and innovation outcomes of 110 firms. Our data results provide strong support for our main assertion that knowledge capabilities that are enhanced through the use of IT contribute to firm innovation. The study’s findings suggest that the three types of IT-enabled knowledge capabilities have differential effects on firm innovation. This study substantially contributes to the information systems (IS) research, methodology, and practice in multiple ways.","author":[{"dropping-particle":"","family":"Joshi","given":"K. D.","non-dropping-particle":"","parse-names":false,"suffix":""},{"dropping-particle":"","family":"Chi","given":"Lei","non-dropping-particle":"","parse-names":false,"suffix":""},{"dropping-particle":"","family":"Datta","given":"Avimanyu","non-dropping-particle":"","parse-names":false,"suffix":""},{"dropping-particle":"","family":"Han","given":"Shu","non-dropping-particle":"","parse-names":false,"suffix":""}],"container-title":"Information Systems Research","id":"ITEM-2","issue":"3","issued":{"date-parts":[["2010","9"]]},"page":"472-495","title":"Changing the competitive landscape: Continuous innovation through IT-enabled knowledge capabilities","type":"article-journal","volume":"21"},"uris":["http://www.mendeley.com/documents/?uuid=b45fbea5-f4b7-45e3-a744-9cd9887909c6"]},{"id":"ITEM-3","itemData":{"DOI":"10.1287/isre.1090.0247","ISSN":"1047-7047","abstract":"Although many organizations are implementing knowledge management systems (KMS), there is little empirical evidence about whether KMS use can improve individual performance, and how time and experience influence the value derived from KMS use. Using hierarchical linear modeling (HLM) statistical analysis, we examined the impact of using a codification-based KMS on the sales performance of 2,154 sales representatives in a pharmaceutical firm over a 24-month period. We found that KMS had significant positive impacts on individual performance and that these performance benefits grew over time. Moreover, experience moderated the relationship between KMS use and individual performance. Knowledge workers with more experience were able to more quickly absorb and apply the knowledge from the KMS than were those with less experience, who took longer to benefit from KMS use. However, over time experience played a diminishing role in leveraging performance gains from KMS use, and knowledge workers with less experience eventually derived similar performance benefits as those of their more experienced counterparts. © 2011 INFORMS.","author":[{"dropping-particle":"","family":"Ko","given":"Dong-Gil","non-dropping-particle":"","parse-names":false,"suffix":""},{"dropping-particle":"","family":"Dennis","given":"Alan R.","non-dropping-particle":"","parse-names":false,"suffix":""}],"container-title":"Information Systems Research","id":"ITEM-3","issue":"1","issued":{"date-parts":[["2011","3"]]},"page":"134-152","title":"Profiting from knowledge management: The impact of time and experience","type":"article-journal","volume":"22"},"uris":["http://www.mendeley.com/documents/?uuid=ee7a5309-71d5-45d1-a797-8adbaf70e716"]},{"id":"ITEM-4","itemData":{"DOI":"10.1108/JEIM-05-2012-0025","ISSN":"1741-0398","abstract":"The effect of knowledge management capability and dynamic capability on organizational performance","author":[{"dropping-particle":"","family":"Tseng","given":"Shu-Mei","non-dropping-particle":"","parse-names":false,"suffix":""},{"dropping-particle":"","family":"Lee","given":"Pei-Shan","non-dropping-particle":"","parse-names":false,"suffix":""}],"container-title":"Journal of Enterprise Information Management","id":"ITEM-4","issue":"2","issued":{"date-parts":[["2014","2","4"]]},"page":"158-179","title":"The effect of knowledge management capability and dynamic capability on organizational performance","type":"article-journal","volume":"27"},"uris":["http://www.mendeley.com/documents/?uuid=6f3139a4-59e8-4c26-896c-f1fda060a8d8"]}],"mendeley":{"formattedCitation":"(Joshi, Chi, Datta, &amp; Han, 2010; Ko &amp; Dennis, 2011; Palacios, Kaspereit, &amp; Kienle, 2011; Tseng &amp; Lee, 2014)","plainTextFormattedCitation":"(Joshi, Chi, Datta, &amp; Han, 2010; Ko &amp; Dennis, 2011; Palacios, Kaspereit, &amp; Kienle, 2011; Tseng &amp; Lee, 2014)","previouslyFormattedCitation":"(Joshi, Chi, Datta, &amp; Han, 2010; Ko &amp; Dennis, 2011; Palacios, Kaspereit, &amp; Kienle, 2011; Tseng &amp; Lee, 2014)"},"properties":{"noteIndex":0},"schema":"https://github.com/citation-style-language/schema/raw/master/csl-citation.json"}</w:instrText>
      </w:r>
      <w:r w:rsidRPr="002A7627">
        <w:fldChar w:fldCharType="separate"/>
      </w:r>
      <w:r w:rsidR="00BF646C" w:rsidRPr="002A7627">
        <w:rPr>
          <w:noProof/>
        </w:rPr>
        <w:t>(Joshi, Chi, Datta, &amp; Han, 2010; Ko &amp; Dennis, 2011; Palacios, Kaspereit, &amp; Kienle, 2011; Tseng &amp; Lee, 2014)</w:t>
      </w:r>
      <w:r w:rsidRPr="002A7627">
        <w:fldChar w:fldCharType="end"/>
      </w:r>
      <w:r w:rsidRPr="002A7627">
        <w:t xml:space="preserve">. Knowledge management capability can be defined as </w:t>
      </w:r>
      <w:r w:rsidRPr="009717EC">
        <w:rPr>
          <w:color w:val="000000" w:themeColor="text1"/>
        </w:rPr>
        <w:t xml:space="preserve">the </w:t>
      </w:r>
      <w:r w:rsidR="000465F2" w:rsidRPr="009717EC">
        <w:rPr>
          <w:color w:val="000000" w:themeColor="text1"/>
        </w:rPr>
        <w:t>ability</w:t>
      </w:r>
      <w:r w:rsidRPr="009717EC">
        <w:rPr>
          <w:color w:val="000000" w:themeColor="text1"/>
        </w:rPr>
        <w:t xml:space="preserve"> </w:t>
      </w:r>
      <w:r w:rsidRPr="002A7627">
        <w:t xml:space="preserve">to manage knowledge to </w:t>
      </w:r>
      <w:r w:rsidR="000465F2">
        <w:t xml:space="preserve">help </w:t>
      </w:r>
      <w:r w:rsidRPr="002A7627">
        <w:t>achiev</w:t>
      </w:r>
      <w:r w:rsidR="000465F2">
        <w:t>e</w:t>
      </w:r>
      <w:r w:rsidRPr="002A7627">
        <w:t xml:space="preserve"> competitive advantage. For example, Wang</w:t>
      </w:r>
      <w:r w:rsidR="00E71A4E">
        <w:t xml:space="preserve">, </w:t>
      </w:r>
      <w:r w:rsidR="00E71A4E" w:rsidRPr="002A7627">
        <w:rPr>
          <w:noProof/>
        </w:rPr>
        <w:t>Clay</w:t>
      </w:r>
      <w:r w:rsidR="00E71A4E">
        <w:rPr>
          <w:noProof/>
        </w:rPr>
        <w:t xml:space="preserve"> </w:t>
      </w:r>
      <w:r w:rsidR="00E71A4E" w:rsidRPr="002A7627">
        <w:rPr>
          <w:noProof/>
        </w:rPr>
        <w:t>&amp; Forsgren</w:t>
      </w:r>
      <w:r w:rsidRPr="002A7627">
        <w:t xml:space="preserve"> </w:t>
      </w:r>
      <w:r w:rsidRPr="002A7627">
        <w:fldChar w:fldCharType="begin" w:fldLock="1"/>
      </w:r>
      <w:r w:rsidRPr="002A7627">
        <w:instrText>ADDIN CSL_CITATION {"citationItems":[{"id":"ITEM-1","itemData":{"DOI":"10.1016/j.ijinfomgt.2015.06.006","ISSN":"02684012","abstract":"The multifaceted role of information technology (IT) in organizations has been extensively examined. However, the interaction between IT assets and IT management and its impact on firm performance remains less clear. In this paper, we adopt a systems perspective to further examine this important mechanism. In particular, we investigate how IT assets and IT management, as key subsystems within the larger organization system, interact to jointly impact organizational performance. Building on systems theory's notion of open systems, we also examine how the organization and its sub-systems are impacted by the environment in which it is located. Specifically, we investigate how environmental dynamism permeates the boundaries of the organization to moderate the interaction between the IT assets and IT management subsystems. A matched-sample of 214 business executives and IT managers is used for testing the hypotheses.","author":[{"dropping-particle":"","family":"Wang","given":"Yi","non-dropping-particle":"","parse-names":false,"suffix":""},{"dropping-particle":"","family":"Shi","given":"Si","non-dropping-particle":"","parse-names":false,"suffix":""},{"dropping-particle":"","family":"Nevo","given":"Saggi","non-dropping-particle":"","parse-names":false,"suffix":""},{"dropping-particle":"","family":"Li","given":"Shaorui","non-dropping-particle":"","parse-names":false,"suffix":""},{"dropping-particle":"","family":"Chen","given":"Yang","non-dropping-particle":"","parse-names":false,"suffix":""}],"container-title":"International Journal of Information Management","id":"ITEM-1","issue":"5","issued":{"date-parts":[["2015","10"]]},"page":"580-593","title":"The interaction effect of IT assets and IT management on firm performance: A systems perspective","type":"article-journal","volume":"35"},"suppress-author":1,"uris":["http://www.mendeley.com/documents/?uuid=66b1962a-b4cc-47ac-aeb5-9a07a09f2432"]}],"mendeley":{"formattedCitation":"(2015)","plainTextFormattedCitation":"(2015)","previouslyFormattedCitation":"(2015)"},"properties":{"noteIndex":0},"schema":"https://github.com/citation-style-language/schema/raw/master/csl-citation.json"}</w:instrText>
      </w:r>
      <w:r w:rsidRPr="002A7627">
        <w:fldChar w:fldCharType="separate"/>
      </w:r>
      <w:r w:rsidRPr="002A7627">
        <w:rPr>
          <w:noProof/>
        </w:rPr>
        <w:t>(2015)</w:t>
      </w:r>
      <w:r w:rsidRPr="002A7627">
        <w:fldChar w:fldCharType="end"/>
      </w:r>
      <w:r w:rsidRPr="002A7627">
        <w:t xml:space="preserve"> found that the interaction between IT assets and IT management affects organizational performance. </w:t>
      </w:r>
    </w:p>
    <w:p w14:paraId="41D4B8FD" w14:textId="3003E396" w:rsidR="008377FA" w:rsidRPr="002A7627" w:rsidRDefault="008377FA" w:rsidP="00690CD5">
      <w:pPr>
        <w:pStyle w:val="AAAAAAA"/>
      </w:pPr>
      <w:r w:rsidRPr="002A7627">
        <w:t>To bridge the gap in the literature, it is</w:t>
      </w:r>
      <w:r w:rsidR="00054373" w:rsidRPr="002A7627">
        <w:t xml:space="preserve"> therefore </w:t>
      </w:r>
      <w:r w:rsidRPr="002A7627">
        <w:t xml:space="preserve">important to use a comprehensive approach to measuring the intangible benefits of knowledge management </w:t>
      </w:r>
      <w:r w:rsidRPr="002A7627">
        <w:rPr>
          <w:noProof/>
        </w:rPr>
        <w:t>(Edvardsson &amp; Durst, 2013; Siddique, 2012; Vorobyova</w:t>
      </w:r>
      <w:r w:rsidR="009755E4">
        <w:rPr>
          <w:noProof/>
        </w:rPr>
        <w:t xml:space="preserve"> &amp; Raju</w:t>
      </w:r>
      <w:r w:rsidRPr="002A7627">
        <w:rPr>
          <w:noProof/>
        </w:rPr>
        <w:t>, 2018)</w:t>
      </w:r>
      <w:r w:rsidRPr="002A7627">
        <w:t xml:space="preserve">. This study aimed to </w:t>
      </w:r>
      <w:r w:rsidR="00BC6D1C" w:rsidRPr="00E71A4E">
        <w:rPr>
          <w:color w:val="000000" w:themeColor="text1"/>
        </w:rPr>
        <w:t xml:space="preserve">propose </w:t>
      </w:r>
      <w:r w:rsidRPr="002A7627">
        <w:t>a new framework to examine the relationships between knowledge management capabilities, human resources practices for knowledge-sharing</w:t>
      </w:r>
      <w:r w:rsidR="00054373" w:rsidRPr="002A7627">
        <w:t>,</w:t>
      </w:r>
      <w:r w:rsidRPr="002A7627">
        <w:t xml:space="preserve"> and knowledge management benefits. The proposed model also examined the </w:t>
      </w:r>
      <w:r w:rsidRPr="00E71A4E">
        <w:rPr>
          <w:color w:val="000000" w:themeColor="text1"/>
        </w:rPr>
        <w:t xml:space="preserve">mediation </w:t>
      </w:r>
      <w:r w:rsidR="000465F2" w:rsidRPr="00E71A4E">
        <w:rPr>
          <w:color w:val="000000" w:themeColor="text1"/>
        </w:rPr>
        <w:t xml:space="preserve">effect </w:t>
      </w:r>
      <w:r w:rsidRPr="00E71A4E">
        <w:rPr>
          <w:color w:val="000000" w:themeColor="text1"/>
        </w:rPr>
        <w:t xml:space="preserve">of </w:t>
      </w:r>
      <w:r w:rsidRPr="002A7627">
        <w:t xml:space="preserve">organizational learning on the relationships </w:t>
      </w:r>
      <w:r w:rsidRPr="002A7627">
        <w:lastRenderedPageBreak/>
        <w:t xml:space="preserve">between knowledge management capability, </w:t>
      </w:r>
      <w:r w:rsidR="00EA7FDD">
        <w:t>h</w:t>
      </w:r>
      <w:r w:rsidR="00781ECB" w:rsidRPr="002A7627">
        <w:t xml:space="preserve">uman </w:t>
      </w:r>
      <w:r w:rsidR="000465F2">
        <w:t>r</w:t>
      </w:r>
      <w:r w:rsidR="00781ECB" w:rsidRPr="002A7627">
        <w:t>esources (HR)</w:t>
      </w:r>
      <w:r w:rsidRPr="002A7627">
        <w:t xml:space="preserve"> practices for knowledge-sharing and knowledge management benefits. It should</w:t>
      </w:r>
      <w:r w:rsidR="00054373" w:rsidRPr="002A7627">
        <w:t>, therefore,</w:t>
      </w:r>
      <w:r w:rsidRPr="002A7627">
        <w:t xml:space="preserve"> enable organizations to improve workforce development. </w:t>
      </w:r>
    </w:p>
    <w:p w14:paraId="18C9A02C" w14:textId="1F8AA16A" w:rsidR="008377FA" w:rsidRPr="00E71A4E" w:rsidRDefault="008377FA" w:rsidP="00690CD5">
      <w:pPr>
        <w:pStyle w:val="AAAAAAA"/>
        <w:rPr>
          <w:color w:val="000000" w:themeColor="text1"/>
        </w:rPr>
      </w:pPr>
      <w:r w:rsidRPr="002A7627">
        <w:t xml:space="preserve">To ensure that the theoretical framework was valid and appropriate, it was tested in one of the biggest policing organizations in the UAE, Abu Dhabi Police (ADP), in Abu Dhabi Emirate. This is a large organization with more than 37,000 employees. It is part of the overall group of law enforcement organizations in the UAE, all of which are non-profit </w:t>
      </w:r>
      <w:r w:rsidRPr="00E71A4E">
        <w:rPr>
          <w:color w:val="000000" w:themeColor="text1"/>
        </w:rPr>
        <w:t xml:space="preserve">organizations. The organization provides high-quality services, in line with the standards set out by the Abu Dhabi </w:t>
      </w:r>
      <w:r w:rsidR="000465F2" w:rsidRPr="00E71A4E">
        <w:rPr>
          <w:color w:val="000000" w:themeColor="text1"/>
        </w:rPr>
        <w:t>E</w:t>
      </w:r>
      <w:r w:rsidRPr="00E71A4E">
        <w:rPr>
          <w:color w:val="000000" w:themeColor="text1"/>
        </w:rPr>
        <w:t xml:space="preserve">xcellence </w:t>
      </w:r>
      <w:r w:rsidR="000465F2" w:rsidRPr="00E71A4E">
        <w:rPr>
          <w:color w:val="000000" w:themeColor="text1"/>
        </w:rPr>
        <w:t>A</w:t>
      </w:r>
      <w:r w:rsidRPr="00E71A4E">
        <w:rPr>
          <w:color w:val="000000" w:themeColor="text1"/>
        </w:rPr>
        <w:t>wards, towards the aim of meeting the UAE vis</w:t>
      </w:r>
      <w:r w:rsidR="00054373" w:rsidRPr="00E71A4E">
        <w:rPr>
          <w:color w:val="000000" w:themeColor="text1"/>
        </w:rPr>
        <w:t>i</w:t>
      </w:r>
      <w:r w:rsidRPr="00E71A4E">
        <w:rPr>
          <w:color w:val="000000" w:themeColor="text1"/>
        </w:rPr>
        <w:t xml:space="preserve">on to provide people with safety and security. The policing agency contains nine departments, including the commander-in-chief’s department, general headquarters, criminal security, central operations, special tasks, community security, security and ports, finances and services and human resources </w:t>
      </w:r>
      <w:r w:rsidRPr="00E71A4E">
        <w:rPr>
          <w:color w:val="000000" w:themeColor="text1"/>
        </w:rPr>
        <w:fldChar w:fldCharType="begin" w:fldLock="1"/>
      </w:r>
      <w:r w:rsidR="00D23886" w:rsidRPr="00E71A4E">
        <w:rPr>
          <w:color w:val="000000" w:themeColor="text1"/>
        </w:rPr>
        <w:instrText>ADDIN CSL_CITATION {"citationItems":[{"id":"ITEM-1","itemData":{"URL":"https://www.adpolice.gov.ae/en/Pages/organization.aspx","accessed":{"date-parts":[["2019","6","11"]]},"author":[{"dropping-particle":"","family":"Abu Dhabi Police","given":"","non-dropping-particle":"","parse-names":false,"suffix":""}],"id":"ITEM-1","issued":{"date-parts":[["2019"]]},"title":"Organization chart","type":"webpage"},"uris":["http://www.mendeley.com/documents/?uuid=19271a75-f928-3bbb-bbca-7e71429c6147"]}],"mendeley":{"formattedCitation":"(Abu Dhabi Police, 2019)","plainTextFormattedCitation":"(Abu Dhabi Police, 2019)","previouslyFormattedCitation":"(Abu Dhabi Police, 2019)"},"properties":{"noteIndex":0},"schema":"https://github.com/citation-style-language/schema/raw/master/csl-citation.json"}</w:instrText>
      </w:r>
      <w:r w:rsidRPr="00E71A4E">
        <w:rPr>
          <w:color w:val="000000" w:themeColor="text1"/>
        </w:rPr>
        <w:fldChar w:fldCharType="separate"/>
      </w:r>
      <w:r w:rsidRPr="00E71A4E">
        <w:rPr>
          <w:noProof/>
          <w:color w:val="000000" w:themeColor="text1"/>
        </w:rPr>
        <w:t>(Abu Dhabi Police, 2019)</w:t>
      </w:r>
      <w:r w:rsidRPr="00E71A4E">
        <w:rPr>
          <w:color w:val="000000" w:themeColor="text1"/>
        </w:rPr>
        <w:fldChar w:fldCharType="end"/>
      </w:r>
      <w:r w:rsidRPr="00E71A4E">
        <w:rPr>
          <w:color w:val="000000" w:themeColor="text1"/>
        </w:rPr>
        <w:t xml:space="preserve">. </w:t>
      </w:r>
    </w:p>
    <w:p w14:paraId="146677AF" w14:textId="6EC6FAF3" w:rsidR="008377FA" w:rsidRPr="002A7627" w:rsidRDefault="008377FA" w:rsidP="00690CD5">
      <w:pPr>
        <w:pStyle w:val="AAAAAAA"/>
      </w:pPr>
      <w:r w:rsidRPr="00E71A4E">
        <w:rPr>
          <w:color w:val="000000" w:themeColor="text1"/>
        </w:rPr>
        <w:t xml:space="preserve">Knowledge management is a critical issue in any policing organization. Abu Dhabi Police has therefore invested heavily in its capabilities to maximize the benefits of knowledge management. In 2015, </w:t>
      </w:r>
      <w:r w:rsidR="00BC6D1C" w:rsidRPr="00E71A4E">
        <w:rPr>
          <w:color w:val="000000" w:themeColor="text1"/>
        </w:rPr>
        <w:t xml:space="preserve">as a result of participating in </w:t>
      </w:r>
      <w:r w:rsidR="00501995" w:rsidRPr="00E71A4E">
        <w:rPr>
          <w:color w:val="000000" w:themeColor="text1"/>
        </w:rPr>
        <w:t xml:space="preserve">the </w:t>
      </w:r>
      <w:r w:rsidR="00BC6D1C" w:rsidRPr="00E71A4E">
        <w:rPr>
          <w:color w:val="000000" w:themeColor="text1"/>
        </w:rPr>
        <w:t xml:space="preserve">Abu Dhabi Excellence Award, </w:t>
      </w:r>
      <w:r w:rsidRPr="00E71A4E">
        <w:rPr>
          <w:color w:val="000000" w:themeColor="text1"/>
        </w:rPr>
        <w:t xml:space="preserve">it won two awards for knowledge management, one for policing agencies in Abu Dhabi, and the other for government entities in Abu Dhabi </w:t>
      </w:r>
      <w:r w:rsidRPr="00E71A4E">
        <w:rPr>
          <w:color w:val="000000" w:themeColor="text1"/>
        </w:rPr>
        <w:fldChar w:fldCharType="begin" w:fldLock="1"/>
      </w:r>
      <w:r w:rsidRPr="00E71A4E">
        <w:rPr>
          <w:color w:val="000000" w:themeColor="text1"/>
        </w:rPr>
        <w:instrText>ADDIN CSL_CITATION {"citationItems":[{"id":"ITEM-1","itemData":{"URL":"https://www.adpolice.gov.ae/en/pages/awards.aspx","accessed":{"date-parts":[["2019","6","11"]]},"author":[{"dropping-particle":"","family":"Abu Dhabi Police","given":"","non-dropping-particle":"","parse-names":false,"suffix":""}],"id":"ITEM-1","issued":{"date-parts":[["2018"]]},"title":"Awards","type":"webpage"},"uris":["http://www.mendeley.com/documents/?uuid=3b9101a1-68da-342d-9479-0b53aedaffcb"]}],"mendeley":{"formattedCitation":"(Abu Dhabi Police, 2018)","plainTextFormattedCitation":"(Abu Dhabi Police, 2018)","previouslyFormattedCitation":"(Abu Dhabi Police, 2018)"},"properties":{"noteIndex":0},"schema":"https://github.com/citation-style-language/schema/raw/master/csl-citation.json"}</w:instrText>
      </w:r>
      <w:r w:rsidRPr="00E71A4E">
        <w:rPr>
          <w:color w:val="000000" w:themeColor="text1"/>
        </w:rPr>
        <w:fldChar w:fldCharType="separate"/>
      </w:r>
      <w:r w:rsidRPr="00E71A4E">
        <w:rPr>
          <w:noProof/>
          <w:color w:val="000000" w:themeColor="text1"/>
        </w:rPr>
        <w:t>(Abu Dhabi Police, 2018)</w:t>
      </w:r>
      <w:r w:rsidRPr="00E71A4E">
        <w:rPr>
          <w:color w:val="000000" w:themeColor="text1"/>
        </w:rPr>
        <w:fldChar w:fldCharType="end"/>
      </w:r>
      <w:r w:rsidRPr="00E71A4E">
        <w:rPr>
          <w:color w:val="000000" w:themeColor="text1"/>
        </w:rPr>
        <w:t>. By 2017, it was working to leverage knowledge management through a major organizational restructuring exercise</w:t>
      </w:r>
      <w:r w:rsidRPr="002A7627">
        <w:t xml:space="preserve">. This established </w:t>
      </w:r>
      <w:r w:rsidR="00B77DFC">
        <w:t xml:space="preserve">a </w:t>
      </w:r>
      <w:r w:rsidRPr="002A7627">
        <w:t>knowledge management</w:t>
      </w:r>
      <w:r w:rsidR="00B77DFC">
        <w:t xml:space="preserve"> center</w:t>
      </w:r>
      <w:r w:rsidRPr="002A7627">
        <w:t xml:space="preserve"> with the aim of building and </w:t>
      </w:r>
      <w:r w:rsidRPr="002A7627">
        <w:lastRenderedPageBreak/>
        <w:t>sustaining organizational memory, especially for tacit knowledge. The strategic objective of “knowledge management efficiency” is reviewed on a yearly basis</w:t>
      </w:r>
      <w:r w:rsidR="00193A9C" w:rsidRPr="002A7627">
        <w:t>,</w:t>
      </w:r>
      <w:r w:rsidRPr="002A7627">
        <w:t xml:space="preserve"> and many initiatives and projects have been started to improve the knowledge management capabilities of the organization and increase the benefits achieved. It is</w:t>
      </w:r>
      <w:r w:rsidR="00054373" w:rsidRPr="002A7627">
        <w:t xml:space="preserve">, therefore, </w:t>
      </w:r>
      <w:r w:rsidRPr="002A7627">
        <w:t xml:space="preserve">a suitable organization to use </w:t>
      </w:r>
      <w:r w:rsidRPr="00E71A4E">
        <w:rPr>
          <w:color w:val="000000" w:themeColor="text1"/>
        </w:rPr>
        <w:t xml:space="preserve">to </w:t>
      </w:r>
      <w:r w:rsidR="00BC6D1C" w:rsidRPr="00E71A4E">
        <w:rPr>
          <w:color w:val="000000" w:themeColor="text1"/>
        </w:rPr>
        <w:t xml:space="preserve">investigate </w:t>
      </w:r>
      <w:r w:rsidRPr="002A7627">
        <w:t>the benefits of knowledge management and the factors affecting it.</w:t>
      </w:r>
    </w:p>
    <w:p w14:paraId="0296FE2D" w14:textId="447985E0" w:rsidR="008377FA" w:rsidRPr="002A7627" w:rsidRDefault="0070671C" w:rsidP="001D5F54">
      <w:pPr>
        <w:pStyle w:val="Heading1"/>
        <w:numPr>
          <w:ilvl w:val="1"/>
          <w:numId w:val="39"/>
        </w:numPr>
        <w:rPr>
          <w:color w:val="000000"/>
        </w:rPr>
      </w:pPr>
      <w:bookmarkStart w:id="45" w:name="_Toc11533401"/>
      <w:bookmarkStart w:id="46" w:name="_Toc11533508"/>
      <w:bookmarkStart w:id="47" w:name="_Toc13959615"/>
      <w:r>
        <w:rPr>
          <w:color w:val="000000"/>
        </w:rPr>
        <w:t xml:space="preserve"> </w:t>
      </w:r>
      <w:bookmarkStart w:id="48" w:name="_Toc22331640"/>
      <w:r w:rsidR="008377FA" w:rsidRPr="002A7627">
        <w:rPr>
          <w:color w:val="000000"/>
        </w:rPr>
        <w:t>Research</w:t>
      </w:r>
      <w:r w:rsidR="000B03ED" w:rsidRPr="002A7627">
        <w:rPr>
          <w:color w:val="000000"/>
        </w:rPr>
        <w:t xml:space="preserve"> </w:t>
      </w:r>
      <w:r w:rsidR="00690CD5" w:rsidRPr="002A7627">
        <w:rPr>
          <w:color w:val="000000"/>
        </w:rPr>
        <w:t xml:space="preserve">Questions </w:t>
      </w:r>
      <w:r w:rsidR="000B03ED" w:rsidRPr="002A7627">
        <w:rPr>
          <w:color w:val="000000"/>
        </w:rPr>
        <w:t xml:space="preserve">and </w:t>
      </w:r>
      <w:r w:rsidR="00690CD5" w:rsidRPr="002A7627">
        <w:rPr>
          <w:color w:val="000000"/>
        </w:rPr>
        <w:t>Objectives</w:t>
      </w:r>
      <w:bookmarkEnd w:id="45"/>
      <w:bookmarkEnd w:id="46"/>
      <w:bookmarkEnd w:id="47"/>
      <w:bookmarkEnd w:id="48"/>
      <w:r w:rsidR="00690CD5" w:rsidRPr="002A7627">
        <w:rPr>
          <w:color w:val="000000"/>
        </w:rPr>
        <w:t xml:space="preserve"> </w:t>
      </w:r>
    </w:p>
    <w:p w14:paraId="59A85938" w14:textId="5E0E59B7" w:rsidR="008377FA" w:rsidRPr="002A7627" w:rsidRDefault="000465F2" w:rsidP="00E71A4E">
      <w:pPr>
        <w:pStyle w:val="AAAAAAA"/>
        <w:ind w:firstLine="0"/>
      </w:pPr>
      <w:bookmarkStart w:id="49" w:name="_Toc22331641"/>
      <w:r>
        <w:rPr>
          <w:rStyle w:val="Heading2Char"/>
          <w:color w:val="000000"/>
          <w:u w:val="none"/>
        </w:rPr>
        <w:t>1.3.1</w:t>
      </w:r>
      <w:r>
        <w:rPr>
          <w:rStyle w:val="Heading2Char"/>
          <w:color w:val="000000"/>
          <w:u w:val="none"/>
        </w:rPr>
        <w:tab/>
      </w:r>
      <w:r w:rsidR="008377FA" w:rsidRPr="002A7627">
        <w:rPr>
          <w:rStyle w:val="Heading2Char"/>
          <w:color w:val="000000"/>
          <w:u w:val="none"/>
        </w:rPr>
        <w:t xml:space="preserve">Research </w:t>
      </w:r>
      <w:r w:rsidR="000B03ED" w:rsidRPr="002A7627">
        <w:rPr>
          <w:rStyle w:val="Heading2Char"/>
          <w:color w:val="000000"/>
          <w:u w:val="none"/>
        </w:rPr>
        <w:t>q</w:t>
      </w:r>
      <w:r w:rsidR="008377FA" w:rsidRPr="002A7627">
        <w:rPr>
          <w:rStyle w:val="Heading2Char"/>
          <w:color w:val="000000"/>
          <w:u w:val="none"/>
        </w:rPr>
        <w:t>uestions</w:t>
      </w:r>
      <w:bookmarkEnd w:id="49"/>
      <w:r w:rsidR="00690CD5" w:rsidRPr="002A7627">
        <w:t xml:space="preserve">. </w:t>
      </w:r>
      <w:r w:rsidR="008377FA" w:rsidRPr="002A7627">
        <w:rPr>
          <w:lang w:bidi="ar-AE"/>
        </w:rPr>
        <w:t>This study addresses five research questions</w:t>
      </w:r>
      <w:r w:rsidR="008377FA" w:rsidRPr="002A7627">
        <w:t>:</w:t>
      </w:r>
    </w:p>
    <w:p w14:paraId="2A73A850" w14:textId="77777777" w:rsidR="008377FA" w:rsidRPr="002A7627" w:rsidRDefault="008377FA" w:rsidP="00571997">
      <w:pPr>
        <w:pStyle w:val="AAAAAAA"/>
        <w:numPr>
          <w:ilvl w:val="3"/>
          <w:numId w:val="2"/>
        </w:numPr>
        <w:ind w:left="720"/>
      </w:pPr>
      <w:r w:rsidRPr="002A7627">
        <w:t>How do knowledge management capabilities affect knowledge management benefits?</w:t>
      </w:r>
    </w:p>
    <w:p w14:paraId="320CDF47" w14:textId="0F0D37AB" w:rsidR="008377FA" w:rsidRPr="002A7627" w:rsidRDefault="008377FA" w:rsidP="00571997">
      <w:pPr>
        <w:pStyle w:val="NormalWeb"/>
        <w:numPr>
          <w:ilvl w:val="3"/>
          <w:numId w:val="2"/>
        </w:numPr>
        <w:spacing w:before="0" w:beforeAutospacing="0" w:after="0" w:afterAutospacing="0" w:line="480" w:lineRule="auto"/>
        <w:ind w:left="720"/>
        <w:jc w:val="lowKashida"/>
        <w:rPr>
          <w:rFonts w:asciiTheme="majorBidi" w:eastAsiaTheme="minorHAnsi" w:hAnsiTheme="majorBidi" w:cstheme="majorBidi"/>
          <w:color w:val="000000"/>
          <w:sz w:val="24"/>
          <w:szCs w:val="24"/>
        </w:rPr>
      </w:pPr>
      <w:r w:rsidRPr="002A7627">
        <w:rPr>
          <w:rFonts w:asciiTheme="majorBidi" w:hAnsiTheme="majorBidi" w:cstheme="majorBidi"/>
          <w:color w:val="000000"/>
          <w:sz w:val="24"/>
          <w:szCs w:val="24"/>
        </w:rPr>
        <w:t>How do HR</w:t>
      </w:r>
      <w:r w:rsidR="00A33AD3" w:rsidRPr="002A7627">
        <w:rPr>
          <w:rFonts w:asciiTheme="majorBidi" w:hAnsiTheme="majorBidi" w:cstheme="majorBidi"/>
          <w:color w:val="000000"/>
          <w:sz w:val="24"/>
          <w:szCs w:val="24"/>
        </w:rPr>
        <w:t xml:space="preserve"> </w:t>
      </w:r>
      <w:r w:rsidRPr="002A7627">
        <w:rPr>
          <w:rFonts w:asciiTheme="majorBidi" w:hAnsiTheme="majorBidi" w:cstheme="majorBidi"/>
          <w:color w:val="000000"/>
          <w:sz w:val="24"/>
          <w:szCs w:val="24"/>
        </w:rPr>
        <w:t>practices on knowledge sharing affect knowledge management benefits?</w:t>
      </w:r>
    </w:p>
    <w:p w14:paraId="32DE74F2" w14:textId="77777777" w:rsidR="008377FA" w:rsidRPr="002A7627" w:rsidRDefault="008377FA" w:rsidP="00571997">
      <w:pPr>
        <w:pStyle w:val="NormalWeb"/>
        <w:numPr>
          <w:ilvl w:val="3"/>
          <w:numId w:val="2"/>
        </w:numPr>
        <w:spacing w:before="0" w:beforeAutospacing="0" w:after="0" w:afterAutospacing="0" w:line="480" w:lineRule="auto"/>
        <w:ind w:left="720"/>
        <w:jc w:val="lowKashida"/>
        <w:rPr>
          <w:rFonts w:asciiTheme="majorBidi" w:eastAsiaTheme="minorHAnsi" w:hAnsiTheme="majorBidi" w:cstheme="majorBidi"/>
          <w:color w:val="000000"/>
          <w:sz w:val="24"/>
          <w:szCs w:val="24"/>
        </w:rPr>
      </w:pPr>
      <w:r w:rsidRPr="002A7627">
        <w:rPr>
          <w:rFonts w:asciiTheme="majorBidi" w:hAnsiTheme="majorBidi" w:cstheme="majorBidi"/>
          <w:color w:val="000000"/>
          <w:sz w:val="24"/>
          <w:szCs w:val="24"/>
        </w:rPr>
        <w:t>How does organizational learning affect knowledge management benefits?</w:t>
      </w:r>
    </w:p>
    <w:p w14:paraId="0A39FCE4" w14:textId="2D2A2575" w:rsidR="00C4656E" w:rsidRDefault="00C4656E" w:rsidP="00571997">
      <w:pPr>
        <w:pStyle w:val="NormalWeb"/>
        <w:numPr>
          <w:ilvl w:val="3"/>
          <w:numId w:val="2"/>
        </w:numPr>
        <w:spacing w:before="0" w:beforeAutospacing="0" w:after="0" w:afterAutospacing="0" w:line="480" w:lineRule="auto"/>
        <w:ind w:left="720"/>
        <w:jc w:val="lowKashida"/>
        <w:rPr>
          <w:rFonts w:asciiTheme="majorBidi" w:hAnsiTheme="majorBidi" w:cstheme="majorBidi"/>
          <w:color w:val="000000"/>
          <w:sz w:val="24"/>
          <w:szCs w:val="24"/>
        </w:rPr>
      </w:pPr>
      <w:r w:rsidRPr="001D5F54">
        <w:rPr>
          <w:rFonts w:asciiTheme="majorBidi" w:hAnsiTheme="majorBidi" w:cstheme="majorBidi"/>
          <w:color w:val="000000"/>
          <w:sz w:val="24"/>
          <w:szCs w:val="24"/>
        </w:rPr>
        <w:t xml:space="preserve">What is the role of organizational learning in mediating </w:t>
      </w:r>
      <w:r w:rsidR="00FE34FC">
        <w:rPr>
          <w:rFonts w:asciiTheme="majorBidi" w:hAnsiTheme="majorBidi" w:cstheme="majorBidi"/>
          <w:color w:val="000000"/>
          <w:sz w:val="24"/>
          <w:szCs w:val="24"/>
        </w:rPr>
        <w:t>the</w:t>
      </w:r>
      <w:r w:rsidR="00FE34FC" w:rsidRPr="001D5F54">
        <w:rPr>
          <w:rFonts w:asciiTheme="majorBidi" w:hAnsiTheme="majorBidi" w:cstheme="majorBidi"/>
          <w:color w:val="000000"/>
          <w:sz w:val="24"/>
          <w:szCs w:val="24"/>
        </w:rPr>
        <w:t xml:space="preserve"> </w:t>
      </w:r>
      <w:r w:rsidRPr="001D5F54">
        <w:rPr>
          <w:rFonts w:asciiTheme="majorBidi" w:hAnsiTheme="majorBidi" w:cstheme="majorBidi"/>
          <w:color w:val="000000"/>
          <w:sz w:val="24"/>
          <w:szCs w:val="24"/>
        </w:rPr>
        <w:t xml:space="preserve">relationship between knowledge management capabilities and </w:t>
      </w:r>
      <w:r w:rsidR="005C1E1A">
        <w:rPr>
          <w:rFonts w:asciiTheme="majorBidi" w:hAnsiTheme="majorBidi" w:cstheme="majorBidi"/>
          <w:color w:val="000000"/>
          <w:sz w:val="24"/>
          <w:szCs w:val="24"/>
        </w:rPr>
        <w:t>knowledge management</w:t>
      </w:r>
      <w:r w:rsidRPr="001D5F54">
        <w:rPr>
          <w:rFonts w:asciiTheme="majorBidi" w:hAnsiTheme="majorBidi" w:cstheme="majorBidi"/>
          <w:color w:val="000000"/>
          <w:sz w:val="24"/>
          <w:szCs w:val="24"/>
        </w:rPr>
        <w:t xml:space="preserve"> benefits</w:t>
      </w:r>
      <w:r>
        <w:rPr>
          <w:rFonts w:asciiTheme="majorBidi" w:hAnsiTheme="majorBidi" w:cstheme="majorBidi"/>
          <w:color w:val="000000"/>
          <w:sz w:val="24"/>
          <w:szCs w:val="24"/>
        </w:rPr>
        <w:t>?</w:t>
      </w:r>
    </w:p>
    <w:p w14:paraId="6325AF39" w14:textId="44EBB2C0" w:rsidR="00C4656E" w:rsidRPr="001D5F54" w:rsidRDefault="00C4656E" w:rsidP="00C4656E">
      <w:pPr>
        <w:pStyle w:val="NormalWeb"/>
        <w:numPr>
          <w:ilvl w:val="3"/>
          <w:numId w:val="2"/>
        </w:numPr>
        <w:spacing w:before="0" w:beforeAutospacing="0" w:after="0" w:afterAutospacing="0" w:line="480" w:lineRule="auto"/>
        <w:ind w:left="720"/>
        <w:jc w:val="lowKashida"/>
        <w:rPr>
          <w:rFonts w:asciiTheme="majorBidi" w:hAnsiTheme="majorBidi" w:cstheme="majorBidi"/>
          <w:color w:val="000000"/>
          <w:sz w:val="24"/>
          <w:szCs w:val="24"/>
        </w:rPr>
      </w:pPr>
      <w:r w:rsidRPr="000D0BFD">
        <w:rPr>
          <w:rFonts w:asciiTheme="majorBidi" w:hAnsiTheme="majorBidi" w:cstheme="majorBidi"/>
          <w:color w:val="000000"/>
          <w:sz w:val="24"/>
          <w:szCs w:val="24"/>
        </w:rPr>
        <w:t xml:space="preserve">What is the role of organizational learning in mediating </w:t>
      </w:r>
      <w:r w:rsidR="00FE34FC">
        <w:rPr>
          <w:rFonts w:asciiTheme="majorBidi" w:hAnsiTheme="majorBidi" w:cstheme="majorBidi"/>
          <w:color w:val="000000"/>
          <w:sz w:val="24"/>
          <w:szCs w:val="24"/>
        </w:rPr>
        <w:t>the</w:t>
      </w:r>
      <w:r w:rsidR="00FE34FC" w:rsidRPr="000D0BFD">
        <w:rPr>
          <w:rFonts w:asciiTheme="majorBidi" w:hAnsiTheme="majorBidi" w:cstheme="majorBidi"/>
          <w:color w:val="000000"/>
          <w:sz w:val="24"/>
          <w:szCs w:val="24"/>
        </w:rPr>
        <w:t xml:space="preserve"> </w:t>
      </w:r>
      <w:r w:rsidRPr="000D0BFD">
        <w:rPr>
          <w:rFonts w:asciiTheme="majorBidi" w:hAnsiTheme="majorBidi" w:cstheme="majorBidi"/>
          <w:color w:val="000000"/>
          <w:sz w:val="24"/>
          <w:szCs w:val="24"/>
        </w:rPr>
        <w:t xml:space="preserve">relationship between </w:t>
      </w:r>
      <w:r>
        <w:rPr>
          <w:rFonts w:asciiTheme="majorBidi" w:hAnsiTheme="majorBidi" w:cstheme="majorBidi"/>
          <w:color w:val="000000"/>
          <w:sz w:val="24"/>
          <w:szCs w:val="24"/>
        </w:rPr>
        <w:t>HR practices on knowledge sharing</w:t>
      </w:r>
      <w:r w:rsidRPr="000D0BFD">
        <w:rPr>
          <w:rFonts w:asciiTheme="majorBidi" w:hAnsiTheme="majorBidi" w:cstheme="majorBidi"/>
          <w:color w:val="000000"/>
          <w:sz w:val="24"/>
          <w:szCs w:val="24"/>
        </w:rPr>
        <w:t xml:space="preserve"> and </w:t>
      </w:r>
      <w:r>
        <w:rPr>
          <w:rFonts w:asciiTheme="majorBidi" w:hAnsiTheme="majorBidi" w:cstheme="majorBidi"/>
          <w:color w:val="000000"/>
          <w:sz w:val="24"/>
          <w:szCs w:val="24"/>
        </w:rPr>
        <w:t>knowledge management benefits?</w:t>
      </w:r>
    </w:p>
    <w:p w14:paraId="38F94365" w14:textId="6794A907" w:rsidR="008377FA" w:rsidRPr="002A7627" w:rsidRDefault="000465F2" w:rsidP="00E71A4E">
      <w:pPr>
        <w:pStyle w:val="AAAAAAA"/>
        <w:ind w:firstLine="0"/>
      </w:pPr>
      <w:bookmarkStart w:id="50" w:name="_Toc22331642"/>
      <w:r>
        <w:rPr>
          <w:rStyle w:val="Heading2Char"/>
          <w:color w:val="000000"/>
          <w:u w:val="none"/>
        </w:rPr>
        <w:t>1.3.2</w:t>
      </w:r>
      <w:r>
        <w:rPr>
          <w:rStyle w:val="Heading2Char"/>
          <w:color w:val="000000"/>
          <w:u w:val="none"/>
        </w:rPr>
        <w:tab/>
      </w:r>
      <w:r w:rsidR="008377FA" w:rsidRPr="002A7627">
        <w:rPr>
          <w:rStyle w:val="Heading2Char"/>
          <w:color w:val="000000"/>
          <w:u w:val="none"/>
        </w:rPr>
        <w:t>Research</w:t>
      </w:r>
      <w:r w:rsidR="000B03ED" w:rsidRPr="002A7627">
        <w:rPr>
          <w:rStyle w:val="Heading2Char"/>
          <w:color w:val="000000"/>
          <w:u w:val="none"/>
        </w:rPr>
        <w:t xml:space="preserve"> o</w:t>
      </w:r>
      <w:r w:rsidR="008377FA" w:rsidRPr="002A7627">
        <w:rPr>
          <w:rStyle w:val="Heading2Char"/>
          <w:color w:val="000000"/>
          <w:u w:val="none"/>
        </w:rPr>
        <w:t>bjectives</w:t>
      </w:r>
      <w:bookmarkEnd w:id="50"/>
      <w:r w:rsidR="00690CD5" w:rsidRPr="002A7627">
        <w:t xml:space="preserve">. </w:t>
      </w:r>
      <w:r w:rsidR="008377FA" w:rsidRPr="002A7627">
        <w:t>The study also has a number of objectives:</w:t>
      </w:r>
    </w:p>
    <w:p w14:paraId="4D9B3D93" w14:textId="77777777" w:rsidR="008377FA" w:rsidRPr="002A7627" w:rsidRDefault="008377FA" w:rsidP="00571997">
      <w:pPr>
        <w:pStyle w:val="ListParagraph"/>
        <w:widowControl/>
        <w:numPr>
          <w:ilvl w:val="0"/>
          <w:numId w:val="3"/>
        </w:numPr>
        <w:tabs>
          <w:tab w:val="left" w:pos="9360"/>
        </w:tabs>
        <w:spacing w:line="480" w:lineRule="auto"/>
        <w:ind w:left="720" w:right="-7"/>
        <w:contextualSpacing w:val="0"/>
        <w:jc w:val="lowKashida"/>
        <w:rPr>
          <w:rFonts w:asciiTheme="majorBidi" w:hAnsiTheme="majorBidi" w:cstheme="majorBidi"/>
          <w:szCs w:val="24"/>
        </w:rPr>
      </w:pPr>
      <w:r w:rsidRPr="002A7627">
        <w:rPr>
          <w:rFonts w:asciiTheme="majorBidi" w:hAnsiTheme="majorBidi" w:cstheme="majorBidi"/>
          <w:szCs w:val="24"/>
        </w:rPr>
        <w:t>To examine the relationship between knowledge management capabilities and knowledge management benefits.</w:t>
      </w:r>
    </w:p>
    <w:p w14:paraId="57961FF8" w14:textId="77777777" w:rsidR="008377FA" w:rsidRPr="002A7627" w:rsidRDefault="008377FA" w:rsidP="00571997">
      <w:pPr>
        <w:pStyle w:val="ListParagraph"/>
        <w:widowControl/>
        <w:numPr>
          <w:ilvl w:val="0"/>
          <w:numId w:val="3"/>
        </w:numPr>
        <w:tabs>
          <w:tab w:val="left" w:pos="9360"/>
        </w:tabs>
        <w:spacing w:line="480" w:lineRule="auto"/>
        <w:ind w:left="720" w:right="-7"/>
        <w:contextualSpacing w:val="0"/>
        <w:jc w:val="lowKashida"/>
        <w:rPr>
          <w:rFonts w:asciiTheme="majorBidi" w:hAnsiTheme="majorBidi" w:cstheme="majorBidi"/>
          <w:szCs w:val="24"/>
        </w:rPr>
      </w:pPr>
      <w:r w:rsidRPr="002A7627">
        <w:rPr>
          <w:rFonts w:asciiTheme="majorBidi" w:hAnsiTheme="majorBidi" w:cstheme="majorBidi"/>
          <w:szCs w:val="24"/>
        </w:rPr>
        <w:lastRenderedPageBreak/>
        <w:t>To examine the relationship between HR practices on knowledge sharing and knowledge management benefits.</w:t>
      </w:r>
    </w:p>
    <w:p w14:paraId="5AD10509" w14:textId="77777777" w:rsidR="001B475A" w:rsidRPr="002A7627" w:rsidRDefault="008377FA" w:rsidP="00571997">
      <w:pPr>
        <w:pStyle w:val="ListParagraph"/>
        <w:widowControl/>
        <w:numPr>
          <w:ilvl w:val="0"/>
          <w:numId w:val="3"/>
        </w:numPr>
        <w:tabs>
          <w:tab w:val="left" w:pos="9360"/>
        </w:tabs>
        <w:spacing w:line="480" w:lineRule="auto"/>
        <w:ind w:left="720" w:right="-7"/>
        <w:contextualSpacing w:val="0"/>
        <w:jc w:val="lowKashida"/>
        <w:rPr>
          <w:rFonts w:asciiTheme="majorBidi" w:hAnsiTheme="majorBidi" w:cstheme="majorBidi"/>
          <w:szCs w:val="24"/>
        </w:rPr>
      </w:pPr>
      <w:r w:rsidRPr="002A7627">
        <w:rPr>
          <w:rFonts w:asciiTheme="majorBidi" w:hAnsiTheme="majorBidi" w:cstheme="majorBidi"/>
          <w:szCs w:val="24"/>
        </w:rPr>
        <w:t>To examine the relationship between organizational learning and knowledge management benefits.</w:t>
      </w:r>
    </w:p>
    <w:p w14:paraId="7F136A65" w14:textId="2498E56D" w:rsidR="00C01DBE" w:rsidRPr="002A7627" w:rsidRDefault="008377FA" w:rsidP="00B77DFC">
      <w:pPr>
        <w:pStyle w:val="ListParagraph"/>
        <w:widowControl/>
        <w:numPr>
          <w:ilvl w:val="0"/>
          <w:numId w:val="3"/>
        </w:numPr>
        <w:tabs>
          <w:tab w:val="left" w:pos="9360"/>
        </w:tabs>
        <w:spacing w:line="480" w:lineRule="auto"/>
        <w:ind w:left="720" w:right="-7"/>
        <w:contextualSpacing w:val="0"/>
        <w:jc w:val="lowKashida"/>
        <w:rPr>
          <w:rFonts w:asciiTheme="majorBidi" w:hAnsiTheme="majorBidi" w:cstheme="majorBidi"/>
          <w:szCs w:val="24"/>
        </w:rPr>
      </w:pPr>
      <w:r w:rsidRPr="002A7627">
        <w:t>To examine the mediating effect of organizational learning on knowledge management capabilities, HR</w:t>
      </w:r>
      <w:r w:rsidRPr="002A7627">
        <w:rPr>
          <w:rFonts w:eastAsia="Times New Roman"/>
        </w:rPr>
        <w:t xml:space="preserve"> practices on knowledge sharing </w:t>
      </w:r>
      <w:r w:rsidRPr="002A7627">
        <w:t>and knowledge management benefits.</w:t>
      </w:r>
      <w:r w:rsidR="00C01DBE" w:rsidRPr="002A7627">
        <w:t xml:space="preserve"> </w:t>
      </w:r>
    </w:p>
    <w:p w14:paraId="59A8B99D" w14:textId="77777777" w:rsidR="008377FA" w:rsidRPr="002A7627" w:rsidRDefault="008377FA" w:rsidP="00571997">
      <w:pPr>
        <w:pStyle w:val="ListParagraph"/>
        <w:widowControl/>
        <w:numPr>
          <w:ilvl w:val="0"/>
          <w:numId w:val="3"/>
        </w:numPr>
        <w:tabs>
          <w:tab w:val="left" w:pos="9360"/>
        </w:tabs>
        <w:spacing w:line="480" w:lineRule="auto"/>
        <w:ind w:left="720" w:right="-7"/>
        <w:contextualSpacing w:val="0"/>
        <w:jc w:val="lowKashida"/>
        <w:rPr>
          <w:rFonts w:asciiTheme="majorBidi" w:hAnsiTheme="majorBidi" w:cstheme="majorBidi"/>
          <w:b/>
          <w:bCs/>
          <w:szCs w:val="24"/>
        </w:rPr>
      </w:pPr>
      <w:r w:rsidRPr="002A7627">
        <w:rPr>
          <w:rFonts w:asciiTheme="majorBidi" w:hAnsiTheme="majorBidi" w:cstheme="majorBidi"/>
          <w:szCs w:val="24"/>
        </w:rPr>
        <w:t>To propose a framework for integrating knowledge management benefits in policing organizations in the UAE.</w:t>
      </w:r>
    </w:p>
    <w:p w14:paraId="002E5F2C" w14:textId="77777777" w:rsidR="00731AAB" w:rsidRPr="001D5F54" w:rsidRDefault="00731AAB" w:rsidP="001D5F54">
      <w:pPr>
        <w:rPr>
          <w:bCs/>
        </w:rPr>
      </w:pPr>
      <w:bookmarkStart w:id="51" w:name="_Toc14144613"/>
    </w:p>
    <w:p w14:paraId="18F383CA" w14:textId="037C236A" w:rsidR="00A16095" w:rsidRPr="004D08C5" w:rsidRDefault="00A16095" w:rsidP="004D08C5">
      <w:pPr>
        <w:pStyle w:val="Caption"/>
      </w:pPr>
      <w:bookmarkStart w:id="52" w:name="_Toc19478579"/>
      <w:bookmarkStart w:id="53" w:name="_Toc21074069"/>
      <w:r w:rsidRPr="004D08C5">
        <w:t xml:space="preserve">Table </w:t>
      </w:r>
      <w:r w:rsidR="002A2347">
        <w:rPr>
          <w:noProof/>
        </w:rPr>
        <w:fldChar w:fldCharType="begin"/>
      </w:r>
      <w:r w:rsidR="002A2347">
        <w:rPr>
          <w:noProof/>
        </w:rPr>
        <w:instrText xml:space="preserve"> SEQ Table \* ARABIC </w:instrText>
      </w:r>
      <w:r w:rsidR="002A2347">
        <w:rPr>
          <w:noProof/>
        </w:rPr>
        <w:fldChar w:fldCharType="separate"/>
      </w:r>
      <w:r w:rsidR="00972C3F">
        <w:rPr>
          <w:noProof/>
        </w:rPr>
        <w:t>1</w:t>
      </w:r>
      <w:r w:rsidR="002A2347">
        <w:rPr>
          <w:noProof/>
        </w:rPr>
        <w:fldChar w:fldCharType="end"/>
      </w:r>
      <w:r w:rsidR="004D08C5">
        <w:t>.</w:t>
      </w:r>
      <w:r w:rsidR="004D08C5" w:rsidRPr="004D08C5">
        <w:t xml:space="preserve"> Research objectives, questions, and hypotheses</w:t>
      </w:r>
      <w:bookmarkEnd w:id="51"/>
      <w:bookmarkEnd w:id="52"/>
      <w:bookmarkEnd w:id="53"/>
    </w:p>
    <w:tbl>
      <w:tblPr>
        <w:tblStyle w:val="APAReport"/>
        <w:tblW w:w="7938" w:type="dxa"/>
        <w:tblCellMar>
          <w:top w:w="115" w:type="dxa"/>
          <w:left w:w="115" w:type="dxa"/>
          <w:bottom w:w="115" w:type="dxa"/>
          <w:right w:w="115" w:type="dxa"/>
        </w:tblCellMar>
        <w:tblLook w:val="04A0" w:firstRow="1" w:lastRow="0" w:firstColumn="1" w:lastColumn="0" w:noHBand="0" w:noVBand="1"/>
      </w:tblPr>
      <w:tblGrid>
        <w:gridCol w:w="2127"/>
        <w:gridCol w:w="2126"/>
        <w:gridCol w:w="3685"/>
      </w:tblGrid>
      <w:tr w:rsidR="00571997" w:rsidRPr="002A7627" w14:paraId="7CDEDE9A" w14:textId="77777777" w:rsidTr="00830760">
        <w:trPr>
          <w:cnfStyle w:val="100000000000" w:firstRow="1" w:lastRow="0" w:firstColumn="0" w:lastColumn="0" w:oddVBand="0" w:evenVBand="0" w:oddHBand="0" w:evenHBand="0" w:firstRowFirstColumn="0" w:firstRowLastColumn="0" w:lastRowFirstColumn="0" w:lastRowLastColumn="0"/>
          <w:tblHeader/>
        </w:trPr>
        <w:tc>
          <w:tcPr>
            <w:tcW w:w="2127" w:type="dxa"/>
          </w:tcPr>
          <w:p w14:paraId="52C7B0BB" w14:textId="00DDAAAD" w:rsidR="00571997" w:rsidRPr="002A7627" w:rsidRDefault="00571997" w:rsidP="00571997">
            <w:pPr>
              <w:rPr>
                <w:sz w:val="22"/>
                <w:szCs w:val="22"/>
                <w:lang w:bidi="en-US"/>
              </w:rPr>
            </w:pPr>
            <w:r w:rsidRPr="002A7627">
              <w:rPr>
                <w:rFonts w:asciiTheme="majorBidi" w:hAnsiTheme="majorBidi" w:cstheme="majorBidi"/>
                <w:b/>
                <w:bCs/>
                <w:color w:val="000000" w:themeColor="text1"/>
                <w:sz w:val="22"/>
                <w:szCs w:val="22"/>
              </w:rPr>
              <w:t>Research objectives</w:t>
            </w:r>
          </w:p>
        </w:tc>
        <w:tc>
          <w:tcPr>
            <w:tcW w:w="2126" w:type="dxa"/>
          </w:tcPr>
          <w:p w14:paraId="51D3E713" w14:textId="52E9530A" w:rsidR="00571997" w:rsidRPr="002A7627" w:rsidRDefault="00571997" w:rsidP="00571997">
            <w:pPr>
              <w:rPr>
                <w:sz w:val="22"/>
                <w:szCs w:val="22"/>
                <w:lang w:bidi="en-US"/>
              </w:rPr>
            </w:pPr>
            <w:r w:rsidRPr="002A7627">
              <w:rPr>
                <w:rFonts w:asciiTheme="majorBidi" w:hAnsiTheme="majorBidi" w:cstheme="majorBidi"/>
                <w:b/>
                <w:bCs/>
                <w:color w:val="000000" w:themeColor="text1"/>
                <w:sz w:val="22"/>
                <w:szCs w:val="22"/>
              </w:rPr>
              <w:t>Research questions</w:t>
            </w:r>
          </w:p>
        </w:tc>
        <w:tc>
          <w:tcPr>
            <w:tcW w:w="3685" w:type="dxa"/>
          </w:tcPr>
          <w:p w14:paraId="4954A862" w14:textId="5C237635" w:rsidR="00571997" w:rsidRPr="002A7627" w:rsidRDefault="00571997" w:rsidP="00571997">
            <w:pPr>
              <w:rPr>
                <w:sz w:val="22"/>
                <w:szCs w:val="22"/>
                <w:lang w:bidi="en-US"/>
              </w:rPr>
            </w:pPr>
            <w:r w:rsidRPr="002A7627">
              <w:rPr>
                <w:rFonts w:asciiTheme="majorBidi" w:hAnsiTheme="majorBidi" w:cstheme="majorBidi"/>
                <w:b/>
                <w:bCs/>
                <w:color w:val="000000" w:themeColor="text1"/>
                <w:sz w:val="22"/>
                <w:szCs w:val="22"/>
              </w:rPr>
              <w:t>Research hypotheses</w:t>
            </w:r>
          </w:p>
        </w:tc>
      </w:tr>
      <w:tr w:rsidR="00571997" w:rsidRPr="002A7627" w14:paraId="6AA95B12" w14:textId="77777777" w:rsidTr="00830760">
        <w:tc>
          <w:tcPr>
            <w:tcW w:w="2127" w:type="dxa"/>
          </w:tcPr>
          <w:p w14:paraId="738A6986" w14:textId="7A7EB85C" w:rsidR="00571997" w:rsidRPr="002A7627" w:rsidRDefault="00571997" w:rsidP="00F83D26">
            <w:pPr>
              <w:tabs>
                <w:tab w:val="left" w:pos="9360"/>
              </w:tabs>
              <w:ind w:right="150"/>
              <w:jc w:val="lowKashida"/>
              <w:rPr>
                <w:rFonts w:asciiTheme="majorBidi" w:hAnsiTheme="majorBidi" w:cstheme="majorBidi"/>
                <w:color w:val="000000" w:themeColor="text1"/>
                <w:sz w:val="20"/>
                <w:szCs w:val="20"/>
              </w:rPr>
            </w:pPr>
            <w:r w:rsidRPr="002A7627">
              <w:rPr>
                <w:rFonts w:asciiTheme="majorBidi" w:hAnsiTheme="majorBidi" w:cstheme="majorBidi"/>
                <w:color w:val="000000" w:themeColor="text1"/>
                <w:sz w:val="20"/>
                <w:szCs w:val="20"/>
              </w:rPr>
              <w:t>To examine the relationship between knowledge management capabilities and knowledge management benefits</w:t>
            </w:r>
          </w:p>
        </w:tc>
        <w:tc>
          <w:tcPr>
            <w:tcW w:w="2126" w:type="dxa"/>
          </w:tcPr>
          <w:p w14:paraId="1FFF3D1B" w14:textId="18DDE213" w:rsidR="00571997" w:rsidRPr="002A7627" w:rsidRDefault="00571997" w:rsidP="00B77DFC">
            <w:pPr>
              <w:jc w:val="lowKashida"/>
              <w:rPr>
                <w:sz w:val="20"/>
                <w:szCs w:val="20"/>
                <w:lang w:bidi="en-US"/>
              </w:rPr>
            </w:pPr>
            <w:r w:rsidRPr="002A7627">
              <w:rPr>
                <w:rFonts w:asciiTheme="majorBidi" w:hAnsiTheme="majorBidi" w:cstheme="majorBidi"/>
                <w:sz w:val="20"/>
                <w:szCs w:val="20"/>
              </w:rPr>
              <w:t xml:space="preserve">How do knowledge management capabilities affect </w:t>
            </w:r>
            <w:r w:rsidRPr="002A7627">
              <w:rPr>
                <w:rFonts w:asciiTheme="majorBidi" w:eastAsiaTheme="minorHAnsi" w:hAnsiTheme="majorBidi" w:cstheme="majorBidi"/>
                <w:sz w:val="20"/>
                <w:szCs w:val="20"/>
              </w:rPr>
              <w:t>knowledge management benefits?</w:t>
            </w:r>
          </w:p>
        </w:tc>
        <w:tc>
          <w:tcPr>
            <w:tcW w:w="3685" w:type="dxa"/>
          </w:tcPr>
          <w:p w14:paraId="1DD7FF5D" w14:textId="1336A375" w:rsidR="00571997" w:rsidRPr="00830760" w:rsidRDefault="00571997" w:rsidP="00571997">
            <w:pPr>
              <w:rPr>
                <w:sz w:val="20"/>
                <w:szCs w:val="22"/>
                <w:lang w:bidi="en-US"/>
              </w:rPr>
            </w:pPr>
            <w:r w:rsidRPr="00830760">
              <w:rPr>
                <w:rFonts w:asciiTheme="majorBidi" w:hAnsiTheme="majorBidi" w:cstheme="majorBidi"/>
                <w:b/>
                <w:bCs/>
                <w:color w:val="000000" w:themeColor="text1"/>
                <w:sz w:val="20"/>
                <w:szCs w:val="22"/>
              </w:rPr>
              <w:t>H1:</w:t>
            </w:r>
            <w:r w:rsidRPr="00830760">
              <w:rPr>
                <w:rFonts w:asciiTheme="majorBidi" w:hAnsiTheme="majorBidi" w:cstheme="majorBidi"/>
                <w:color w:val="000000" w:themeColor="text1"/>
                <w:sz w:val="20"/>
                <w:szCs w:val="22"/>
              </w:rPr>
              <w:t xml:space="preserve"> Knowledge management capabilities have a direct and positive relationship with knowledge management benefits</w:t>
            </w:r>
          </w:p>
        </w:tc>
      </w:tr>
      <w:tr w:rsidR="00571997" w:rsidRPr="002A7627" w14:paraId="368A418C" w14:textId="77777777" w:rsidTr="00830760">
        <w:tc>
          <w:tcPr>
            <w:tcW w:w="2127" w:type="dxa"/>
          </w:tcPr>
          <w:p w14:paraId="32298DF4" w14:textId="77777777" w:rsidR="00571997" w:rsidRPr="002A7627" w:rsidRDefault="00571997" w:rsidP="00571997">
            <w:pPr>
              <w:tabs>
                <w:tab w:val="left" w:pos="9360"/>
              </w:tabs>
              <w:ind w:right="60"/>
              <w:jc w:val="lowKashida"/>
              <w:rPr>
                <w:rFonts w:asciiTheme="majorBidi" w:hAnsiTheme="majorBidi" w:cstheme="majorBidi"/>
                <w:color w:val="000000" w:themeColor="text1"/>
                <w:sz w:val="20"/>
                <w:szCs w:val="20"/>
              </w:rPr>
            </w:pPr>
            <w:r w:rsidRPr="002A7627">
              <w:rPr>
                <w:rFonts w:asciiTheme="majorBidi" w:hAnsiTheme="majorBidi" w:cstheme="majorBidi"/>
                <w:color w:val="000000" w:themeColor="text1"/>
                <w:sz w:val="20"/>
                <w:szCs w:val="20"/>
              </w:rPr>
              <w:t>To examine the relationship between HR practices on knowledge sharing and knowledge management benefits</w:t>
            </w:r>
          </w:p>
          <w:p w14:paraId="13063984" w14:textId="77777777" w:rsidR="00571997" w:rsidRPr="002A7627" w:rsidRDefault="00571997" w:rsidP="00571997">
            <w:pPr>
              <w:rPr>
                <w:sz w:val="20"/>
                <w:szCs w:val="20"/>
                <w:lang w:bidi="en-US"/>
              </w:rPr>
            </w:pPr>
          </w:p>
        </w:tc>
        <w:tc>
          <w:tcPr>
            <w:tcW w:w="2126" w:type="dxa"/>
          </w:tcPr>
          <w:p w14:paraId="7F37AA4B" w14:textId="77777777" w:rsidR="00571997" w:rsidRPr="002A7627" w:rsidRDefault="00571997" w:rsidP="00830760">
            <w:pPr>
              <w:pStyle w:val="NormalWeb"/>
              <w:jc w:val="lowKashida"/>
              <w:rPr>
                <w:rFonts w:asciiTheme="majorBidi" w:hAnsiTheme="majorBidi" w:cstheme="majorBidi"/>
              </w:rPr>
            </w:pPr>
            <w:r w:rsidRPr="002A7627">
              <w:rPr>
                <w:rFonts w:asciiTheme="majorBidi" w:hAnsiTheme="majorBidi" w:cstheme="majorBidi"/>
              </w:rPr>
              <w:t>How do HR practices on knowledge sharing affect knowledge management benefits?</w:t>
            </w:r>
          </w:p>
          <w:p w14:paraId="70D94B7A" w14:textId="77777777" w:rsidR="00571997" w:rsidRPr="002A7627" w:rsidRDefault="00571997" w:rsidP="00571997">
            <w:pPr>
              <w:rPr>
                <w:sz w:val="20"/>
                <w:szCs w:val="20"/>
                <w:lang w:bidi="en-US"/>
              </w:rPr>
            </w:pPr>
          </w:p>
        </w:tc>
        <w:tc>
          <w:tcPr>
            <w:tcW w:w="3685" w:type="dxa"/>
          </w:tcPr>
          <w:p w14:paraId="158D0B97" w14:textId="737956D1" w:rsidR="00571997" w:rsidRPr="00830760" w:rsidRDefault="00571997" w:rsidP="00571997">
            <w:pPr>
              <w:jc w:val="lowKashida"/>
              <w:rPr>
                <w:rFonts w:asciiTheme="majorBidi" w:hAnsiTheme="majorBidi" w:cstheme="majorBidi"/>
                <w:sz w:val="20"/>
                <w:szCs w:val="22"/>
              </w:rPr>
            </w:pPr>
            <w:r w:rsidRPr="00830760">
              <w:rPr>
                <w:rFonts w:asciiTheme="majorBidi" w:eastAsia="Times New Roman" w:hAnsiTheme="majorBidi" w:cstheme="majorBidi"/>
                <w:b/>
                <w:bCs/>
                <w:sz w:val="20"/>
                <w:szCs w:val="22"/>
              </w:rPr>
              <w:t xml:space="preserve">H2: </w:t>
            </w:r>
            <w:r w:rsidRPr="00830760">
              <w:rPr>
                <w:rFonts w:asciiTheme="majorBidi" w:eastAsia="Times New Roman" w:hAnsiTheme="majorBidi" w:cstheme="majorBidi"/>
                <w:bCs/>
                <w:sz w:val="20"/>
                <w:szCs w:val="22"/>
              </w:rPr>
              <w:t>E</w:t>
            </w:r>
            <w:r w:rsidRPr="00830760">
              <w:rPr>
                <w:rFonts w:asciiTheme="majorBidi" w:eastAsia="Times New Roman" w:hAnsiTheme="majorBidi" w:cstheme="majorBidi"/>
                <w:sz w:val="20"/>
                <w:szCs w:val="22"/>
              </w:rPr>
              <w:t>xtrinsic motivation-enhancing HR practices ha</w:t>
            </w:r>
            <w:r w:rsidR="000465F2">
              <w:rPr>
                <w:rFonts w:asciiTheme="majorBidi" w:eastAsia="Times New Roman" w:hAnsiTheme="majorBidi" w:cstheme="majorBidi"/>
                <w:sz w:val="20"/>
                <w:szCs w:val="22"/>
              </w:rPr>
              <w:t>ve</w:t>
            </w:r>
            <w:r w:rsidRPr="00830760">
              <w:rPr>
                <w:rFonts w:asciiTheme="majorBidi" w:eastAsia="Times New Roman" w:hAnsiTheme="majorBidi" w:cstheme="majorBidi"/>
                <w:sz w:val="20"/>
                <w:szCs w:val="22"/>
              </w:rPr>
              <w:t xml:space="preserve"> a direct and positive relationship with </w:t>
            </w:r>
            <w:r w:rsidRPr="00830760">
              <w:rPr>
                <w:rFonts w:asciiTheme="majorBidi" w:hAnsiTheme="majorBidi" w:cstheme="majorBidi"/>
                <w:sz w:val="20"/>
                <w:szCs w:val="22"/>
              </w:rPr>
              <w:t>knowledge management benefits</w:t>
            </w:r>
          </w:p>
          <w:p w14:paraId="5F025B92" w14:textId="11047F1F" w:rsidR="00571997" w:rsidRPr="00830760" w:rsidRDefault="00571997" w:rsidP="00571997">
            <w:pPr>
              <w:jc w:val="lowKashida"/>
              <w:rPr>
                <w:rFonts w:asciiTheme="majorBidi" w:hAnsiTheme="majorBidi" w:cstheme="majorBidi"/>
                <w:sz w:val="20"/>
                <w:szCs w:val="22"/>
              </w:rPr>
            </w:pPr>
            <w:r w:rsidRPr="00830760">
              <w:rPr>
                <w:rFonts w:asciiTheme="majorBidi" w:eastAsia="Times New Roman" w:hAnsiTheme="majorBidi" w:cstheme="majorBidi"/>
                <w:b/>
                <w:bCs/>
                <w:sz w:val="20"/>
                <w:szCs w:val="22"/>
              </w:rPr>
              <w:t xml:space="preserve">H3: </w:t>
            </w:r>
            <w:r w:rsidRPr="00830760">
              <w:rPr>
                <w:rFonts w:asciiTheme="majorBidi" w:eastAsia="Times New Roman" w:hAnsiTheme="majorBidi" w:cstheme="majorBidi"/>
                <w:bCs/>
                <w:sz w:val="20"/>
                <w:szCs w:val="22"/>
              </w:rPr>
              <w:t>I</w:t>
            </w:r>
            <w:r w:rsidRPr="00830760">
              <w:rPr>
                <w:rFonts w:asciiTheme="majorBidi" w:eastAsia="Times New Roman" w:hAnsiTheme="majorBidi" w:cstheme="majorBidi"/>
                <w:sz w:val="20"/>
                <w:szCs w:val="22"/>
              </w:rPr>
              <w:t>ntrinsic motivation-enhancing HR practices ha</w:t>
            </w:r>
            <w:r w:rsidR="000465F2">
              <w:rPr>
                <w:rFonts w:asciiTheme="majorBidi" w:eastAsia="Times New Roman" w:hAnsiTheme="majorBidi" w:cstheme="majorBidi"/>
                <w:sz w:val="20"/>
                <w:szCs w:val="22"/>
              </w:rPr>
              <w:t>ve</w:t>
            </w:r>
            <w:r w:rsidRPr="00830760">
              <w:rPr>
                <w:rFonts w:asciiTheme="majorBidi" w:eastAsia="Times New Roman" w:hAnsiTheme="majorBidi" w:cstheme="majorBidi"/>
                <w:sz w:val="20"/>
                <w:szCs w:val="22"/>
              </w:rPr>
              <w:t xml:space="preserve"> a direct and positive relationship with </w:t>
            </w:r>
            <w:r w:rsidRPr="00830760">
              <w:rPr>
                <w:rFonts w:asciiTheme="majorBidi" w:hAnsiTheme="majorBidi" w:cstheme="majorBidi"/>
                <w:sz w:val="20"/>
                <w:szCs w:val="22"/>
              </w:rPr>
              <w:t>knowledge management benefits</w:t>
            </w:r>
          </w:p>
          <w:p w14:paraId="787FE752" w14:textId="77777777" w:rsidR="00571997" w:rsidRPr="00830760" w:rsidRDefault="00571997" w:rsidP="00571997">
            <w:pPr>
              <w:jc w:val="lowKashida"/>
              <w:rPr>
                <w:rFonts w:asciiTheme="majorBidi" w:hAnsiTheme="majorBidi" w:cstheme="majorBidi"/>
                <w:sz w:val="20"/>
                <w:szCs w:val="22"/>
              </w:rPr>
            </w:pPr>
            <w:r w:rsidRPr="00830760">
              <w:rPr>
                <w:rFonts w:asciiTheme="majorBidi" w:eastAsia="Times New Roman" w:hAnsiTheme="majorBidi" w:cstheme="majorBidi"/>
                <w:b/>
                <w:bCs/>
                <w:sz w:val="20"/>
                <w:szCs w:val="22"/>
              </w:rPr>
              <w:t xml:space="preserve">H4: </w:t>
            </w:r>
            <w:r w:rsidRPr="00830760">
              <w:rPr>
                <w:rFonts w:asciiTheme="majorBidi" w:eastAsia="Times New Roman" w:hAnsiTheme="majorBidi" w:cstheme="majorBidi"/>
                <w:sz w:val="20"/>
                <w:szCs w:val="22"/>
              </w:rPr>
              <w:t xml:space="preserve">Opportunity-enhancing HR practices have a direct and positive relationship with </w:t>
            </w:r>
            <w:r w:rsidRPr="00830760">
              <w:rPr>
                <w:rFonts w:asciiTheme="majorBidi" w:hAnsiTheme="majorBidi" w:cstheme="majorBidi"/>
                <w:sz w:val="20"/>
                <w:szCs w:val="22"/>
              </w:rPr>
              <w:t>knowledge management benefits</w:t>
            </w:r>
          </w:p>
          <w:p w14:paraId="5B3185F3" w14:textId="6A7390D7" w:rsidR="00571997" w:rsidRPr="00830760" w:rsidRDefault="00571997" w:rsidP="00571997">
            <w:pPr>
              <w:jc w:val="lowKashida"/>
              <w:rPr>
                <w:rFonts w:asciiTheme="majorBidi" w:hAnsiTheme="majorBidi" w:cstheme="majorBidi"/>
                <w:sz w:val="20"/>
                <w:szCs w:val="22"/>
              </w:rPr>
            </w:pPr>
            <w:r w:rsidRPr="00830760">
              <w:rPr>
                <w:rFonts w:asciiTheme="majorBidi" w:hAnsiTheme="majorBidi" w:cstheme="majorBidi"/>
                <w:b/>
                <w:bCs/>
                <w:sz w:val="20"/>
                <w:szCs w:val="22"/>
              </w:rPr>
              <w:t xml:space="preserve">H5: </w:t>
            </w:r>
            <w:r w:rsidRPr="00830760">
              <w:rPr>
                <w:rFonts w:asciiTheme="majorBidi" w:eastAsia="Times New Roman" w:hAnsiTheme="majorBidi" w:cstheme="majorBidi"/>
                <w:sz w:val="20"/>
                <w:szCs w:val="22"/>
              </w:rPr>
              <w:t xml:space="preserve">Ability-enhancing HR practices have a direct and positive relationship with </w:t>
            </w:r>
            <w:r w:rsidRPr="00830760">
              <w:rPr>
                <w:rFonts w:asciiTheme="majorBidi" w:hAnsiTheme="majorBidi" w:cstheme="majorBidi"/>
                <w:sz w:val="20"/>
                <w:szCs w:val="22"/>
              </w:rPr>
              <w:t>knowledge management benefits</w:t>
            </w:r>
          </w:p>
        </w:tc>
      </w:tr>
      <w:tr w:rsidR="00571997" w:rsidRPr="002A7627" w14:paraId="799D0B9E" w14:textId="77777777" w:rsidTr="00830760">
        <w:tc>
          <w:tcPr>
            <w:tcW w:w="2127" w:type="dxa"/>
          </w:tcPr>
          <w:p w14:paraId="2FFEF320" w14:textId="182CBAA4" w:rsidR="00571997" w:rsidRPr="002A7627" w:rsidRDefault="00571997" w:rsidP="00B77DFC">
            <w:pPr>
              <w:jc w:val="lowKashida"/>
              <w:rPr>
                <w:sz w:val="20"/>
                <w:szCs w:val="20"/>
                <w:lang w:bidi="en-US"/>
              </w:rPr>
            </w:pPr>
            <w:r w:rsidRPr="002A7627">
              <w:rPr>
                <w:rFonts w:asciiTheme="majorBidi" w:hAnsiTheme="majorBidi" w:cstheme="majorBidi"/>
                <w:color w:val="000000" w:themeColor="text1"/>
                <w:sz w:val="20"/>
                <w:szCs w:val="20"/>
              </w:rPr>
              <w:lastRenderedPageBreak/>
              <w:t>To examine the relationship between organizational learning and knowledge management benefits</w:t>
            </w:r>
          </w:p>
        </w:tc>
        <w:tc>
          <w:tcPr>
            <w:tcW w:w="2126" w:type="dxa"/>
          </w:tcPr>
          <w:p w14:paraId="62C1D0BD" w14:textId="0700F48E" w:rsidR="00571997" w:rsidRPr="002A7627" w:rsidRDefault="00571997" w:rsidP="00571997">
            <w:pPr>
              <w:rPr>
                <w:sz w:val="20"/>
                <w:szCs w:val="20"/>
                <w:lang w:bidi="en-US"/>
              </w:rPr>
            </w:pPr>
            <w:r w:rsidRPr="002A7627">
              <w:rPr>
                <w:rFonts w:asciiTheme="majorBidi" w:hAnsiTheme="majorBidi" w:cstheme="majorBidi"/>
                <w:sz w:val="20"/>
                <w:szCs w:val="20"/>
              </w:rPr>
              <w:t>How does organizational learning affect knowledge management benefits?</w:t>
            </w:r>
          </w:p>
        </w:tc>
        <w:tc>
          <w:tcPr>
            <w:tcW w:w="3685" w:type="dxa"/>
          </w:tcPr>
          <w:p w14:paraId="4071D2C1" w14:textId="4AB2B04B" w:rsidR="00571997" w:rsidRPr="00830760" w:rsidRDefault="00571997" w:rsidP="00571997">
            <w:pPr>
              <w:rPr>
                <w:sz w:val="20"/>
                <w:szCs w:val="22"/>
                <w:lang w:bidi="en-US"/>
              </w:rPr>
            </w:pPr>
            <w:r w:rsidRPr="00830760">
              <w:rPr>
                <w:rFonts w:asciiTheme="majorBidi" w:hAnsiTheme="majorBidi" w:cstheme="majorBidi"/>
                <w:b/>
                <w:bCs/>
                <w:sz w:val="20"/>
                <w:szCs w:val="22"/>
              </w:rPr>
              <w:t xml:space="preserve">H6: </w:t>
            </w:r>
            <w:r w:rsidRPr="00830760">
              <w:rPr>
                <w:rFonts w:asciiTheme="majorBidi" w:eastAsia="Times New Roman" w:hAnsiTheme="majorBidi" w:cstheme="majorBidi"/>
                <w:sz w:val="20"/>
                <w:szCs w:val="22"/>
              </w:rPr>
              <w:t>Organizational learning has a direct and positive relationship on knowledge management benefits</w:t>
            </w:r>
          </w:p>
        </w:tc>
      </w:tr>
      <w:tr w:rsidR="00571997" w:rsidRPr="002A7627" w14:paraId="497CC717" w14:textId="77777777" w:rsidTr="00830760">
        <w:trPr>
          <w:trHeight w:val="1692"/>
        </w:trPr>
        <w:tc>
          <w:tcPr>
            <w:tcW w:w="2127" w:type="dxa"/>
          </w:tcPr>
          <w:p w14:paraId="7A7CE6E6" w14:textId="748D9104" w:rsidR="00571997" w:rsidRPr="002A7627" w:rsidRDefault="00571997" w:rsidP="00830760">
            <w:pPr>
              <w:tabs>
                <w:tab w:val="left" w:pos="9360"/>
              </w:tabs>
              <w:ind w:right="150"/>
              <w:jc w:val="lowKashida"/>
              <w:rPr>
                <w:sz w:val="20"/>
                <w:szCs w:val="20"/>
                <w:lang w:bidi="en-US"/>
              </w:rPr>
            </w:pPr>
            <w:r w:rsidRPr="002A7627">
              <w:rPr>
                <w:rFonts w:asciiTheme="majorBidi" w:hAnsiTheme="majorBidi" w:cstheme="majorBidi"/>
                <w:color w:val="000000" w:themeColor="text1"/>
                <w:sz w:val="20"/>
                <w:szCs w:val="20"/>
              </w:rPr>
              <w:t xml:space="preserve">To examine the mediating effect of organizational learning on knowledge management capabilities, </w:t>
            </w:r>
            <w:r w:rsidRPr="002A7627">
              <w:rPr>
                <w:rFonts w:asciiTheme="majorBidi" w:eastAsia="Times New Roman" w:hAnsiTheme="majorBidi" w:cstheme="majorBidi"/>
                <w:sz w:val="20"/>
                <w:szCs w:val="20"/>
              </w:rPr>
              <w:t xml:space="preserve">HR practices on knowledge sharing </w:t>
            </w:r>
            <w:r w:rsidRPr="002A7627">
              <w:rPr>
                <w:rFonts w:asciiTheme="majorBidi" w:hAnsiTheme="majorBidi" w:cstheme="majorBidi"/>
                <w:sz w:val="20"/>
                <w:szCs w:val="20"/>
              </w:rPr>
              <w:t>and knowledge management benefits.</w:t>
            </w:r>
          </w:p>
        </w:tc>
        <w:tc>
          <w:tcPr>
            <w:tcW w:w="2126" w:type="dxa"/>
          </w:tcPr>
          <w:p w14:paraId="24B2F653" w14:textId="76012E9A" w:rsidR="00571997" w:rsidRPr="002A7627" w:rsidRDefault="00C4656E">
            <w:pPr>
              <w:jc w:val="lowKashida"/>
              <w:rPr>
                <w:sz w:val="20"/>
                <w:szCs w:val="20"/>
                <w:lang w:bidi="en-US"/>
              </w:rPr>
            </w:pPr>
            <w:r w:rsidRPr="001D5F54">
              <w:rPr>
                <w:rFonts w:asciiTheme="majorBidi" w:hAnsiTheme="majorBidi" w:cstheme="majorBidi"/>
                <w:sz w:val="20"/>
                <w:szCs w:val="20"/>
              </w:rPr>
              <w:t xml:space="preserve">What is the role of organizational learning in mediating </w:t>
            </w:r>
            <w:r w:rsidR="00566391">
              <w:rPr>
                <w:rFonts w:asciiTheme="majorBidi" w:hAnsiTheme="majorBidi" w:cstheme="majorBidi"/>
                <w:sz w:val="20"/>
                <w:szCs w:val="20"/>
              </w:rPr>
              <w:t>the</w:t>
            </w:r>
            <w:r w:rsidR="00566391" w:rsidRPr="001D5F54">
              <w:rPr>
                <w:rFonts w:asciiTheme="majorBidi" w:hAnsiTheme="majorBidi" w:cstheme="majorBidi"/>
                <w:sz w:val="20"/>
                <w:szCs w:val="20"/>
              </w:rPr>
              <w:t xml:space="preserve"> </w:t>
            </w:r>
            <w:r w:rsidRPr="001D5F54">
              <w:rPr>
                <w:rFonts w:asciiTheme="majorBidi" w:hAnsiTheme="majorBidi" w:cstheme="majorBidi"/>
                <w:sz w:val="20"/>
                <w:szCs w:val="20"/>
              </w:rPr>
              <w:t xml:space="preserve">relationship between knowledge management capabilities and </w:t>
            </w:r>
            <w:r w:rsidR="00731AAB">
              <w:rPr>
                <w:rFonts w:asciiTheme="majorBidi" w:eastAsiaTheme="minorHAnsi" w:hAnsiTheme="majorBidi" w:cstheme="majorBidi"/>
                <w:sz w:val="20"/>
                <w:szCs w:val="20"/>
              </w:rPr>
              <w:t>KM</w:t>
            </w:r>
            <w:r w:rsidRPr="001D5F54">
              <w:rPr>
                <w:rFonts w:asciiTheme="majorBidi" w:hAnsiTheme="majorBidi" w:cstheme="majorBidi"/>
                <w:sz w:val="20"/>
                <w:szCs w:val="20"/>
              </w:rPr>
              <w:t xml:space="preserve"> benefits</w:t>
            </w:r>
            <w:r w:rsidR="00571997" w:rsidRPr="002A7627">
              <w:rPr>
                <w:rFonts w:asciiTheme="majorBidi" w:eastAsiaTheme="minorHAnsi" w:hAnsiTheme="majorBidi" w:cstheme="majorBidi"/>
                <w:sz w:val="20"/>
                <w:szCs w:val="20"/>
              </w:rPr>
              <w:t>?</w:t>
            </w:r>
          </w:p>
        </w:tc>
        <w:tc>
          <w:tcPr>
            <w:tcW w:w="3685" w:type="dxa"/>
          </w:tcPr>
          <w:p w14:paraId="00A08FDE" w14:textId="3E2C5008" w:rsidR="00571997" w:rsidRPr="00830760" w:rsidRDefault="00571997" w:rsidP="00B77DFC">
            <w:pPr>
              <w:jc w:val="lowKashida"/>
              <w:rPr>
                <w:sz w:val="20"/>
                <w:szCs w:val="22"/>
                <w:lang w:bidi="en-US"/>
              </w:rPr>
            </w:pPr>
            <w:r w:rsidRPr="00830760">
              <w:rPr>
                <w:rFonts w:asciiTheme="majorBidi" w:hAnsiTheme="majorBidi" w:cstheme="majorBidi"/>
                <w:b/>
                <w:bCs/>
                <w:color w:val="000000" w:themeColor="text1"/>
                <w:sz w:val="20"/>
                <w:szCs w:val="22"/>
              </w:rPr>
              <w:t xml:space="preserve">H7: </w:t>
            </w:r>
            <w:r w:rsidRPr="00830760">
              <w:rPr>
                <w:rFonts w:asciiTheme="majorBidi" w:hAnsiTheme="majorBidi" w:cstheme="majorBidi"/>
                <w:color w:val="000000" w:themeColor="text1"/>
                <w:sz w:val="20"/>
                <w:szCs w:val="22"/>
              </w:rPr>
              <w:t>Organizational learning has a mediating effect on the relationship between knowledge management capabilities and benefits</w:t>
            </w:r>
          </w:p>
        </w:tc>
      </w:tr>
      <w:tr w:rsidR="00571997" w:rsidRPr="002A7627" w14:paraId="43505E8E" w14:textId="77777777" w:rsidTr="00830760">
        <w:tc>
          <w:tcPr>
            <w:tcW w:w="2127" w:type="dxa"/>
          </w:tcPr>
          <w:p w14:paraId="07EFC884" w14:textId="77777777" w:rsidR="00571997" w:rsidRPr="002A7627" w:rsidRDefault="00571997" w:rsidP="00571997">
            <w:pPr>
              <w:rPr>
                <w:sz w:val="20"/>
                <w:szCs w:val="20"/>
                <w:lang w:bidi="en-US"/>
              </w:rPr>
            </w:pPr>
          </w:p>
        </w:tc>
        <w:tc>
          <w:tcPr>
            <w:tcW w:w="2126" w:type="dxa"/>
          </w:tcPr>
          <w:p w14:paraId="14EC1DC6" w14:textId="271207B2" w:rsidR="00571997" w:rsidRPr="002A7627" w:rsidRDefault="00C4656E">
            <w:pPr>
              <w:jc w:val="lowKashida"/>
              <w:rPr>
                <w:sz w:val="20"/>
                <w:szCs w:val="20"/>
                <w:lang w:bidi="en-US"/>
              </w:rPr>
            </w:pPr>
            <w:r>
              <w:rPr>
                <w:rFonts w:asciiTheme="majorBidi" w:hAnsiTheme="majorBidi" w:cstheme="majorBidi"/>
                <w:sz w:val="20"/>
                <w:szCs w:val="20"/>
              </w:rPr>
              <w:t>What is the role of</w:t>
            </w:r>
            <w:r w:rsidRPr="002A7627">
              <w:rPr>
                <w:rFonts w:asciiTheme="majorBidi" w:hAnsiTheme="majorBidi" w:cstheme="majorBidi"/>
                <w:sz w:val="20"/>
                <w:szCs w:val="20"/>
              </w:rPr>
              <w:t xml:space="preserve"> </w:t>
            </w:r>
            <w:r w:rsidR="00571997" w:rsidRPr="002A7627">
              <w:rPr>
                <w:rFonts w:asciiTheme="majorBidi" w:hAnsiTheme="majorBidi" w:cstheme="majorBidi"/>
                <w:sz w:val="20"/>
                <w:szCs w:val="20"/>
              </w:rPr>
              <w:t xml:space="preserve">organizational learning </w:t>
            </w:r>
            <w:r>
              <w:rPr>
                <w:rFonts w:asciiTheme="majorBidi" w:hAnsiTheme="majorBidi" w:cstheme="majorBidi"/>
                <w:sz w:val="20"/>
                <w:szCs w:val="20"/>
              </w:rPr>
              <w:t xml:space="preserve">in </w:t>
            </w:r>
            <w:r w:rsidR="00571997" w:rsidRPr="002A7627">
              <w:rPr>
                <w:rFonts w:asciiTheme="majorBidi" w:hAnsiTheme="majorBidi" w:cstheme="majorBidi"/>
                <w:sz w:val="20"/>
                <w:szCs w:val="20"/>
              </w:rPr>
              <w:t xml:space="preserve">mediating </w:t>
            </w:r>
            <w:r w:rsidR="00566391">
              <w:rPr>
                <w:rFonts w:asciiTheme="majorBidi" w:hAnsiTheme="majorBidi" w:cstheme="majorBidi"/>
                <w:sz w:val="20"/>
                <w:szCs w:val="20"/>
              </w:rPr>
              <w:t>the</w:t>
            </w:r>
            <w:r w:rsidR="00566391" w:rsidRPr="002A7627">
              <w:rPr>
                <w:rFonts w:asciiTheme="majorBidi" w:hAnsiTheme="majorBidi" w:cstheme="majorBidi"/>
                <w:sz w:val="20"/>
                <w:szCs w:val="20"/>
              </w:rPr>
              <w:t xml:space="preserve"> </w:t>
            </w:r>
            <w:r w:rsidR="00571997" w:rsidRPr="002A7627">
              <w:rPr>
                <w:rFonts w:asciiTheme="majorBidi" w:hAnsiTheme="majorBidi" w:cstheme="majorBidi"/>
                <w:sz w:val="20"/>
                <w:szCs w:val="20"/>
              </w:rPr>
              <w:t>relationship between HR practices on knowledge sharing and knowledge management benefits</w:t>
            </w:r>
            <w:r w:rsidR="00571997" w:rsidRPr="002A7627">
              <w:rPr>
                <w:rFonts w:asciiTheme="majorBidi" w:eastAsiaTheme="minorHAnsi" w:hAnsiTheme="majorBidi" w:cstheme="majorBidi"/>
                <w:sz w:val="20"/>
                <w:szCs w:val="20"/>
              </w:rPr>
              <w:t>?</w:t>
            </w:r>
          </w:p>
        </w:tc>
        <w:tc>
          <w:tcPr>
            <w:tcW w:w="3685" w:type="dxa"/>
          </w:tcPr>
          <w:p w14:paraId="6A4ED30A" w14:textId="77777777" w:rsidR="00571997" w:rsidRPr="00830760" w:rsidRDefault="00571997" w:rsidP="00571997">
            <w:pPr>
              <w:jc w:val="lowKashida"/>
              <w:rPr>
                <w:rFonts w:asciiTheme="majorBidi" w:hAnsiTheme="majorBidi" w:cstheme="majorBidi"/>
                <w:color w:val="000000" w:themeColor="text1"/>
                <w:sz w:val="20"/>
                <w:szCs w:val="22"/>
                <w:lang w:bidi="ar-AE"/>
              </w:rPr>
            </w:pPr>
            <w:r w:rsidRPr="00830760">
              <w:rPr>
                <w:rFonts w:asciiTheme="majorBidi" w:hAnsiTheme="majorBidi" w:cstheme="majorBidi"/>
                <w:b/>
                <w:bCs/>
                <w:color w:val="000000" w:themeColor="text1"/>
                <w:sz w:val="20"/>
                <w:szCs w:val="22"/>
              </w:rPr>
              <w:t xml:space="preserve">H8: </w:t>
            </w:r>
            <w:r w:rsidRPr="00830760">
              <w:rPr>
                <w:rFonts w:asciiTheme="majorBidi" w:hAnsiTheme="majorBidi" w:cstheme="majorBidi"/>
                <w:color w:val="000000" w:themeColor="text1"/>
                <w:sz w:val="20"/>
                <w:szCs w:val="22"/>
              </w:rPr>
              <w:t>Organizational learning has a mediating effect on the relationship between extrinsic motivation-enhancing HR practices and knowledge management benefits</w:t>
            </w:r>
          </w:p>
          <w:p w14:paraId="6D03081D" w14:textId="77777777" w:rsidR="00571997" w:rsidRPr="00830760" w:rsidRDefault="00571997" w:rsidP="00571997">
            <w:pPr>
              <w:jc w:val="lowKashida"/>
              <w:rPr>
                <w:rFonts w:asciiTheme="majorBidi" w:hAnsiTheme="majorBidi" w:cstheme="majorBidi"/>
                <w:color w:val="000000" w:themeColor="text1"/>
                <w:sz w:val="20"/>
                <w:szCs w:val="22"/>
              </w:rPr>
            </w:pPr>
            <w:r w:rsidRPr="00830760">
              <w:rPr>
                <w:rFonts w:asciiTheme="majorBidi" w:hAnsiTheme="majorBidi" w:cstheme="majorBidi"/>
                <w:b/>
                <w:bCs/>
                <w:color w:val="000000" w:themeColor="text1"/>
                <w:sz w:val="20"/>
                <w:szCs w:val="22"/>
              </w:rPr>
              <w:t xml:space="preserve">H9: </w:t>
            </w:r>
            <w:r w:rsidRPr="00830760">
              <w:rPr>
                <w:rFonts w:asciiTheme="majorBidi" w:hAnsiTheme="majorBidi" w:cstheme="majorBidi"/>
                <w:color w:val="000000" w:themeColor="text1"/>
                <w:sz w:val="20"/>
                <w:szCs w:val="22"/>
              </w:rPr>
              <w:t>Organizational learning has a mediating effect on the relationship between intrinsic motivation-enhancing HR practices and knowledge management benefits</w:t>
            </w:r>
          </w:p>
          <w:p w14:paraId="285B2670" w14:textId="77777777" w:rsidR="00571997" w:rsidRPr="00830760" w:rsidRDefault="00571997" w:rsidP="00571997">
            <w:pPr>
              <w:jc w:val="lowKashida"/>
              <w:rPr>
                <w:rFonts w:asciiTheme="majorBidi" w:hAnsiTheme="majorBidi" w:cstheme="majorBidi"/>
                <w:color w:val="000000" w:themeColor="text1"/>
                <w:sz w:val="20"/>
                <w:szCs w:val="22"/>
              </w:rPr>
            </w:pPr>
            <w:r w:rsidRPr="00830760">
              <w:rPr>
                <w:rFonts w:asciiTheme="majorBidi" w:hAnsiTheme="majorBidi" w:cstheme="majorBidi"/>
                <w:b/>
                <w:bCs/>
                <w:color w:val="000000" w:themeColor="text1"/>
                <w:sz w:val="20"/>
                <w:szCs w:val="22"/>
              </w:rPr>
              <w:t xml:space="preserve">H10: </w:t>
            </w:r>
            <w:r w:rsidRPr="00830760">
              <w:rPr>
                <w:rFonts w:asciiTheme="majorBidi" w:hAnsiTheme="majorBidi" w:cstheme="majorBidi"/>
                <w:color w:val="000000" w:themeColor="text1"/>
                <w:sz w:val="20"/>
                <w:szCs w:val="22"/>
              </w:rPr>
              <w:t>Organizational learning has a mediating effect on the relationship between opportunity-enhancing HR practices and knowledge management benefits</w:t>
            </w:r>
          </w:p>
          <w:p w14:paraId="413EFE66" w14:textId="24B603FC" w:rsidR="00571997" w:rsidRPr="00830760" w:rsidRDefault="00571997" w:rsidP="00571997">
            <w:pPr>
              <w:jc w:val="lowKashida"/>
              <w:rPr>
                <w:rFonts w:asciiTheme="majorBidi" w:hAnsiTheme="majorBidi" w:cstheme="majorBidi"/>
                <w:color w:val="000000" w:themeColor="text1"/>
                <w:sz w:val="20"/>
                <w:szCs w:val="22"/>
              </w:rPr>
            </w:pPr>
            <w:r w:rsidRPr="00830760">
              <w:rPr>
                <w:rFonts w:asciiTheme="majorBidi" w:hAnsiTheme="majorBidi" w:cstheme="majorBidi"/>
                <w:b/>
                <w:bCs/>
                <w:color w:val="000000" w:themeColor="text1"/>
                <w:sz w:val="20"/>
                <w:szCs w:val="22"/>
              </w:rPr>
              <w:t xml:space="preserve">H11: </w:t>
            </w:r>
            <w:r w:rsidRPr="00830760">
              <w:rPr>
                <w:rFonts w:asciiTheme="majorBidi" w:hAnsiTheme="majorBidi" w:cstheme="majorBidi"/>
                <w:color w:val="000000" w:themeColor="text1"/>
                <w:sz w:val="20"/>
                <w:szCs w:val="22"/>
              </w:rPr>
              <w:t>Organizational learning has a mediating effect on the relationship between ability-enhancing HR practices and knowledge management benefits</w:t>
            </w:r>
          </w:p>
        </w:tc>
      </w:tr>
    </w:tbl>
    <w:p w14:paraId="28E25030" w14:textId="77777777" w:rsidR="00830760" w:rsidRPr="002A7627" w:rsidRDefault="00830760" w:rsidP="00571997">
      <w:pPr>
        <w:rPr>
          <w:lang w:bidi="en-US"/>
        </w:rPr>
      </w:pPr>
    </w:p>
    <w:p w14:paraId="75C6B099" w14:textId="77777777" w:rsidR="00B06B7F" w:rsidRPr="002A7627" w:rsidRDefault="00B06B7F" w:rsidP="00BF2649">
      <w:pPr>
        <w:pStyle w:val="Style1"/>
        <w:spacing w:before="0" w:beforeAutospacing="0" w:after="0"/>
        <w:rPr>
          <w:sz w:val="2"/>
          <w:szCs w:val="4"/>
        </w:rPr>
      </w:pPr>
    </w:p>
    <w:p w14:paraId="421B0F7B" w14:textId="1060663F" w:rsidR="008377FA" w:rsidRPr="002A7627" w:rsidRDefault="0070671C" w:rsidP="001D5F54">
      <w:pPr>
        <w:pStyle w:val="Heading1"/>
        <w:numPr>
          <w:ilvl w:val="1"/>
          <w:numId w:val="39"/>
        </w:numPr>
        <w:rPr>
          <w:color w:val="000000"/>
        </w:rPr>
      </w:pPr>
      <w:bookmarkStart w:id="54" w:name="_Toc11533402"/>
      <w:bookmarkStart w:id="55" w:name="_Toc11533509"/>
      <w:bookmarkStart w:id="56" w:name="_Toc13959616"/>
      <w:bookmarkStart w:id="57" w:name="_Hlk512013794"/>
      <w:r>
        <w:rPr>
          <w:color w:val="000000"/>
        </w:rPr>
        <w:t xml:space="preserve"> </w:t>
      </w:r>
      <w:bookmarkStart w:id="58" w:name="_Toc22331643"/>
      <w:r w:rsidR="008377FA" w:rsidRPr="002A7627">
        <w:rPr>
          <w:color w:val="000000"/>
        </w:rPr>
        <w:t>Significance</w:t>
      </w:r>
      <w:r w:rsidR="000B03ED" w:rsidRPr="002A7627">
        <w:rPr>
          <w:color w:val="000000"/>
        </w:rPr>
        <w:t xml:space="preserve"> of the </w:t>
      </w:r>
      <w:r w:rsidR="00690CD5" w:rsidRPr="002A7627">
        <w:rPr>
          <w:color w:val="000000"/>
        </w:rPr>
        <w:t>Study</w:t>
      </w:r>
      <w:bookmarkEnd w:id="54"/>
      <w:bookmarkEnd w:id="55"/>
      <w:bookmarkEnd w:id="56"/>
      <w:bookmarkEnd w:id="58"/>
    </w:p>
    <w:p w14:paraId="232DB54E" w14:textId="0D2AF84A" w:rsidR="008377FA" w:rsidRPr="002A7627" w:rsidRDefault="008377FA" w:rsidP="00690CD5">
      <w:pPr>
        <w:pStyle w:val="AAAAAAA"/>
      </w:pPr>
      <w:r w:rsidRPr="002A7627">
        <w:t xml:space="preserve">This study makes several important contributions. First of all, it is the first </w:t>
      </w:r>
      <w:r w:rsidR="00566391">
        <w:t xml:space="preserve">study </w:t>
      </w:r>
      <w:r w:rsidRPr="002A7627">
        <w:t xml:space="preserve">of which the researcher is aware to examine the comprehensive benefits of knowledge management in a policing organization in the UAE. The majority of studies in the UAE have focused on the contribution of knowledge-sharing </w:t>
      </w:r>
      <w:r w:rsidR="00F31753" w:rsidRPr="002A7627">
        <w:rPr>
          <w:noProof/>
        </w:rPr>
        <w:t xml:space="preserve">(Al Dari </w:t>
      </w:r>
      <w:r w:rsidR="00F31753" w:rsidRPr="002A7627">
        <w:rPr>
          <w:noProof/>
        </w:rPr>
        <w:lastRenderedPageBreak/>
        <w:t>et al., 2018)</w:t>
      </w:r>
      <w:r w:rsidRPr="002A7627">
        <w:t xml:space="preserve"> and innovation and competitive advantage in firms </w:t>
      </w:r>
      <w:r w:rsidRPr="002A7627">
        <w:fldChar w:fldCharType="begin" w:fldLock="1"/>
      </w:r>
      <w:r w:rsidR="00E24626" w:rsidRPr="002A7627">
        <w:instrText>ADDIN CSL_CITATION {"citationItems":[{"id":"ITEM-1","itemData":{"DOI":"10.1108/JWL-05-2016-0041","ISSN":"1366-5626","abstract":"Purpose This paper aims to examine a research model that links knowledge sharing enablers, processes and outcome dimensions in law enforcement in the United Arab Emirates (UAE). It attempts to examine the impact of knowledge self-efficacy and top management support on knowledge donating and collecting. It also attempts to examine the effect of these two aspects of knowledge sharing on firm innovation capability. Design/methodology/approach This study used a quantitative approach, with data collected by questionnaire from 685 police officers in a law enforcement agency in the UAE. Findings Knowledge self-efficacy and top management support have a positive impact on knowledge donating and collecting. Only knowledge collecting, however, had a positive effect on firm innovation capability. Research limitations/implications The study has significant academic and practical implications. It supports a previous research model that links enablers, processes and outcomes of knowledge sharing, and confirms them in the context of law enforcement in the UAE. It could also help law enforcement agencies to promote a knowledge sharing culture to support innovation in the UAE. Originality/value The research model is likely to be particularly valuable in knowledge-intensive organizations such as the law enforcement sector. Knowledge sharing is often overlooked by organizations in the UAE because there has to date been little research in this field.","author":[{"dropping-particle":"","family":"Hussein","given":"AlShaima Taleb Taleb","non-dropping-particle":"","parse-names":false,"suffix":""},{"dropping-particle":"","family":"Singh","given":"Sanjay Kumar","non-dropping-particle":"","parse-names":false,"suffix":""},{"dropping-particle":"","family":"Farouk","given":"Sherine","non-dropping-particle":"","parse-names":false,"suffix":""},{"dropping-particle":"","family":"Sohal","given":"Amrik S.","non-dropping-particle":"","parse-names":false,"suffix":""}],"container-title":"Journal of Workplace Learning","id":"ITEM-1","issue":"8","issued":{"date-parts":[["2016","10","10"]]},"page":"484-495","title":"Knowledge sharing enablers, processes and firm innovation capability","type":"article-journal","volume":"28"},"uris":["http://www.mendeley.com/documents/?uuid=6cc4e2c3-3f32-43e9-bcbb-5cbc898f37e1"]}],"mendeley":{"formattedCitation":"(Hussein et al., 2016)","plainTextFormattedCitation":"(Hussein et al., 2016)","previouslyFormattedCitation":"(Hussein et al., 2016)"},"properties":{"noteIndex":0},"schema":"https://github.com/citation-style-language/schema/raw/master/csl-citation.json"}</w:instrText>
      </w:r>
      <w:r w:rsidRPr="002A7627">
        <w:fldChar w:fldCharType="separate"/>
      </w:r>
      <w:r w:rsidRPr="002A7627">
        <w:rPr>
          <w:noProof/>
        </w:rPr>
        <w:t>(Hussein et al., 2016)</w:t>
      </w:r>
      <w:r w:rsidRPr="002A7627">
        <w:fldChar w:fldCharType="end"/>
      </w:r>
      <w:r w:rsidRPr="002A7627">
        <w:t xml:space="preserve">. This study, however, </w:t>
      </w:r>
      <w:r w:rsidR="00BC6D1C" w:rsidRPr="00830760">
        <w:rPr>
          <w:color w:val="000000" w:themeColor="text1"/>
        </w:rPr>
        <w:t>explored</w:t>
      </w:r>
      <w:r w:rsidRPr="00830760">
        <w:rPr>
          <w:color w:val="000000" w:themeColor="text1"/>
        </w:rPr>
        <w:t xml:space="preserve"> t</w:t>
      </w:r>
      <w:r w:rsidRPr="002A7627">
        <w:t>he relationships between knowledge management capabilities, HR practices involving knowledge-sharing, organizational learning</w:t>
      </w:r>
      <w:r w:rsidR="00193A9C" w:rsidRPr="002A7627">
        <w:t>,</w:t>
      </w:r>
      <w:r w:rsidRPr="002A7627">
        <w:t xml:space="preserve"> and knowledge management benefits in the UAE.</w:t>
      </w:r>
    </w:p>
    <w:p w14:paraId="2B914016" w14:textId="4483E0DC" w:rsidR="008377FA" w:rsidRPr="002A7627" w:rsidRDefault="008377FA" w:rsidP="00690CD5">
      <w:pPr>
        <w:pStyle w:val="AAAAAAA"/>
        <w:rPr>
          <w:lang w:bidi="ar-AE"/>
        </w:rPr>
      </w:pPr>
      <w:r w:rsidRPr="002A7627">
        <w:rPr>
          <w:lang w:bidi="ar-AE"/>
        </w:rPr>
        <w:t>Secondly, this study examined a broad list of benefits including driving strategy, solving problems, diffusing best practice, improving knowledge embedded in services, increasing opportunities for innovation</w:t>
      </w:r>
      <w:r w:rsidR="00193A9C" w:rsidRPr="002A7627">
        <w:rPr>
          <w:lang w:bidi="ar-AE"/>
        </w:rPr>
        <w:t>,</w:t>
      </w:r>
      <w:r w:rsidRPr="002A7627">
        <w:rPr>
          <w:lang w:bidi="ar-AE"/>
        </w:rPr>
        <w:t xml:space="preserve"> and staying ahead of the competition. Previous s</w:t>
      </w:r>
      <w:r w:rsidRPr="002A7627">
        <w:t xml:space="preserve">tudies in both developed and developing countries have generally focused on a single benefit such </w:t>
      </w:r>
      <w:r w:rsidRPr="002A7627">
        <w:rPr>
          <w:lang w:bidi="ar-AE"/>
        </w:rPr>
        <w:t xml:space="preserve">as improving organizational performance </w:t>
      </w:r>
      <w:r w:rsidRPr="002A7627">
        <w:rPr>
          <w:noProof/>
          <w:lang w:bidi="ar-AE"/>
        </w:rPr>
        <w:t>(Al Saifi, 2015; Lee &amp; Choi, 2003; McKeen et al., 2006)</w:t>
      </w:r>
      <w:r w:rsidRPr="002A7627">
        <w:rPr>
          <w:lang w:bidi="ar-AE"/>
        </w:rPr>
        <w:t xml:space="preserve"> and enhancing organizational effectiveness </w:t>
      </w:r>
      <w:r w:rsidRPr="002A7627">
        <w:rPr>
          <w:lang w:bidi="ar-AE"/>
        </w:rPr>
        <w:fldChar w:fldCharType="begin" w:fldLock="1"/>
      </w:r>
      <w:r w:rsidRPr="002A7627">
        <w:rPr>
          <w:lang w:bidi="ar-AE"/>
        </w:rPr>
        <w:instrText>ADDIN CSL_CITATION {"citationItems":[{"id":"ITEM-1","itemData":{"DOI":"10.1016/j.giq.2015.06.002","ISSN":"0740624X","abstract":"In public administration, knowledge management (KM) is increasingly advocated for improving novelty and agility in policy development and service delivery. This study identifies factors influencing KM, theorizes their interaction effects based on the resource-based view, and assesses the impact of KM on organizational effectiveness. Physical resources invested specifically to promote KM (e.g., KM technology) are hypothesized to interact with organizational and human resources to influence public organizations' KM capability in capturing, sharing, applying, and creating knowledge. Data collected from 101 public organizations indicate that senior management championship, social capital, and employees' job expertise enhance the effectiveness of physical KM resources while organizational structure has a suppressing effect. Among them, senior management championship has the strongest enhancing effect. The findings also support the general expectation that developing a strong KM capability improves organizational effectiveness. Clarifying the interaction effects has important implications for the theoretical understanding of KM in public administration, while providing empirical evidence for the performance impact of KM informs public management.","author":[{"dropping-particle":"","family":"Pee","given":"L.G.","non-dropping-particle":"","parse-names":false,"suffix":""},{"dropping-particle":"","family":"Kankanhalli","given":"A.","non-dropping-particle":"","parse-names":false,"suffix":""}],"container-title":"Government Information Quarterly","id":"ITEM-1","issue":"1","issued":{"date-parts":[["2016","1","1"]]},"note":"findings also support the general expectation that developing a strong KM capability improves organizational effectiveness.","page":"188-199","title":"Interactions among factors influencing knowledge management in public-sector organizations: A resource-based view","type":"article-journal","volume":"33"},"uris":["http://www.mendeley.com/documents/?uuid=348a46f3-da8a-335d-b3f5-977129ba8f03"]}],"mendeley":{"formattedCitation":"(Pee &amp; Kankanhalli, 2016)","plainTextFormattedCitation":"(Pee &amp; Kankanhalli, 2016)","previouslyFormattedCitation":"(Pee &amp; Kankanhalli, 2016)"},"properties":{"noteIndex":0},"schema":"https://github.com/citation-style-language/schema/raw/master/csl-citation.json"}</w:instrText>
      </w:r>
      <w:r w:rsidRPr="002A7627">
        <w:rPr>
          <w:lang w:bidi="ar-AE"/>
        </w:rPr>
        <w:fldChar w:fldCharType="separate"/>
      </w:r>
      <w:r w:rsidRPr="002A7627">
        <w:rPr>
          <w:noProof/>
          <w:lang w:bidi="ar-AE"/>
        </w:rPr>
        <w:t>(Pee &amp; Kankanhalli, 2016)</w:t>
      </w:r>
      <w:r w:rsidRPr="002A7627">
        <w:rPr>
          <w:lang w:bidi="ar-AE"/>
        </w:rPr>
        <w:fldChar w:fldCharType="end"/>
      </w:r>
      <w:r w:rsidRPr="002A7627">
        <w:rPr>
          <w:lang w:bidi="ar-AE"/>
        </w:rPr>
        <w:t xml:space="preserve">. </w:t>
      </w:r>
    </w:p>
    <w:p w14:paraId="7E546228" w14:textId="2C51B114" w:rsidR="008377FA" w:rsidRPr="002A7627" w:rsidRDefault="008377FA" w:rsidP="00690CD5">
      <w:pPr>
        <w:pStyle w:val="AAAAAAA"/>
        <w:rPr>
          <w:lang w:bidi="ar-AE"/>
        </w:rPr>
      </w:pPr>
      <w:r w:rsidRPr="002A7627">
        <w:rPr>
          <w:lang w:bidi="ar-AE"/>
        </w:rPr>
        <w:t xml:space="preserve">Thirdly, this study contributes to the academic literature by enhancing the conceptual studies that reviewed the previous literature. Like these studies, it reinforces the importance of addressing knowledge management measurement </w:t>
      </w:r>
      <w:r w:rsidRPr="002A7627">
        <w:rPr>
          <w:lang w:bidi="ar-AE"/>
        </w:rPr>
        <w:fldChar w:fldCharType="begin" w:fldLock="1"/>
      </w:r>
      <w:r w:rsidRPr="002A7627">
        <w:rPr>
          <w:lang w:bidi="ar-AE"/>
        </w:rPr>
        <w:instrText>ADDIN CSL_CITATION {"citationItems":[{"id":"ITEM-1","itemData":{"DOI":"10.1108/JKM-12-2012-0381","ISSN":"1367-3270","abstract":"Knowledge management and measurement: a critical review","author":[{"dropping-particle":"","family":"Ragab","given":"Mohamed A. F.","non-dropping-particle":"","parse-names":false,"suffix":""},{"dropping-particle":"","family":"Arisha","given":"Amr","non-dropping-particle":"","parse-names":false,"suffix":""}],"container-title":"Journal of Knowledge Management","id":"ITEM-1","issue":"6","issued":{"date-parts":[["2013","10","21"]]},"page":"873-901","title":"Knowledge management and measurement: A critical review","type":"article-journal","volume":"17"},"uris":["http://www.mendeley.com/documents/?uuid=5bc6f112-4fc1-42e0-9644-3b4e82670bf6"]}],"mendeley":{"formattedCitation":"(Ragab &amp; Arisha, 2013)","plainTextFormattedCitation":"(Ragab &amp; Arisha, 2013)","previouslyFormattedCitation":"(Ragab &amp; Arisha, 2013)"},"properties":{"noteIndex":0},"schema":"https://github.com/citation-style-language/schema/raw/master/csl-citation.json"}</w:instrText>
      </w:r>
      <w:r w:rsidRPr="002A7627">
        <w:rPr>
          <w:lang w:bidi="ar-AE"/>
        </w:rPr>
        <w:fldChar w:fldCharType="separate"/>
      </w:r>
      <w:r w:rsidRPr="002A7627">
        <w:rPr>
          <w:noProof/>
          <w:lang w:bidi="ar-AE"/>
        </w:rPr>
        <w:t>(Ragab &amp; Arisha, 2013)</w:t>
      </w:r>
      <w:r w:rsidRPr="002A7627">
        <w:rPr>
          <w:lang w:bidi="ar-AE"/>
        </w:rPr>
        <w:fldChar w:fldCharType="end"/>
      </w:r>
      <w:r w:rsidRPr="002A7627">
        <w:rPr>
          <w:lang w:bidi="ar-AE"/>
        </w:rPr>
        <w:t xml:space="preserve"> and </w:t>
      </w:r>
      <w:r w:rsidRPr="00830760">
        <w:rPr>
          <w:color w:val="000000" w:themeColor="text1"/>
          <w:lang w:bidi="ar-AE"/>
        </w:rPr>
        <w:t xml:space="preserve">the </w:t>
      </w:r>
      <w:r w:rsidR="00BC6D1C" w:rsidRPr="00830760">
        <w:rPr>
          <w:color w:val="000000" w:themeColor="text1"/>
          <w:lang w:bidi="ar-AE"/>
        </w:rPr>
        <w:t xml:space="preserve">critical role </w:t>
      </w:r>
      <w:r w:rsidRPr="002A7627">
        <w:rPr>
          <w:lang w:bidi="ar-AE"/>
        </w:rPr>
        <w:t xml:space="preserve">of knowledge management </w:t>
      </w:r>
      <w:r w:rsidR="000465F2">
        <w:rPr>
          <w:lang w:bidi="ar-AE"/>
        </w:rPr>
        <w:t>in</w:t>
      </w:r>
      <w:r w:rsidR="000465F2" w:rsidRPr="002A7627">
        <w:rPr>
          <w:lang w:bidi="ar-AE"/>
        </w:rPr>
        <w:t xml:space="preserve"> </w:t>
      </w:r>
      <w:r w:rsidRPr="002A7627">
        <w:rPr>
          <w:lang w:bidi="ar-AE"/>
        </w:rPr>
        <w:t>improv</w:t>
      </w:r>
      <w:r w:rsidR="000465F2">
        <w:rPr>
          <w:lang w:bidi="ar-AE"/>
        </w:rPr>
        <w:t>ing</w:t>
      </w:r>
      <w:r w:rsidRPr="002A7627">
        <w:rPr>
          <w:lang w:bidi="ar-AE"/>
        </w:rPr>
        <w:t xml:space="preserve"> performance </w:t>
      </w:r>
      <w:r w:rsidRPr="002A7627">
        <w:rPr>
          <w:lang w:bidi="ar-AE"/>
        </w:rPr>
        <w:fldChar w:fldCharType="begin" w:fldLock="1"/>
      </w:r>
      <w:r w:rsidR="00CC5481" w:rsidRPr="002A7627">
        <w:rPr>
          <w:lang w:bidi="ar-AE"/>
        </w:rPr>
        <w:instrText>ADDIN CSL_CITATION {"citationItems":[{"id":"ITEM-1","itemData":{"author":[{"dropping-particle":"","family":"Vorobyova","given":"K.","non-dropping-particle":"","parse-names":false,"suffix":""},{"dropping-particle":"","family":"Raju","given":"V.","non-dropping-particle":"","parse-names":false,"suffix":""}],"container-title":"PEOPLE: International Journal of Social Sciences","id":"ITEM-1","issue":"3","issued":{"date-parts":[["2018"]]},"page":"396-404","title":"Knowledge management and organizational effectiveness as a successful path to globalization for small and medium enterprises","type":"article-journal","volume":"4"},"uris":["http://www.mendeley.com/documents/?uuid=218429ff-ac82-39ee-af9d-7958bfcfc9f3"]}],"mendeley":{"formattedCitation":"(Vorobyova &amp; Raju, 2018)","plainTextFormattedCitation":"(Vorobyova &amp; Raju, 2018)","previouslyFormattedCitation":"(Vorobyova &amp; Raju, 2018)"},"properties":{"noteIndex":0},"schema":"https://github.com/citation-style-language/schema/raw/master/csl-citation.json"}</w:instrText>
      </w:r>
      <w:r w:rsidRPr="002A7627">
        <w:rPr>
          <w:lang w:bidi="ar-AE"/>
        </w:rPr>
        <w:fldChar w:fldCharType="separate"/>
      </w:r>
      <w:r w:rsidR="004C27D4" w:rsidRPr="002A7627">
        <w:rPr>
          <w:noProof/>
          <w:lang w:bidi="ar-AE"/>
        </w:rPr>
        <w:t>(Vorobyova &amp; Raju, 2018)</w:t>
      </w:r>
      <w:r w:rsidRPr="002A7627">
        <w:rPr>
          <w:lang w:bidi="ar-AE"/>
        </w:rPr>
        <w:fldChar w:fldCharType="end"/>
      </w:r>
      <w:r w:rsidRPr="002A7627">
        <w:rPr>
          <w:lang w:bidi="ar-AE"/>
        </w:rPr>
        <w:t xml:space="preserve">. </w:t>
      </w:r>
    </w:p>
    <w:p w14:paraId="06469464" w14:textId="55032820" w:rsidR="008377FA" w:rsidRPr="002A7627" w:rsidRDefault="008377FA" w:rsidP="00690CD5">
      <w:pPr>
        <w:pStyle w:val="AAAAAAA"/>
      </w:pPr>
      <w:r w:rsidRPr="002A7627">
        <w:t xml:space="preserve">This study also found support for two previously-identified knowledge management strategies, exploration and exploitation </w:t>
      </w:r>
      <w:r w:rsidRPr="002A7627">
        <w:fldChar w:fldCharType="begin" w:fldLock="1"/>
      </w:r>
      <w:r w:rsidR="00E24626" w:rsidRPr="002A7627">
        <w:instrText>ADDIN CSL_CITATION {"citationItems":[{"id":"ITEM-1","itemData":{"DOI":"10.1287/orsc.1070.0286","ISSN":"1047-7039","abstract":"T his study investigates the effects of information technology (IT) on exploration and exploitation in organizational learning (OL). We use qualitative evidence from previously published case studies of a single organization to extend an earlier computational model of organizational learning (March 1991) by introducing IT-enabled learning mechanisms: communication technology (e-mail), knowledge repositories of best practices, and groupware. We find that each of these IT-enabled learning mechanisms enable capabilities that have a distinct effect on the exploration and exploitation learning dynamics in the organization. We also find that this effect is dependent on organizational and environmental conditions, as well as on the interaction effects between the various mechanisms when used in combination with one another. We explore the implications of our results for the use of IT to support organizational learning.","author":[{"dropping-particle":"","family":"Kane","given":"Gerald C.","non-dropping-particle":"","parse-names":false,"suffix":""},{"dropping-particle":"","family":"Alavi","given":"Maryam","non-dropping-particle":"","parse-names":false,"suffix":""}],"container-title":"Organization Science","id":"ITEM-1","issue":"5","issued":{"date-parts":[["2007","10"]]},"page":"796-812","title":"Information technology and organizational learning: An investigation of exploration and exploitation processes","type":"article-journal","volume":"18"},"uris":["http://www.mendeley.com/documents/?uuid=7316d078-a33a-48c5-b609-e28811c0425c"]}],"mendeley":{"formattedCitation":"(Kane &amp; Alavi, 2007)","plainTextFormattedCitation":"(Kane &amp; Alavi, 2007)","previouslyFormattedCitation":"(Kane &amp; Alavi, 2007)"},"properties":{"noteIndex":0},"schema":"https://github.com/citation-style-language/schema/raw/master/csl-citation.json"}</w:instrText>
      </w:r>
      <w:r w:rsidRPr="002A7627">
        <w:fldChar w:fldCharType="separate"/>
      </w:r>
      <w:r w:rsidRPr="002A7627">
        <w:rPr>
          <w:noProof/>
        </w:rPr>
        <w:t>(Kane &amp; Alavi, 2007)</w:t>
      </w:r>
      <w:r w:rsidRPr="002A7627">
        <w:fldChar w:fldCharType="end"/>
      </w:r>
      <w:r w:rsidRPr="002A7627">
        <w:t>. Both affect organizational learning. Exploration establishes new knowledge and enhances human interactions that can lead to shared knowledge and</w:t>
      </w:r>
      <w:r w:rsidR="00054373" w:rsidRPr="002A7627">
        <w:t xml:space="preserve">, therefore, </w:t>
      </w:r>
      <w:r w:rsidRPr="002A7627">
        <w:t xml:space="preserve">increased innovation. Exploitation means leveraging existing knowledge through technologies and solutions </w:t>
      </w:r>
      <w:r w:rsidRPr="002A7627">
        <w:fldChar w:fldCharType="begin" w:fldLock="1"/>
      </w:r>
      <w:r w:rsidRPr="002A7627">
        <w:instrText>ADDIN CSL_CITATION {"citationItems":[{"id":"ITEM-1","itemData":{"DOI":"10.5465/amj.2006.22083026","ISSN":"0001-4273","abstract":"Exploration and exploitation have emerged as the twin concepts underpinning organ- izational adaptation research, yet some central issues related to them remain ambig- uous. We address four related questions here: What do exploration and exploitation mean? Are they two ends of a continuum or orthogonal to each other? How should organizations achieve balance between exploration and exploitation—via ambidexter- ity or punctuated equilibrium? Finally, must all organizations strive for a balance, or is specialization in exploitation or exploration sometimes sufficient for long-run suc- cess? We summarize the contributions of the work in this special research forum and highlight important directions for future research. Since","author":[{"dropping-particle":"","family":"Gupta","given":"Anil K.","non-dropping-particle":"","parse-names":false,"suffix":""},{"dropping-particle":"","family":"Smith","given":"Ken G.","non-dropping-particle":"","parse-names":false,"suffix":""},{"dropping-particle":"","family":"Shalley","given":"Christina E.","non-dropping-particle":"","parse-names":false,"suffix":""}],"container-title":"Academy of Management Journal","id":"ITEM-1","issue":"4","issued":{"date-parts":[["2006","8"]]},"page":"693-706","title":"The interplay between exploration and exploitation","type":"article-journal","volume":"49"},"uris":["http://www.mendeley.com/documents/?uuid=10018088-542a-47cc-bc76-46ba8029cba3"]}],"mendeley":{"formattedCitation":"(Gupta, Smith, &amp; Shalley, 2006)","plainTextFormattedCitation":"(Gupta, Smith, &amp; Shalley, 2006)","previouslyFormattedCitation":"(Gupta, Smith, &amp; Shalley, 2006)"},"properties":{"noteIndex":0},"schema":"https://github.com/citation-style-language/schema/raw/master/csl-citation.json"}</w:instrText>
      </w:r>
      <w:r w:rsidRPr="002A7627">
        <w:fldChar w:fldCharType="separate"/>
      </w:r>
      <w:r w:rsidRPr="002A7627">
        <w:rPr>
          <w:noProof/>
        </w:rPr>
        <w:t>(Gupta, Smith, &amp; Shalley, 2006)</w:t>
      </w:r>
      <w:r w:rsidRPr="002A7627">
        <w:fldChar w:fldCharType="end"/>
      </w:r>
      <w:r w:rsidRPr="002A7627">
        <w:t xml:space="preserve">. Developing IT can </w:t>
      </w:r>
      <w:r w:rsidRPr="002A7627">
        <w:lastRenderedPageBreak/>
        <w:t xml:space="preserve">improve knowledge management capabilities because it makes it easier to create and share knowledge </w:t>
      </w:r>
      <w:r w:rsidR="00EB78C8" w:rsidRPr="002A7627">
        <w:rPr>
          <w:noProof/>
        </w:rPr>
        <w:t>(Ryan, Windsor, Ibragimova, &amp; Prybutok, 2010)</w:t>
      </w:r>
      <w:r w:rsidRPr="002A7627">
        <w:t>. IT is</w:t>
      </w:r>
      <w:r w:rsidR="00054373" w:rsidRPr="002A7627">
        <w:t xml:space="preserve">, therefore, </w:t>
      </w:r>
      <w:r w:rsidRPr="002A7627">
        <w:t xml:space="preserve">an important capability that can increase the flow of useful knowledge </w:t>
      </w:r>
      <w:r w:rsidRPr="002A7627">
        <w:fldChar w:fldCharType="begin" w:fldLock="1"/>
      </w:r>
      <w:r w:rsidRPr="002A7627">
        <w:instrText>ADDIN CSL_CITATION {"citationItems":[{"id":"ITEM-1","itemData":{"DOI":"10.1108/10662241211199942","ISSN":"1066-2243","abstract":"Purpose – The purpose of this study is to propose a conceptual structural equation model to, first, investigate the relationships among knowledge management (KM) system quality, employees' self-perceived social identification, trust at workplace as well as online knowledge sharing behaviors, and, second, demonstrate the direct and indirect effect of social identification and trust at workplace on online knowledge sharing from the perspective of KM system quality. Design/methodology/approach – A questionnaire was distributed to 437 full-time employees (n ¼ 437) from three technology companies in Taiwan. These companies have had years of experience in implementing KM systems. Data were analyzed by employing structural equation modeling. Findings – The results show that: social identification and trust at workplace have a mediating effect on online knowledge sharing within organizations; trust at workplace is the stronger mediator than social identification; social identification has a positive and significant impact on trust at workplace; and there is significant correlation between KM system quality and social identification as well as trust. Practical implications – Based on these findings, organizations in Taiwan that aim to maximize the effectiveness and efficiency of KM systems should find ways to enhance employees' self-awareness on social identification and trust in the workplace. Originality/value – The conceptual model provides useful information for managers to enhance knowledge sharing through the formation of social identification and promotion of trust at workplaces.","author":[{"dropping-particle":"","family":"Ho","given":"Li‐An","non-dropping-particle":"","parse-names":false,"suffix":""},{"dropping-particle":"","family":"Kuo","given":"Tsung‐Hsien","non-dropping-particle":"","parse-names":false,"suffix":""},{"dropping-particle":"","family":"Lin","given":"Binshan","non-dropping-particle":"","parse-names":false,"suffix":""}],"container-title":"Internet Research","id":"ITEM-1","issue":"1","issued":{"date-parts":[["2012","1","27"]]},"page":"4-28","title":"How social identification and trust influence organizational online knowledge sharing","type":"article-journal","volume":"22"},"uris":["http://www.mendeley.com/documents/?uuid=51a492cf-54ed-4692-b151-0e6e518e990a"]}],"mendeley":{"formattedCitation":"(Ho, Kuo, &amp; Lin, 2012)","plainTextFormattedCitation":"(Ho, Kuo, &amp; Lin, 2012)","previouslyFormattedCitation":"(Ho, Kuo, &amp; Lin, 2012)"},"properties":{"noteIndex":0},"schema":"https://github.com/citation-style-language/schema/raw/master/csl-citation.json"}</w:instrText>
      </w:r>
      <w:r w:rsidRPr="002A7627">
        <w:fldChar w:fldCharType="separate"/>
      </w:r>
      <w:r w:rsidRPr="002A7627">
        <w:rPr>
          <w:noProof/>
        </w:rPr>
        <w:t>(Ho, Kuo, &amp; Lin, 2012)</w:t>
      </w:r>
      <w:r w:rsidRPr="002A7627">
        <w:fldChar w:fldCharType="end"/>
      </w:r>
      <w:r w:rsidRPr="002A7627">
        <w:t xml:space="preserve">. </w:t>
      </w:r>
      <w:r w:rsidR="00AA406D" w:rsidRPr="002A7627">
        <w:fldChar w:fldCharType="begin" w:fldLock="1"/>
      </w:r>
      <w:r w:rsidR="005A37E4" w:rsidRPr="002A7627">
        <w:instrText>ADDIN CSL_CITATION {"citationItems":[{"id":"ITEM-1","itemData":{"DOI":"10.1108/01425450810888303","ISBN":"1367327051061","ISSN":"0142-5455","abstract":"This paper sets out, first, to integrate HR strategies into knowledge management (KM) systems; second, to examine the type of HR strategies to be pursued and third, it looks at the probable behaviour effects of such a strategy in the creation, distribution and use of knowledge.","author":[{"dropping-particle":"","family":"Edvardsson","given":"Ingi Runar","non-dropping-particle":"","parse-names":false,"suffix":""}],"container-title":"Employee Relations","id":"ITEM-1","issue":"5","issued":{"date-parts":[["2008","8","15"]]},"page":"553-561","title":"HRM and knowledge management","type":"article-journal","volume":"30"},"uris":["http://www.mendeley.com/documents/?uuid=2c07da39-35a8-45fa-956c-e063715cd676"]}],"mendeley":{"formattedCitation":"(Edvardsson, 2008)","manualFormatting":"Edvardsson (2008)","plainTextFormattedCitation":"(Edvardsson, 2008)","previouslyFormattedCitation":"(Edvardsson, 2008)"},"properties":{"noteIndex":0},"schema":"https://github.com/citation-style-language/schema/raw/master/csl-citation.json"}</w:instrText>
      </w:r>
      <w:r w:rsidR="00AA406D" w:rsidRPr="002A7627">
        <w:fldChar w:fldCharType="separate"/>
      </w:r>
      <w:r w:rsidR="00AA406D" w:rsidRPr="002A7627">
        <w:rPr>
          <w:noProof/>
        </w:rPr>
        <w:t>Edvardsson (2008)</w:t>
      </w:r>
      <w:r w:rsidR="00AA406D" w:rsidRPr="002A7627">
        <w:fldChar w:fldCharType="end"/>
      </w:r>
      <w:r w:rsidRPr="002A7627">
        <w:t xml:space="preserve"> investigated explorative and exploitative approaches and suggested that they should be integrated in</w:t>
      </w:r>
      <w:r w:rsidR="00193A9C" w:rsidRPr="002A7627">
        <w:t>to</w:t>
      </w:r>
      <w:r w:rsidRPr="002A7627">
        <w:t xml:space="preserve"> an effective knowledge management strategy. He argued that organizations need both an exploitative strategy to target IT solutions towards knowledge management and focus on tacit knowledge, and an explorative strategy focusing on HR practices and organizational learning.</w:t>
      </w:r>
    </w:p>
    <w:p w14:paraId="5CB77D8B" w14:textId="7C6A74B6" w:rsidR="008377FA" w:rsidRPr="002A7627" w:rsidRDefault="008377FA" w:rsidP="00690CD5">
      <w:pPr>
        <w:pStyle w:val="AAAAAAA"/>
      </w:pPr>
      <w:r w:rsidRPr="002A7627">
        <w:t xml:space="preserve">Most previous studies have focused on private sector organizations </w:t>
      </w:r>
      <w:r w:rsidRPr="002A7627">
        <w:rPr>
          <w:noProof/>
        </w:rPr>
        <w:t>(Abualoush, Masa’deh, Bataineh, &amp; Alrowwad, 2018; Córdova &amp; Gutiérrez, 2018; Oluikpe, 2012; Ringel</w:t>
      </w:r>
      <w:r w:rsidR="000465F2">
        <w:rPr>
          <w:noProof/>
        </w:rPr>
        <w:t>-</w:t>
      </w:r>
      <w:r w:rsidRPr="002A7627">
        <w:rPr>
          <w:noProof/>
        </w:rPr>
        <w:t>Bickelmaier &amp; Ringel, 2010; Yap &amp; Lock, 2017)</w:t>
      </w:r>
      <w:r w:rsidRPr="002A7627">
        <w:t xml:space="preserve">. However, knowledge management is also widely used in public sector organizations in areas such as strategy and consultation </w:t>
      </w:r>
      <w:r w:rsidRPr="002A7627">
        <w:rPr>
          <w:noProof/>
        </w:rPr>
        <w:t>(Riege &amp; Lindsay, 2006)</w:t>
      </w:r>
      <w:r w:rsidRPr="002A7627">
        <w:t xml:space="preserve"> and creativity </w:t>
      </w:r>
      <w:r w:rsidRPr="002A7627">
        <w:rPr>
          <w:noProof/>
        </w:rPr>
        <w:t>(Haak-Saheem &amp; Darwish, 2014)</w:t>
      </w:r>
      <w:r w:rsidRPr="002A7627">
        <w:t>. There is</w:t>
      </w:r>
      <w:r w:rsidR="00054373" w:rsidRPr="002A7627">
        <w:t xml:space="preserve">, therefore, </w:t>
      </w:r>
      <w:r w:rsidRPr="002A7627">
        <w:t xml:space="preserve">a need to investigate knowledge management in the public sector in general, and policing organizations in particular, as well as studying the factors that affect the benefits </w:t>
      </w:r>
      <w:r w:rsidR="000465F2">
        <w:t>of</w:t>
      </w:r>
      <w:r w:rsidR="000465F2" w:rsidRPr="002A7627">
        <w:t xml:space="preserve"> </w:t>
      </w:r>
      <w:r w:rsidRPr="002A7627">
        <w:t xml:space="preserve">knowledge management. This is particularly important for a policing organization, where knowledge is a critical factor and must be managed effectively to allow crimes to be detected quickly and maintain public safety </w:t>
      </w:r>
      <w:r w:rsidRPr="002A7627">
        <w:rPr>
          <w:noProof/>
        </w:rPr>
        <w:t>(Al-Shayeb &amp; Hatemi-J, 2016)</w:t>
      </w:r>
      <w:r w:rsidRPr="002A7627">
        <w:t>.</w:t>
      </w:r>
    </w:p>
    <w:p w14:paraId="065826B3" w14:textId="13078688" w:rsidR="008377FA" w:rsidRPr="002A7627" w:rsidRDefault="008377FA" w:rsidP="00690CD5">
      <w:pPr>
        <w:pStyle w:val="AAAAAAA"/>
        <w:rPr>
          <w:lang w:bidi="ar-AE"/>
        </w:rPr>
      </w:pPr>
      <w:r w:rsidRPr="002A7627">
        <w:rPr>
          <w:lang w:bidi="ar-AE"/>
        </w:rPr>
        <w:t>This study will</w:t>
      </w:r>
      <w:r w:rsidR="00054373" w:rsidRPr="002A7627">
        <w:rPr>
          <w:lang w:bidi="ar-AE"/>
        </w:rPr>
        <w:t xml:space="preserve">, therefore, </w:t>
      </w:r>
      <w:r w:rsidRPr="002A7627">
        <w:rPr>
          <w:lang w:bidi="ar-AE"/>
        </w:rPr>
        <w:t>contribute to understanding of the public sector</w:t>
      </w:r>
      <w:r w:rsidRPr="002A7627">
        <w:t xml:space="preserve">. </w:t>
      </w:r>
      <w:r w:rsidR="00AA406D" w:rsidRPr="002A7627">
        <w:rPr>
          <w:noProof/>
        </w:rPr>
        <w:t>Massaro, Dumay, and Garlatti (2015)</w:t>
      </w:r>
      <w:r w:rsidRPr="002A7627">
        <w:t xml:space="preserve"> found that there had been few knowledge </w:t>
      </w:r>
      <w:r w:rsidRPr="002A7627">
        <w:lastRenderedPageBreak/>
        <w:t xml:space="preserve">management studies on public sector organizations, with policing and the defense sector particularly under-researched, in just 5% and 3% of all studies. Knowledge management is considered a key success factor for policing organizations, helping them to sustain performance on safety and security </w:t>
      </w:r>
      <w:r w:rsidRPr="002A7627">
        <w:fldChar w:fldCharType="begin" w:fldLock="1"/>
      </w:r>
      <w:r w:rsidR="00E24626" w:rsidRPr="002A7627">
        <w:instrText>ADDIN CSL_CITATION {"citationItems":[{"id":"ITEM-1","itemData":{"DOI":"10.1108/JES-06-2015-0094","ISSN":"0144-3585","abstract":"Access to this document was granted through an Emerald subscription provided by emerald-srm:534301 [] For Authors If you would like to write for this, or any other Emerald publication, then please use our Emerald for Authors service information about how to choose which publication to write for and submission guidelines are available for all. Please visit www.emeraldinsight.com/authors for more information. About Emerald www.emeraldinsight.com Emerald is a global publisher linking research and practice to the benefit of society. The company manages a portfolio of more than 290 journals and over 2,350 books and book series volumes, as well as providing an extensive range of online products and additional customer resources and services. Abstract Purpose – The purpose of this paper is to offer a review of the trade policy in the UAE. It also investigates the dynamic interaction between trade openness and GDP per capita in this emerging economy. Design/methodology/approach – The asymmetric generalized impulse response functions and the asymmetric causality tests developed by Hatemi-J are used. Findings – The results from asymmetric generalized impulse response functions indicate that a positive permanent shock in the trade openness results in a significant positive response in the cumulative sum of the positive component of the GDP per capita. Such a response is not found for the negative shocks in the trade openness. Furthermore, neither a positive nor a negative shock in the GPD per capita results in any significant response in the trade openness. These empirical findings are also supported by the implemented asymmetric causality tests. Originality/value – This is the first attempt that investigates the impact of trade openness on economic performance in the UAE. Unlike previous literature on the topic, this paper allows for asymmetric impacts in the empirical model. 1. Introduction The economic performance of the UAE has been impressive especially during the last recent decades. The UAE is usually considered as a successful economic example. There are many reasons behind this impressive success. The political and economic stability of the country in a relatively volatile region combined with a good regulation system, which makes the rule of law to apply, can be mentioned as the main reasons. The government has also been active in implementing policies that can promote economic growth without too much reliance on the main source of income which is oil. A…","author":[{"dropping-particle":"","family":"Al-Shayeb","given":"Abdulrahman","non-dropping-particle":"","parse-names":false,"suffix":""},{"dropping-particle":"","family":"Hatemi-J","given":"Abdulnasser","non-dropping-particle":"","parse-names":false,"suffix":""}],"container-title":"Journal of Economic Studies","id":"ITEM-1","issue":"4","issued":{"date-parts":[["2016","9","12"]]},"page":"587-597","title":"Trade openness and economic development in the UAE: An asymmetric approach","type":"article-journal","volume":"43"},"uris":["http://www.mendeley.com/documents/?uuid=efa5ceb3-3336-4970-aa21-cfc6dea06613"]}],"mendeley":{"formattedCitation":"(Al-Shayeb &amp; Hatemi-J, 2016)","plainTextFormattedCitation":"(Al-Shayeb &amp; Hatemi-J, 2016)","previouslyFormattedCitation":"(Al-Shayeb &amp; Hatemi-J, 2016)"},"properties":{"noteIndex":0},"schema":"https://github.com/citation-style-language/schema/raw/master/csl-citation.json"}</w:instrText>
      </w:r>
      <w:r w:rsidRPr="002A7627">
        <w:fldChar w:fldCharType="separate"/>
      </w:r>
      <w:r w:rsidRPr="002A7627">
        <w:rPr>
          <w:noProof/>
        </w:rPr>
        <w:t>(Al-Shayeb &amp; Hatemi-J, 2016)</w:t>
      </w:r>
      <w:r w:rsidRPr="002A7627">
        <w:fldChar w:fldCharType="end"/>
      </w:r>
      <w:r w:rsidRPr="002A7627">
        <w:t xml:space="preserve">. </w:t>
      </w:r>
      <w:r w:rsidRPr="00830760">
        <w:rPr>
          <w:color w:val="000000" w:themeColor="text1"/>
        </w:rPr>
        <w:t>In the past few years, A</w:t>
      </w:r>
      <w:r w:rsidR="00526616" w:rsidRPr="00830760">
        <w:rPr>
          <w:color w:val="000000" w:themeColor="text1"/>
        </w:rPr>
        <w:t>DP</w:t>
      </w:r>
      <w:r w:rsidRPr="00830760">
        <w:rPr>
          <w:color w:val="000000" w:themeColor="text1"/>
        </w:rPr>
        <w:t xml:space="preserve"> has </w:t>
      </w:r>
      <w:r w:rsidR="00706BAF" w:rsidRPr="00830760">
        <w:rPr>
          <w:color w:val="000000" w:themeColor="text1"/>
        </w:rPr>
        <w:t>highlighted</w:t>
      </w:r>
      <w:r w:rsidRPr="00830760">
        <w:rPr>
          <w:color w:val="000000" w:themeColor="text1"/>
        </w:rPr>
        <w:t xml:space="preserve"> the importance of knowledge management processes to enable it to</w:t>
      </w:r>
      <w:r w:rsidR="00706BAF" w:rsidRPr="00830760">
        <w:rPr>
          <w:color w:val="000000" w:themeColor="text1"/>
        </w:rPr>
        <w:t xml:space="preserve"> achieve its priority </w:t>
      </w:r>
      <w:r w:rsidR="00657300" w:rsidRPr="00830760">
        <w:rPr>
          <w:color w:val="000000" w:themeColor="text1"/>
        </w:rPr>
        <w:t>of providing</w:t>
      </w:r>
      <w:r w:rsidR="00706BAF" w:rsidRPr="00830760">
        <w:rPr>
          <w:color w:val="000000" w:themeColor="text1"/>
        </w:rPr>
        <w:t xml:space="preserve"> well-managed and efficient policing </w:t>
      </w:r>
      <w:r w:rsidRPr="002A7627">
        <w:fldChar w:fldCharType="begin" w:fldLock="1"/>
      </w:r>
      <w:r w:rsidR="00D23886" w:rsidRPr="002A7627">
        <w:instrText>ADDIN CSL_CITATION {"citationItems":[{"id":"ITEM-1","itemData":{"URL":"https://www.adpolice.gov.ae/en/Pages/organization.aspx","accessed":{"date-parts":[["2019","6","11"]]},"author":[{"dropping-particle":"","family":"Abu Dhabi Police","given":"","non-dropping-particle":"","parse-names":false,"suffix":""}],"id":"ITEM-1","issued":{"date-parts":[["2019"]]},"title":"Organization chart","type":"webpage"},"uris":["http://www.mendeley.com/documents/?uuid=19271a75-f928-3bbb-bbca-7e71429c6147"]}],"mendeley":{"formattedCitation":"(Abu Dhabi Police, 2019)","plainTextFormattedCitation":"(Abu Dhabi Police, 2019)","previouslyFormattedCitation":"(Abu Dhabi Police, 2019)"},"properties":{"noteIndex":0},"schema":"https://github.com/citation-style-language/schema/raw/master/csl-citation.json"}</w:instrText>
      </w:r>
      <w:r w:rsidRPr="002A7627">
        <w:fldChar w:fldCharType="separate"/>
      </w:r>
      <w:r w:rsidRPr="002A7627">
        <w:rPr>
          <w:noProof/>
        </w:rPr>
        <w:t>(Abu Dhabi Police, 2019)</w:t>
      </w:r>
      <w:r w:rsidRPr="002A7627">
        <w:fldChar w:fldCharType="end"/>
      </w:r>
      <w:r w:rsidRPr="002A7627">
        <w:t xml:space="preserve">. This study aimed to propose a comprehensive framework of factors affecting knowledge management benefits in a policing organization, and particularly </w:t>
      </w:r>
      <w:r w:rsidRPr="002A7627">
        <w:rPr>
          <w:lang w:bidi="ar-AE"/>
        </w:rPr>
        <w:t xml:space="preserve">intangible knowledge management benefits, which have previously been neglected in firms in the UAE </w:t>
      </w:r>
      <w:r w:rsidRPr="002A7627">
        <w:rPr>
          <w:lang w:bidi="ar-AE"/>
        </w:rPr>
        <w:fldChar w:fldCharType="begin" w:fldLock="1"/>
      </w:r>
      <w:r w:rsidRPr="002A7627">
        <w:rPr>
          <w:lang w:bidi="ar-AE"/>
        </w:rPr>
        <w:instrText>ADDIN CSL_CITATION {"citationItems":[{"id":"ITEM-1","itemData":{"DOI":"10.1057/kmrp.2008.16","ISSN":"14778238","abstract":"Knowledge management is gaining prominence in academia and the world of business practice. The need for organizations in the United Arab Emirates (UAE) to empower themselves through knowledge management cannot be ignored. Yet, not much empirical evidence on the subject can be found in the literature. This study investigates the relationship between knowledge management and organizational performance in the UAE. The knowledge management dimensions considered in this paper are organizational culture, organizational infrastructure, technical infrastructure, management support, reward and vision clarity. Organizational performance is measured in terms of efficiency, customer satisfaction, decision-making, quality of work and financial benefits. A questionnaire was used to collect data from general managers, functional managers, IT managers and chief knowledge officers from a variety of business sectors. Results of one sample t-test show that the dimensions used in this study enhance performance improvement. Results also show that except for reward and vision clarity, all investigated knowledge management dimensions are significantly correlated with performance improvement. [PUBLICATION ABSTRACT]","author":[{"dropping-particle":"","family":"Boumarafi","given":"Behdja","non-dropping-particle":"","parse-names":false,"suffix":""},{"dropping-particle":"","family":"Jabnoun","given":"Naceur","non-dropping-particle":"","parse-names":false,"suffix":""}],"container-title":"Knowledge Management Research and Practice","id":"ITEM-1","issue":"3","issued":{"date-parts":[["2008"]]},"page":"233-238","title":"Knowledge management and performance in UAE business organizations","type":"article-journal","volume":"6"},"uris":["http://www.mendeley.com/documents/?uuid=b23b83b5-c17b-43e9-af38-4100731c7b1a"]}],"mendeley":{"formattedCitation":"(Boumarafi &amp; Jabnoun, 2008)","plainTextFormattedCitation":"(Boumarafi &amp; Jabnoun, 2008)","previouslyFormattedCitation":"(Boumarafi &amp; Jabnoun, 2008)"},"properties":{"noteIndex":0},"schema":"https://github.com/citation-style-language/schema/raw/master/csl-citation.json"}</w:instrText>
      </w:r>
      <w:r w:rsidRPr="002A7627">
        <w:rPr>
          <w:lang w:bidi="ar-AE"/>
        </w:rPr>
        <w:fldChar w:fldCharType="separate"/>
      </w:r>
      <w:r w:rsidRPr="002A7627">
        <w:rPr>
          <w:noProof/>
          <w:lang w:bidi="ar-AE"/>
        </w:rPr>
        <w:t>(Boumarafi &amp; Jabnoun, 2008)</w:t>
      </w:r>
      <w:r w:rsidRPr="002A7627">
        <w:rPr>
          <w:lang w:bidi="ar-AE"/>
        </w:rPr>
        <w:fldChar w:fldCharType="end"/>
      </w:r>
      <w:r w:rsidRPr="002A7627">
        <w:rPr>
          <w:lang w:bidi="ar-AE"/>
        </w:rPr>
        <w:t xml:space="preserve">. This is expected to help organizations in the UAE to improve their performance. </w:t>
      </w:r>
    </w:p>
    <w:p w14:paraId="7ED15566" w14:textId="3CDA444D" w:rsidR="008377FA" w:rsidRPr="002A7627" w:rsidRDefault="008377FA" w:rsidP="00690CD5">
      <w:pPr>
        <w:pStyle w:val="AAAAAAA"/>
      </w:pPr>
      <w:r w:rsidRPr="002A7627">
        <w:t xml:space="preserve">This study is the first UAE-based study of which the researcher is aware to focus on the integration of organizational learning and knowledge management </w:t>
      </w:r>
      <w:r w:rsidR="0075026B" w:rsidRPr="002A7627">
        <w:rPr>
          <w:noProof/>
        </w:rPr>
        <w:t>(Johannessen, 2018; Tseng, 2017)</w:t>
      </w:r>
      <w:r w:rsidRPr="002A7627">
        <w:t xml:space="preserve"> by considering the role of organizational learning as a mediator. Previous studies have proven that knowledge sharing is not enough in itself: people need to reflect their knowledge through behavior and actions to enhance organizational learning </w:t>
      </w:r>
      <w:r w:rsidRPr="002A7627">
        <w:fldChar w:fldCharType="begin" w:fldLock="1"/>
      </w:r>
      <w:r w:rsidR="00E24626" w:rsidRPr="002A7627">
        <w:instrText>ADDIN CSL_CITATION {"citationItems":[{"id":"ITEM-1","itemData":{"abstract":"No theory or model of organizational learning has widespread acceptance. This paper clarifies the distinction between organizational learning and organizational adaptation and shows that change does not necessarily imply learning. There are different levels of learning, each having a different impact on the strategic management of the firm.","author":[{"dropping-particle":"","family":"Argote","given":"Linda","non-dropping-particle":"","parse-names":false,"suffix":""}],"id":"ITEM-1","issued":{"date-parts":[["2013"]]},"publisher":"Springer","publisher-place":"Boston, MA","title":"Organizational learning: Creating, retaining and transferring knowledge","type":"book"},"uris":["http://www.mendeley.com/documents/?uuid=13b65805-f12b-424d-b92a-cb06620b964d"]}],"mendeley":{"formattedCitation":"(Argote, 2013)","plainTextFormattedCitation":"(Argote, 2013)","previouslyFormattedCitation":"(Argote, 2013)"},"properties":{"noteIndex":0},"schema":"https://github.com/citation-style-language/schema/raw/master/csl-citation.json"}</w:instrText>
      </w:r>
      <w:r w:rsidRPr="002A7627">
        <w:fldChar w:fldCharType="separate"/>
      </w:r>
      <w:r w:rsidRPr="002A7627">
        <w:rPr>
          <w:noProof/>
        </w:rPr>
        <w:t>(Argote, 2013)</w:t>
      </w:r>
      <w:r w:rsidRPr="002A7627">
        <w:fldChar w:fldCharType="end"/>
      </w:r>
      <w:r w:rsidRPr="002A7627">
        <w:t xml:space="preserve">. Rapid changes in the external environment mean that organizations need to respond quickly to new knowledge to avoid becoming obsolete </w:t>
      </w:r>
      <w:r w:rsidRPr="002A7627">
        <w:fldChar w:fldCharType="begin" w:fldLock="1"/>
      </w:r>
      <w:r w:rsidRPr="002A7627">
        <w:instrText>ADDIN CSL_CITATION {"citationItems":[{"id":"ITEM-1","itemData":{"DOI":"10.1007/s11213-005-9005-1","ISSN":"1094-429X","abstract":"The objective of this article is to discuss the learning organisation\\n(LO) concept in correlation with network organisation (NO), which is an\\nindispensable element for the transition into the new era of management,\\ni.e. knowledge networking. Business organisations (BO) rarely achieve\\ninnovativeness, and thus competitive advantage, without establishing\\nNO/LO and knowledge management. Therefore, a suitable knowledge strategy\\nmust be developed that is related to BO's business strategy. The last\\ntwo statements surface our main hypothesis, which is described in our\\ngeneral model on linking the elements of an LO and then tested by\\nempirical research carried out in Slovenian BOs. Our original model of\\nLO has proved helpful in understanding BOs as LOs in transitional\\neconomies, e.g. in Slovenia. In them an innovation-based business has\\nnot yet become the norm with BOs of all sizes, with success mainly\\nenjoyed in larger BOs. However, NO can help the LO concept spread and\\nsupport innovativeness rather quickly in all BOs.","author":[{"dropping-particle":"","family":"Ursic","given":"Dusko","non-dropping-particle":"","parse-names":false,"suffix":""},{"dropping-particle":"","family":"Nikl","given":"Aljosa","non-dropping-particle":"","parse-names":false,"suffix":""},{"dropping-particle":"","family":"Mulej","given":"Matjaz","non-dropping-particle":"","parse-names":false,"suffix":""},{"dropping-particle":"","family":"Cestar","given":"Andrej Smogavc","non-dropping-particle":"","parse-names":false,"suffix":""}],"container-title":"Systemic Practice and Action Research","id":"ITEM-1","issue":"1","issued":{"date-parts":[["2006","2","11"]]},"page":"81-99","title":"System-organisational aspect of a learning organisation in companies","type":"article-journal","volume":"19"},"uris":["http://www.mendeley.com/documents/?uuid=68d4c6d4-b934-4672-8bfd-0577adf60e29"]}],"mendeley":{"formattedCitation":"(Ursic, Nikl, Mulej, &amp; Cestar, 2006)","plainTextFormattedCitation":"(Ursic, Nikl, Mulej, &amp; Cestar, 2006)","previouslyFormattedCitation":"(Ursic, Nikl, Mulej, &amp; Cestar, 2006)"},"properties":{"noteIndex":0},"schema":"https://github.com/citation-style-language/schema/raw/master/csl-citation.json"}</w:instrText>
      </w:r>
      <w:r w:rsidRPr="002A7627">
        <w:fldChar w:fldCharType="separate"/>
      </w:r>
      <w:r w:rsidRPr="002A7627">
        <w:rPr>
          <w:noProof/>
        </w:rPr>
        <w:t>(Ursic, Nikl, Mulej, &amp; Cestar, 2006)</w:t>
      </w:r>
      <w:r w:rsidRPr="002A7627">
        <w:fldChar w:fldCharType="end"/>
      </w:r>
      <w:r w:rsidRPr="002A7627">
        <w:t xml:space="preserve">. Organizational learning processes should be used to develop knowledge resources and capabilities that </w:t>
      </w:r>
      <w:r w:rsidRPr="00830760">
        <w:rPr>
          <w:color w:val="000000" w:themeColor="text1"/>
        </w:rPr>
        <w:t xml:space="preserve">can </w:t>
      </w:r>
      <w:r w:rsidR="00706BAF" w:rsidRPr="00830760">
        <w:rPr>
          <w:color w:val="000000" w:themeColor="text1"/>
        </w:rPr>
        <w:t>support</w:t>
      </w:r>
      <w:r w:rsidRPr="00830760">
        <w:rPr>
          <w:color w:val="000000" w:themeColor="text1"/>
        </w:rPr>
        <w:t xml:space="preserve"> </w:t>
      </w:r>
      <w:r w:rsidRPr="002A7627">
        <w:t xml:space="preserve">the organization to sustain its competitive </w:t>
      </w:r>
      <w:r w:rsidRPr="002A7627">
        <w:lastRenderedPageBreak/>
        <w:t xml:space="preserve">advantage </w:t>
      </w:r>
      <w:r w:rsidRPr="002A7627">
        <w:fldChar w:fldCharType="begin" w:fldLock="1"/>
      </w:r>
      <w:r w:rsidR="00E24626" w:rsidRPr="002A7627">
        <w:instrText>ADDIN CSL_CITATION {"citationItems":[{"id":"ITEM-1","itemData":{"ISSN":"2071-2162","abstract":"Organizational learning is increasingly being considered as one of the fundamental sources of competitive advantage within the context of strategic management. However, most literature has not clearly linked organizational learning with sustainable competitive advantage. This paper, therefore, explores and discusses the role of organizational learning in helping business firms to achieve sustainable competitive advantage. Specifically, it deals with how organizational learning process can be used to develop knowledge resources and capabilities that lead to sustainable competitive advantage. The main method used is analysis and integration of theories to develop a conceptual model. This paper proposes that, through organizational learning a firm can develop hard to imitate knowledge resources and capabilities (human capital as well as organizational capital) that create value which in turn lead to superior performance.","author":[{"dropping-particle":"","family":"Njuguna","given":"JI","non-dropping-particle":"","parse-names":false,"suffix":""}],"container-title":"KCA Journal of Business Management","id":"ITEM-1","issue":"1","issued":{"date-parts":[["2009","7","17"]]},"page":"1-15","title":"Strategic positioning for sustainable competitive advantage: An organizational learning approach","type":"article-journal","volume":"2"},"uris":["http://www.mendeley.com/documents/?uuid=5bce1512-e6c1-48bd-83d5-65cb0c5b878a"]}],"mendeley":{"formattedCitation":"(Njuguna, 2009)","plainTextFormattedCitation":"(Njuguna, 2009)","previouslyFormattedCitation":"(Njuguna, 2009)"},"properties":{"noteIndex":0},"schema":"https://github.com/citation-style-language/schema/raw/master/csl-citation.json"}</w:instrText>
      </w:r>
      <w:r w:rsidRPr="002A7627">
        <w:fldChar w:fldCharType="separate"/>
      </w:r>
      <w:r w:rsidRPr="002A7627">
        <w:rPr>
          <w:noProof/>
        </w:rPr>
        <w:t>(Njuguna, 2009)</w:t>
      </w:r>
      <w:r w:rsidRPr="002A7627">
        <w:fldChar w:fldCharType="end"/>
      </w:r>
      <w:r w:rsidRPr="002A7627">
        <w:t xml:space="preserve">. This suggests that learning may have an effect on performance by mediating the relationship between knowledge-sharing and </w:t>
      </w:r>
      <w:r w:rsidR="00706BAF" w:rsidRPr="00830760">
        <w:rPr>
          <w:color w:val="000000" w:themeColor="text1"/>
        </w:rPr>
        <w:t xml:space="preserve">organizational </w:t>
      </w:r>
      <w:r w:rsidRPr="00830760">
        <w:rPr>
          <w:color w:val="000000" w:themeColor="text1"/>
        </w:rPr>
        <w:t>p</w:t>
      </w:r>
      <w:r w:rsidRPr="002A7627">
        <w:t xml:space="preserve">erformance </w:t>
      </w:r>
      <w:r w:rsidRPr="002A7627">
        <w:fldChar w:fldCharType="begin" w:fldLock="1"/>
      </w:r>
      <w:r w:rsidR="00E24626" w:rsidRPr="002A7627">
        <w:instrText>ADDIN CSL_CITATION {"citationItems":[{"id":"ITEM-1","itemData":{"DOI":"10.1007/s11213-016-9397-0","ISSN":"1094-429X","abstract":"Learning organisation literature has widely discussed the connections between ``double-loop{''} learning and its significance to organisational performance, but paying little attention to tools and systems that can operationalise ``double-loop{''} learning in organisations. This paper investigates the impact of applying a systems approach for service operations design, expressed as the Vanguard Method (Seddon, Freedom from command and control: a better way to make the work work, 2003), in order to activate ``double-loop{''} learning in service organisations. Two case studies were conducted in the banking mortgage operations and adults' social care services in the UK, using the dimensions of the learning organisation questionnaire (DLOQ), semi-structured interviews, observations, and documents. The findings of the cross-case analysis support the link of applying the Vanguard Method with operationalising ``double-loop{''} learning through three main factors, namely systematic-operations improvement, organisational capacity development, and outside-in mode of work; that are all embedded into the seven dimensions of the DLOQ. The value of this paper is the introduction of a service operations design tool that can activate ``double-loop{''} learning performance in the fast changing knowledge era. It also provides an impetus for service organisations to creatively influence employees' competencies to effectively improve internal systems.","author":[{"dropping-particle":"","family":"Jaaron","given":"Ayham A. M.","non-dropping-particle":"","parse-names":false,"suffix":""},{"dropping-particle":"","family":"Backhouse","given":"Chris J.","non-dropping-particle":"","parse-names":false,"suffix":""}],"container-title":"Systemic Practice and Action Research","id":"ITEM-1","issue":"4","issued":{"date-parts":[["2017","8","1"]]},"page":"317-337","title":"Operationalising “double-loop” learning in service organisations: A systems approach for creating knowledge","type":"article-journal","volume":"30"},"uris":["http://www.mendeley.com/documents/?uuid=19b794e3-ca20-4792-a6d1-08656e41f5f7"]}],"mendeley":{"formattedCitation":"(Jaaron &amp; Backhouse, 2017)","plainTextFormattedCitation":"(Jaaron &amp; Backhouse, 2017)","previouslyFormattedCitation":"(Jaaron &amp; Backhouse, 2017)"},"properties":{"noteIndex":0},"schema":"https://github.com/citation-style-language/schema/raw/master/csl-citation.json"}</w:instrText>
      </w:r>
      <w:r w:rsidRPr="002A7627">
        <w:fldChar w:fldCharType="separate"/>
      </w:r>
      <w:r w:rsidRPr="002A7627">
        <w:rPr>
          <w:noProof/>
        </w:rPr>
        <w:t>(Jaaron &amp; Backhouse, 2017)</w:t>
      </w:r>
      <w:r w:rsidRPr="002A7627">
        <w:fldChar w:fldCharType="end"/>
      </w:r>
      <w:r w:rsidRPr="002A7627">
        <w:t>.</w:t>
      </w:r>
    </w:p>
    <w:p w14:paraId="1B9189A9" w14:textId="7A4F8799" w:rsidR="00657300" w:rsidRDefault="008377FA" w:rsidP="001C2F38">
      <w:pPr>
        <w:pStyle w:val="AAAAAAA"/>
      </w:pPr>
      <w:r w:rsidRPr="002A7627">
        <w:rPr>
          <w:lang w:bidi="ar-AE"/>
        </w:rPr>
        <w:t xml:space="preserve">This study will also add to the literature by providing information about knowledge management benefits in the UAE and may be generalizable to the wider Middle East, where there have been very few studies to date </w:t>
      </w:r>
      <w:r w:rsidRPr="002A7627">
        <w:rPr>
          <w:lang w:bidi="ar-AE"/>
        </w:rPr>
        <w:fldChar w:fldCharType="begin" w:fldLock="1"/>
      </w:r>
      <w:r w:rsidR="00E24626" w:rsidRPr="002A7627">
        <w:rPr>
          <w:lang w:bidi="ar-AE"/>
        </w:rPr>
        <w:instrText>ADDIN CSL_CITATION {"citationItems":[{"id":"ITEM-1","itemData":{"DOI":"10.1057/kmrp.2008.16","ISSN":"14778238","abstract":"Knowledge management is gaining prominence in academia and the world of business practice. The need for organizations in the United Arab Emirates (UAE) to empower themselves through knowledge management cannot be ignored. Yet, not much empirical evidence on the subject can be found in the literature. This study investigates the relationship between knowledge management and organizational performance in the UAE. The knowledge management dimensions considered in this paper are organizational culture, organizational infrastructure, technical infrastructure, management support, reward and vision clarity. Organizational performance is measured in terms of efficiency, customer satisfaction, decision-making, quality of work and financial benefits. A questionnaire was used to collect data from general managers, functional managers, IT managers and chief knowledge officers from a variety of business sectors. Results of one sample t-test show that the dimensions used in this study enhance performance improvement. Results also show that except for reward and vision clarity, all investigated knowledge management dimensions are significantly correlated with performance improvement. [PUBLICATION ABSTRACT]","author":[{"dropping-particle":"","family":"Boumarafi","given":"Behdja","non-dropping-particle":"","parse-names":false,"suffix":""},{"dropping-particle":"","family":"Jabnoun","given":"Naceur","non-dropping-particle":"","parse-names":false,"suffix":""}],"container-title":"Knowledge Management Research and Practice","id":"ITEM-1","issue":"3","issued":{"date-parts":[["2008"]]},"page":"233-238","title":"Knowledge management and performance in UAE business organizations","type":"article-journal","volume":"6"},"uris":["http://www.mendeley.com/documents/?uuid=b23b83b5-c17b-43e9-af38-4100731c7b1a"]},{"id":"ITEM-2","itemData":{"DOI":"10.1108/13673271211262763","ISBN":"1367327121","ISSN":"1367-3270","author":[{"dropping-particle":"","family":"Siddique","given":"C. Muhammed","non-dropping-particle":"","parse-names":false,"suffix":""}],"container-title":"Journal of Knowledge Management","id":"ITEM-2","issue":"5","issued":{"date-parts":[["2012","9","7"]]},"page":"702-723","title":"Knowledge management initiatives in the United Arab Emirates: A baseline study","type":"article-journal","volume":"16"},"uris":["http://www.mendeley.com/documents/?uuid=4416d806-e6e9-49fa-a6ff-2917a0c3d074"]}],"mendeley":{"formattedCitation":"(Boumarafi &amp; Jabnoun, 2008; Siddique, 2012)","manualFormatting":"(Boumarafi &amp; Jabnoun, 2008; Siddique, 2012)","plainTextFormattedCitation":"(Boumarafi &amp; Jabnoun, 2008; Siddique, 2012)","previouslyFormattedCitation":"(Boumarafi &amp; Jabnoun, 2008; Siddique, 2012)"},"properties":{"noteIndex":0},"schema":"https://github.com/citation-style-language/schema/raw/master/csl-citation.json"}</w:instrText>
      </w:r>
      <w:r w:rsidRPr="002A7627">
        <w:rPr>
          <w:lang w:bidi="ar-AE"/>
        </w:rPr>
        <w:fldChar w:fldCharType="separate"/>
      </w:r>
      <w:r w:rsidRPr="002A7627">
        <w:rPr>
          <w:noProof/>
          <w:lang w:bidi="ar-AE"/>
        </w:rPr>
        <w:t>(Boumarafi &amp; Jabnoun, 2008; Siddique, 2012)</w:t>
      </w:r>
      <w:r w:rsidRPr="002A7627">
        <w:rPr>
          <w:lang w:bidi="ar-AE"/>
        </w:rPr>
        <w:fldChar w:fldCharType="end"/>
      </w:r>
      <w:r w:rsidRPr="002A7627">
        <w:rPr>
          <w:lang w:bidi="ar-AE"/>
        </w:rPr>
        <w:t>. This study</w:t>
      </w:r>
      <w:r w:rsidR="00054373" w:rsidRPr="002A7627">
        <w:rPr>
          <w:lang w:bidi="ar-AE"/>
        </w:rPr>
        <w:t xml:space="preserve"> therefore </w:t>
      </w:r>
      <w:r w:rsidRPr="002A7627">
        <w:rPr>
          <w:lang w:bidi="ar-AE"/>
        </w:rPr>
        <w:t xml:space="preserve">extends the work of researchers such as Siddique (2012), who developed a baseline on knowledge management initiatives in the UAE. It </w:t>
      </w:r>
      <w:r w:rsidRPr="002A7627">
        <w:t xml:space="preserve">will also help academics to understand the benefits of knowledge management in a knowledge-intensive organization such as a </w:t>
      </w:r>
      <w:r w:rsidR="00192AC8" w:rsidRPr="002A7627">
        <w:t>policing organization.</w:t>
      </w:r>
      <w:bookmarkEnd w:id="57"/>
    </w:p>
    <w:p w14:paraId="757E5551" w14:textId="395AE4E6" w:rsidR="00A16095" w:rsidRPr="002A7627" w:rsidRDefault="00192AC8" w:rsidP="001C2F38">
      <w:pPr>
        <w:pStyle w:val="AAAAAAA"/>
      </w:pPr>
      <w:r w:rsidRPr="002A7627">
        <w:rPr>
          <w:rFonts w:asciiTheme="majorBidi" w:hAnsiTheme="majorBidi" w:cstheme="majorBidi"/>
          <w:i/>
          <w:noProof/>
          <w:lang w:val="en-GB" w:eastAsia="en-GB"/>
        </w:rPr>
        <w:lastRenderedPageBreak/>
        <mc:AlternateContent>
          <mc:Choice Requires="wpg">
            <w:drawing>
              <wp:inline distT="0" distB="0" distL="0" distR="0" wp14:anchorId="15B37E31" wp14:editId="6B220164">
                <wp:extent cx="5511528" cy="6683828"/>
                <wp:effectExtent l="0" t="0" r="13335" b="22225"/>
                <wp:docPr id="1" name="Group 1"/>
                <wp:cNvGraphicFramePr/>
                <a:graphic xmlns:a="http://schemas.openxmlformats.org/drawingml/2006/main">
                  <a:graphicData uri="http://schemas.microsoft.com/office/word/2010/wordprocessingGroup">
                    <wpg:wgp>
                      <wpg:cNvGrpSpPr/>
                      <wpg:grpSpPr>
                        <a:xfrm>
                          <a:off x="0" y="0"/>
                          <a:ext cx="5511528" cy="6683828"/>
                          <a:chOff x="-66684" y="1"/>
                          <a:chExt cx="5933822" cy="6706703"/>
                        </a:xfrm>
                      </wpg:grpSpPr>
                      <wps:wsp>
                        <wps:cNvPr id="311" name="AutoShape 270"/>
                        <wps:cNvSpPr>
                          <a:spLocks noChangeArrowheads="1"/>
                        </wps:cNvSpPr>
                        <wps:spPr bwMode="auto">
                          <a:xfrm>
                            <a:off x="2495550" y="4543425"/>
                            <a:ext cx="247650" cy="247650"/>
                          </a:xfrm>
                          <a:prstGeom prst="rightArrow">
                            <a:avLst>
                              <a:gd name="adj1" fmla="val 50000"/>
                              <a:gd name="adj2" fmla="val 25000"/>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miter lim="800000"/>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wps:wsp>
                        <wps:cNvPr id="310" name="AutoShape 273"/>
                        <wps:cNvSpPr>
                          <a:spLocks noChangeArrowheads="1"/>
                        </wps:cNvSpPr>
                        <wps:spPr bwMode="auto">
                          <a:xfrm>
                            <a:off x="2466975" y="2133600"/>
                            <a:ext cx="304800" cy="247650"/>
                          </a:xfrm>
                          <a:prstGeom prst="rightArrow">
                            <a:avLst>
                              <a:gd name="adj1" fmla="val 50000"/>
                              <a:gd name="adj2" fmla="val 30769"/>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miter lim="800000"/>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wps:wsp>
                        <wps:cNvPr id="312" name="AutoShape 274"/>
                        <wps:cNvSpPr>
                          <a:spLocks noChangeArrowheads="1"/>
                        </wps:cNvSpPr>
                        <wps:spPr bwMode="auto">
                          <a:xfrm>
                            <a:off x="4429125" y="3657600"/>
                            <a:ext cx="304800" cy="247650"/>
                          </a:xfrm>
                          <a:prstGeom prst="rightArrow">
                            <a:avLst>
                              <a:gd name="adj1" fmla="val 50000"/>
                              <a:gd name="adj2" fmla="val 30769"/>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miter lim="800000"/>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wpg:grpSp>
                        <wpg:cNvPr id="4" name="Group 4"/>
                        <wpg:cNvGrpSpPr/>
                        <wpg:grpSpPr>
                          <a:xfrm>
                            <a:off x="-66684" y="1"/>
                            <a:ext cx="5933822" cy="6706703"/>
                            <a:chOff x="-66684" y="1"/>
                            <a:chExt cx="5933822" cy="6706703"/>
                          </a:xfrm>
                        </wpg:grpSpPr>
                        <wpg:grpSp>
                          <wpg:cNvPr id="5" name="Group 5"/>
                          <wpg:cNvGrpSpPr/>
                          <wpg:grpSpPr>
                            <a:xfrm>
                              <a:off x="-66684" y="1"/>
                              <a:ext cx="5933822" cy="6706703"/>
                              <a:chOff x="-66684" y="1"/>
                              <a:chExt cx="5933822" cy="6706703"/>
                            </a:xfrm>
                          </wpg:grpSpPr>
                          <wps:wsp>
                            <wps:cNvPr id="6" name="Rectangle 6"/>
                            <wps:cNvSpPr/>
                            <wps:spPr>
                              <a:xfrm>
                                <a:off x="838150" y="1"/>
                                <a:ext cx="1647825" cy="6301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9B5D339" w14:textId="77777777"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Step 1</w:t>
                                  </w:r>
                                </w:p>
                                <w:p w14:paraId="6F74E7A7" w14:textId="77777777"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 xml:space="preserve">Literature review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4743188" y="1"/>
                                <a:ext cx="1123950" cy="6301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2E7E97A" w14:textId="77777777"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Step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2723997" y="9526"/>
                                <a:ext cx="1647825" cy="6301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5F4D83E" w14:textId="77777777"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Step 2</w:t>
                                  </w:r>
                                </w:p>
                                <w:p w14:paraId="5D18A427" w14:textId="77777777"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 xml:space="preserve">Data collection &amp; analysis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819131" y="979916"/>
                                <a:ext cx="1647825" cy="239594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55E6003"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A review of definitions and development of knowledge management</w:t>
                                  </w:r>
                                </w:p>
                                <w:p w14:paraId="6095FF85"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A review of factors affecting knowledge management and their impact on its benefits</w:t>
                                  </w:r>
                                </w:p>
                                <w:p w14:paraId="75788680"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A review of dominant theories in knowledge management</w:t>
                                  </w:r>
                                </w:p>
                                <w:p w14:paraId="2BCCE000"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 xml:space="preserve">Development of the theoretical framework of knowledge management benefits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819112" y="3819418"/>
                                <a:ext cx="1647825" cy="287488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DBA3172" w14:textId="77777777" w:rsidR="000332A0" w:rsidRPr="00B06B7F" w:rsidRDefault="000332A0" w:rsidP="00421E09">
                                  <w:pPr>
                                    <w:pStyle w:val="ListParagraph"/>
                                    <w:widowControl/>
                                    <w:numPr>
                                      <w:ilvl w:val="0"/>
                                      <w:numId w:val="6"/>
                                    </w:numPr>
                                    <w:autoSpaceDE/>
                                    <w:autoSpaceDN/>
                                    <w:adjustRightInd/>
                                    <w:ind w:left="58" w:hanging="144"/>
                                    <w:jc w:val="lowKashida"/>
                                    <w:rPr>
                                      <w:rFonts w:cs="Times New Roman"/>
                                      <w:color w:val="000000" w:themeColor="text1"/>
                                      <w:sz w:val="20"/>
                                      <w:szCs w:val="20"/>
                                    </w:rPr>
                                  </w:pPr>
                                  <w:r w:rsidRPr="00B06B7F">
                                    <w:rPr>
                                      <w:rFonts w:cs="Times New Roman"/>
                                      <w:color w:val="000000" w:themeColor="text1"/>
                                      <w:sz w:val="20"/>
                                      <w:szCs w:val="20"/>
                                    </w:rPr>
                                    <w:t>Establish a problem statement, research objectives, research questions and research hypotheses</w:t>
                                  </w:r>
                                </w:p>
                                <w:p w14:paraId="1B07CD44" w14:textId="77777777" w:rsidR="000332A0" w:rsidRPr="00B06B7F" w:rsidRDefault="000332A0" w:rsidP="00421E09">
                                  <w:pPr>
                                    <w:pStyle w:val="ListParagraph"/>
                                    <w:widowControl/>
                                    <w:numPr>
                                      <w:ilvl w:val="0"/>
                                      <w:numId w:val="6"/>
                                    </w:numPr>
                                    <w:autoSpaceDE/>
                                    <w:autoSpaceDN/>
                                    <w:adjustRightInd/>
                                    <w:ind w:left="58" w:hanging="144"/>
                                    <w:jc w:val="lowKashida"/>
                                    <w:rPr>
                                      <w:rFonts w:cs="Times New Roman"/>
                                      <w:color w:val="000000" w:themeColor="text1"/>
                                      <w:sz w:val="20"/>
                                      <w:szCs w:val="20"/>
                                    </w:rPr>
                                  </w:pPr>
                                  <w:r w:rsidRPr="00B06B7F">
                                    <w:rPr>
                                      <w:rFonts w:cs="Times New Roman"/>
                                      <w:color w:val="000000" w:themeColor="text1"/>
                                      <w:sz w:val="20"/>
                                      <w:szCs w:val="20"/>
                                    </w:rPr>
                                    <w:t>Adopt a conceptual framework of the relationship between contributing variables</w:t>
                                  </w:r>
                                </w:p>
                                <w:p w14:paraId="155A5E15" w14:textId="77777777" w:rsidR="000332A0" w:rsidRPr="00B06B7F" w:rsidRDefault="000332A0" w:rsidP="00421E09">
                                  <w:pPr>
                                    <w:pStyle w:val="ListParagraph"/>
                                    <w:widowControl/>
                                    <w:numPr>
                                      <w:ilvl w:val="0"/>
                                      <w:numId w:val="6"/>
                                    </w:numPr>
                                    <w:autoSpaceDE/>
                                    <w:autoSpaceDN/>
                                    <w:adjustRightInd/>
                                    <w:ind w:left="58" w:hanging="144"/>
                                    <w:jc w:val="lowKashida"/>
                                    <w:rPr>
                                      <w:rFonts w:cs="Times New Roman"/>
                                      <w:color w:val="000000" w:themeColor="text1"/>
                                      <w:sz w:val="20"/>
                                      <w:szCs w:val="20"/>
                                    </w:rPr>
                                  </w:pPr>
                                  <w:r w:rsidRPr="00B06B7F">
                                    <w:rPr>
                                      <w:rFonts w:cs="Times New Roman"/>
                                      <w:color w:val="000000" w:themeColor="text1"/>
                                      <w:sz w:val="20"/>
                                      <w:szCs w:val="20"/>
                                    </w:rPr>
                                    <w:t xml:space="preserve">Development of a methodology including sampling method and list of statistical analyses to use. </w:t>
                                  </w:r>
                                </w:p>
                                <w:p w14:paraId="46D7FDD5" w14:textId="77777777" w:rsidR="000332A0" w:rsidRPr="00B06B7F" w:rsidRDefault="000332A0" w:rsidP="00421E09">
                                  <w:pPr>
                                    <w:pStyle w:val="ListParagraph"/>
                                    <w:widowControl/>
                                    <w:numPr>
                                      <w:ilvl w:val="0"/>
                                      <w:numId w:val="6"/>
                                    </w:numPr>
                                    <w:autoSpaceDE/>
                                    <w:autoSpaceDN/>
                                    <w:adjustRightInd/>
                                    <w:ind w:left="58" w:hanging="144"/>
                                    <w:jc w:val="lowKashida"/>
                                    <w:rPr>
                                      <w:rFonts w:cs="Times New Roman"/>
                                      <w:color w:val="000000" w:themeColor="text1"/>
                                      <w:sz w:val="20"/>
                                      <w:szCs w:val="20"/>
                                    </w:rPr>
                                  </w:pPr>
                                  <w:r w:rsidRPr="00B06B7F">
                                    <w:rPr>
                                      <w:rFonts w:cs="Times New Roman"/>
                                      <w:color w:val="000000" w:themeColor="text1"/>
                                      <w:sz w:val="20"/>
                                      <w:szCs w:val="20"/>
                                    </w:rPr>
                                    <w:t>Design the questionnaire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2781241" y="1008259"/>
                                <a:ext cx="1647825" cy="239594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31A2AD"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Conduct a survey using random sampling of UAE policing firms</w:t>
                                  </w:r>
                                </w:p>
                                <w:p w14:paraId="763ABFEE"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Statistical analysis via SPSS and SmartPLS to validate the model developed from the literature review</w:t>
                                  </w:r>
                                </w:p>
                                <w:p w14:paraId="46E1FBAE"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Present the results</w:t>
                                  </w:r>
                                </w:p>
                                <w:p w14:paraId="6681238A"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 xml:space="preserve">Further analysis of relationships among observed and latent variables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2781092" y="3843976"/>
                                <a:ext cx="1647825" cy="286272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33D6377"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Assess the validity of the factors contributing to knowledge management benefits</w:t>
                                  </w:r>
                                </w:p>
                                <w:p w14:paraId="651D8925"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Assess the validity of the proposed model</w:t>
                                  </w:r>
                                </w:p>
                                <w:p w14:paraId="39234422"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 xml:space="preserve">Detailed analysis of the relationship between all identified variables </w:t>
                                  </w:r>
                                </w:p>
                                <w:p w14:paraId="18F9A837"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 xml:space="preserve">Conduct a descriptive and in-depth analysis </w:t>
                                  </w:r>
                                </w:p>
                                <w:p w14:paraId="3CB713FB"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 xml:space="preserve">Explore the relationships among variables to test the study hypotheses </w:t>
                                  </w:r>
                                </w:p>
                                <w:p w14:paraId="56866165"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Identify the model’s implications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4762149" y="1008215"/>
                                <a:ext cx="1059728" cy="56860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C533807" w14:textId="0F345D40"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Conclusion and recommenda-tions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56933" y="161925"/>
                                <a:ext cx="790359" cy="561975"/>
                              </a:xfrm>
                              <a:prstGeom prst="rect">
                                <a:avLst/>
                              </a:prstGeom>
                              <a:solidFill>
                                <a:sysClr val="window" lastClr="FFFFFF"/>
                              </a:solidFill>
                              <a:ln w="12700" cap="flat" cmpd="sng" algn="ctr">
                                <a:noFill/>
                                <a:prstDash val="solid"/>
                                <a:miter lim="800000"/>
                              </a:ln>
                              <a:effectLst/>
                            </wps:spPr>
                            <wps:txbx>
                              <w:txbxContent>
                                <w:p w14:paraId="1F996AAB" w14:textId="77777777"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 xml:space="preserve">Method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28579" y="2190615"/>
                                <a:ext cx="761950" cy="532898"/>
                              </a:xfrm>
                              <a:prstGeom prst="rect">
                                <a:avLst/>
                              </a:prstGeom>
                              <a:solidFill>
                                <a:sysClr val="window" lastClr="FFFFFF"/>
                              </a:solidFill>
                              <a:ln w="12700" cap="flat" cmpd="sng" algn="ctr">
                                <a:noFill/>
                                <a:prstDash val="solid"/>
                                <a:miter lim="800000"/>
                              </a:ln>
                              <a:effectLst/>
                            </wps:spPr>
                            <wps:txbx>
                              <w:txbxContent>
                                <w:p w14:paraId="5B9DDAFE" w14:textId="77777777"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 xml:space="preserve">Program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66684" y="5238427"/>
                                <a:ext cx="857199" cy="579988"/>
                              </a:xfrm>
                              <a:prstGeom prst="rect">
                                <a:avLst/>
                              </a:prstGeom>
                              <a:solidFill>
                                <a:sysClr val="window" lastClr="FFFFFF"/>
                              </a:solidFill>
                              <a:ln w="12700" cap="flat" cmpd="sng" algn="ctr">
                                <a:noFill/>
                                <a:prstDash val="solid"/>
                                <a:miter lim="800000"/>
                              </a:ln>
                              <a:effectLst/>
                            </wps:spPr>
                            <wps:txbx>
                              <w:txbxContent>
                                <w:p w14:paraId="51E716F1" w14:textId="77777777"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 xml:space="preserve">Outcomes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 name="Right Arrow 18"/>
                          <wps:cNvSpPr/>
                          <wps:spPr>
                            <a:xfrm>
                              <a:off x="2524125" y="352425"/>
                              <a:ext cx="171450" cy="142875"/>
                            </a:xfrm>
                            <a:prstGeom prst="right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ight Arrow 19"/>
                          <wps:cNvSpPr/>
                          <wps:spPr>
                            <a:xfrm>
                              <a:off x="4514850" y="352425"/>
                              <a:ext cx="171450" cy="142875"/>
                            </a:xfrm>
                            <a:prstGeom prst="right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1495650" y="675116"/>
                              <a:ext cx="219075" cy="304800"/>
                            </a:xfrm>
                            <a:prstGeom prst="downArrow">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Down Arrow 23"/>
                          <wps:cNvSpPr/>
                          <wps:spPr>
                            <a:xfrm>
                              <a:off x="5191125" y="675113"/>
                              <a:ext cx="219075" cy="304800"/>
                            </a:xfrm>
                            <a:prstGeom prst="downArrow">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Down Arrow 24"/>
                          <wps:cNvSpPr/>
                          <wps:spPr>
                            <a:xfrm>
                              <a:off x="3429224" y="3485338"/>
                              <a:ext cx="219075" cy="304800"/>
                            </a:xfrm>
                            <a:prstGeom prst="downArrow">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Down Arrow 25"/>
                          <wps:cNvSpPr/>
                          <wps:spPr>
                            <a:xfrm>
                              <a:off x="1533525" y="3456996"/>
                              <a:ext cx="219075" cy="304800"/>
                            </a:xfrm>
                            <a:prstGeom prst="downArrow">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Down Arrow 26"/>
                          <wps:cNvSpPr/>
                          <wps:spPr>
                            <a:xfrm>
                              <a:off x="3486150" y="693641"/>
                              <a:ext cx="219075" cy="304800"/>
                            </a:xfrm>
                            <a:prstGeom prst="downArrow">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15B37E31" id="Group 1" o:spid="_x0000_s1026" style="width:434pt;height:526.3pt;mso-position-horizontal-relative:char;mso-position-vertical-relative:line" coordorigin="-666" coordsize="59338,67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70" o:spid="_x0000_s1027" type="#_x0000_t13" style="position:absolute;left:24955;top:45434;width:247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" fillcolor="#666 [1936]" strokecolor="black [3200]" strokeweight="1pt">
                  <v:fill color2="black [3200]" focus="50%" type="gradient"/>
                  <v:shadow on="t" color="#7f7f7f [1601]" offset="1pt"/>
                </v:shape>
                <v:shape id="AutoShape 273" o:spid="_x0000_s1028" type="#_x0000_t13" style="position:absolute;left:24669;top:21336;width:3048;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" fillcolor="#666 [1936]" strokecolor="black [3200]" strokeweight="1pt">
                  <v:fill color2="black [3200]" focus="50%" type="gradient"/>
                  <v:shadow on="t" color="#7f7f7f [1601]" offset="1pt"/>
                </v:shape>
                <v:shape id="AutoShape 274" o:spid="_x0000_s1029" type="#_x0000_t13" style="position:absolute;left:44291;top:36576;width:3048;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" fillcolor="#666 [1936]" strokecolor="black [3200]" strokeweight="1pt">
                  <v:fill color2="black [3200]" focus="50%" type="gradient"/>
                  <v:shadow on="t" color="#7f7f7f [1601]" offset="1pt"/>
                </v:shape>
                <v:group id="Group 4" o:spid="_x0000_s1030" style="position:absolute;left:-666;width:59337;height:67067" coordorigin="-666" coordsize="59338,67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5" o:spid="_x0000_s1031" style="position:absolute;left:-666;width:59337;height:67067" coordorigin="-666" coordsize="59338,67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2" style="position:absolute;left:8381;width:16478;height:6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" fillcolor="window" strokecolor="windowText" strokeweight="1pt">
                      <v:textbox>
                        <w:txbxContent>
                          <w:p w14:paraId="19B5D339" w14:textId="77777777"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Step 1</w:t>
                            </w:r>
                          </w:p>
                          <w:p w14:paraId="6F74E7A7" w14:textId="77777777"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 xml:space="preserve">Literature review </w:t>
                            </w:r>
                          </w:p>
                        </w:txbxContent>
                      </v:textbox>
                    </v:rect>
                    <v:rect id="Rectangle 8" o:spid="_x0000_s1033" style="position:absolute;left:47431;width:11240;height:6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" fillcolor="window" strokecolor="windowText" strokeweight="1pt">
                      <v:textbox>
                        <w:txbxContent>
                          <w:p w14:paraId="72E7E97A" w14:textId="77777777"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Step 3</w:t>
                            </w:r>
                          </w:p>
                        </w:txbxContent>
                      </v:textbox>
                    </v:rect>
                    <v:rect id="Rectangle 9" o:spid="_x0000_s1034" style="position:absolute;left:27239;top:95;width:16479;height:6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" fillcolor="window" strokecolor="windowText" strokeweight="1pt">
                      <v:textbox>
                        <w:txbxContent>
                          <w:p w14:paraId="45F4D83E" w14:textId="77777777"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Step 2</w:t>
                            </w:r>
                          </w:p>
                          <w:p w14:paraId="5D18A427" w14:textId="77777777"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 xml:space="preserve">Data collection &amp; analysis </w:t>
                            </w:r>
                          </w:p>
                        </w:txbxContent>
                      </v:textbox>
                    </v:rect>
                    <v:rect id="Rectangle 10" o:spid="_x0000_s1035" style="position:absolute;left:8191;top:9799;width:16478;height:23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" fillcolor="window" strokecolor="windowText" strokeweight="1pt">
                      <v:textbox>
                        <w:txbxContent>
                          <w:p w14:paraId="155E6003"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A review of definitions and development of knowledge management</w:t>
                            </w:r>
                          </w:p>
                          <w:p w14:paraId="6095FF85"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A review of factors affecting knowledge management and their impact on its benefits</w:t>
                            </w:r>
                          </w:p>
                          <w:p w14:paraId="75788680"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A review of dominant theories in knowledge management</w:t>
                            </w:r>
                          </w:p>
                          <w:p w14:paraId="2BCCE000"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 xml:space="preserve">Development of the theoretical framework of knowledge management benefits </w:t>
                            </w:r>
                          </w:p>
                        </w:txbxContent>
                      </v:textbox>
                    </v:rect>
                    <v:rect id="Rectangle 11" o:spid="_x0000_s1036" style="position:absolute;left:8191;top:38194;width:16478;height:287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" fillcolor="window" strokecolor="windowText" strokeweight="1pt">
                      <v:textbox>
                        <w:txbxContent>
                          <w:p w14:paraId="6DBA3172" w14:textId="77777777" w:rsidR="000332A0" w:rsidRPr="00B06B7F" w:rsidRDefault="000332A0" w:rsidP="00421E09">
                            <w:pPr>
                              <w:pStyle w:val="ListParagraph"/>
                              <w:widowControl/>
                              <w:numPr>
                                <w:ilvl w:val="0"/>
                                <w:numId w:val="6"/>
                              </w:numPr>
                              <w:autoSpaceDE/>
                              <w:autoSpaceDN/>
                              <w:adjustRightInd/>
                              <w:ind w:left="58" w:hanging="144"/>
                              <w:jc w:val="lowKashida"/>
                              <w:rPr>
                                <w:rFonts w:cs="Times New Roman"/>
                                <w:color w:val="000000" w:themeColor="text1"/>
                                <w:sz w:val="20"/>
                                <w:szCs w:val="20"/>
                              </w:rPr>
                            </w:pPr>
                            <w:r w:rsidRPr="00B06B7F">
                              <w:rPr>
                                <w:rFonts w:cs="Times New Roman"/>
                                <w:color w:val="000000" w:themeColor="text1"/>
                                <w:sz w:val="20"/>
                                <w:szCs w:val="20"/>
                              </w:rPr>
                              <w:t>Establish a problem statement, research objectives, research questions and research hypotheses</w:t>
                            </w:r>
                          </w:p>
                          <w:p w14:paraId="1B07CD44" w14:textId="77777777" w:rsidR="000332A0" w:rsidRPr="00B06B7F" w:rsidRDefault="000332A0" w:rsidP="00421E09">
                            <w:pPr>
                              <w:pStyle w:val="ListParagraph"/>
                              <w:widowControl/>
                              <w:numPr>
                                <w:ilvl w:val="0"/>
                                <w:numId w:val="6"/>
                              </w:numPr>
                              <w:autoSpaceDE/>
                              <w:autoSpaceDN/>
                              <w:adjustRightInd/>
                              <w:ind w:left="58" w:hanging="144"/>
                              <w:jc w:val="lowKashida"/>
                              <w:rPr>
                                <w:rFonts w:cs="Times New Roman"/>
                                <w:color w:val="000000" w:themeColor="text1"/>
                                <w:sz w:val="20"/>
                                <w:szCs w:val="20"/>
                              </w:rPr>
                            </w:pPr>
                            <w:r w:rsidRPr="00B06B7F">
                              <w:rPr>
                                <w:rFonts w:cs="Times New Roman"/>
                                <w:color w:val="000000" w:themeColor="text1"/>
                                <w:sz w:val="20"/>
                                <w:szCs w:val="20"/>
                              </w:rPr>
                              <w:t>Adopt a conceptual framework of the relationship between contributing variables</w:t>
                            </w:r>
                          </w:p>
                          <w:p w14:paraId="155A5E15" w14:textId="77777777" w:rsidR="000332A0" w:rsidRPr="00B06B7F" w:rsidRDefault="000332A0" w:rsidP="00421E09">
                            <w:pPr>
                              <w:pStyle w:val="ListParagraph"/>
                              <w:widowControl/>
                              <w:numPr>
                                <w:ilvl w:val="0"/>
                                <w:numId w:val="6"/>
                              </w:numPr>
                              <w:autoSpaceDE/>
                              <w:autoSpaceDN/>
                              <w:adjustRightInd/>
                              <w:ind w:left="58" w:hanging="144"/>
                              <w:jc w:val="lowKashida"/>
                              <w:rPr>
                                <w:rFonts w:cs="Times New Roman"/>
                                <w:color w:val="000000" w:themeColor="text1"/>
                                <w:sz w:val="20"/>
                                <w:szCs w:val="20"/>
                              </w:rPr>
                            </w:pPr>
                            <w:r w:rsidRPr="00B06B7F">
                              <w:rPr>
                                <w:rFonts w:cs="Times New Roman"/>
                                <w:color w:val="000000" w:themeColor="text1"/>
                                <w:sz w:val="20"/>
                                <w:szCs w:val="20"/>
                              </w:rPr>
                              <w:t xml:space="preserve">Development of a methodology including sampling method and list of statistical analyses to use. </w:t>
                            </w:r>
                          </w:p>
                          <w:p w14:paraId="46D7FDD5" w14:textId="77777777" w:rsidR="000332A0" w:rsidRPr="00B06B7F" w:rsidRDefault="000332A0" w:rsidP="00421E09">
                            <w:pPr>
                              <w:pStyle w:val="ListParagraph"/>
                              <w:widowControl/>
                              <w:numPr>
                                <w:ilvl w:val="0"/>
                                <w:numId w:val="6"/>
                              </w:numPr>
                              <w:autoSpaceDE/>
                              <w:autoSpaceDN/>
                              <w:adjustRightInd/>
                              <w:ind w:left="58" w:hanging="144"/>
                              <w:jc w:val="lowKashida"/>
                              <w:rPr>
                                <w:rFonts w:cs="Times New Roman"/>
                                <w:color w:val="000000" w:themeColor="text1"/>
                                <w:sz w:val="20"/>
                                <w:szCs w:val="20"/>
                              </w:rPr>
                            </w:pPr>
                            <w:r w:rsidRPr="00B06B7F">
                              <w:rPr>
                                <w:rFonts w:cs="Times New Roman"/>
                                <w:color w:val="000000" w:themeColor="text1"/>
                                <w:sz w:val="20"/>
                                <w:szCs w:val="20"/>
                              </w:rPr>
                              <w:t>Design the questionnaire</w:t>
                            </w:r>
                          </w:p>
                        </w:txbxContent>
                      </v:textbox>
                    </v:rect>
                    <v:rect id="Rectangle 12" o:spid="_x0000_s1037" style="position:absolute;left:27812;top:10082;width:16478;height:2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" fillcolor="window" strokecolor="windowText" strokeweight="1pt">
                      <v:textbox>
                        <w:txbxContent>
                          <w:p w14:paraId="6731A2AD"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Conduct a survey using random sampling of UAE policing firms</w:t>
                            </w:r>
                          </w:p>
                          <w:p w14:paraId="763ABFEE"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 xml:space="preserve">Statistical analysis via SPSS and </w:t>
                            </w:r>
                            <w:proofErr w:type="spellStart"/>
                            <w:r w:rsidRPr="00B06B7F">
                              <w:rPr>
                                <w:rFonts w:cs="Times New Roman"/>
                                <w:color w:val="000000" w:themeColor="text1"/>
                                <w:sz w:val="20"/>
                                <w:szCs w:val="20"/>
                              </w:rPr>
                              <w:t>SmartPLS</w:t>
                            </w:r>
                            <w:proofErr w:type="spellEnd"/>
                            <w:r w:rsidRPr="00B06B7F">
                              <w:rPr>
                                <w:rFonts w:cs="Times New Roman"/>
                                <w:color w:val="000000" w:themeColor="text1"/>
                                <w:sz w:val="20"/>
                                <w:szCs w:val="20"/>
                              </w:rPr>
                              <w:t xml:space="preserve"> to validate the model developed from the literature review</w:t>
                            </w:r>
                          </w:p>
                          <w:p w14:paraId="46E1FBAE"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Present the results</w:t>
                            </w:r>
                          </w:p>
                          <w:p w14:paraId="6681238A"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 xml:space="preserve">Further analysis of relationships among observed and latent variables </w:t>
                            </w:r>
                          </w:p>
                        </w:txbxContent>
                      </v:textbox>
                    </v:rect>
                    <v:rect id="Rectangle 13" o:spid="_x0000_s1038" style="position:absolute;left:27810;top:38439;width:16479;height:28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" fillcolor="window" strokecolor="windowText" strokeweight="1pt">
                      <v:textbox>
                        <w:txbxContent>
                          <w:p w14:paraId="033D6377"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Assess the validity of the factors contributing to knowledge management benefits</w:t>
                            </w:r>
                          </w:p>
                          <w:p w14:paraId="651D8925"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Assess the validity of the proposed model</w:t>
                            </w:r>
                          </w:p>
                          <w:p w14:paraId="39234422"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 xml:space="preserve">Detailed analysis of the relationship between all identified variables </w:t>
                            </w:r>
                          </w:p>
                          <w:p w14:paraId="18F9A837"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 xml:space="preserve">Conduct a descriptive and in-depth analysis </w:t>
                            </w:r>
                          </w:p>
                          <w:p w14:paraId="3CB713FB"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 xml:space="preserve">Explore the relationships among variables to test the study hypotheses </w:t>
                            </w:r>
                          </w:p>
                          <w:p w14:paraId="56866165" w14:textId="77777777" w:rsidR="000332A0" w:rsidRPr="00B06B7F" w:rsidRDefault="000332A0" w:rsidP="00421E09">
                            <w:pPr>
                              <w:pStyle w:val="ListParagraph"/>
                              <w:widowControl/>
                              <w:numPr>
                                <w:ilvl w:val="0"/>
                                <w:numId w:val="6"/>
                              </w:numPr>
                              <w:autoSpaceDE/>
                              <w:autoSpaceDN/>
                              <w:adjustRightInd/>
                              <w:ind w:left="90" w:hanging="180"/>
                              <w:jc w:val="lowKashida"/>
                              <w:rPr>
                                <w:rFonts w:cs="Times New Roman"/>
                                <w:color w:val="000000" w:themeColor="text1"/>
                                <w:sz w:val="20"/>
                                <w:szCs w:val="20"/>
                              </w:rPr>
                            </w:pPr>
                            <w:r w:rsidRPr="00B06B7F">
                              <w:rPr>
                                <w:rFonts w:cs="Times New Roman"/>
                                <w:color w:val="000000" w:themeColor="text1"/>
                                <w:sz w:val="20"/>
                                <w:szCs w:val="20"/>
                              </w:rPr>
                              <w:t>Identify the model’s implications</w:t>
                            </w:r>
                          </w:p>
                        </w:txbxContent>
                      </v:textbox>
                    </v:rect>
                    <v:rect id="Rectangle 14" o:spid="_x0000_s1039" style="position:absolute;left:47621;top:10082;width:10597;height:56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" fillcolor="window" strokecolor="windowText" strokeweight="1pt">
                      <v:textbox>
                        <w:txbxContent>
                          <w:p w14:paraId="7C533807" w14:textId="0F345D40"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 xml:space="preserve">Conclusion and </w:t>
                            </w:r>
                            <w:proofErr w:type="spellStart"/>
                            <w:r w:rsidRPr="00B06B7F">
                              <w:rPr>
                                <w:rFonts w:cs="Times New Roman"/>
                                <w:color w:val="000000" w:themeColor="text1"/>
                                <w:sz w:val="20"/>
                                <w:szCs w:val="20"/>
                              </w:rPr>
                              <w:t>recommenda-tions</w:t>
                            </w:r>
                            <w:proofErr w:type="spellEnd"/>
                          </w:p>
                        </w:txbxContent>
                      </v:textbox>
                    </v:rect>
                    <v:rect id="Rectangle 15" o:spid="_x0000_s1040" style="position:absolute;left:-569;top:1619;width:7903;height:5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" fillcolor="window" stroked="f" strokeweight="1pt">
                      <v:textbox>
                        <w:txbxContent>
                          <w:p w14:paraId="1F996AAB" w14:textId="77777777"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 xml:space="preserve">Method </w:t>
                            </w:r>
                          </w:p>
                        </w:txbxContent>
                      </v:textbox>
                    </v:rect>
                    <v:rect id="Rectangle 16" o:spid="_x0000_s1041" style="position:absolute;left:-285;top:21906;width:7618;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" fillcolor="window" stroked="f" strokeweight="1pt">
                      <v:textbox>
                        <w:txbxContent>
                          <w:p w14:paraId="5B9DDAFE" w14:textId="77777777"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 xml:space="preserve">Program </w:t>
                            </w:r>
                          </w:p>
                        </w:txbxContent>
                      </v:textbox>
                    </v:rect>
                    <v:rect id="Rectangle 17" o:spid="_x0000_s1042" style="position:absolute;left:-666;top:52384;width:8571;height:5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" fillcolor="window" stroked="f" strokeweight="1pt">
                      <v:textbox>
                        <w:txbxContent>
                          <w:p w14:paraId="51E716F1" w14:textId="77777777" w:rsidR="000332A0" w:rsidRPr="00B06B7F" w:rsidRDefault="000332A0" w:rsidP="00192AC8">
                            <w:pPr>
                              <w:jc w:val="center"/>
                              <w:rPr>
                                <w:rFonts w:cs="Times New Roman"/>
                                <w:color w:val="000000" w:themeColor="text1"/>
                                <w:sz w:val="20"/>
                                <w:szCs w:val="20"/>
                              </w:rPr>
                            </w:pPr>
                            <w:r w:rsidRPr="00B06B7F">
                              <w:rPr>
                                <w:rFonts w:cs="Times New Roman"/>
                                <w:color w:val="000000" w:themeColor="text1"/>
                                <w:sz w:val="20"/>
                                <w:szCs w:val="20"/>
                              </w:rPr>
                              <w:t xml:space="preserve">Outcomes </w:t>
                            </w:r>
                          </w:p>
                        </w:txbxContent>
                      </v:textbox>
                    </v:rect>
                  </v:group>
                  <v:shape id="Right Arrow 18" o:spid="_x0000_s1043" type="#_x0000_t13" style="position:absolute;left:25241;top:3524;width:1714;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" adj="12600" fillcolor="#9b9b9b" strokecolor="windowText" strokeweight=".5pt">
                    <v:fill color2="#797979" rotate="t" colors="0 #9b9b9b;.5 #8e8e8e;1 #797979" focus="100%" type="gradient">
                      <o:fill v:ext="view" type="gradientUnscaled"/>
                    </v:fill>
                  </v:shape>
                  <v:shape id="Right Arrow 19" o:spid="_x0000_s1044" type="#_x0000_t13" style="position:absolute;left:45148;top:3524;width:1715;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" adj="12600" fillcolor="#9b9b9b" strokecolor="windowText" strokeweight=".5pt">
                    <v:fill color2="#797979" rotate="t" colors="0 #9b9b9b;.5 #8e8e8e;1 #797979" focus="100%" type="gradient">
                      <o:fill v:ext="view" type="gradientUnscaled"/>
                    </v:fill>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2" o:spid="_x0000_s1045" type="#_x0000_t67" style="position:absolute;left:14956;top:6751;width:2191;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" adj="13838" filled="f" strokecolor="windowText">
                    <v:stroke joinstyle="round"/>
                  </v:shape>
                  <v:shape id="Down Arrow 23" o:spid="_x0000_s1046" type="#_x0000_t67" style="position:absolute;left:51911;top:6751;width:2191;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" adj="13838" filled="f" strokecolor="windowText">
                    <v:stroke joinstyle="round"/>
                  </v:shape>
                  <v:shape id="Down Arrow 24" o:spid="_x0000_s1047" type="#_x0000_t67" style="position:absolute;left:34292;top:34853;width:2190;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" adj="13838" filled="f" strokecolor="windowText">
                    <v:stroke joinstyle="round"/>
                  </v:shape>
                  <v:shape id="Down Arrow 25" o:spid="_x0000_s1048" type="#_x0000_t67" style="position:absolute;left:15335;top:34569;width:2191;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" adj="13838" filled="f" strokecolor="windowText">
                    <v:stroke joinstyle="round"/>
                  </v:shape>
                  <v:shape id="Down Arrow 26" o:spid="_x0000_s1049" type="#_x0000_t67" style="position:absolute;left:34861;top:6936;width:2191;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" adj="13838" filled="f" strokecolor="windowText">
                    <v:stroke joinstyle="round"/>
                  </v:shape>
                </v:group>
                <w10:anchorlock/>
              </v:group>
            </w:pict>
          </mc:Fallback>
        </mc:AlternateContent>
      </w:r>
    </w:p>
    <w:p w14:paraId="3B7EAC4B" w14:textId="11DE6180" w:rsidR="00192AC8" w:rsidRDefault="00A16095" w:rsidP="001D5F54">
      <w:pPr>
        <w:pStyle w:val="TableofFigures"/>
      </w:pPr>
      <w:bookmarkStart w:id="59" w:name="_Toc11533403"/>
      <w:bookmarkStart w:id="60" w:name="_Toc11533510"/>
      <w:bookmarkStart w:id="61" w:name="_Toc13959761"/>
      <w:bookmarkStart w:id="62" w:name="_Toc18771704"/>
      <w:bookmarkStart w:id="63" w:name="_Toc21074094"/>
      <w:r w:rsidRPr="001D5F54">
        <w:t xml:space="preserve">Figure </w:t>
      </w:r>
      <w:r w:rsidR="006D32F8">
        <w:rPr>
          <w:noProof/>
        </w:rPr>
        <w:fldChar w:fldCharType="begin"/>
      </w:r>
      <w:r w:rsidR="006D32F8">
        <w:rPr>
          <w:noProof/>
        </w:rPr>
        <w:instrText xml:space="preserve"> SEQ Figure \* ARABIC </w:instrText>
      </w:r>
      <w:r w:rsidR="006D32F8">
        <w:rPr>
          <w:noProof/>
        </w:rPr>
        <w:fldChar w:fldCharType="separate"/>
      </w:r>
      <w:r w:rsidR="00972C3F">
        <w:rPr>
          <w:noProof/>
        </w:rPr>
        <w:t>1</w:t>
      </w:r>
      <w:r w:rsidR="006D32F8">
        <w:rPr>
          <w:noProof/>
        </w:rPr>
        <w:fldChar w:fldCharType="end"/>
      </w:r>
      <w:r w:rsidRPr="001D5F54">
        <w:t>. The outline framework for the research.</w:t>
      </w:r>
      <w:bookmarkEnd w:id="59"/>
      <w:bookmarkEnd w:id="60"/>
      <w:bookmarkEnd w:id="61"/>
      <w:bookmarkEnd w:id="62"/>
      <w:bookmarkEnd w:id="63"/>
    </w:p>
    <w:p w14:paraId="3FAED45B" w14:textId="77777777" w:rsidR="00731AAB" w:rsidRPr="001D5F54" w:rsidRDefault="00731AAB" w:rsidP="001D5F54">
      <w:pPr>
        <w:rPr>
          <w:lang w:bidi="en-US"/>
        </w:rPr>
      </w:pPr>
    </w:p>
    <w:p w14:paraId="695B076F" w14:textId="09A01528" w:rsidR="008377FA" w:rsidRPr="002A7627" w:rsidRDefault="0070671C" w:rsidP="001D5F54">
      <w:pPr>
        <w:pStyle w:val="Heading1"/>
        <w:numPr>
          <w:ilvl w:val="1"/>
          <w:numId w:val="39"/>
        </w:numPr>
        <w:rPr>
          <w:color w:val="000000"/>
        </w:rPr>
      </w:pPr>
      <w:bookmarkStart w:id="64" w:name="_Toc441776856"/>
      <w:bookmarkStart w:id="65" w:name="_Toc461120636"/>
      <w:bookmarkStart w:id="66" w:name="_Toc496006728"/>
      <w:bookmarkStart w:id="67" w:name="_Toc11533511"/>
      <w:bookmarkStart w:id="68" w:name="_Toc13959617"/>
      <w:r>
        <w:rPr>
          <w:color w:val="000000"/>
        </w:rPr>
        <w:lastRenderedPageBreak/>
        <w:t xml:space="preserve"> </w:t>
      </w:r>
      <w:bookmarkStart w:id="69" w:name="_Toc22331644"/>
      <w:r w:rsidR="000B03ED" w:rsidRPr="002A7627">
        <w:rPr>
          <w:color w:val="000000"/>
        </w:rPr>
        <w:t xml:space="preserve">Outline of the </w:t>
      </w:r>
      <w:r w:rsidR="002C4A1A" w:rsidRPr="002A7627">
        <w:rPr>
          <w:color w:val="000000"/>
        </w:rPr>
        <w:t>Dissertation</w:t>
      </w:r>
      <w:bookmarkEnd w:id="64"/>
      <w:bookmarkEnd w:id="65"/>
      <w:bookmarkEnd w:id="66"/>
      <w:bookmarkEnd w:id="67"/>
      <w:bookmarkEnd w:id="68"/>
      <w:bookmarkEnd w:id="69"/>
    </w:p>
    <w:p w14:paraId="64391F37" w14:textId="58C558CD" w:rsidR="008377FA" w:rsidRPr="002A7627" w:rsidRDefault="008377FA" w:rsidP="002C4A1A">
      <w:pPr>
        <w:pStyle w:val="AAAAAAA"/>
      </w:pPr>
      <w:r w:rsidRPr="002A7627">
        <w:t xml:space="preserve">This dissertation </w:t>
      </w:r>
      <w:r w:rsidRPr="00152C88">
        <w:rPr>
          <w:color w:val="000000" w:themeColor="text1"/>
        </w:rPr>
        <w:t xml:space="preserve">contains </w:t>
      </w:r>
      <w:r w:rsidR="00706BAF" w:rsidRPr="00152C88">
        <w:rPr>
          <w:color w:val="000000" w:themeColor="text1"/>
        </w:rPr>
        <w:t>seven</w:t>
      </w:r>
      <w:r w:rsidRPr="00152C88">
        <w:rPr>
          <w:color w:val="000000" w:themeColor="text1"/>
        </w:rPr>
        <w:t xml:space="preserve"> </w:t>
      </w:r>
      <w:r w:rsidR="0093288A" w:rsidRPr="00152C88">
        <w:rPr>
          <w:color w:val="000000" w:themeColor="text1"/>
        </w:rPr>
        <w:t>chapters</w:t>
      </w:r>
      <w:r w:rsidR="0093288A" w:rsidRPr="002A7627">
        <w:t>;</w:t>
      </w:r>
      <w:r w:rsidRPr="002A7627">
        <w:t xml:space="preserve"> of which this is the first. The remaining chapters cover:</w:t>
      </w:r>
    </w:p>
    <w:p w14:paraId="1185F5C2" w14:textId="216446C7" w:rsidR="008377FA" w:rsidRPr="002A7627" w:rsidRDefault="0070671C" w:rsidP="00AD064D">
      <w:pPr>
        <w:pStyle w:val="AAAAAAA"/>
      </w:pPr>
      <w:bookmarkStart w:id="70" w:name="_Toc22331645"/>
      <w:r>
        <w:rPr>
          <w:rStyle w:val="Heading2Char"/>
          <w:color w:val="000000"/>
          <w:u w:val="none"/>
        </w:rPr>
        <w:t xml:space="preserve">1.5.1 </w:t>
      </w:r>
      <w:r w:rsidR="000B03ED" w:rsidRPr="002A7627">
        <w:rPr>
          <w:rStyle w:val="Heading2Char"/>
          <w:color w:val="000000"/>
          <w:u w:val="none"/>
        </w:rPr>
        <w:t>Chapter 2: Literature r</w:t>
      </w:r>
      <w:r w:rsidR="008377FA" w:rsidRPr="002A7627">
        <w:rPr>
          <w:rStyle w:val="Heading2Char"/>
          <w:color w:val="000000"/>
          <w:u w:val="none"/>
        </w:rPr>
        <w:t>eview</w:t>
      </w:r>
      <w:bookmarkEnd w:id="70"/>
      <w:r w:rsidR="002C4A1A" w:rsidRPr="002A7627">
        <w:rPr>
          <w:b/>
          <w:bCs/>
        </w:rPr>
        <w:t xml:space="preserve">. </w:t>
      </w:r>
      <w:r w:rsidR="008377FA" w:rsidRPr="002A7627">
        <w:t>Chapter 2 starts with a definition of knowledge and knowledge management. It moves on to an extensive literature review o</w:t>
      </w:r>
      <w:r w:rsidR="001F7DF1">
        <w:t>f</w:t>
      </w:r>
      <w:r w:rsidR="008377FA" w:rsidRPr="002A7627">
        <w:t xml:space="preserve"> the definition of factors affecting knowledge management. It reviews and comments on several studies examining factors maximizing knowledge management benefits</w:t>
      </w:r>
      <w:r w:rsidR="00AD064D">
        <w:t xml:space="preserve">. </w:t>
      </w:r>
      <w:r w:rsidR="008377FA" w:rsidRPr="002A7627">
        <w:t>This chapter</w:t>
      </w:r>
      <w:r w:rsidR="00054373" w:rsidRPr="002A7627">
        <w:t xml:space="preserve"> therefore </w:t>
      </w:r>
      <w:r w:rsidR="008377FA" w:rsidRPr="002A7627">
        <w:t>provides information about the benefits of knowledge management</w:t>
      </w:r>
      <w:r w:rsidR="00AD064D">
        <w:t>.</w:t>
      </w:r>
      <w:r w:rsidR="008377FA" w:rsidRPr="002A7627">
        <w:t xml:space="preserve"> </w:t>
      </w:r>
    </w:p>
    <w:p w14:paraId="02D8E8C3" w14:textId="15E29ECC" w:rsidR="00AD064D" w:rsidRDefault="0070671C" w:rsidP="00677985">
      <w:pPr>
        <w:pStyle w:val="AAAAAAA"/>
      </w:pPr>
      <w:bookmarkStart w:id="71" w:name="_Toc22331646"/>
      <w:r>
        <w:rPr>
          <w:rStyle w:val="Heading2Char"/>
          <w:color w:val="000000"/>
          <w:u w:val="none"/>
        </w:rPr>
        <w:t xml:space="preserve">1.5.2. </w:t>
      </w:r>
      <w:r w:rsidR="000B03ED" w:rsidRPr="002A7627">
        <w:rPr>
          <w:rStyle w:val="Heading2Char"/>
          <w:color w:val="000000"/>
          <w:u w:val="none"/>
        </w:rPr>
        <w:t xml:space="preserve">Chapter 3: </w:t>
      </w:r>
      <w:r w:rsidR="00AD064D">
        <w:rPr>
          <w:rStyle w:val="Heading2Char"/>
          <w:color w:val="000000"/>
          <w:u w:val="none"/>
        </w:rPr>
        <w:t xml:space="preserve">Theoretical </w:t>
      </w:r>
      <w:r w:rsidR="001F7DF1">
        <w:rPr>
          <w:rStyle w:val="Heading2Char"/>
          <w:color w:val="000000"/>
          <w:u w:val="none"/>
        </w:rPr>
        <w:t xml:space="preserve">framework </w:t>
      </w:r>
      <w:r w:rsidR="00AD064D">
        <w:rPr>
          <w:rStyle w:val="Heading2Char"/>
          <w:color w:val="000000"/>
          <w:u w:val="none"/>
        </w:rPr>
        <w:t>and hypothesis development</w:t>
      </w:r>
      <w:bookmarkEnd w:id="71"/>
      <w:r w:rsidR="002C4A1A" w:rsidRPr="002A7627">
        <w:rPr>
          <w:b/>
          <w:bCs/>
        </w:rPr>
        <w:t xml:space="preserve">. </w:t>
      </w:r>
      <w:r w:rsidR="00AD064D" w:rsidRPr="00152C88">
        <w:rPr>
          <w:bCs/>
        </w:rPr>
        <w:t>This chapter</w:t>
      </w:r>
      <w:r w:rsidR="00AD064D">
        <w:rPr>
          <w:b/>
          <w:bCs/>
        </w:rPr>
        <w:t xml:space="preserve"> </w:t>
      </w:r>
      <w:r w:rsidR="00AD064D" w:rsidRPr="002A7627">
        <w:t>explores prominent theories about knowledge management adoption.</w:t>
      </w:r>
      <w:r w:rsidR="00AD064D">
        <w:t xml:space="preserve"> </w:t>
      </w:r>
      <w:r w:rsidR="00AD064D" w:rsidRPr="002A7627">
        <w:t>and outlines previous studies and findings and the theoretical background of this study. At the end of each section on the research constructs, a hypothesis is proposed. The chapter ends by proposing a research framework and hypotheses, developed from previous literature and theories, which will enable the study to meet its objectives.</w:t>
      </w:r>
    </w:p>
    <w:p w14:paraId="2D5A0B9F" w14:textId="20591D2E" w:rsidR="00AD064D" w:rsidRPr="00152C88" w:rsidRDefault="00AD064D" w:rsidP="00AD064D">
      <w:pPr>
        <w:pStyle w:val="AAAAAAA"/>
        <w:rPr>
          <w:color w:val="000000" w:themeColor="text1"/>
        </w:rPr>
      </w:pPr>
      <w:bookmarkStart w:id="72" w:name="_Toc22331647"/>
      <w:r>
        <w:rPr>
          <w:rStyle w:val="Heading2Char"/>
          <w:color w:val="000000"/>
          <w:u w:val="none"/>
        </w:rPr>
        <w:t xml:space="preserve">1.5.3. </w:t>
      </w:r>
      <w:r w:rsidRPr="002A7627">
        <w:rPr>
          <w:rStyle w:val="Heading2Char"/>
          <w:color w:val="000000"/>
          <w:u w:val="none"/>
        </w:rPr>
        <w:t xml:space="preserve">Chapter </w:t>
      </w:r>
      <w:r>
        <w:rPr>
          <w:rStyle w:val="Heading2Char"/>
          <w:color w:val="000000"/>
          <w:u w:val="none"/>
        </w:rPr>
        <w:t>4</w:t>
      </w:r>
      <w:r w:rsidRPr="002A7627">
        <w:rPr>
          <w:rStyle w:val="Heading2Char"/>
          <w:color w:val="000000"/>
          <w:u w:val="none"/>
        </w:rPr>
        <w:t>: Research methodology</w:t>
      </w:r>
      <w:bookmarkEnd w:id="72"/>
      <w:r w:rsidRPr="002A7627">
        <w:rPr>
          <w:b/>
          <w:bCs/>
        </w:rPr>
        <w:t xml:space="preserve">. </w:t>
      </w:r>
      <w:r w:rsidRPr="002A7627">
        <w:t xml:space="preserve">This chapter sets out the operationalization of variables, justifies the research methodologies and selection of data sources, and discusses </w:t>
      </w:r>
      <w:r w:rsidRPr="00152C88">
        <w:rPr>
          <w:color w:val="000000" w:themeColor="text1"/>
        </w:rPr>
        <w:t>sampling procedures and data collection methods. It explains the questionnaire structure,</w:t>
      </w:r>
      <w:r w:rsidR="00706BAF" w:rsidRPr="00152C88">
        <w:rPr>
          <w:color w:val="000000" w:themeColor="text1"/>
        </w:rPr>
        <w:t xml:space="preserve"> the process</w:t>
      </w:r>
      <w:r w:rsidR="001F7DF1" w:rsidRPr="00152C88">
        <w:rPr>
          <w:color w:val="000000" w:themeColor="text1"/>
        </w:rPr>
        <w:t>es for</w:t>
      </w:r>
      <w:r w:rsidR="00706BAF" w:rsidRPr="00152C88">
        <w:rPr>
          <w:color w:val="000000" w:themeColor="text1"/>
        </w:rPr>
        <w:t xml:space="preserve"> collecting</w:t>
      </w:r>
      <w:r w:rsidR="00A94F96" w:rsidRPr="00152C88">
        <w:rPr>
          <w:color w:val="000000" w:themeColor="text1"/>
        </w:rPr>
        <w:t xml:space="preserve"> </w:t>
      </w:r>
      <w:r w:rsidRPr="00152C88">
        <w:rPr>
          <w:color w:val="000000" w:themeColor="text1"/>
        </w:rPr>
        <w:t xml:space="preserve">and </w:t>
      </w:r>
      <w:r w:rsidR="001F7DF1" w:rsidRPr="00152C88">
        <w:rPr>
          <w:color w:val="000000" w:themeColor="text1"/>
        </w:rPr>
        <w:t xml:space="preserve">validating </w:t>
      </w:r>
      <w:r w:rsidRPr="00152C88">
        <w:rPr>
          <w:color w:val="000000" w:themeColor="text1"/>
        </w:rPr>
        <w:t xml:space="preserve">data and </w:t>
      </w:r>
      <w:r w:rsidR="001F7DF1" w:rsidRPr="00152C88">
        <w:rPr>
          <w:color w:val="000000" w:themeColor="text1"/>
        </w:rPr>
        <w:t xml:space="preserve">the </w:t>
      </w:r>
      <w:r w:rsidRPr="00152C88">
        <w:rPr>
          <w:color w:val="000000" w:themeColor="text1"/>
        </w:rPr>
        <w:t xml:space="preserve">analysis </w:t>
      </w:r>
      <w:r w:rsidR="00706BAF" w:rsidRPr="00152C88">
        <w:rPr>
          <w:color w:val="000000" w:themeColor="text1"/>
        </w:rPr>
        <w:t>methods</w:t>
      </w:r>
      <w:r w:rsidRPr="00152C88">
        <w:rPr>
          <w:color w:val="000000" w:themeColor="text1"/>
        </w:rPr>
        <w:t xml:space="preserve">. </w:t>
      </w:r>
    </w:p>
    <w:p w14:paraId="14CD369E" w14:textId="77777777" w:rsidR="00AD064D" w:rsidRPr="002A7627" w:rsidRDefault="00AD064D" w:rsidP="002C4A1A">
      <w:pPr>
        <w:pStyle w:val="AAAAAAA"/>
      </w:pPr>
    </w:p>
    <w:p w14:paraId="57A66D55" w14:textId="6E62D0CB" w:rsidR="008377FA" w:rsidRPr="00152C88" w:rsidRDefault="0070671C" w:rsidP="00AD064D">
      <w:pPr>
        <w:pStyle w:val="AAAAAAA"/>
        <w:rPr>
          <w:color w:val="000000" w:themeColor="text1"/>
        </w:rPr>
      </w:pPr>
      <w:bookmarkStart w:id="73" w:name="_Toc22331648"/>
      <w:r>
        <w:rPr>
          <w:rStyle w:val="Heading2Char"/>
          <w:color w:val="000000"/>
          <w:u w:val="none"/>
        </w:rPr>
        <w:lastRenderedPageBreak/>
        <w:t>1.5.</w:t>
      </w:r>
      <w:r w:rsidR="00AD064D">
        <w:rPr>
          <w:rStyle w:val="Heading2Char"/>
          <w:color w:val="000000"/>
          <w:u w:val="none"/>
        </w:rPr>
        <w:t>4</w:t>
      </w:r>
      <w:r>
        <w:rPr>
          <w:rStyle w:val="Heading2Char"/>
          <w:color w:val="000000"/>
          <w:u w:val="none"/>
        </w:rPr>
        <w:t xml:space="preserve">. </w:t>
      </w:r>
      <w:r w:rsidR="008377FA" w:rsidRPr="002A7627">
        <w:rPr>
          <w:rStyle w:val="Heading2Char"/>
          <w:color w:val="000000"/>
          <w:u w:val="none"/>
        </w:rPr>
        <w:t xml:space="preserve">Chapter </w:t>
      </w:r>
      <w:r w:rsidR="00AD064D">
        <w:rPr>
          <w:rStyle w:val="Heading2Char"/>
          <w:color w:val="000000"/>
          <w:u w:val="none"/>
        </w:rPr>
        <w:t>5</w:t>
      </w:r>
      <w:r w:rsidR="008377FA" w:rsidRPr="002A7627">
        <w:rPr>
          <w:rStyle w:val="Heading2Char"/>
          <w:color w:val="000000"/>
          <w:u w:val="none"/>
        </w:rPr>
        <w:t xml:space="preserve">: </w:t>
      </w:r>
      <w:r w:rsidR="00B77DFC">
        <w:rPr>
          <w:rStyle w:val="Heading2Char"/>
          <w:color w:val="000000"/>
          <w:u w:val="none"/>
        </w:rPr>
        <w:t>Analysis and f</w:t>
      </w:r>
      <w:r w:rsidR="008377FA" w:rsidRPr="002A7627">
        <w:rPr>
          <w:rStyle w:val="Heading2Char"/>
          <w:color w:val="000000"/>
          <w:u w:val="none"/>
        </w:rPr>
        <w:t>indings</w:t>
      </w:r>
      <w:bookmarkEnd w:id="73"/>
      <w:r w:rsidR="002C4A1A" w:rsidRPr="002A7627">
        <w:rPr>
          <w:b/>
          <w:bCs/>
        </w:rPr>
        <w:t xml:space="preserve">. </w:t>
      </w:r>
      <w:r w:rsidR="008377FA" w:rsidRPr="002A7627">
        <w:t xml:space="preserve">This chapter contains the data analyses and findings. It uses tables and charts to illustrate the findings and links them to the study scope and objectives. Appropriate descriptive and inferential analyses are used to </w:t>
      </w:r>
      <w:r w:rsidR="001F7DF1" w:rsidRPr="00152C88">
        <w:rPr>
          <w:color w:val="000000" w:themeColor="text1"/>
        </w:rPr>
        <w:t xml:space="preserve">identify </w:t>
      </w:r>
      <w:r w:rsidR="008377FA" w:rsidRPr="002A7627">
        <w:t xml:space="preserve">the factors that influence firms’ adoption of knowledge management and its benefits. Descriptive statistics are used to explain the relationships between knowledge management capabilities, HR practices for knowledge sharing, </w:t>
      </w:r>
      <w:r w:rsidR="008377FA" w:rsidRPr="00152C88">
        <w:rPr>
          <w:color w:val="000000" w:themeColor="text1"/>
        </w:rPr>
        <w:t>organizational learning</w:t>
      </w:r>
      <w:r w:rsidR="00193A9C" w:rsidRPr="00152C88">
        <w:rPr>
          <w:color w:val="000000" w:themeColor="text1"/>
        </w:rPr>
        <w:t>,</w:t>
      </w:r>
      <w:r w:rsidR="008377FA" w:rsidRPr="00152C88">
        <w:rPr>
          <w:color w:val="000000" w:themeColor="text1"/>
        </w:rPr>
        <w:t xml:space="preserve"> and knowledge management benefits. The findings from partial least squares </w:t>
      </w:r>
      <w:r w:rsidR="001F7DF1" w:rsidRPr="00152C88">
        <w:rPr>
          <w:color w:val="000000" w:themeColor="text1"/>
        </w:rPr>
        <w:t xml:space="preserve">(PLS) </w:t>
      </w:r>
      <w:r w:rsidR="008377FA" w:rsidRPr="00152C88">
        <w:rPr>
          <w:color w:val="000000" w:themeColor="text1"/>
        </w:rPr>
        <w:t>structural equation modeling (SEM) show the relationships between the factors, drawing on the suggested theoretical framework. Finally, the chapter links the research findings to the hypotheses, addressing the study’s problem statement and research objectives.</w:t>
      </w:r>
    </w:p>
    <w:p w14:paraId="44D660C1" w14:textId="6044D4F5" w:rsidR="008377FA" w:rsidRPr="002A7627" w:rsidRDefault="0070671C" w:rsidP="00AD064D">
      <w:pPr>
        <w:pStyle w:val="AAAAAAA"/>
      </w:pPr>
      <w:bookmarkStart w:id="74" w:name="_Toc22331649"/>
      <w:r w:rsidRPr="00152C88">
        <w:rPr>
          <w:rStyle w:val="Heading2Char"/>
          <w:u w:val="none"/>
        </w:rPr>
        <w:t>1.5.</w:t>
      </w:r>
      <w:r w:rsidR="00AD064D" w:rsidRPr="00152C88">
        <w:rPr>
          <w:rStyle w:val="Heading2Char"/>
          <w:u w:val="none"/>
        </w:rPr>
        <w:t>5</w:t>
      </w:r>
      <w:r w:rsidRPr="00152C88">
        <w:rPr>
          <w:rStyle w:val="Heading2Char"/>
          <w:u w:val="none"/>
        </w:rPr>
        <w:t xml:space="preserve">. </w:t>
      </w:r>
      <w:r w:rsidR="008377FA" w:rsidRPr="00152C88">
        <w:rPr>
          <w:rStyle w:val="Heading2Char"/>
          <w:u w:val="none"/>
        </w:rPr>
        <w:t xml:space="preserve">Chapter </w:t>
      </w:r>
      <w:r w:rsidR="00AD064D" w:rsidRPr="00152C88">
        <w:rPr>
          <w:rStyle w:val="Heading2Char"/>
          <w:u w:val="none"/>
        </w:rPr>
        <w:t>6</w:t>
      </w:r>
      <w:r w:rsidR="008377FA" w:rsidRPr="00152C88">
        <w:rPr>
          <w:rStyle w:val="Heading2Char"/>
          <w:u w:val="none"/>
        </w:rPr>
        <w:t>: Discussion</w:t>
      </w:r>
      <w:bookmarkEnd w:id="74"/>
      <w:r w:rsidR="002C4A1A" w:rsidRPr="00152C88">
        <w:rPr>
          <w:b/>
          <w:bCs/>
          <w:color w:val="000000" w:themeColor="text1"/>
        </w:rPr>
        <w:t xml:space="preserve">. </w:t>
      </w:r>
      <w:r w:rsidR="008377FA" w:rsidRPr="00152C88">
        <w:rPr>
          <w:color w:val="000000" w:themeColor="text1"/>
        </w:rPr>
        <w:t>This chapter discusses</w:t>
      </w:r>
      <w:r w:rsidR="00E6291F" w:rsidRPr="00152C88">
        <w:rPr>
          <w:color w:val="000000" w:themeColor="text1"/>
        </w:rPr>
        <w:t xml:space="preserve"> the results</w:t>
      </w:r>
      <w:r w:rsidR="008377FA" w:rsidRPr="00152C88">
        <w:rPr>
          <w:color w:val="000000" w:themeColor="text1"/>
        </w:rPr>
        <w:t xml:space="preserve"> </w:t>
      </w:r>
      <w:r w:rsidR="00902DB0" w:rsidRPr="00152C88">
        <w:rPr>
          <w:color w:val="000000" w:themeColor="text1"/>
        </w:rPr>
        <w:t xml:space="preserve">and </w:t>
      </w:r>
      <w:r w:rsidR="001F7DF1" w:rsidRPr="00152C88">
        <w:rPr>
          <w:color w:val="000000" w:themeColor="text1"/>
        </w:rPr>
        <w:t xml:space="preserve">draws </w:t>
      </w:r>
      <w:r w:rsidR="00E6291F" w:rsidRPr="00152C88">
        <w:rPr>
          <w:color w:val="000000" w:themeColor="text1"/>
        </w:rPr>
        <w:t>conclusions</w:t>
      </w:r>
      <w:r w:rsidR="008377FA" w:rsidRPr="00152C88">
        <w:rPr>
          <w:color w:val="000000" w:themeColor="text1"/>
        </w:rPr>
        <w:t xml:space="preserve"> from the research findings. It assesses the hypotheses and objectives in light of the findings and explains knowledge management enablers, adoption patterns</w:t>
      </w:r>
      <w:r w:rsidR="00193A9C" w:rsidRPr="00152C88">
        <w:rPr>
          <w:color w:val="000000" w:themeColor="text1"/>
        </w:rPr>
        <w:t>,</w:t>
      </w:r>
      <w:r w:rsidR="008377FA" w:rsidRPr="00152C88">
        <w:rPr>
          <w:color w:val="000000" w:themeColor="text1"/>
        </w:rPr>
        <w:t xml:space="preserve"> and their impact on knowledge management </w:t>
      </w:r>
      <w:r w:rsidR="008377FA" w:rsidRPr="002A7627">
        <w:t xml:space="preserve">benefits or outcomes. </w:t>
      </w:r>
    </w:p>
    <w:p w14:paraId="1B494CF3" w14:textId="5A3B81E3" w:rsidR="00415C38" w:rsidRPr="00152C88" w:rsidRDefault="0070671C" w:rsidP="00AD064D">
      <w:pPr>
        <w:pStyle w:val="AAAAAAA"/>
        <w:rPr>
          <w:color w:val="000000" w:themeColor="text1"/>
        </w:rPr>
      </w:pPr>
      <w:bookmarkStart w:id="75" w:name="_Toc22331650"/>
      <w:r>
        <w:rPr>
          <w:rStyle w:val="Heading2Char"/>
          <w:color w:val="000000"/>
          <w:u w:val="none"/>
        </w:rPr>
        <w:t>1.5.</w:t>
      </w:r>
      <w:r w:rsidR="00AD064D">
        <w:rPr>
          <w:rStyle w:val="Heading2Char"/>
          <w:color w:val="000000"/>
          <w:u w:val="none"/>
        </w:rPr>
        <w:t>6</w:t>
      </w:r>
      <w:r>
        <w:rPr>
          <w:rStyle w:val="Heading2Char"/>
          <w:color w:val="000000"/>
          <w:u w:val="none"/>
        </w:rPr>
        <w:t xml:space="preserve">. </w:t>
      </w:r>
      <w:r w:rsidR="008377FA" w:rsidRPr="002A7627">
        <w:rPr>
          <w:rStyle w:val="Heading2Char"/>
          <w:color w:val="000000"/>
          <w:u w:val="none"/>
        </w:rPr>
        <w:t xml:space="preserve">Chapter </w:t>
      </w:r>
      <w:r w:rsidR="00AD064D">
        <w:rPr>
          <w:rStyle w:val="Heading2Char"/>
          <w:color w:val="000000"/>
          <w:u w:val="none"/>
        </w:rPr>
        <w:t>7</w:t>
      </w:r>
      <w:r w:rsidR="008377FA" w:rsidRPr="002A7627">
        <w:rPr>
          <w:rStyle w:val="Heading2Char"/>
          <w:color w:val="000000"/>
          <w:u w:val="none"/>
        </w:rPr>
        <w:t xml:space="preserve">: </w:t>
      </w:r>
      <w:r w:rsidR="000B03ED" w:rsidRPr="002A7627">
        <w:rPr>
          <w:rStyle w:val="Heading2Char"/>
          <w:color w:val="000000"/>
          <w:u w:val="none"/>
        </w:rPr>
        <w:t>Conclusion, limitations</w:t>
      </w:r>
      <w:r w:rsidR="00193A9C" w:rsidRPr="002A7627">
        <w:rPr>
          <w:rStyle w:val="Heading2Char"/>
          <w:color w:val="000000"/>
          <w:u w:val="none"/>
        </w:rPr>
        <w:t>,</w:t>
      </w:r>
      <w:r w:rsidR="000B03ED" w:rsidRPr="002A7627">
        <w:rPr>
          <w:rStyle w:val="Heading2Char"/>
          <w:color w:val="000000"/>
          <w:u w:val="none"/>
        </w:rPr>
        <w:t xml:space="preserve"> and scope for future r</w:t>
      </w:r>
      <w:r w:rsidR="008377FA" w:rsidRPr="002A7627">
        <w:rPr>
          <w:rStyle w:val="Heading2Char"/>
          <w:color w:val="000000"/>
          <w:u w:val="none"/>
        </w:rPr>
        <w:t>esearch</w:t>
      </w:r>
      <w:bookmarkEnd w:id="75"/>
      <w:r w:rsidR="002C4A1A" w:rsidRPr="002A7627">
        <w:rPr>
          <w:b/>
          <w:bCs/>
        </w:rPr>
        <w:t xml:space="preserve">. </w:t>
      </w:r>
      <w:r w:rsidR="008377FA" w:rsidRPr="00152C88">
        <w:rPr>
          <w:color w:val="000000" w:themeColor="text1"/>
        </w:rPr>
        <w:t>This chapter provides a study conclusion and critical insights for policing organizations, policymakers</w:t>
      </w:r>
      <w:r w:rsidR="00193A9C" w:rsidRPr="00152C88">
        <w:rPr>
          <w:color w:val="000000" w:themeColor="text1"/>
        </w:rPr>
        <w:t>,</w:t>
      </w:r>
      <w:r w:rsidR="008377FA" w:rsidRPr="00152C88">
        <w:rPr>
          <w:color w:val="000000" w:themeColor="text1"/>
        </w:rPr>
        <w:t xml:space="preserve"> and other relevant parties. It also describes the study limitations</w:t>
      </w:r>
      <w:r w:rsidR="001F7DF1" w:rsidRPr="00152C88">
        <w:rPr>
          <w:color w:val="000000" w:themeColor="text1"/>
        </w:rPr>
        <w:t>,</w:t>
      </w:r>
      <w:r w:rsidR="008377FA" w:rsidRPr="00152C88">
        <w:rPr>
          <w:color w:val="000000" w:themeColor="text1"/>
        </w:rPr>
        <w:t xml:space="preserve"> makes </w:t>
      </w:r>
      <w:r w:rsidR="00E6291F" w:rsidRPr="00152C88">
        <w:rPr>
          <w:color w:val="000000" w:themeColor="text1"/>
        </w:rPr>
        <w:t>recommendation</w:t>
      </w:r>
      <w:r w:rsidR="001F7DF1" w:rsidRPr="00152C88">
        <w:rPr>
          <w:color w:val="000000" w:themeColor="text1"/>
        </w:rPr>
        <w:t>s</w:t>
      </w:r>
      <w:r w:rsidR="00E6291F" w:rsidRPr="00152C88">
        <w:rPr>
          <w:color w:val="000000" w:themeColor="text1"/>
        </w:rPr>
        <w:t xml:space="preserve"> </w:t>
      </w:r>
      <w:r w:rsidR="008377FA" w:rsidRPr="00152C88">
        <w:rPr>
          <w:color w:val="000000" w:themeColor="text1"/>
        </w:rPr>
        <w:t xml:space="preserve">for </w:t>
      </w:r>
      <w:r w:rsidR="001F7DF1" w:rsidRPr="00152C88">
        <w:rPr>
          <w:color w:val="000000" w:themeColor="text1"/>
        </w:rPr>
        <w:t xml:space="preserve">future </w:t>
      </w:r>
      <w:r w:rsidR="008377FA" w:rsidRPr="00152C88">
        <w:rPr>
          <w:color w:val="000000" w:themeColor="text1"/>
        </w:rPr>
        <w:t>research and sets out the study’s theoretical and managerial contributions.</w:t>
      </w:r>
    </w:p>
    <w:p w14:paraId="744D4D06" w14:textId="77777777" w:rsidR="00BB350B" w:rsidRPr="002A7627" w:rsidRDefault="00BB350B" w:rsidP="00AD064D">
      <w:pPr>
        <w:pStyle w:val="AAAAAAA"/>
        <w:sectPr w:rsidR="00BB350B" w:rsidRPr="002A7627" w:rsidSect="00A817FD">
          <w:pgSz w:w="12240" w:h="15840"/>
          <w:pgMar w:top="1800" w:right="2160" w:bottom="1800" w:left="2160" w:header="720" w:footer="720" w:gutter="0"/>
          <w:pgNumType w:start="1"/>
          <w:cols w:space="720"/>
          <w:docGrid w:linePitch="381"/>
        </w:sectPr>
      </w:pPr>
    </w:p>
    <w:p w14:paraId="006224CA" w14:textId="2384C0C3" w:rsidR="00446EB2" w:rsidRPr="002A7627" w:rsidRDefault="00D45FE9" w:rsidP="00D45FE9">
      <w:pPr>
        <w:pStyle w:val="Title"/>
        <w:rPr>
          <w:color w:val="000000"/>
        </w:rPr>
      </w:pPr>
      <w:bookmarkStart w:id="76" w:name="_Toc13959618"/>
      <w:bookmarkStart w:id="77" w:name="_Toc22331651"/>
      <w:r>
        <w:rPr>
          <w:color w:val="000000"/>
        </w:rPr>
        <w:lastRenderedPageBreak/>
        <w:t>CHAPTER</w:t>
      </w:r>
      <w:r w:rsidR="001031A4">
        <w:rPr>
          <w:color w:val="000000"/>
        </w:rPr>
        <w:t xml:space="preserve"> </w:t>
      </w:r>
      <w:r>
        <w:rPr>
          <w:color w:val="000000"/>
        </w:rPr>
        <w:t>2: LITERATURE</w:t>
      </w:r>
      <w:bookmarkEnd w:id="76"/>
      <w:r>
        <w:rPr>
          <w:color w:val="000000"/>
        </w:rPr>
        <w:t xml:space="preserve"> REVIEW</w:t>
      </w:r>
      <w:bookmarkEnd w:id="77"/>
    </w:p>
    <w:p w14:paraId="2CCC764F" w14:textId="21BCB7F6" w:rsidR="00EE00BF" w:rsidRPr="002A7627" w:rsidRDefault="00D45FE9" w:rsidP="0017121F">
      <w:pPr>
        <w:pStyle w:val="Heading1"/>
        <w:rPr>
          <w:color w:val="000000"/>
        </w:rPr>
      </w:pPr>
      <w:bookmarkStart w:id="78" w:name="_Toc13959619"/>
      <w:bookmarkStart w:id="79" w:name="_Toc22331652"/>
      <w:r>
        <w:rPr>
          <w:color w:val="000000"/>
        </w:rPr>
        <w:t xml:space="preserve">2.1. </w:t>
      </w:r>
      <w:r w:rsidR="00EE00BF" w:rsidRPr="002A7627">
        <w:rPr>
          <w:color w:val="000000"/>
        </w:rPr>
        <w:t>Introduction</w:t>
      </w:r>
      <w:bookmarkEnd w:id="78"/>
      <w:bookmarkEnd w:id="79"/>
    </w:p>
    <w:p w14:paraId="3AE38A0B" w14:textId="53EE0A01" w:rsidR="00EE00BF" w:rsidRPr="002A7627" w:rsidRDefault="00EE00BF" w:rsidP="002C4A1A">
      <w:pPr>
        <w:pStyle w:val="AAAAAAA"/>
      </w:pPr>
      <w:r w:rsidRPr="002A7627">
        <w:t xml:space="preserve">This chapter describes the literature on the research problem. It discusses studies on knowledge management, knowledge management benefits, organizational learning, knowledge management capabilities, and HR practices that affect knowledge sharing. It also considers the relationships between these </w:t>
      </w:r>
      <w:r w:rsidR="00895516" w:rsidRPr="0016388F">
        <w:rPr>
          <w:color w:val="000000" w:themeColor="text1"/>
        </w:rPr>
        <w:t xml:space="preserve">constructs </w:t>
      </w:r>
      <w:r w:rsidRPr="0016388F">
        <w:rPr>
          <w:color w:val="000000" w:themeColor="text1"/>
        </w:rPr>
        <w:t xml:space="preserve">and provides a theoretical framework for </w:t>
      </w:r>
      <w:r w:rsidR="00895516" w:rsidRPr="0016388F">
        <w:rPr>
          <w:color w:val="000000" w:themeColor="text1"/>
        </w:rPr>
        <w:t xml:space="preserve">investigating </w:t>
      </w:r>
      <w:r w:rsidRPr="0016388F">
        <w:rPr>
          <w:color w:val="000000" w:themeColor="text1"/>
        </w:rPr>
        <w:t xml:space="preserve">the impact </w:t>
      </w:r>
      <w:r w:rsidRPr="002A7627">
        <w:t>of knowledge management capabilities, human resources practices affecting knowledge sharing, and knowledge management benefit</w:t>
      </w:r>
      <w:r w:rsidR="00141425">
        <w:t>s</w:t>
      </w:r>
      <w:r w:rsidRPr="002A7627">
        <w:t>, with potential mediation from organizational learning.</w:t>
      </w:r>
    </w:p>
    <w:p w14:paraId="46339D90" w14:textId="545A5DC0" w:rsidR="00EE00BF" w:rsidRPr="002A7627" w:rsidRDefault="00D45FE9" w:rsidP="0017121F">
      <w:pPr>
        <w:pStyle w:val="Heading1"/>
        <w:rPr>
          <w:color w:val="000000"/>
        </w:rPr>
      </w:pPr>
      <w:bookmarkStart w:id="80" w:name="_Toc13959620"/>
      <w:bookmarkStart w:id="81" w:name="_Toc22331653"/>
      <w:r>
        <w:rPr>
          <w:color w:val="000000"/>
        </w:rPr>
        <w:t xml:space="preserve">2.2. </w:t>
      </w:r>
      <w:r w:rsidR="00EE00BF" w:rsidRPr="002A7627">
        <w:rPr>
          <w:color w:val="000000"/>
        </w:rPr>
        <w:t xml:space="preserve">Knowledge and </w:t>
      </w:r>
      <w:r w:rsidR="002C4A1A" w:rsidRPr="002A7627">
        <w:rPr>
          <w:color w:val="000000"/>
        </w:rPr>
        <w:t>Knowledge Management</w:t>
      </w:r>
      <w:bookmarkEnd w:id="80"/>
      <w:bookmarkEnd w:id="81"/>
      <w:r w:rsidR="002C4A1A" w:rsidRPr="002A7627">
        <w:rPr>
          <w:color w:val="000000"/>
        </w:rPr>
        <w:t xml:space="preserve"> </w:t>
      </w:r>
    </w:p>
    <w:p w14:paraId="619F0392" w14:textId="77777777" w:rsidR="00A817FD" w:rsidRDefault="00EE00BF" w:rsidP="00141425">
      <w:pPr>
        <w:pStyle w:val="AAAAAAA"/>
        <w:rPr>
          <w:rFonts w:eastAsiaTheme="minorEastAsia"/>
          <w:color w:val="000000" w:themeColor="text1"/>
        </w:rPr>
        <w:sectPr w:rsidR="00A817FD" w:rsidSect="00031AF8">
          <w:headerReference w:type="default" r:id="rId18"/>
          <w:footerReference w:type="default" r:id="rId19"/>
          <w:pgSz w:w="12240" w:h="15840"/>
          <w:pgMar w:top="2880" w:right="2160" w:bottom="1800" w:left="2160" w:header="720" w:footer="720" w:gutter="0"/>
          <w:cols w:space="720"/>
          <w:titlePg/>
          <w:docGrid w:linePitch="360"/>
        </w:sectPr>
      </w:pPr>
      <w:r w:rsidRPr="00447628">
        <w:rPr>
          <w:color w:val="000000" w:themeColor="text1"/>
        </w:rPr>
        <w:t xml:space="preserve">The literature discusses knowledge from different viewpoints. For example, knowledge is </w:t>
      </w:r>
      <w:r w:rsidR="00AE05AD" w:rsidRPr="00447628">
        <w:rPr>
          <w:color w:val="000000" w:themeColor="text1"/>
        </w:rPr>
        <w:t>regarded</w:t>
      </w:r>
      <w:r w:rsidRPr="00447628">
        <w:rPr>
          <w:color w:val="000000" w:themeColor="text1"/>
        </w:rPr>
        <w:t xml:space="preserve"> by researchers as either </w:t>
      </w:r>
      <w:r w:rsidR="00F94584" w:rsidRPr="00447628">
        <w:rPr>
          <w:color w:val="000000" w:themeColor="text1"/>
        </w:rPr>
        <w:t xml:space="preserve">a process </w:t>
      </w:r>
      <w:r w:rsidR="00F94584" w:rsidRPr="00447628">
        <w:rPr>
          <w:color w:val="000000" w:themeColor="text1"/>
        </w:rPr>
        <w:fldChar w:fldCharType="begin" w:fldLock="1"/>
      </w:r>
      <w:r w:rsidR="00F94584" w:rsidRPr="00447628">
        <w:rPr>
          <w:color w:val="000000" w:themeColor="text1"/>
        </w:rPr>
        <w:instrText>ADDIN CSL_CITATION {"citationItems":[{"id":"ITEM-1","itemData":{"abstract":"Taking up the ideas of the ancient Greek concept of Academia, the ”NetAcademy” is aiming at providing a knowledge medium to aid in the creation, integration, reviewing and dissemination of domain-specific knowledge in the scientific community. In pursuit of these goals it is taking full advantage of the unique characteristics and potential of the Internet medium. The NetAcademy is an existing web information system (WIS) which was developed in order to support the building of virtual scientific communities for different research fields.","author":[{"dropping-particle":"","family":"Schubert","given":"Petra","non-dropping-particle":"","parse-names":false,"suffix":""},{"dropping-particle":"","family":"Lincke","given":"David-Michael","non-dropping-particle":"","parse-names":false,"suffix":""},{"dropping-particle":"","family":"Schmid","given":"Beat","non-dropping-particle":"","parse-names":false,"suffix":""}],"container-title":"Proceedings of the Fourth Americas Conference on Information Systems","editor":[{"dropping-particle":"","family":"Hoadley","given":"E.","non-dropping-particle":"","parse-names":false,"suffix":""},{"dropping-particle":"","family":"Benbasat","given":"I.","non-dropping-particle":"","parse-names":false,"suffix":""}],"id":"ITEM-1","issued":{"date-parts":[["1998"]]},"page":"618-60","publisher-place":"Baltimore","title":"A global knowledge medium as a virtual community: The NetAcademy concept","type":"paper-conference"},"uris":["http://www.mendeley.com/documents/?uuid=3cbe42cb-714d-480d-a1c3-19dc6019f0cc"]}],"mendeley":{"formattedCitation":"(Schubert, Lincke, &amp; Schmid, 1998)","manualFormatting":"(Schubert, Lincke, &amp; Schmid, 1998","plainTextFormattedCitation":"(Schubert, Lincke, &amp; Schmid, 1998)","previouslyFormattedCitation":"(Schubert, Lincke, &amp; Schmid, 1998)"},"properties":{"noteIndex":0},"schema":"https://github.com/citation-style-language/schema/raw/master/csl-citation.json"}</w:instrText>
      </w:r>
      <w:r w:rsidR="00F94584" w:rsidRPr="00447628">
        <w:rPr>
          <w:color w:val="000000" w:themeColor="text1"/>
        </w:rPr>
        <w:fldChar w:fldCharType="separate"/>
      </w:r>
      <w:r w:rsidR="00F94584" w:rsidRPr="00447628">
        <w:rPr>
          <w:noProof/>
          <w:color w:val="000000" w:themeColor="text1"/>
        </w:rPr>
        <w:t>(Schubert, Lincke, &amp; Schmid, 1998</w:t>
      </w:r>
      <w:r w:rsidR="00F94584" w:rsidRPr="00447628">
        <w:rPr>
          <w:color w:val="000000" w:themeColor="text1"/>
        </w:rPr>
        <w:fldChar w:fldCharType="end"/>
      </w:r>
      <w:r w:rsidR="00F94584" w:rsidRPr="00447628">
        <w:rPr>
          <w:color w:val="000000" w:themeColor="text1"/>
        </w:rPr>
        <w:t xml:space="preserve">) or </w:t>
      </w:r>
      <w:r w:rsidRPr="00447628">
        <w:rPr>
          <w:color w:val="000000" w:themeColor="text1"/>
        </w:rPr>
        <w:t xml:space="preserve">an object </w:t>
      </w:r>
      <w:r w:rsidRPr="00447628">
        <w:rPr>
          <w:color w:val="000000" w:themeColor="text1"/>
        </w:rPr>
        <w:fldChar w:fldCharType="begin" w:fldLock="1"/>
      </w:r>
      <w:r w:rsidR="004C27D4" w:rsidRPr="00447628">
        <w:rPr>
          <w:color w:val="000000" w:themeColor="text1"/>
        </w:rPr>
        <w:instrText>ADDIN CSL_CITATION {"citationItems":[{"id":"ITEM-1","itemData":{"DOI":"10.2307/41166000","ISSN":"0008-1256","abstract":"Today, knowledge is considered the most strategically important resource and learning the most strategically important capability for business organizations. However, many initiatives being undertaken to develop and exploit organizational knowledge are not explicitly linked to or framed by the organization's business strategy. In fact, most knowledge management initiatives are viewed primarily as information systems projects. While many managers intuitively believe that strategic advantage can come from knowing more than competitors, they are unable to explicitly articulate the link between knowledge and strategy. This article provides a framework for making that link and for assessing an organization's competitive position regarding its intellectual resources and capabilities. It recommends that organizations perform a knowledge-based SWOT (strengths, weaknesses, opportunities, and threats) analysis, comparing their knowledge to that of their competitors and to the knowledge required to execute their own strategy.","author":[{"dropping-particle":"","family":"Zack","given":"Michael H.","non-dropping-particle":"","parse-names":false,"suffix":""}],"container-title":"California Management Review","id":"ITEM-1","issue":"3","issued":{"date-parts":[["1999","4"]]},"page":"125-145","title":"Developing a knowledge strategy","type":"article-journal","volume":"41"},"uris":["http://www.mendeley.com/documents/?uuid=b24fe92b-1053-471c-8582-6c481a501218"]}],"mendeley":{"formattedCitation":"(Zack, 1999)","manualFormatting":"(Zack, 1999)","plainTextFormattedCitation":"(Zack, 1999)","previouslyFormattedCitation":"(Zack, 1999)"},"properties":{"noteIndex":0},"schema":"https://github.com/citation-style-language/schema/raw/master/csl-citation.json"}</w:instrText>
      </w:r>
      <w:r w:rsidRPr="00447628">
        <w:rPr>
          <w:color w:val="000000" w:themeColor="text1"/>
        </w:rPr>
        <w:fldChar w:fldCharType="separate"/>
      </w:r>
      <w:r w:rsidRPr="00447628">
        <w:rPr>
          <w:noProof/>
          <w:color w:val="000000" w:themeColor="text1"/>
        </w:rPr>
        <w:t>(Zack, 1999)</w:t>
      </w:r>
      <w:r w:rsidRPr="00447628">
        <w:rPr>
          <w:color w:val="000000" w:themeColor="text1"/>
        </w:rPr>
        <w:fldChar w:fldCharType="end"/>
      </w:r>
      <w:r w:rsidR="00A8646C" w:rsidRPr="00447628">
        <w:rPr>
          <w:color w:val="000000" w:themeColor="text1"/>
        </w:rPr>
        <w:t>.</w:t>
      </w:r>
      <w:r w:rsidRPr="00447628">
        <w:rPr>
          <w:color w:val="000000" w:themeColor="text1"/>
        </w:rPr>
        <w:t xml:space="preserve"> It can also be </w:t>
      </w:r>
      <w:r w:rsidR="00F94584" w:rsidRPr="00447628">
        <w:rPr>
          <w:color w:val="000000" w:themeColor="text1"/>
        </w:rPr>
        <w:t xml:space="preserve">defined </w:t>
      </w:r>
      <w:r w:rsidRPr="00447628">
        <w:rPr>
          <w:color w:val="000000" w:themeColor="text1"/>
        </w:rPr>
        <w:t>as</w:t>
      </w:r>
      <w:r w:rsidRPr="00447628">
        <w:rPr>
          <w:rFonts w:eastAsia="Times New Roman"/>
          <w:color w:val="000000" w:themeColor="text1"/>
        </w:rPr>
        <w:t xml:space="preserve"> a blend of </w:t>
      </w:r>
      <w:r w:rsidR="00895516" w:rsidRPr="00447628">
        <w:rPr>
          <w:rFonts w:eastAsia="Times New Roman"/>
          <w:color w:val="000000" w:themeColor="text1"/>
        </w:rPr>
        <w:t xml:space="preserve">values, </w:t>
      </w:r>
      <w:r w:rsidR="00F94584" w:rsidRPr="00447628">
        <w:rPr>
          <w:rFonts w:eastAsia="Times New Roman"/>
          <w:color w:val="000000" w:themeColor="text1"/>
        </w:rPr>
        <w:t xml:space="preserve">information, expert insights and </w:t>
      </w:r>
      <w:r w:rsidR="00895516" w:rsidRPr="00447628">
        <w:rPr>
          <w:rFonts w:eastAsia="Times New Roman"/>
          <w:color w:val="000000" w:themeColor="text1"/>
        </w:rPr>
        <w:t xml:space="preserve">experience </w:t>
      </w:r>
      <w:r w:rsidRPr="00447628">
        <w:rPr>
          <w:rFonts w:eastAsia="Times New Roman"/>
          <w:color w:val="000000" w:themeColor="text1"/>
        </w:rPr>
        <w:t>that provide</w:t>
      </w:r>
      <w:r w:rsidR="00785A96" w:rsidRPr="00447628">
        <w:rPr>
          <w:rFonts w:eastAsia="Times New Roman"/>
          <w:color w:val="000000" w:themeColor="text1"/>
        </w:rPr>
        <w:t>s</w:t>
      </w:r>
      <w:r w:rsidRPr="00447628">
        <w:rPr>
          <w:rFonts w:eastAsia="Times New Roman"/>
          <w:color w:val="000000" w:themeColor="text1"/>
        </w:rPr>
        <w:t xml:space="preserve"> a framework of information, ideas, suggestions</w:t>
      </w:r>
      <w:r w:rsidR="00193A9C" w:rsidRPr="00447628">
        <w:rPr>
          <w:rFonts w:eastAsia="Times New Roman"/>
          <w:color w:val="000000" w:themeColor="text1"/>
        </w:rPr>
        <w:t>,</w:t>
      </w:r>
      <w:r w:rsidRPr="00447628">
        <w:rPr>
          <w:rFonts w:eastAsia="Times New Roman"/>
          <w:color w:val="000000" w:themeColor="text1"/>
        </w:rPr>
        <w:t xml:space="preserve"> and expertise </w:t>
      </w:r>
      <w:r w:rsidRPr="00447628">
        <w:rPr>
          <w:rFonts w:eastAsia="Times New Roman"/>
          <w:color w:val="000000" w:themeColor="text1"/>
        </w:rPr>
        <w:fldChar w:fldCharType="begin" w:fldLock="1"/>
      </w:r>
      <w:r w:rsidR="00E24626" w:rsidRPr="00447628">
        <w:rPr>
          <w:rFonts w:eastAsia="Times New Roman"/>
          <w:color w:val="000000" w:themeColor="text1"/>
        </w:rPr>
        <w:instrText>ADDIN CSL_CITATION {"citationItems":[{"id":"ITEM-1","itemData":{"DOI":"10.1109/EMR.2003.1267012","ISBN":"0875846556","ISSN":"0923-4748","PMID":"20235625","abstract":"This influential book establishes the enduring vocabulary and concepts in the burgeoning field of knowledge management. It serves as the hands-on resource of choice for companies that recognize knowledge as the only sustainable source of competitive advantage going forward. Drawing from their work with more than 30 knowledge-rich firms, Davenport and Prusak--experienced consultants with a track record of success--examine how all types of companies can effectively understand, analyze, measure, and manage their intellectual assets, turning corporate wisdom into market value. They categorize knowledge work into four sequential activities--accessing, generating, embedding, and transferring--and look at the key skills, techniques, and processes of each. While they present a practical approach to cataloging and storing knowledge so that employees can easily leverage it throughout the firm, the authors caution readers on the limits of communications and information technology in managing intellectual capital.","author":[{"dropping-particle":"","family":"Davenport","given":"Thomas H","non-dropping-particle":"","parse-names":false,"suffix":""},{"dropping-particle":"","family":"Prusak","given":"Lawrence","non-dropping-particle":"","parse-names":false,"suffix":""}],"container-title":"Knowledge Creation Diffusion Utilization","id":"ITEM-1","issued":{"date-parts":[["1998"]]},"publisher":"Harvard Business School Press","publisher-place":"Cambridge, MA","title":"Working knowledge: How organizations manage what they know","type":"book"},"uris":["http://www.mendeley.com/documents/?uuid=6c6aef58-e12d-43ea-834b-ed3a8bea8467"]}],"mendeley":{"formattedCitation":"(Davenport &amp; Prusak, 1998)","plainTextFormattedCitation":"(Davenport &amp; Prusak, 1998)","previouslyFormattedCitation":"(Davenport &amp; Prusak, 1998)"},"properties":{"noteIndex":0},"schema":"https://github.com/citation-style-language/schema/raw/master/csl-citation.json"}</w:instrText>
      </w:r>
      <w:r w:rsidRPr="00447628">
        <w:rPr>
          <w:rFonts w:eastAsia="Times New Roman"/>
          <w:color w:val="000000" w:themeColor="text1"/>
        </w:rPr>
        <w:fldChar w:fldCharType="separate"/>
      </w:r>
      <w:r w:rsidRPr="00447628">
        <w:rPr>
          <w:rFonts w:eastAsia="Times New Roman"/>
          <w:noProof/>
          <w:color w:val="000000" w:themeColor="text1"/>
        </w:rPr>
        <w:t>(Davenport &amp; Prusak, 1998)</w:t>
      </w:r>
      <w:r w:rsidRPr="00447628">
        <w:rPr>
          <w:rFonts w:eastAsia="Times New Roman"/>
          <w:color w:val="000000" w:themeColor="text1"/>
        </w:rPr>
        <w:fldChar w:fldCharType="end"/>
      </w:r>
      <w:r w:rsidRPr="00447628">
        <w:rPr>
          <w:rFonts w:eastAsia="Times New Roman"/>
          <w:color w:val="000000" w:themeColor="text1"/>
        </w:rPr>
        <w:t xml:space="preserve">. </w:t>
      </w:r>
      <w:r w:rsidR="00A8646C" w:rsidRPr="00447628">
        <w:rPr>
          <w:color w:val="000000" w:themeColor="text1"/>
        </w:rPr>
        <w:t>O</w:t>
      </w:r>
      <w:r w:rsidR="00F94584" w:rsidRPr="00447628">
        <w:rPr>
          <w:color w:val="000000" w:themeColor="text1"/>
        </w:rPr>
        <w:t>verall</w:t>
      </w:r>
      <w:r w:rsidRPr="00447628">
        <w:rPr>
          <w:color w:val="000000" w:themeColor="text1"/>
        </w:rPr>
        <w:t xml:space="preserve">, knowledge can be </w:t>
      </w:r>
      <w:r w:rsidR="001A0B27" w:rsidRPr="00447628">
        <w:rPr>
          <w:color w:val="000000" w:themeColor="text1"/>
        </w:rPr>
        <w:t xml:space="preserve">interpreted </w:t>
      </w:r>
      <w:r w:rsidRPr="00447628">
        <w:rPr>
          <w:color w:val="000000" w:themeColor="text1"/>
        </w:rPr>
        <w:t xml:space="preserve">as a </w:t>
      </w:r>
      <w:r w:rsidR="009E2807" w:rsidRPr="00447628">
        <w:rPr>
          <w:color w:val="000000" w:themeColor="text1"/>
        </w:rPr>
        <w:t xml:space="preserve">level </w:t>
      </w:r>
      <w:r w:rsidRPr="00447628">
        <w:rPr>
          <w:color w:val="000000" w:themeColor="text1"/>
        </w:rPr>
        <w:t xml:space="preserve">of knowing that </w:t>
      </w:r>
      <w:r w:rsidR="007A0E9F" w:rsidRPr="00447628">
        <w:rPr>
          <w:color w:val="000000" w:themeColor="text1"/>
        </w:rPr>
        <w:t xml:space="preserve">creates feelings, intuition, </w:t>
      </w:r>
      <w:r w:rsidR="009E2807" w:rsidRPr="00447628">
        <w:rPr>
          <w:color w:val="000000" w:themeColor="text1"/>
        </w:rPr>
        <w:t xml:space="preserve">principles, </w:t>
      </w:r>
      <w:r w:rsidRPr="00447628">
        <w:rPr>
          <w:color w:val="000000" w:themeColor="text1"/>
        </w:rPr>
        <w:t xml:space="preserve">facts, </w:t>
      </w:r>
      <w:r w:rsidR="009E2807" w:rsidRPr="00447628">
        <w:rPr>
          <w:color w:val="000000" w:themeColor="text1"/>
        </w:rPr>
        <w:t>insights</w:t>
      </w:r>
      <w:r w:rsidRPr="00447628">
        <w:rPr>
          <w:color w:val="000000" w:themeColor="text1"/>
        </w:rPr>
        <w:t xml:space="preserve">, </w:t>
      </w:r>
      <w:r w:rsidR="009E2807" w:rsidRPr="00447628">
        <w:rPr>
          <w:color w:val="000000" w:themeColor="text1"/>
        </w:rPr>
        <w:t>concepts</w:t>
      </w:r>
      <w:r w:rsidRPr="00447628">
        <w:rPr>
          <w:color w:val="000000" w:themeColor="text1"/>
        </w:rPr>
        <w:t xml:space="preserve">, </w:t>
      </w:r>
      <w:r w:rsidR="00AF0BEA" w:rsidRPr="00447628">
        <w:rPr>
          <w:color w:val="000000" w:themeColor="text1"/>
        </w:rPr>
        <w:t>judgment</w:t>
      </w:r>
      <w:r w:rsidR="007A0E9F" w:rsidRPr="00447628">
        <w:rPr>
          <w:color w:val="000000" w:themeColor="text1"/>
        </w:rPr>
        <w:t xml:space="preserve"> and laws</w:t>
      </w:r>
      <w:r w:rsidRPr="00447628">
        <w:rPr>
          <w:color w:val="000000" w:themeColor="text1"/>
        </w:rPr>
        <w:t xml:space="preserve"> </w:t>
      </w:r>
      <w:r w:rsidRPr="00447628">
        <w:rPr>
          <w:noProof/>
          <w:color w:val="000000" w:themeColor="text1"/>
        </w:rPr>
        <w:t xml:space="preserve">(Koenig </w:t>
      </w:r>
      <w:r w:rsidR="0083144E" w:rsidRPr="00447628">
        <w:rPr>
          <w:noProof/>
          <w:color w:val="000000" w:themeColor="text1"/>
        </w:rPr>
        <w:t>&amp; Srikantaiah, 20</w:t>
      </w:r>
      <w:r w:rsidR="001633B1" w:rsidRPr="00447628">
        <w:rPr>
          <w:noProof/>
          <w:color w:val="000000" w:themeColor="text1"/>
        </w:rPr>
        <w:t>04</w:t>
      </w:r>
      <w:r w:rsidR="0083144E" w:rsidRPr="00447628">
        <w:rPr>
          <w:noProof/>
          <w:color w:val="000000" w:themeColor="text1"/>
        </w:rPr>
        <w:t>)</w:t>
      </w:r>
      <w:r w:rsidRPr="00447628">
        <w:rPr>
          <w:color w:val="000000" w:themeColor="text1"/>
        </w:rPr>
        <w:t xml:space="preserve">. </w:t>
      </w:r>
      <w:r w:rsidRPr="00447628">
        <w:rPr>
          <w:rFonts w:eastAsiaTheme="minorEastAsia"/>
          <w:color w:val="000000" w:themeColor="text1"/>
        </w:rPr>
        <w:t>Knowledge can also be defined as an indicator of organizational learning. Organizational learning is required when there is a need to</w:t>
      </w:r>
      <w:r w:rsidR="00141425" w:rsidRPr="00447628">
        <w:rPr>
          <w:rFonts w:eastAsiaTheme="minorEastAsia"/>
          <w:color w:val="000000" w:themeColor="text1"/>
        </w:rPr>
        <w:t xml:space="preserve"> improve</w:t>
      </w:r>
    </w:p>
    <w:p w14:paraId="3E70AB2A" w14:textId="2C58D5A0" w:rsidR="00141425" w:rsidRPr="002A7627" w:rsidRDefault="00EE00BF" w:rsidP="00A817FD">
      <w:pPr>
        <w:pStyle w:val="AAAAAAA"/>
        <w:rPr>
          <w:rFonts w:eastAsiaTheme="minorEastAsia"/>
        </w:rPr>
      </w:pPr>
      <w:r w:rsidRPr="00447628">
        <w:rPr>
          <w:rFonts w:eastAsiaTheme="minorEastAsia"/>
          <w:color w:val="000000" w:themeColor="text1"/>
        </w:rPr>
        <w:lastRenderedPageBreak/>
        <w:t xml:space="preserve"> knowledge within the organization</w:t>
      </w:r>
      <w:r w:rsidRPr="002A7627">
        <w:rPr>
          <w:rFonts w:eastAsiaTheme="minorEastAsia"/>
        </w:rPr>
        <w:t xml:space="preserve"> </w:t>
      </w:r>
      <w:r w:rsidR="00CD0B2F" w:rsidRPr="002A7627">
        <w:rPr>
          <w:rFonts w:eastAsiaTheme="minorEastAsia"/>
        </w:rPr>
        <w:fldChar w:fldCharType="begin" w:fldLock="1"/>
      </w:r>
      <w:r w:rsidR="00CD0B2F" w:rsidRPr="002A7627">
        <w:rPr>
          <w:rFonts w:eastAsiaTheme="minorEastAsia"/>
        </w:rPr>
        <w:instrText>ADDIN CSL_CITATION {"citationItems":[{"id":"ITEM-1","itemData":{"ISBN":"1635491614","author":[{"dropping-particle":"","family":"Marshall","given":"Shawn","non-dropping-particle":"","parse-names":false,"suffix":""}],"id":"ITEM-1","issued":{"date-parts":[["2017"]]},"publisher":"Larsen &amp; Keller Education","publisher-place":"London, UK","title":"Essential guide to knowledge management.","type":"book"},"uris":["http://www.mendeley.com/documents/?uuid=47abd153-ceb5-3e31-bb6c-b210d436714b"]}],"mendeley":{"formattedCitation":"(Marshall, 2017)","plainTextFormattedCitation":"(Marshall, 2017)","previouslyFormattedCitation":"(Marshall, 2017)"},"properties":{"noteIndex":0},"schema":"https://github.com/citation-style-language/schema/raw/master/csl-citation.json"}</w:instrText>
      </w:r>
      <w:r w:rsidR="00CD0B2F" w:rsidRPr="002A7627">
        <w:rPr>
          <w:rFonts w:eastAsiaTheme="minorEastAsia"/>
        </w:rPr>
        <w:fldChar w:fldCharType="separate"/>
      </w:r>
      <w:r w:rsidR="00CD0B2F" w:rsidRPr="002A7627">
        <w:rPr>
          <w:rFonts w:eastAsiaTheme="minorEastAsia"/>
          <w:noProof/>
        </w:rPr>
        <w:t>(Marshall, 2017)</w:t>
      </w:r>
      <w:r w:rsidR="00CD0B2F" w:rsidRPr="002A7627">
        <w:rPr>
          <w:rFonts w:eastAsiaTheme="minorEastAsia"/>
        </w:rPr>
        <w:fldChar w:fldCharType="end"/>
      </w:r>
      <w:r w:rsidRPr="002A7627">
        <w:rPr>
          <w:rFonts w:eastAsiaTheme="minorEastAsia"/>
        </w:rPr>
        <w:t xml:space="preserve">. </w:t>
      </w:r>
    </w:p>
    <w:p w14:paraId="3B02B939" w14:textId="75AD293E" w:rsidR="00EE00BF" w:rsidRPr="00447628" w:rsidRDefault="00EE00BF" w:rsidP="002C4A1A">
      <w:pPr>
        <w:pStyle w:val="AAAAAAA"/>
        <w:rPr>
          <w:rFonts w:eastAsiaTheme="minorEastAsia"/>
          <w:color w:val="000000" w:themeColor="text1"/>
        </w:rPr>
      </w:pPr>
      <w:r w:rsidRPr="00447628">
        <w:rPr>
          <w:color w:val="000000" w:themeColor="text1"/>
        </w:rPr>
        <w:t xml:space="preserve">Knowledge can be divided into three types </w:t>
      </w:r>
      <w:r w:rsidRPr="00447628">
        <w:rPr>
          <w:color w:val="000000" w:themeColor="text1"/>
        </w:rPr>
        <w:fldChar w:fldCharType="begin" w:fldLock="1"/>
      </w:r>
      <w:r w:rsidR="00E24626" w:rsidRPr="00447628">
        <w:rPr>
          <w:color w:val="000000" w:themeColor="text1"/>
        </w:rPr>
        <w:instrText>ADDIN CSL_CITATION {"citationItems":[{"id":"ITEM-1","itemData":{"abstract":"The purpose of this paper is to examine the relationship between knowledge management practices and innovation levels in organizations. Through a questionnaire, required data were gathered in sub-companies of three corporations in the city of Esfahan. Seventy-four questionnaires were given to top and middle managers of these companies and 36 were returned (49.65% response rate). Correlation analysis was used to check the relationship between the variables. The researchers found a strong, positive and significant relationship between knowledge management practices and innovation levels in these companies. The result is related to a small number of companies in Esfahan. It is not easy to generalize the result of the current study to other contexts. Knowledge management is one of the hottest issues among academicians, but it is still difficult to justify managers about its importance in organizations. This study tries to provide some empirical evidence in order to support the role of knowledge management in enhancing innovation. There is not sufficient empirical evidence to prove the role of knowledge management practices in the search of innovation.","author":[{"dropping-particle":"","family":"Allameh","given":"Sayyed","non-dropping-particle":"","parse-names":false,"suffix":""},{"dropping-particle":"","family":"Abbas","given":"Saba","non-dropping-particle":"","parse-names":false,"suffix":""}],"container-title":"Journal of Business Case Studies","id":"ITEM-1","issue":"1","issued":{"date-parts":[["2010"]]},"page":"91-98","title":"The relationship between knowledge management practices and innovation level in organizations: Case study of sub- companies of selected corporations in the city Of Esfahan","type":"article-journal","volume":"6"},"uris":["http://www.mendeley.com/documents/?uuid=89d8f0ce-b287-483e-ad3a-48820844bd3e"]}],"mendeley":{"formattedCitation":"(Allameh &amp; Abbas, 2010)","plainTextFormattedCitation":"(Allameh &amp; Abbas, 2010)","previouslyFormattedCitation":"(Allameh &amp; Abbas, 2010)"},"properties":{"noteIndex":0},"schema":"https://github.com/citation-style-language/schema/raw/master/csl-citation.json"}</w:instrText>
      </w:r>
      <w:r w:rsidRPr="00447628">
        <w:rPr>
          <w:color w:val="000000" w:themeColor="text1"/>
        </w:rPr>
        <w:fldChar w:fldCharType="separate"/>
      </w:r>
      <w:r w:rsidRPr="00447628">
        <w:rPr>
          <w:noProof/>
          <w:color w:val="000000" w:themeColor="text1"/>
        </w:rPr>
        <w:t>(Allameh &amp; Abbas, 2010)</w:t>
      </w:r>
      <w:r w:rsidRPr="00447628">
        <w:rPr>
          <w:color w:val="000000" w:themeColor="text1"/>
        </w:rPr>
        <w:fldChar w:fldCharType="end"/>
      </w:r>
      <w:r w:rsidRPr="00447628">
        <w:rPr>
          <w:color w:val="000000" w:themeColor="text1"/>
        </w:rPr>
        <w:t>. The first</w:t>
      </w:r>
      <w:r w:rsidR="00BB350B" w:rsidRPr="00447628">
        <w:rPr>
          <w:color w:val="000000" w:themeColor="text1"/>
        </w:rPr>
        <w:t>,</w:t>
      </w:r>
      <w:r w:rsidRPr="00447628">
        <w:rPr>
          <w:color w:val="000000" w:themeColor="text1"/>
        </w:rPr>
        <w:t xml:space="preserve"> core knowledge</w:t>
      </w:r>
      <w:r w:rsidR="00BB350B" w:rsidRPr="00447628">
        <w:rPr>
          <w:color w:val="000000" w:themeColor="text1"/>
        </w:rPr>
        <w:t>,</w:t>
      </w:r>
      <w:r w:rsidRPr="00447628">
        <w:rPr>
          <w:color w:val="000000" w:themeColor="text1"/>
        </w:rPr>
        <w:t xml:space="preserve"> is the minimum amount of knowledge required for a </w:t>
      </w:r>
      <w:r w:rsidR="007A0E9F" w:rsidRPr="00447628">
        <w:rPr>
          <w:color w:val="000000" w:themeColor="text1"/>
        </w:rPr>
        <w:t>specific</w:t>
      </w:r>
      <w:r w:rsidRPr="00447628">
        <w:rPr>
          <w:color w:val="000000" w:themeColor="text1"/>
        </w:rPr>
        <w:t xml:space="preserve"> process. Advanced knowledge is the level of knowledge that helps organizations to become competitive in the market</w:t>
      </w:r>
      <w:r w:rsidR="00193A9C" w:rsidRPr="00447628">
        <w:rPr>
          <w:color w:val="000000" w:themeColor="text1"/>
        </w:rPr>
        <w:t>,</w:t>
      </w:r>
      <w:r w:rsidRPr="00447628">
        <w:rPr>
          <w:color w:val="000000" w:themeColor="text1"/>
        </w:rPr>
        <w:t xml:space="preserve"> and finally</w:t>
      </w:r>
      <w:r w:rsidR="00193A9C" w:rsidRPr="00447628">
        <w:rPr>
          <w:color w:val="000000" w:themeColor="text1"/>
        </w:rPr>
        <w:t>,</w:t>
      </w:r>
      <w:r w:rsidRPr="00447628">
        <w:rPr>
          <w:color w:val="000000" w:themeColor="text1"/>
        </w:rPr>
        <w:t xml:space="preserve"> innovative</w:t>
      </w:r>
      <w:r w:rsidR="00A8646C" w:rsidRPr="00447628">
        <w:rPr>
          <w:color w:val="000000" w:themeColor="text1"/>
        </w:rPr>
        <w:t>.</w:t>
      </w:r>
      <w:r w:rsidRPr="00447628">
        <w:rPr>
          <w:color w:val="000000" w:themeColor="text1"/>
        </w:rPr>
        <w:t xml:space="preserve"> knowledge helps organizations to govern their own and other’s activities </w:t>
      </w:r>
      <w:r w:rsidRPr="00447628">
        <w:rPr>
          <w:color w:val="000000" w:themeColor="text1"/>
        </w:rPr>
        <w:fldChar w:fldCharType="begin" w:fldLock="1"/>
      </w:r>
      <w:r w:rsidR="00E24626" w:rsidRPr="00447628">
        <w:rPr>
          <w:color w:val="000000" w:themeColor="text1"/>
        </w:rPr>
        <w:instrText>ADDIN CSL_CITATION {"citationItems":[{"id":"ITEM-1","itemData":{"abstract":"The purpose of this paper is to examine the relationship between knowledge management practices and innovation levels in organizations. Through a questionnaire, required data were gathered in sub-companies of three corporations in the city of Esfahan. Seventy-four questionnaires were given to top and middle managers of these companies and 36 were returned (49.65% response rate). Correlation analysis was used to check the relationship between the variables. The researchers found a strong, positive and significant relationship between knowledge management practices and innovation levels in these companies. The result is related to a small number of companies in Esfahan. It is not easy to generalize the result of the current study to other contexts. Knowledge management is one of the hottest issues among academicians, but it is still difficult to justify managers about its importance in organizations. This study tries to provide some empirical evidence in order to support the role of knowledge management in enhancing innovation. There is not sufficient empirical evidence to prove the role of knowledge management practices in the search of innovation.","author":[{"dropping-particle":"","family":"Allameh","given":"Sayyed","non-dropping-particle":"","parse-names":false,"suffix":""},{"dropping-particle":"","family":"Abbas","given":"Saba","non-dropping-particle":"","parse-names":false,"suffix":""}],"container-title":"Journal of Business Case Studies","id":"ITEM-1","issue":"1","issued":{"date-parts":[["2010"]]},"page":"91-98","title":"The relationship between knowledge management practices and innovation level in organizations: Case study of sub- companies of selected corporations in the city Of Esfahan","type":"article-journal","volume":"6"},"uris":["http://www.mendeley.com/documents/?uuid=89d8f0ce-b287-483e-ad3a-48820844bd3e"]}],"mendeley":{"formattedCitation":"(Allameh &amp; Abbas, 2010)","plainTextFormattedCitation":"(Allameh &amp; Abbas, 2010)","previouslyFormattedCitation":"(Allameh &amp; Abbas, 2010)"},"properties":{"noteIndex":0},"schema":"https://github.com/citation-style-language/schema/raw/master/csl-citation.json"}</w:instrText>
      </w:r>
      <w:r w:rsidRPr="00447628">
        <w:rPr>
          <w:color w:val="000000" w:themeColor="text1"/>
        </w:rPr>
        <w:fldChar w:fldCharType="separate"/>
      </w:r>
      <w:r w:rsidRPr="00447628">
        <w:rPr>
          <w:noProof/>
          <w:color w:val="000000" w:themeColor="text1"/>
        </w:rPr>
        <w:t>(Allameh &amp; Abbas, 2010)</w:t>
      </w:r>
      <w:r w:rsidRPr="00447628">
        <w:rPr>
          <w:color w:val="000000" w:themeColor="text1"/>
        </w:rPr>
        <w:fldChar w:fldCharType="end"/>
      </w:r>
      <w:r w:rsidRPr="00447628">
        <w:rPr>
          <w:color w:val="000000" w:themeColor="text1"/>
        </w:rPr>
        <w:t xml:space="preserve">. From an economic perspective, </w:t>
      </w:r>
      <w:r w:rsidR="00135247" w:rsidRPr="00447628">
        <w:rPr>
          <w:color w:val="000000" w:themeColor="text1"/>
        </w:rPr>
        <w:t xml:space="preserve">Fairoz, Hirobumi, and Tanaka </w:t>
      </w:r>
      <w:r w:rsidRPr="00447628">
        <w:rPr>
          <w:color w:val="000000" w:themeColor="text1"/>
        </w:rPr>
        <w:fldChar w:fldCharType="begin" w:fldLock="1"/>
      </w:r>
      <w:r w:rsidR="00E24626" w:rsidRPr="00447628">
        <w:rPr>
          <w:color w:val="000000" w:themeColor="text1"/>
        </w:rPr>
        <w:instrText>ADDIN CSL_CITATION {"citationItems":[{"id":"ITEM-1","itemData":{"DOI":"10.5539/ass.v6n3p34","ISBN":"1911-2025","ISSN":"1911-2025","abstract":"Entrepreneurship has played an important role in economic growth, innovation, competitiveness and in poverty alleviation. This study investigated the degree of Entrepreneurial Orientation (EO) of twenty five manufacturing Small and Medium scale Enterprises (SMEs) in Hambantota District, Sri Lanka (HDSL) and the effects of EO dimensions including proactiveness, innovativeness, and risk taking to business performance. Interviews were used as the main instrument for data collection. Qualitative and quantitative techniques were applied for data analysis. Findings showed about 52% of SMEs in HDSL represented moderate level of EO. Proactiveness, innovativeness, risk taking and overall EO were significantly correlated with market share growth. Results further indicated there were positive correlations among proactiveness and EO with business performance. This study could be useful for policy makers to plan their activities towards entrepreneurship development of SMEs in HDSL","author":[{"dropping-particle":"","family":"Fairoz","given":"Fauzul Mafasiya","non-dropping-particle":"","parse-names":false,"suffix":""},{"dropping-particle":"","family":"Hirobumi","given":"Takenouchi","non-dropping-particle":"","parse-names":false,"suffix":""},{"dropping-particle":"","family":"Tanaka","given":"Yukiko","non-dropping-particle":"","parse-names":false,"suffix":""}],"container-title":"Asian Social Science","id":"ITEM-1","issue":"3","issued":{"date-parts":[["2010"]]},"page":"34-46","title":"Entrepreneurial orientation and business performance of small and medium scale enterprises of hambantota district Sri Lanka","type":"article-journal","volume":"6"},"suppress-author":1,"uris":["http://www.mendeley.com/documents/?uuid=96bd44bd-ef7c-470b-85e2-43ea9f2cea10"]}],"mendeley":{"formattedCitation":"(2010)","plainTextFormattedCitation":"(2010)","previouslyFormattedCitation":"(2010)"},"properties":{"noteIndex":0},"schema":"https://github.com/citation-style-language/schema/raw/master/csl-citation.json"}</w:instrText>
      </w:r>
      <w:r w:rsidRPr="00447628">
        <w:rPr>
          <w:color w:val="000000" w:themeColor="text1"/>
        </w:rPr>
        <w:fldChar w:fldCharType="separate"/>
      </w:r>
      <w:r w:rsidRPr="00447628">
        <w:rPr>
          <w:noProof/>
          <w:color w:val="000000" w:themeColor="text1"/>
        </w:rPr>
        <w:t>(2010)</w:t>
      </w:r>
      <w:r w:rsidRPr="00447628">
        <w:rPr>
          <w:color w:val="000000" w:themeColor="text1"/>
        </w:rPr>
        <w:fldChar w:fldCharType="end"/>
      </w:r>
      <w:r w:rsidRPr="00447628">
        <w:rPr>
          <w:color w:val="000000" w:themeColor="text1"/>
        </w:rPr>
        <w:t xml:space="preserve"> suggested that knowledge can be</w:t>
      </w:r>
      <w:r w:rsidR="007A0E9F" w:rsidRPr="00447628">
        <w:rPr>
          <w:color w:val="000000" w:themeColor="text1"/>
        </w:rPr>
        <w:t xml:space="preserve"> </w:t>
      </w:r>
      <w:r w:rsidR="00785A96" w:rsidRPr="00447628">
        <w:rPr>
          <w:color w:val="000000" w:themeColor="text1"/>
        </w:rPr>
        <w:t>divided into</w:t>
      </w:r>
      <w:r w:rsidRPr="00447628">
        <w:rPr>
          <w:color w:val="000000" w:themeColor="text1"/>
        </w:rPr>
        <w:t>:</w:t>
      </w:r>
      <w:r w:rsidRPr="00447628">
        <w:rPr>
          <w:color w:val="000000" w:themeColor="text1"/>
          <w:sz w:val="20"/>
        </w:rPr>
        <w:t xml:space="preserve"> </w:t>
      </w:r>
    </w:p>
    <w:p w14:paraId="72889473" w14:textId="0F142BAF" w:rsidR="00EE00BF" w:rsidRPr="00447628" w:rsidRDefault="00EE00BF" w:rsidP="00141425">
      <w:pPr>
        <w:pStyle w:val="ListParagraph"/>
        <w:widowControl/>
        <w:numPr>
          <w:ilvl w:val="0"/>
          <w:numId w:val="33"/>
        </w:numPr>
        <w:spacing w:line="480" w:lineRule="auto"/>
        <w:ind w:left="720"/>
        <w:jc w:val="lowKashida"/>
        <w:rPr>
          <w:rFonts w:asciiTheme="majorBidi" w:eastAsia="Times New Roman" w:hAnsiTheme="majorBidi" w:cstheme="majorBidi"/>
          <w:color w:val="000000" w:themeColor="text1"/>
          <w:szCs w:val="24"/>
        </w:rPr>
      </w:pPr>
      <w:r w:rsidRPr="00447628">
        <w:rPr>
          <w:rFonts w:asciiTheme="majorBidi" w:eastAsia="Times New Roman" w:hAnsiTheme="majorBidi" w:cstheme="majorBidi"/>
          <w:color w:val="000000" w:themeColor="text1"/>
          <w:szCs w:val="24"/>
        </w:rPr>
        <w:t xml:space="preserve">Procedural knowledge (‘know-how’), which </w:t>
      </w:r>
      <w:r w:rsidR="00AE7437" w:rsidRPr="00447628">
        <w:rPr>
          <w:rFonts w:asciiTheme="majorBidi" w:eastAsia="Times New Roman" w:hAnsiTheme="majorBidi" w:cstheme="majorBidi"/>
          <w:color w:val="000000" w:themeColor="text1"/>
          <w:szCs w:val="24"/>
        </w:rPr>
        <w:t xml:space="preserve">can be represented by the skills and capabilities of the employees. </w:t>
      </w:r>
    </w:p>
    <w:p w14:paraId="7CB3EA52" w14:textId="3DC6A8C6" w:rsidR="00EE00BF" w:rsidRPr="00447628" w:rsidRDefault="00EE00BF" w:rsidP="00141425">
      <w:pPr>
        <w:pStyle w:val="ListParagraph"/>
        <w:widowControl/>
        <w:numPr>
          <w:ilvl w:val="0"/>
          <w:numId w:val="33"/>
        </w:numPr>
        <w:spacing w:line="480" w:lineRule="auto"/>
        <w:ind w:left="720"/>
        <w:jc w:val="lowKashida"/>
        <w:rPr>
          <w:rFonts w:asciiTheme="majorBidi" w:eastAsia="Times New Roman" w:hAnsiTheme="majorBidi" w:cstheme="majorBidi"/>
          <w:color w:val="000000" w:themeColor="text1"/>
          <w:szCs w:val="24"/>
        </w:rPr>
      </w:pPr>
      <w:r w:rsidRPr="00447628">
        <w:rPr>
          <w:rFonts w:asciiTheme="majorBidi" w:eastAsia="Times New Roman" w:hAnsiTheme="majorBidi" w:cstheme="majorBidi"/>
          <w:color w:val="000000" w:themeColor="text1"/>
          <w:szCs w:val="24"/>
        </w:rPr>
        <w:t xml:space="preserve">Cognitive knowledge (‘know-what’), or specific knowledge about a problem. </w:t>
      </w:r>
    </w:p>
    <w:p w14:paraId="1D315762" w14:textId="69DABD03" w:rsidR="00EE00BF" w:rsidRPr="00447628" w:rsidRDefault="00EE00BF" w:rsidP="00AE7437">
      <w:pPr>
        <w:pStyle w:val="ListParagraph"/>
        <w:widowControl/>
        <w:numPr>
          <w:ilvl w:val="0"/>
          <w:numId w:val="33"/>
        </w:numPr>
        <w:spacing w:line="480" w:lineRule="auto"/>
        <w:ind w:left="720"/>
        <w:jc w:val="lowKashida"/>
        <w:rPr>
          <w:rFonts w:asciiTheme="majorBidi" w:eastAsia="Times New Roman" w:hAnsiTheme="majorBidi" w:cstheme="majorBidi"/>
          <w:color w:val="000000" w:themeColor="text1"/>
          <w:szCs w:val="24"/>
        </w:rPr>
      </w:pPr>
      <w:r w:rsidRPr="00447628">
        <w:rPr>
          <w:rFonts w:asciiTheme="majorBidi" w:eastAsia="Times New Roman" w:hAnsiTheme="majorBidi" w:cstheme="majorBidi"/>
          <w:color w:val="000000" w:themeColor="text1"/>
          <w:szCs w:val="24"/>
        </w:rPr>
        <w:t xml:space="preserve">Causative knowledge (‘know-why’), </w:t>
      </w:r>
      <w:r w:rsidR="00AE7437" w:rsidRPr="00447628">
        <w:rPr>
          <w:rFonts w:asciiTheme="majorBidi" w:eastAsia="Times New Roman" w:hAnsiTheme="majorBidi" w:cstheme="majorBidi"/>
          <w:color w:val="000000" w:themeColor="text1"/>
          <w:szCs w:val="24"/>
        </w:rPr>
        <w:t xml:space="preserve">which requires analytical thinking and scientific knowledge. </w:t>
      </w:r>
    </w:p>
    <w:p w14:paraId="2ED237B6" w14:textId="49A7CF68" w:rsidR="00EE00BF" w:rsidRPr="00447628" w:rsidRDefault="00EE00BF" w:rsidP="00141425">
      <w:pPr>
        <w:pStyle w:val="ListParagraph"/>
        <w:widowControl/>
        <w:numPr>
          <w:ilvl w:val="0"/>
          <w:numId w:val="33"/>
        </w:numPr>
        <w:spacing w:line="480" w:lineRule="auto"/>
        <w:ind w:left="720"/>
        <w:jc w:val="lowKashida"/>
        <w:rPr>
          <w:rFonts w:asciiTheme="majorBidi" w:eastAsia="Times New Roman" w:hAnsiTheme="majorBidi" w:cstheme="majorBidi"/>
          <w:color w:val="000000" w:themeColor="text1"/>
          <w:szCs w:val="24"/>
        </w:rPr>
      </w:pPr>
      <w:r w:rsidRPr="00447628">
        <w:rPr>
          <w:rFonts w:asciiTheme="majorBidi" w:eastAsia="Times New Roman" w:hAnsiTheme="majorBidi" w:cstheme="majorBidi"/>
          <w:color w:val="000000" w:themeColor="text1"/>
          <w:szCs w:val="24"/>
        </w:rPr>
        <w:t>Knowledge of who (‘know-who’), covering who holds particular information within and beyond the organization.</w:t>
      </w:r>
    </w:p>
    <w:p w14:paraId="39548DD7" w14:textId="70A1FDD3" w:rsidR="00F66155" w:rsidRDefault="00EE00BF" w:rsidP="008E14F2">
      <w:pPr>
        <w:pStyle w:val="AAAAAAA"/>
      </w:pPr>
      <w:r w:rsidRPr="00447628">
        <w:rPr>
          <w:color w:val="000000" w:themeColor="text1"/>
        </w:rPr>
        <w:t>When knowledge is built in the mind as facts, it is referred to as declarative knowledge or ‘know-what</w:t>
      </w:r>
      <w:r w:rsidR="00193A9C" w:rsidRPr="00447628">
        <w:rPr>
          <w:color w:val="000000" w:themeColor="text1"/>
        </w:rPr>
        <w:t>’</w:t>
      </w:r>
      <w:r w:rsidR="00BB350B" w:rsidRPr="00447628">
        <w:rPr>
          <w:color w:val="000000" w:themeColor="text1"/>
        </w:rPr>
        <w:t>.</w:t>
      </w:r>
      <w:r w:rsidRPr="00447628">
        <w:rPr>
          <w:color w:val="000000" w:themeColor="text1"/>
        </w:rPr>
        <w:t xml:space="preserve"> When it is accumulated in the body as skills, it is called procedural knowledge or ‘know-how</w:t>
      </w:r>
      <w:r w:rsidR="00193A9C" w:rsidRPr="00447628">
        <w:rPr>
          <w:color w:val="000000" w:themeColor="text1"/>
        </w:rPr>
        <w:t>’</w:t>
      </w:r>
      <w:r w:rsidR="00BB350B" w:rsidRPr="00447628">
        <w:rPr>
          <w:color w:val="000000" w:themeColor="text1"/>
        </w:rPr>
        <w:t>.</w:t>
      </w:r>
      <w:r w:rsidRPr="00447628">
        <w:rPr>
          <w:color w:val="000000" w:themeColor="text1"/>
        </w:rPr>
        <w:t xml:space="preserve"> Knowing is the behavior or knowledge that is part of practice </w:t>
      </w:r>
      <w:r w:rsidRPr="00447628">
        <w:rPr>
          <w:color w:val="000000" w:themeColor="text1"/>
        </w:rPr>
        <w:fldChar w:fldCharType="begin" w:fldLock="1"/>
      </w:r>
      <w:r w:rsidR="00E24626" w:rsidRPr="00447628">
        <w:rPr>
          <w:color w:val="000000" w:themeColor="text1"/>
        </w:rPr>
        <w:instrText>ADDIN CSL_CITATION {"citationItems":[{"id":"ITEM-1","itemData":{"DOI":"10.1287/orsc.10.4.381","ISSN":"1047-7039","abstract":"Much current work on organizational knowledge, intellectual capital, knowledge-creating organizations, knowledge work, and the like rests on a single, traditional understanding of the nature of knowledge. We call this understanding the “epistemology of possession,” since it treats knowledge as something people possess. Yet, this epistemology cannot account for the knowing found in individual and group practice. Knowing as action calls for an “epistemology of practice.” Moreover, the epistemology of possession tends to privilege explicit over tacit knowledge, and knowledge possessed by individuals over that possessed by groups. Current work on organizations is limited by this privileging and by the scant attention given to knowing in its own right. Organizations are better understood if explicit, tacit, individual and group knowledge are treated as four distinct and coequal forms of knowledge (each doing work the others cannot), and if knowledge and knowing are seen as mutually enabling (not competing). We hold that knowledge is a tool of knowing, that knowing is an aspect of our interaction with the social and physical world, and that the interplay of knowledge and knowing can generate new knowledge and new ways of knowing. We believe this generative dance between knowledge and knowing is a powerful source of organizational innovation. Harnessing this innovation calls for organizational and technological infrastructures that support the interplay of knowledge and knowing. Ultimately, these concepts make possible a more robust framing of such epistemologically-centered concerns as core competencies, the management of intellectual capital, etc. We explore these views through three brief case studies drawn from recent research.","author":[{"dropping-particle":"","family":"Brown","given":"John Seely","non-dropping-particle":"","parse-names":false,"suffix":""},{"dropping-particle":"","family":"Cook","given":"Scott D. N.","non-dropping-particle":"","parse-names":false,"suffix":""}],"container-title":"Organization Science","id":"ITEM-1","issue":"4","issued":{"date-parts":[["1999"]]},"page":"381-400","title":"Bridging epistemologies: The generative dance between organizational knowledge and organizational knowing","type":"article-journal","volume":"10"},"uris":["http://www.mendeley.com/documents/?uuid=ef798a27-ceb7-42d9-9a2f-79eece092289"]}],"mendeley":{"formattedCitation":"(Brown &amp; Cook, 1999)","plainTextFormattedCitation":"(Brown &amp; Cook, 1999)","previouslyFormattedCitation":"(Brown &amp; Cook, 1999)"},"properties":{"noteIndex":0},"schema":"https://github.com/citation-style-language/schema/raw/master/csl-citation.json"}</w:instrText>
      </w:r>
      <w:r w:rsidRPr="00447628">
        <w:rPr>
          <w:color w:val="000000" w:themeColor="text1"/>
        </w:rPr>
        <w:fldChar w:fldCharType="separate"/>
      </w:r>
      <w:r w:rsidRPr="00447628">
        <w:rPr>
          <w:noProof/>
          <w:color w:val="000000" w:themeColor="text1"/>
        </w:rPr>
        <w:t>(Brown &amp; Cook, 1999)</w:t>
      </w:r>
      <w:r w:rsidRPr="00447628">
        <w:rPr>
          <w:color w:val="000000" w:themeColor="text1"/>
        </w:rPr>
        <w:fldChar w:fldCharType="end"/>
      </w:r>
      <w:r w:rsidRPr="00447628">
        <w:rPr>
          <w:color w:val="000000" w:themeColor="text1"/>
        </w:rPr>
        <w:t xml:space="preserve">. </w:t>
      </w:r>
      <w:r w:rsidR="001C4338" w:rsidRPr="00447628">
        <w:rPr>
          <w:color w:val="000000" w:themeColor="text1"/>
        </w:rPr>
        <w:t>Figure</w:t>
      </w:r>
      <w:r w:rsidRPr="00447628">
        <w:rPr>
          <w:color w:val="000000" w:themeColor="text1"/>
        </w:rPr>
        <w:t xml:space="preserve"> </w:t>
      </w:r>
      <w:r w:rsidR="002C7E22" w:rsidRPr="00447628">
        <w:rPr>
          <w:color w:val="000000" w:themeColor="text1"/>
        </w:rPr>
        <w:t>2</w:t>
      </w:r>
      <w:r w:rsidRPr="00447628">
        <w:rPr>
          <w:color w:val="000000" w:themeColor="text1"/>
        </w:rPr>
        <w:t xml:space="preserve"> shows that learning </w:t>
      </w:r>
      <w:r w:rsidR="007A0E9F" w:rsidRPr="00447628">
        <w:rPr>
          <w:color w:val="000000" w:themeColor="text1"/>
        </w:rPr>
        <w:t>occurs</w:t>
      </w:r>
      <w:r w:rsidRPr="00447628">
        <w:rPr>
          <w:color w:val="000000" w:themeColor="text1"/>
        </w:rPr>
        <w:t xml:space="preserve"> only when there is a change in both knowledge and knowing </w:t>
      </w:r>
      <w:r w:rsidRPr="00447628">
        <w:rPr>
          <w:color w:val="000000" w:themeColor="text1"/>
        </w:rPr>
        <w:fldChar w:fldCharType="begin" w:fldLock="1"/>
      </w:r>
      <w:r w:rsidR="00E24626" w:rsidRPr="00447628">
        <w:rPr>
          <w:color w:val="000000" w:themeColor="text1"/>
        </w:rPr>
        <w:instrText>ADDIN CSL_CITATION {"citationItems":[{"id":"ITEM-1","itemData":{"abstract":"The literature on organizational learning (OL), knowledge management (KM), dynamic capabilities (DC), and absorptive capacity (AC) is characterized by the use of very diverse terminology, where concepts often overlap, but it is unclear how all the pieces fi t together.Recognizing that no single overarching framework has been proposed to clear up this conceptual confusion, this chapter proposes a framework that integrates OL, KM, DC,and AC, and establishes a theoretical link between these constructs and performance. Our integrative model acknowledges the distinct roots of each fi eld, identifi es conceptual boundaries, and establishes relationships between the constructs and fi rm performance. We propose this framework as an instrument to facilitate communication between researchers in order to avoid the risk of continuously ‘reinventing the wheel’ in the learning field.","author":[{"dropping-particle":"","family":"Vera","given":"Dusya","non-dropping-particle":"","parse-names":false,"suffix":""},{"dropping-particle":"","family":"Crossan","given":"Mary","non-dropping-particle":"","parse-names":false,"suffix":""},{"dropping-particle":"","family":"Apaydin","given":"Marina","non-dropping-particle":"","parse-names":false,"suffix":""}],"container-title":"Handbook of Organizational Learning and Knowledge Management","editor":[{"dropping-particle":"","family":"Easterby-Smith","given":"Mark","non-dropping-particle":"","parse-names":false,"suffix":""}],"id":"ITEM-1","issued":{"date-parts":[["2015"]]},"page":"153-180","publisher":"Blackwell","publisher-place":"Boston, MA","title":"A framework for integrating organizational learning, knowledge, capabilities, and absorptive capacity","type":"chapter"},"uris":["http://www.mendeley.com/documents/?uuid=7f2a489b-d19a-4486-8767-08a7bfa3a02d"]}],"mendeley":{"formattedCitation":"(Vera, Crossan, &amp; Apaydin, 2015)","plainTextFormattedCitation":"(Vera, Crossan, &amp; Apaydin, 2015)","previouslyFormattedCitation":"(Vera, Crossan, &amp; Apaydin, 2015)"},"properties":{"noteIndex":0},"schema":"https://github.com/citation-style-language/schema/raw/master/csl-citation.json"}</w:instrText>
      </w:r>
      <w:r w:rsidRPr="00447628">
        <w:rPr>
          <w:color w:val="000000" w:themeColor="text1"/>
        </w:rPr>
        <w:fldChar w:fldCharType="separate"/>
      </w:r>
      <w:r w:rsidR="00AA406D" w:rsidRPr="00447628">
        <w:rPr>
          <w:noProof/>
          <w:color w:val="000000" w:themeColor="text1"/>
        </w:rPr>
        <w:t>(Vera, Crossan, &amp; Apaydin, 2015)</w:t>
      </w:r>
      <w:r w:rsidRPr="00447628">
        <w:rPr>
          <w:color w:val="000000" w:themeColor="text1"/>
        </w:rPr>
        <w:fldChar w:fldCharType="end"/>
      </w:r>
      <w:r w:rsidRPr="00447628">
        <w:rPr>
          <w:color w:val="000000" w:themeColor="text1"/>
        </w:rPr>
        <w:t xml:space="preserve">. </w:t>
      </w:r>
    </w:p>
    <w:p w14:paraId="00135132" w14:textId="77777777" w:rsidR="00141425" w:rsidRPr="00141425" w:rsidRDefault="00141425" w:rsidP="00141425"/>
    <w:tbl>
      <w:tblPr>
        <w:tblStyle w:val="TableGrid1"/>
        <w:tblpPr w:leftFromText="180" w:rightFromText="180" w:vertAnchor="text" w:tblpY="1"/>
        <w:tblOverlap w:val="never"/>
        <w:tblW w:w="0" w:type="auto"/>
        <w:tblLook w:val="04A0" w:firstRow="1" w:lastRow="0" w:firstColumn="1" w:lastColumn="0" w:noHBand="0" w:noVBand="1"/>
      </w:tblPr>
      <w:tblGrid>
        <w:gridCol w:w="969"/>
        <w:gridCol w:w="1232"/>
        <w:gridCol w:w="2847"/>
        <w:gridCol w:w="2867"/>
      </w:tblGrid>
      <w:tr w:rsidR="00EE00BF" w:rsidRPr="002A7627" w14:paraId="2FB292E6" w14:textId="77777777" w:rsidTr="00F66155">
        <w:tc>
          <w:tcPr>
            <w:tcW w:w="969" w:type="dxa"/>
            <w:tcBorders>
              <w:top w:val="nil"/>
              <w:left w:val="nil"/>
              <w:bottom w:val="nil"/>
              <w:right w:val="nil"/>
            </w:tcBorders>
          </w:tcPr>
          <w:p w14:paraId="4C042DE1" w14:textId="77777777" w:rsidR="00EE00BF" w:rsidRPr="002A7627" w:rsidRDefault="00EE00BF" w:rsidP="00EE00BF">
            <w:pPr>
              <w:widowControl/>
              <w:spacing w:line="480" w:lineRule="auto"/>
              <w:jc w:val="lowKashida"/>
              <w:rPr>
                <w:rFonts w:asciiTheme="majorBidi" w:hAnsiTheme="majorBidi" w:cstheme="majorBidi"/>
                <w:color w:val="000000" w:themeColor="text1"/>
                <w:szCs w:val="24"/>
              </w:rPr>
            </w:pPr>
          </w:p>
        </w:tc>
        <w:tc>
          <w:tcPr>
            <w:tcW w:w="1232" w:type="dxa"/>
            <w:tcBorders>
              <w:top w:val="nil"/>
              <w:left w:val="nil"/>
              <w:bottom w:val="nil"/>
              <w:right w:val="single" w:sz="4" w:space="0" w:color="auto"/>
            </w:tcBorders>
          </w:tcPr>
          <w:p w14:paraId="5760DE5D" w14:textId="77777777" w:rsidR="00EE00BF" w:rsidRPr="002A7627" w:rsidRDefault="00EE00BF" w:rsidP="00EE00BF">
            <w:pPr>
              <w:widowControl/>
              <w:spacing w:line="480" w:lineRule="auto"/>
              <w:jc w:val="lowKashida"/>
              <w:rPr>
                <w:rFonts w:asciiTheme="majorBidi" w:hAnsiTheme="majorBidi" w:cstheme="majorBidi"/>
                <w:color w:val="000000" w:themeColor="text1"/>
                <w:szCs w:val="24"/>
              </w:rPr>
            </w:pPr>
          </w:p>
        </w:tc>
        <w:tc>
          <w:tcPr>
            <w:tcW w:w="5714" w:type="dxa"/>
            <w:gridSpan w:val="2"/>
            <w:tcBorders>
              <w:top w:val="single" w:sz="4" w:space="0" w:color="auto"/>
              <w:left w:val="single" w:sz="4" w:space="0" w:color="auto"/>
              <w:bottom w:val="single" w:sz="4" w:space="0" w:color="auto"/>
              <w:right w:val="single" w:sz="4" w:space="0" w:color="auto"/>
            </w:tcBorders>
          </w:tcPr>
          <w:p w14:paraId="3A3F7685" w14:textId="77777777" w:rsidR="00EE00BF" w:rsidRPr="002A7627" w:rsidRDefault="00EE00BF" w:rsidP="00EE00BF">
            <w:pPr>
              <w:widowControl/>
              <w:jc w:val="center"/>
              <w:rPr>
                <w:rFonts w:asciiTheme="majorBidi" w:hAnsiTheme="majorBidi" w:cstheme="majorBidi"/>
                <w:color w:val="000000" w:themeColor="text1"/>
                <w:szCs w:val="24"/>
              </w:rPr>
            </w:pPr>
            <w:r w:rsidRPr="002A7627">
              <w:rPr>
                <w:rFonts w:asciiTheme="majorBidi" w:hAnsiTheme="majorBidi" w:cstheme="majorBidi"/>
                <w:szCs w:val="24"/>
              </w:rPr>
              <w:t>Knowledge</w:t>
            </w:r>
          </w:p>
        </w:tc>
      </w:tr>
      <w:tr w:rsidR="00EE00BF" w:rsidRPr="002A7627" w14:paraId="204BFD15" w14:textId="77777777" w:rsidTr="00F66155">
        <w:tc>
          <w:tcPr>
            <w:tcW w:w="969" w:type="dxa"/>
            <w:tcBorders>
              <w:top w:val="nil"/>
              <w:left w:val="nil"/>
              <w:bottom w:val="nil"/>
              <w:right w:val="nil"/>
            </w:tcBorders>
          </w:tcPr>
          <w:p w14:paraId="70BA5F70" w14:textId="77777777" w:rsidR="00EE00BF" w:rsidRPr="002A7627" w:rsidRDefault="00EE00BF" w:rsidP="00EE00BF">
            <w:pPr>
              <w:widowControl/>
              <w:spacing w:line="480" w:lineRule="auto"/>
              <w:jc w:val="lowKashida"/>
              <w:rPr>
                <w:rFonts w:asciiTheme="majorBidi" w:hAnsiTheme="majorBidi" w:cstheme="majorBidi"/>
                <w:color w:val="000000" w:themeColor="text1"/>
                <w:szCs w:val="24"/>
              </w:rPr>
            </w:pPr>
          </w:p>
        </w:tc>
        <w:tc>
          <w:tcPr>
            <w:tcW w:w="1232" w:type="dxa"/>
            <w:tcBorders>
              <w:top w:val="nil"/>
              <w:left w:val="nil"/>
              <w:bottom w:val="single" w:sz="4" w:space="0" w:color="auto"/>
              <w:right w:val="single" w:sz="4" w:space="0" w:color="auto"/>
            </w:tcBorders>
          </w:tcPr>
          <w:p w14:paraId="38EC3C61" w14:textId="77777777" w:rsidR="00EE00BF" w:rsidRPr="002A7627" w:rsidRDefault="00EE00BF" w:rsidP="00EE00BF">
            <w:pPr>
              <w:widowControl/>
              <w:spacing w:line="480" w:lineRule="auto"/>
              <w:jc w:val="lowKashida"/>
              <w:rPr>
                <w:rFonts w:asciiTheme="majorBidi" w:hAnsiTheme="majorBidi" w:cstheme="majorBidi"/>
                <w:color w:val="000000" w:themeColor="text1"/>
                <w:szCs w:val="24"/>
              </w:rPr>
            </w:pPr>
          </w:p>
        </w:tc>
        <w:tc>
          <w:tcPr>
            <w:tcW w:w="2847" w:type="dxa"/>
            <w:tcBorders>
              <w:top w:val="single" w:sz="4" w:space="0" w:color="auto"/>
              <w:left w:val="single" w:sz="4" w:space="0" w:color="auto"/>
              <w:bottom w:val="single" w:sz="4" w:space="0" w:color="auto"/>
              <w:right w:val="single" w:sz="4" w:space="0" w:color="auto"/>
            </w:tcBorders>
          </w:tcPr>
          <w:p w14:paraId="59D53645" w14:textId="77777777" w:rsidR="00EE00BF" w:rsidRPr="002A7627" w:rsidRDefault="00EE00BF" w:rsidP="00EE00BF">
            <w:pPr>
              <w:widowControl/>
              <w:jc w:val="center"/>
              <w:rPr>
                <w:rFonts w:asciiTheme="majorBidi" w:hAnsiTheme="majorBidi" w:cstheme="majorBidi"/>
                <w:b/>
                <w:bCs/>
                <w:color w:val="000000" w:themeColor="text1"/>
                <w:szCs w:val="24"/>
              </w:rPr>
            </w:pPr>
            <w:r w:rsidRPr="002A7627">
              <w:rPr>
                <w:rFonts w:asciiTheme="majorBidi" w:hAnsiTheme="majorBidi" w:cstheme="majorBidi"/>
                <w:b/>
                <w:bCs/>
                <w:szCs w:val="24"/>
              </w:rPr>
              <w:t>Stable</w:t>
            </w:r>
          </w:p>
        </w:tc>
        <w:tc>
          <w:tcPr>
            <w:tcW w:w="2867" w:type="dxa"/>
            <w:tcBorders>
              <w:top w:val="single" w:sz="4" w:space="0" w:color="auto"/>
              <w:left w:val="single" w:sz="4" w:space="0" w:color="auto"/>
              <w:bottom w:val="single" w:sz="4" w:space="0" w:color="auto"/>
              <w:right w:val="single" w:sz="4" w:space="0" w:color="auto"/>
            </w:tcBorders>
          </w:tcPr>
          <w:p w14:paraId="638FD785" w14:textId="77777777" w:rsidR="00EE00BF" w:rsidRPr="002A7627" w:rsidRDefault="00EE00BF" w:rsidP="00EE00BF">
            <w:pPr>
              <w:widowControl/>
              <w:jc w:val="center"/>
              <w:rPr>
                <w:rFonts w:asciiTheme="majorBidi" w:hAnsiTheme="majorBidi" w:cstheme="majorBidi"/>
                <w:b/>
                <w:bCs/>
                <w:color w:val="000000" w:themeColor="text1"/>
                <w:szCs w:val="24"/>
              </w:rPr>
            </w:pPr>
            <w:r w:rsidRPr="002A7627">
              <w:rPr>
                <w:rFonts w:asciiTheme="majorBidi" w:hAnsiTheme="majorBidi" w:cstheme="majorBidi"/>
                <w:b/>
                <w:bCs/>
                <w:szCs w:val="24"/>
              </w:rPr>
              <w:t>Change</w:t>
            </w:r>
          </w:p>
        </w:tc>
      </w:tr>
      <w:tr w:rsidR="00EE00BF" w:rsidRPr="002A7627" w14:paraId="39A06C98" w14:textId="77777777" w:rsidTr="00F66155">
        <w:tc>
          <w:tcPr>
            <w:tcW w:w="969" w:type="dxa"/>
            <w:vMerge w:val="restart"/>
            <w:tcBorders>
              <w:top w:val="nil"/>
              <w:left w:val="nil"/>
              <w:bottom w:val="nil"/>
              <w:right w:val="single" w:sz="4" w:space="0" w:color="auto"/>
            </w:tcBorders>
            <w:textDirection w:val="btLr"/>
            <w:vAlign w:val="bottom"/>
          </w:tcPr>
          <w:p w14:paraId="1E38DA75" w14:textId="77777777" w:rsidR="00EE00BF" w:rsidRPr="002A7627" w:rsidRDefault="00EE00BF" w:rsidP="00EE00BF">
            <w:pPr>
              <w:widowControl/>
              <w:spacing w:line="480" w:lineRule="auto"/>
              <w:ind w:left="113" w:right="113"/>
              <w:jc w:val="center"/>
              <w:rPr>
                <w:rFonts w:asciiTheme="majorBidi" w:hAnsiTheme="majorBidi" w:cstheme="majorBidi"/>
                <w:color w:val="000000" w:themeColor="text1"/>
                <w:szCs w:val="24"/>
              </w:rPr>
            </w:pPr>
            <w:r w:rsidRPr="002A7627">
              <w:rPr>
                <w:rFonts w:asciiTheme="majorBidi" w:hAnsiTheme="majorBidi" w:cstheme="majorBidi"/>
                <w:szCs w:val="24"/>
              </w:rPr>
              <w:t>Knowing</w:t>
            </w:r>
          </w:p>
        </w:tc>
        <w:tc>
          <w:tcPr>
            <w:tcW w:w="1232" w:type="dxa"/>
            <w:tcBorders>
              <w:top w:val="single" w:sz="4" w:space="0" w:color="auto"/>
              <w:left w:val="single" w:sz="4" w:space="0" w:color="auto"/>
              <w:bottom w:val="single" w:sz="4" w:space="0" w:color="auto"/>
              <w:right w:val="single" w:sz="4" w:space="0" w:color="auto"/>
            </w:tcBorders>
          </w:tcPr>
          <w:p w14:paraId="06218D74" w14:textId="77777777" w:rsidR="00EE00BF" w:rsidRPr="002A7627" w:rsidRDefault="00EE00BF" w:rsidP="00EE00BF">
            <w:pPr>
              <w:widowControl/>
              <w:spacing w:line="480" w:lineRule="auto"/>
              <w:jc w:val="center"/>
              <w:rPr>
                <w:rFonts w:asciiTheme="majorBidi" w:hAnsiTheme="majorBidi" w:cstheme="majorBidi"/>
                <w:b/>
                <w:bCs/>
                <w:szCs w:val="24"/>
              </w:rPr>
            </w:pPr>
            <w:r w:rsidRPr="002A7627">
              <w:rPr>
                <w:rFonts w:asciiTheme="majorBidi" w:hAnsiTheme="majorBidi" w:cstheme="majorBidi"/>
                <w:b/>
                <w:bCs/>
                <w:szCs w:val="24"/>
              </w:rPr>
              <w:t>Stable</w:t>
            </w:r>
          </w:p>
          <w:p w14:paraId="503C518A" w14:textId="77777777" w:rsidR="00EE00BF" w:rsidRPr="002A7627" w:rsidRDefault="00EE00BF" w:rsidP="00EE00BF">
            <w:pPr>
              <w:widowControl/>
              <w:spacing w:line="480" w:lineRule="auto"/>
              <w:jc w:val="lowKashida"/>
              <w:rPr>
                <w:rFonts w:asciiTheme="majorBidi" w:hAnsiTheme="majorBidi" w:cstheme="majorBidi"/>
                <w:b/>
                <w:bCs/>
                <w:color w:val="000000" w:themeColor="text1"/>
                <w:szCs w:val="24"/>
              </w:rPr>
            </w:pPr>
          </w:p>
        </w:tc>
        <w:tc>
          <w:tcPr>
            <w:tcW w:w="2847" w:type="dxa"/>
            <w:tcBorders>
              <w:top w:val="single" w:sz="4" w:space="0" w:color="auto"/>
              <w:left w:val="single" w:sz="4" w:space="0" w:color="auto"/>
              <w:bottom w:val="single" w:sz="4" w:space="0" w:color="auto"/>
              <w:right w:val="single" w:sz="4" w:space="0" w:color="auto"/>
            </w:tcBorders>
          </w:tcPr>
          <w:p w14:paraId="3510F007" w14:textId="119376A0" w:rsidR="00EE00BF" w:rsidRPr="002A7627" w:rsidRDefault="00785A96" w:rsidP="00647F8A">
            <w:pPr>
              <w:widowControl/>
              <w:jc w:val="lowKashida"/>
              <w:rPr>
                <w:rFonts w:asciiTheme="majorBidi" w:hAnsiTheme="majorBidi" w:cstheme="majorBidi"/>
                <w:color w:val="000000" w:themeColor="text1"/>
                <w:szCs w:val="24"/>
              </w:rPr>
            </w:pPr>
            <w:r>
              <w:rPr>
                <w:rFonts w:asciiTheme="majorBidi" w:hAnsiTheme="majorBidi" w:cstheme="majorBidi"/>
                <w:szCs w:val="24"/>
              </w:rPr>
              <w:t>N</w:t>
            </w:r>
            <w:r w:rsidR="00DC1DF9">
              <w:rPr>
                <w:rFonts w:asciiTheme="majorBidi" w:hAnsiTheme="majorBidi" w:cstheme="majorBidi"/>
                <w:szCs w:val="24"/>
              </w:rPr>
              <w:t>o learning takes place</w:t>
            </w:r>
          </w:p>
        </w:tc>
        <w:tc>
          <w:tcPr>
            <w:tcW w:w="2867" w:type="dxa"/>
            <w:tcBorders>
              <w:top w:val="single" w:sz="4" w:space="0" w:color="auto"/>
              <w:left w:val="single" w:sz="4" w:space="0" w:color="auto"/>
            </w:tcBorders>
          </w:tcPr>
          <w:p w14:paraId="65D50EAA" w14:textId="613A8C0C" w:rsidR="00EE00BF" w:rsidRPr="002A7627" w:rsidRDefault="00EE00BF" w:rsidP="00647F8A">
            <w:pPr>
              <w:widowControl/>
              <w:jc w:val="lowKashida"/>
              <w:rPr>
                <w:rFonts w:asciiTheme="majorBidi" w:hAnsiTheme="majorBidi" w:cstheme="majorBidi"/>
                <w:color w:val="000000" w:themeColor="text1"/>
                <w:szCs w:val="24"/>
              </w:rPr>
            </w:pPr>
            <w:r w:rsidRPr="002A7627">
              <w:rPr>
                <w:rFonts w:asciiTheme="majorBidi" w:hAnsiTheme="majorBidi" w:cstheme="majorBidi"/>
                <w:szCs w:val="24"/>
              </w:rPr>
              <w:t>Learning</w:t>
            </w:r>
            <w:r w:rsidR="00DC1DF9">
              <w:rPr>
                <w:rFonts w:asciiTheme="majorBidi" w:hAnsiTheme="majorBidi" w:cstheme="majorBidi"/>
                <w:szCs w:val="24"/>
              </w:rPr>
              <w:t xml:space="preserve"> </w:t>
            </w:r>
            <w:r w:rsidR="00785A96">
              <w:rPr>
                <w:rFonts w:asciiTheme="majorBidi" w:hAnsiTheme="majorBidi" w:cstheme="majorBidi"/>
                <w:szCs w:val="24"/>
              </w:rPr>
              <w:t>takes the form of</w:t>
            </w:r>
            <w:r w:rsidR="00DC1DF9">
              <w:rPr>
                <w:rFonts w:asciiTheme="majorBidi" w:hAnsiTheme="majorBidi" w:cstheme="majorBidi"/>
                <w:szCs w:val="24"/>
              </w:rPr>
              <w:t xml:space="preserve"> </w:t>
            </w:r>
            <w:r w:rsidR="00DC1DF9" w:rsidRPr="002A7627">
              <w:rPr>
                <w:rFonts w:asciiTheme="majorBidi" w:hAnsiTheme="majorBidi" w:cstheme="majorBidi"/>
                <w:szCs w:val="24"/>
              </w:rPr>
              <w:t>the</w:t>
            </w:r>
            <w:r w:rsidR="00193A9C" w:rsidRPr="002A7627">
              <w:rPr>
                <w:rFonts w:asciiTheme="majorBidi" w:hAnsiTheme="majorBidi" w:cstheme="majorBidi"/>
                <w:szCs w:val="24"/>
              </w:rPr>
              <w:t xml:space="preserve"> </w:t>
            </w:r>
            <w:r w:rsidRPr="002A7627">
              <w:rPr>
                <w:rFonts w:asciiTheme="majorBidi" w:hAnsiTheme="majorBidi" w:cstheme="majorBidi"/>
                <w:szCs w:val="24"/>
              </w:rPr>
              <w:t xml:space="preserve">acquisition </w:t>
            </w:r>
            <w:r w:rsidR="00DC1DF9">
              <w:rPr>
                <w:rFonts w:asciiTheme="majorBidi" w:hAnsiTheme="majorBidi" w:cstheme="majorBidi"/>
                <w:szCs w:val="24"/>
              </w:rPr>
              <w:t>of facts</w:t>
            </w:r>
            <w:r w:rsidRPr="002A7627">
              <w:rPr>
                <w:rFonts w:asciiTheme="majorBidi" w:hAnsiTheme="majorBidi" w:cstheme="majorBidi"/>
                <w:szCs w:val="24"/>
              </w:rPr>
              <w:t xml:space="preserve"> and skills</w:t>
            </w:r>
          </w:p>
        </w:tc>
      </w:tr>
      <w:tr w:rsidR="00EE00BF" w:rsidRPr="002A7627" w14:paraId="2604C55F" w14:textId="77777777" w:rsidTr="00F66155">
        <w:tc>
          <w:tcPr>
            <w:tcW w:w="969" w:type="dxa"/>
            <w:vMerge/>
            <w:tcBorders>
              <w:top w:val="nil"/>
              <w:left w:val="nil"/>
              <w:bottom w:val="nil"/>
              <w:right w:val="single" w:sz="4" w:space="0" w:color="auto"/>
            </w:tcBorders>
          </w:tcPr>
          <w:p w14:paraId="5A72DF14" w14:textId="77777777" w:rsidR="00EE00BF" w:rsidRPr="002A7627" w:rsidRDefault="00EE00BF" w:rsidP="00EE00BF">
            <w:pPr>
              <w:widowControl/>
              <w:spacing w:line="480" w:lineRule="auto"/>
              <w:jc w:val="lowKashida"/>
              <w:rPr>
                <w:rFonts w:asciiTheme="majorBidi" w:hAnsiTheme="majorBidi" w:cstheme="majorBidi"/>
                <w:color w:val="000000" w:themeColor="text1"/>
                <w:szCs w:val="24"/>
              </w:rPr>
            </w:pPr>
          </w:p>
        </w:tc>
        <w:tc>
          <w:tcPr>
            <w:tcW w:w="1232" w:type="dxa"/>
            <w:tcBorders>
              <w:top w:val="single" w:sz="4" w:space="0" w:color="auto"/>
              <w:left w:val="single" w:sz="4" w:space="0" w:color="auto"/>
              <w:bottom w:val="single" w:sz="4" w:space="0" w:color="auto"/>
              <w:right w:val="single" w:sz="4" w:space="0" w:color="auto"/>
            </w:tcBorders>
          </w:tcPr>
          <w:p w14:paraId="03E4F6A2" w14:textId="77777777" w:rsidR="00EE00BF" w:rsidRPr="002A7627" w:rsidRDefault="00EE00BF" w:rsidP="00EE00BF">
            <w:pPr>
              <w:widowControl/>
              <w:spacing w:line="480" w:lineRule="auto"/>
              <w:jc w:val="center"/>
              <w:rPr>
                <w:rFonts w:asciiTheme="majorBidi" w:hAnsiTheme="majorBidi" w:cstheme="majorBidi"/>
                <w:b/>
                <w:bCs/>
                <w:szCs w:val="24"/>
              </w:rPr>
            </w:pPr>
            <w:r w:rsidRPr="002A7627">
              <w:rPr>
                <w:rFonts w:asciiTheme="majorBidi" w:hAnsiTheme="majorBidi" w:cstheme="majorBidi"/>
                <w:b/>
                <w:bCs/>
                <w:szCs w:val="24"/>
              </w:rPr>
              <w:t>Change</w:t>
            </w:r>
          </w:p>
          <w:p w14:paraId="01D65BB4" w14:textId="77777777" w:rsidR="00EE00BF" w:rsidRPr="002A7627" w:rsidRDefault="00EE00BF" w:rsidP="00EE00BF">
            <w:pPr>
              <w:widowControl/>
              <w:spacing w:line="480" w:lineRule="auto"/>
              <w:rPr>
                <w:rFonts w:asciiTheme="majorBidi" w:hAnsiTheme="majorBidi" w:cstheme="majorBidi"/>
                <w:b/>
                <w:bCs/>
                <w:color w:val="000000" w:themeColor="text1"/>
                <w:szCs w:val="24"/>
              </w:rPr>
            </w:pPr>
          </w:p>
        </w:tc>
        <w:tc>
          <w:tcPr>
            <w:tcW w:w="2847" w:type="dxa"/>
            <w:tcBorders>
              <w:top w:val="single" w:sz="4" w:space="0" w:color="auto"/>
              <w:left w:val="single" w:sz="4" w:space="0" w:color="auto"/>
              <w:bottom w:val="single" w:sz="4" w:space="0" w:color="auto"/>
              <w:right w:val="single" w:sz="4" w:space="0" w:color="auto"/>
            </w:tcBorders>
          </w:tcPr>
          <w:p w14:paraId="1788BA5F" w14:textId="25695622" w:rsidR="00EE00BF" w:rsidRPr="002A7627" w:rsidRDefault="00EE00BF" w:rsidP="004F4485">
            <w:pPr>
              <w:widowControl/>
              <w:jc w:val="lowKashida"/>
              <w:rPr>
                <w:rFonts w:asciiTheme="majorBidi" w:hAnsiTheme="majorBidi" w:cstheme="majorBidi"/>
                <w:color w:val="000000" w:themeColor="text1"/>
                <w:szCs w:val="24"/>
              </w:rPr>
            </w:pPr>
            <w:r w:rsidRPr="002A7627">
              <w:rPr>
                <w:rFonts w:asciiTheme="majorBidi" w:hAnsiTheme="majorBidi" w:cstheme="majorBidi"/>
                <w:szCs w:val="24"/>
              </w:rPr>
              <w:t xml:space="preserve">Learning </w:t>
            </w:r>
            <w:r w:rsidR="00DC1DF9">
              <w:rPr>
                <w:rFonts w:asciiTheme="majorBidi" w:hAnsiTheme="majorBidi" w:cstheme="majorBidi"/>
                <w:szCs w:val="24"/>
              </w:rPr>
              <w:t>take</w:t>
            </w:r>
            <w:r w:rsidR="00785A96">
              <w:rPr>
                <w:rFonts w:asciiTheme="majorBidi" w:hAnsiTheme="majorBidi" w:cstheme="majorBidi"/>
                <w:szCs w:val="24"/>
              </w:rPr>
              <w:t>s</w:t>
            </w:r>
            <w:r w:rsidR="00DC1DF9">
              <w:rPr>
                <w:rFonts w:asciiTheme="majorBidi" w:hAnsiTheme="majorBidi" w:cstheme="majorBidi"/>
                <w:szCs w:val="24"/>
              </w:rPr>
              <w:t xml:space="preserve"> the form of practicing the facts and skills</w:t>
            </w:r>
            <w:r w:rsidRPr="002A7627">
              <w:rPr>
                <w:rFonts w:asciiTheme="majorBidi" w:hAnsiTheme="majorBidi" w:cstheme="majorBidi"/>
                <w:szCs w:val="24"/>
              </w:rPr>
              <w:t xml:space="preserve"> </w:t>
            </w:r>
          </w:p>
        </w:tc>
        <w:tc>
          <w:tcPr>
            <w:tcW w:w="2867" w:type="dxa"/>
            <w:tcBorders>
              <w:left w:val="single" w:sz="4" w:space="0" w:color="auto"/>
            </w:tcBorders>
          </w:tcPr>
          <w:p w14:paraId="736287E8" w14:textId="551A26D3" w:rsidR="00EE00BF" w:rsidRPr="002A7627" w:rsidRDefault="00EE00BF" w:rsidP="00647F8A">
            <w:pPr>
              <w:keepNext/>
              <w:widowControl/>
              <w:jc w:val="lowKashida"/>
              <w:rPr>
                <w:rFonts w:asciiTheme="majorBidi" w:hAnsiTheme="majorBidi" w:cstheme="majorBidi"/>
                <w:szCs w:val="24"/>
              </w:rPr>
            </w:pPr>
            <w:r w:rsidRPr="002A7627">
              <w:rPr>
                <w:rFonts w:asciiTheme="majorBidi" w:hAnsiTheme="majorBidi" w:cstheme="majorBidi"/>
                <w:szCs w:val="24"/>
              </w:rPr>
              <w:t>Learning</w:t>
            </w:r>
            <w:r w:rsidR="00DC1DF9">
              <w:rPr>
                <w:rFonts w:asciiTheme="majorBidi" w:hAnsiTheme="majorBidi" w:cstheme="majorBidi"/>
                <w:szCs w:val="24"/>
              </w:rPr>
              <w:t xml:space="preserve"> includes both</w:t>
            </w:r>
            <w:r w:rsidRPr="002A7627">
              <w:rPr>
                <w:rFonts w:asciiTheme="majorBidi" w:hAnsiTheme="majorBidi" w:cstheme="majorBidi"/>
                <w:szCs w:val="24"/>
              </w:rPr>
              <w:t xml:space="preserve"> practice and acquisition of facts and skills</w:t>
            </w:r>
          </w:p>
        </w:tc>
      </w:tr>
    </w:tbl>
    <w:p w14:paraId="63ED3B0F" w14:textId="0617D878" w:rsidR="002F20D4" w:rsidRDefault="00F66155" w:rsidP="001D5F54">
      <w:pPr>
        <w:pStyle w:val="TableofFigures"/>
      </w:pPr>
      <w:bookmarkStart w:id="82" w:name="_Toc18771705"/>
      <w:bookmarkStart w:id="83" w:name="_Toc21074095"/>
      <w:bookmarkStart w:id="84" w:name="_Toc13959762"/>
      <w:r w:rsidRPr="001D5F54">
        <w:t xml:space="preserve">Figure </w:t>
      </w:r>
      <w:r w:rsidR="006D32F8">
        <w:rPr>
          <w:noProof/>
        </w:rPr>
        <w:fldChar w:fldCharType="begin"/>
      </w:r>
      <w:r w:rsidR="006D32F8">
        <w:rPr>
          <w:noProof/>
        </w:rPr>
        <w:instrText xml:space="preserve"> SEQ Figure \* ARABIC </w:instrText>
      </w:r>
      <w:r w:rsidR="006D32F8">
        <w:rPr>
          <w:noProof/>
        </w:rPr>
        <w:fldChar w:fldCharType="separate"/>
      </w:r>
      <w:r w:rsidR="00972C3F">
        <w:rPr>
          <w:noProof/>
        </w:rPr>
        <w:t>2</w:t>
      </w:r>
      <w:r w:rsidR="006D32F8">
        <w:rPr>
          <w:noProof/>
        </w:rPr>
        <w:fldChar w:fldCharType="end"/>
      </w:r>
      <w:r w:rsidRPr="001D5F54">
        <w:t>. Knowledge–Knowing–Learning Matrix</w:t>
      </w:r>
      <w:r w:rsidR="00B92DDC" w:rsidRPr="001D5F54">
        <w:t>.</w:t>
      </w:r>
      <w:bookmarkEnd w:id="82"/>
      <w:bookmarkEnd w:id="83"/>
      <w:r w:rsidRPr="001D5F54">
        <w:t xml:space="preserve"> </w:t>
      </w:r>
    </w:p>
    <w:p w14:paraId="7290A0E0" w14:textId="200C05B6" w:rsidR="00F66155" w:rsidRPr="00AD3AD3" w:rsidRDefault="00B92DDC" w:rsidP="001D5F54">
      <w:r w:rsidRPr="00677985">
        <w:t xml:space="preserve">Adapted from </w:t>
      </w:r>
      <w:r w:rsidR="00785A96">
        <w:t xml:space="preserve">Vera, Crossan and Apaydin, 2015. </w:t>
      </w:r>
    </w:p>
    <w:p w14:paraId="1EDA1564" w14:textId="77777777" w:rsidR="00773086" w:rsidRPr="002A7627" w:rsidRDefault="00773086" w:rsidP="00773086"/>
    <w:bookmarkEnd w:id="84"/>
    <w:p w14:paraId="7918461B" w14:textId="7484D4B9" w:rsidR="00EE00BF" w:rsidRPr="002A7627" w:rsidRDefault="00EE00BF" w:rsidP="00B92DDC">
      <w:pPr>
        <w:pStyle w:val="AAAAAAA"/>
        <w:spacing w:before="120"/>
        <w:rPr>
          <w:rFonts w:eastAsia="Times New Roman"/>
        </w:rPr>
      </w:pPr>
      <w:r w:rsidRPr="002A7627">
        <w:t xml:space="preserve">Knowledge is a critical factor in policing organizations, and police performance is determined by the quality of knowledge among policing professionals </w:t>
      </w:r>
      <w:r w:rsidRPr="002A7627">
        <w:fldChar w:fldCharType="begin" w:fldLock="1"/>
      </w:r>
      <w:r w:rsidR="004C27D4" w:rsidRPr="002A7627">
        <w:instrText>ADDIN CSL_CITATION {"citationItems":[{"id":"ITEM-1","itemData":{"DOI":"10.1016/j.evalprogplan.2009.09.001","ISSN":"01497189","abstract":"Recently, the National Police Agency of Taiwan has begun to measure performance levels for police forces across the entire island. The performance benchmarks resulting from this strategy have become the basis for allocation of government funding and other scarce resources. In this work, data envelopment analysis (DEA) was used to construct a scalar measure of efficiency for all police precincts. Further analyses on the effect of degree of urbanization and possible weight restrictions on the outputs upon the efficiency scores of each decision making unit (DMU) were conducted. In addition, a three-stage DEA model was applied to explicitly incorporate environmental factors into the DEA model. The results show that the external environmental factors specified in this study may have some effects on the efficiency scores of each district, albeit not statistically significant. Most decision making units are technically efficient; the average technical efficiency of all DMUs was as high as 98.46% when external environmental factors were accounted for. © 2009 Elsevier Ltd.","author":[{"dropping-particle":"","family":"Wu","given":"Tai-Hsi","non-dropping-particle":"","parse-names":false,"suffix":""},{"dropping-particle":"","family":"Chen","given":"Ming-Shiun","non-dropping-particle":"","parse-names":false,"suffix":""},{"dropping-particle":"","family":"Yeh","given":"Jin-Yii","non-dropping-particle":"","parse-names":false,"suffix":""}],"container-title":"Evaluation and Program Planning","id":"ITEM-1","issue":"3","issued":{"date-parts":[["2010","8"]]},"page":"246-254","title":"Measuring the performance of police forces in Taiwan using data envelopment analysis","type":"article-journal","volume":"33"},"uris":["http://www.mendeley.com/documents/?uuid=ce919dea-90e8-4c25-8963-e4325e229b66"]},{"id":"ITEM-2","itemData":{"DOI":"10.1177/016555150102700502","ISSN":"0165-5515","abstract":"Many organizations in the private or public sectors in Singapore have started to realize the importance of know- ledge management in streamlining their operations. This realization stems from the fact that Singapore, as a small country with no natural resources, has to rely on human capital and its people in positioning itself for the new economy. Many organizations in the public sector are know- ledge-intensive organizations and poor knowledge manage- ment practices might lead to high costs as a result of lost institutional memory, knowledge gaps and poor decisions. This paper discusses the implementation of knowledge management principles and practices in police work and their implications for policing. With the increased adoption of information technology and the increasing overall quality and IT competence of its police officers, the police organiza- tion is well positioned to leverage knowledge management principles and practices to better equip its officers with the necessary","author":[{"dropping-particle":"","family":"Luen","given":"Tan Woei","non-dropping-particle":"","parse-names":false,"suffix":""},{"dropping-particle":"","family":"Al-Hawamdeh","given":"Suliman","non-dropping-particle":"","parse-names":false,"suffix":""}],"container-title":"Journal of Information Science","id":"ITEM-2","issue":"5","issued":{"date-parts":[["2001","10"]]},"page":"311-318","title":"Knowledge management in the public sector: Principles and practices in police work","type":"article-journal","volume":"27"},"uris":["http://www.mendeley.com/documents/?uuid=dffda156-00b4-448a-adf9-301afcb84b1a"]}],"mendeley":{"formattedCitation":"(Luen &amp; Al-Hawamdeh, 2001; T.-H. Wu, Chen, &amp; Yeh, 2010)","plainTextFormattedCitation":"(Luen &amp; Al-Hawamdeh, 2001; T.-H. Wu, Chen, &amp; Yeh, 2010)","previouslyFormattedCitation":"(Luen &amp; Al-Hawamdeh, 2001; T.-H. Wu, Chen, &amp; Yeh, 2010)"},"properties":{"noteIndex":0},"schema":"https://github.com/citation-style-language/schema/raw/master/csl-citation.json"}</w:instrText>
      </w:r>
      <w:r w:rsidRPr="002A7627">
        <w:fldChar w:fldCharType="separate"/>
      </w:r>
      <w:r w:rsidR="00E24626" w:rsidRPr="002A7627">
        <w:rPr>
          <w:noProof/>
        </w:rPr>
        <w:t>(Luen &amp; Al-Hawamdeh, 2001; Wu, Chen, &amp; Yeh, 2010)</w:t>
      </w:r>
      <w:r w:rsidRPr="002A7627">
        <w:fldChar w:fldCharType="end"/>
      </w:r>
      <w:r w:rsidRPr="002A7627">
        <w:t xml:space="preserve">. However, in some cases, police officers do not possess the </w:t>
      </w:r>
      <w:r w:rsidR="000C3077">
        <w:t>necessary</w:t>
      </w:r>
      <w:r w:rsidR="000C3077" w:rsidRPr="002A7627">
        <w:t xml:space="preserve"> </w:t>
      </w:r>
      <w:r w:rsidRPr="002A7627">
        <w:t xml:space="preserve">knowledge to make the required decisions </w:t>
      </w:r>
      <w:r w:rsidRPr="002A7627">
        <w:fldChar w:fldCharType="begin" w:fldLock="1"/>
      </w:r>
      <w:r w:rsidR="00E24626" w:rsidRPr="002A7627">
        <w:instrText>ADDIN CSL_CITATION {"citationItems":[{"id":"ITEM-1","itemData":{"abstract":"Throughout the world, police services are increasingly adopting a proactive, intelligence-led approach to crime management. These services operate within environments characterized by firm hierarchy, the command and control paradigm and high social sensitivity. The implementation of strategies for the exploitation of knowledge and information within such environments reveals particular insights into organizational knowledge management. Understanding these issues may be of great value, particularly as despite the commitment to intelligence led policing, the outcomes to date have not met expectations. This paper proposes that social and political issues have the ability to influence knowledge management strategy by drawing upon Pan and Scarbrough's socio-technical model to show the progression of the intelligence-led policing philosophy over the past decade.","author":[{"dropping-particle":"","family":"Hughes","given":"Vince","non-dropping-particle":"","parse-names":false,"suffix":""},{"dropping-particle":"","family":"Jackson","given":"Paul","non-dropping-particle":"","parse-names":false,"suffix":""}],"container-title":"Journal of Knowledge Management","id":"ITEM-1","issue":"1","issued":{"date-parts":[["2004"]]},"page":"65-76","title":"The influence of technical , social and structural factors on the effective use of information in a policing environment","type":"article-journal","volume":"2"},"uris":["http://www.mendeley.com/documents/?uuid=59d1ec31-0220-4b3f-99ab-cb1ee31411ef"]}],"mendeley":{"formattedCitation":"(Hughes &amp; Jackson, 2004)","plainTextFormattedCitation":"(Hughes &amp; Jackson, 2004)","previouslyFormattedCitation":"(Hughes &amp; Jackson, 2004)"},"properties":{"noteIndex":0},"schema":"https://github.com/citation-style-language/schema/raw/master/csl-citation.json"}</w:instrText>
      </w:r>
      <w:r w:rsidRPr="002A7627">
        <w:fldChar w:fldCharType="separate"/>
      </w:r>
      <w:r w:rsidRPr="002A7627">
        <w:rPr>
          <w:noProof/>
        </w:rPr>
        <w:t>(Hughes &amp; Jackson, 2004)</w:t>
      </w:r>
      <w:r w:rsidRPr="002A7627">
        <w:fldChar w:fldCharType="end"/>
      </w:r>
      <w:r w:rsidRPr="002A7627">
        <w:t>.</w:t>
      </w:r>
      <w:r w:rsidRPr="002A7627">
        <w:rPr>
          <w:rFonts w:eastAsia="Times New Roman"/>
        </w:rPr>
        <w:t xml:space="preserve"> </w:t>
      </w:r>
    </w:p>
    <w:p w14:paraId="33467285" w14:textId="78BA6CC5" w:rsidR="00EE00BF" w:rsidRDefault="00EE00BF" w:rsidP="002C4A1A">
      <w:pPr>
        <w:pStyle w:val="AAAAAAA"/>
      </w:pPr>
      <w:r w:rsidRPr="002A7627">
        <w:t xml:space="preserve">Knowledge is considered a valuable strategic resource </w:t>
      </w:r>
      <w:r w:rsidR="0075026B" w:rsidRPr="002A7627">
        <w:fldChar w:fldCharType="begin" w:fldLock="1"/>
      </w:r>
      <w:r w:rsidR="00CD0B2F" w:rsidRPr="002A7627">
        <w:instrText>ADDIN CSL_CITATION {"citationItems":[{"id":"ITEM-1","itemData":{"author":[{"dropping-particle":"","family":"Bolisani","given":"E.","non-dropping-particle":"","parse-names":false,"suffix":""},{"dropping-particle":"","family":"Bratianu","given":"C.","non-dropping-particle":"","parse-names":false,"suffix":""}],"container-title":"Emergent knowledge strategies","id":"ITEM-1","issued":{"date-parts":[["2018"]]},"page":"49-72","publisher":"Springer","publisher-place":"Cham, Switzerland","title":"Knowledge as a strategic weapon","type":"chapter"},"uris":["http://www.mendeley.com/documents/?uuid=3b683000-4180-4c79-917c-b4c20d31182e"]}],"mendeley":{"formattedCitation":"(Bolisani &amp; Bratianu, 2018)","plainTextFormattedCitation":"(Bolisani &amp; Bratianu, 2018)","previouslyFormattedCitation":"(Bolisani &amp; Bratianu, 2018)"},"properties":{"noteIndex":0},"schema":"https://github.com/citation-style-language/schema/raw/master/csl-citation.json"}</w:instrText>
      </w:r>
      <w:r w:rsidR="0075026B" w:rsidRPr="002A7627">
        <w:fldChar w:fldCharType="separate"/>
      </w:r>
      <w:r w:rsidR="0075026B" w:rsidRPr="002A7627">
        <w:rPr>
          <w:noProof/>
        </w:rPr>
        <w:t>(Bolisani &amp; Bratianu, 2018)</w:t>
      </w:r>
      <w:r w:rsidR="0075026B" w:rsidRPr="002A7627">
        <w:fldChar w:fldCharType="end"/>
      </w:r>
      <w:r w:rsidRPr="002A7627">
        <w:t xml:space="preserve">. However, it can be lost as a result </w:t>
      </w:r>
      <w:r w:rsidR="00D066D3">
        <w:t xml:space="preserve">of </w:t>
      </w:r>
      <w:r w:rsidRPr="002A7627">
        <w:t xml:space="preserve">factors such as </w:t>
      </w:r>
      <w:r w:rsidR="005F4ACA">
        <w:t xml:space="preserve">turnover, </w:t>
      </w:r>
      <w:r w:rsidRPr="002A7627">
        <w:t xml:space="preserve">retirements, and outsourcing </w:t>
      </w:r>
      <w:r w:rsidRPr="002A7627">
        <w:fldChar w:fldCharType="begin" w:fldLock="1"/>
      </w:r>
      <w:r w:rsidR="00E24626" w:rsidRPr="002A7627">
        <w:instrText>ADDIN CSL_CITATION {"citationItems":[{"id":"ITEM-1","itemData":{"DOI":"10.1145/1516046.1516082","ISSN":"00010782","abstract":"Note: OCR errors may be found in this Reference List extracted from the full text article. ACM has opted to expose the complete List rather than only correct and linked references.","author":[{"dropping-particle":"","family":"Delen","given":"Dursun","non-dropping-particle":"","parse-names":false,"suffix":""},{"dropping-particle":"","family":"Al-Hawamdeh","given":"Suliman","non-dropping-particle":"","parse-names":false,"suffix":""}],"container-title":"Communications of the ACM","id":"ITEM-1","issue":"6","issued":{"date-parts":[["2009","6","1"]]},"page":"141","title":"A holistic framework for knowledge discovery and management","type":"article-journal","volume":"52"},"uris":["http://www.mendeley.com/documents/?uuid=6a865a11-634f-474a-9bca-a6e9c3a5dbca"]}],"mendeley":{"formattedCitation":"(Delen &amp; Al-Hawamdeh, 2009)","plainTextFormattedCitation":"(Delen &amp; Al-Hawamdeh, 2009)","previouslyFormattedCitation":"(Delen &amp; Al-Hawamdeh, 2009)"},"properties":{"noteIndex":0},"schema":"https://github.com/citation-style-language/schema/raw/master/csl-citation.json"}</w:instrText>
      </w:r>
      <w:r w:rsidRPr="002A7627">
        <w:fldChar w:fldCharType="separate"/>
      </w:r>
      <w:r w:rsidRPr="002A7627">
        <w:rPr>
          <w:noProof/>
        </w:rPr>
        <w:t>(Delen &amp; Al-Hawamdeh, 2009)</w:t>
      </w:r>
      <w:r w:rsidRPr="002A7627">
        <w:fldChar w:fldCharType="end"/>
      </w:r>
      <w:r w:rsidRPr="002A7627">
        <w:t xml:space="preserve">. </w:t>
      </w:r>
      <w:r w:rsidR="000C3077">
        <w:t>Increased workforce</w:t>
      </w:r>
      <w:r w:rsidR="000C3077" w:rsidRPr="002A7627">
        <w:t xml:space="preserve"> </w:t>
      </w:r>
      <w:r w:rsidRPr="002A7627">
        <w:t xml:space="preserve">mobility leads to </w:t>
      </w:r>
      <w:r w:rsidR="00193A9C" w:rsidRPr="002A7627">
        <w:t xml:space="preserve">a </w:t>
      </w:r>
      <w:r w:rsidRPr="002A7627">
        <w:t xml:space="preserve">higher potential for knowledge loss </w:t>
      </w:r>
      <w:r w:rsidRPr="002A7627">
        <w:fldChar w:fldCharType="begin" w:fldLock="1"/>
      </w:r>
      <w:r w:rsidR="00E24626" w:rsidRPr="002A7627">
        <w:instrText>ADDIN CSL_CITATION {"citationItems":[{"id":"ITEM-1","itemData":{"DOI":"10.1108/13673271211198954","ISSN":"1367-3270","abstract":"The wave of knowledge loss that organisations are facing on account of layoffs, retirements, staff turnover and mergers gave rise to this research. The main research aim was to identify the organisational and behavioural factors that could enhance or impede tacit knowledge retention. A multidisciplinary approach focusing on knowledge management, organisational behaviour and organisational development was followed. The nature of knowledge in organisations was explored by following a contextualised theory- building process, focusing on epistemology, and the appearance and application of knowledge. Knowledge in the context of this research is the knowledge and experience that reside in the minds of people. It is not easily documented, and is referred to as tacit knowing. A theoretical model was developed that revealed the factors that could influence tacit knowledge retention. The model focused on human input factors taking into account knowledge knowledge loss risks, strategic risks and behavioural threats that could cause knowledge loss.","author":[{"dropping-particle":"","family":"Martins","given":"Ellen Caroline","non-dropping-particle":"","parse-names":false,"suffix":""},{"dropping-particle":"","family":"Meyer","given":"Hester W.J.","non-dropping-particle":"","parse-names":false,"suffix":""}],"container-title":"Journal of Knowledge Management","id":"ITEM-1","issue":"1","issued":{"date-parts":[["2012","2","17"]]},"page":"77-96","title":"Organizational and behavioral factors that influence knowledge retention","type":"article-journal","volume":"16"},"uris":["http://www.mendeley.com/documents/?uuid=604fd498-98cb-41f8-85e6-73a18a37618a"]},{"id":"ITEM-2","itemData":{"DOI":"10.1108/13673270710832226","ISBN":"1367327071083","ISSN":"1367-3270","PMID":"230317821","abstract":"Purpose – The purpose of this paper is to assess the cultural influences on knowledge sharing behavior in project teams. Design/methodology/approach – In this paper a simulation setting is used to assess the cultural influences on knowledge sharing. All intercultural simulations were part of an educational program, in intercultural management (MBA level) and of executive development programs respectively. Findings – The findings in the paper show that different cultural backgrounds of team members due to different ethnicities, gender, national culture or functions create a context of cultural complexity, which might affect knowledge sharing in a negative way. The results of the simulations show that the different identities of team members have an important influence as they might trigger sentiments of negative stereotyping. The findings also reveal that knowledge sharing is only likely to occur if new project members are welcomed emotionally as valuable contributors to a common task. Research limitations/implications – Given the exploratory nature of this paper, it suggests using the results as a starting ground for future empirical research. The propositions that were developed on the basis of the research may be tested in subsequent studies applying a different research methodology. Practical implications – Based on the paper's findings, recommendations for project management in situations of cultural complexity are developed. Originality/value – The paper extends existing knowledge on cultural influences in knowledge sharing especially in the context of project teams.","author":[{"dropping-particle":"","family":"Sackmann","given":"Sonja A.","non-dropping-particle":"","parse-names":false,"suffix":""},{"dropping-particle":"","family":"Friesl","given":"Martin","non-dropping-particle":"","parse-names":false,"suffix":""}],"container-title":"Journal of Knowledge Management","id":"ITEM-2","issue":"6","issued":{"date-parts":[["2007"]]},"page":"142-156","title":"Exploring cultural impacts on knowledge sharing behavior in project teams – results from a simulation study","type":"article-journal","volume":"11"},"uris":["http://www.mendeley.com/documents/?uuid=0dfe51a3-48a0-4b7a-8145-5dd87b75f10d"]}],"mendeley":{"formattedCitation":"(Martins &amp; Meyer, 2012; Sackmann &amp; Friesl, 2007)","plainTextFormattedCitation":"(Martins &amp; Meyer, 2012; Sackmann &amp; Friesl, 2007)","previouslyFormattedCitation":"(Martins &amp; Meyer, 2012; Sackmann &amp; Friesl, 2007)"},"properties":{"noteIndex":0},"schema":"https://github.com/citation-style-language/schema/raw/master/csl-citation.json"}</w:instrText>
      </w:r>
      <w:r w:rsidRPr="002A7627">
        <w:fldChar w:fldCharType="separate"/>
      </w:r>
      <w:r w:rsidRPr="002A7627">
        <w:rPr>
          <w:noProof/>
        </w:rPr>
        <w:t>(Martins &amp; Meyer, 2012; Sackmann &amp; Friesl, 2007)</w:t>
      </w:r>
      <w:r w:rsidRPr="002A7627">
        <w:fldChar w:fldCharType="end"/>
      </w:r>
      <w:r w:rsidRPr="002A7627">
        <w:t>.</w:t>
      </w:r>
    </w:p>
    <w:p w14:paraId="4A7B089E" w14:textId="77777777" w:rsidR="00873152" w:rsidRDefault="00873152" w:rsidP="00873152">
      <w:pPr>
        <w:pStyle w:val="AAAAAAA"/>
        <w:rPr>
          <w:rFonts w:asciiTheme="majorBidi" w:eastAsiaTheme="minorEastAsia" w:hAnsiTheme="majorBidi" w:cstheme="majorBidi"/>
        </w:rPr>
      </w:pPr>
      <w:r w:rsidRPr="004F3A31">
        <w:rPr>
          <w:rFonts w:asciiTheme="majorBidi" w:eastAsiaTheme="minorEastAsia" w:hAnsiTheme="majorBidi" w:cstheme="majorBidi"/>
        </w:rPr>
        <w:t>The creation of knowledge always begins with individuals</w:t>
      </w:r>
      <w:r>
        <w:rPr>
          <w:rFonts w:asciiTheme="majorBidi" w:eastAsiaTheme="minorEastAsia" w:hAnsiTheme="majorBidi" w:cstheme="majorBidi"/>
        </w:rPr>
        <w:t xml:space="preserve">. As a part of everyday activities, personal private knowledge can be translated into organizational knowledge. Nonaka (1994) proposed four forms of knowledge </w:t>
      </w:r>
      <w:r>
        <w:rPr>
          <w:rFonts w:asciiTheme="majorBidi" w:eastAsiaTheme="minorEastAsia" w:hAnsiTheme="majorBidi" w:cstheme="majorBidi"/>
        </w:rPr>
        <w:lastRenderedPageBreak/>
        <w:t>conversion that may be used in organizations:</w:t>
      </w:r>
    </w:p>
    <w:p w14:paraId="6D068557" w14:textId="77777777" w:rsidR="00873152" w:rsidRDefault="00873152" w:rsidP="00873152">
      <w:pPr>
        <w:pStyle w:val="AAAAAAA"/>
        <w:numPr>
          <w:ilvl w:val="0"/>
          <w:numId w:val="45"/>
        </w:numPr>
        <w:rPr>
          <w:rFonts w:asciiTheme="majorBidi" w:eastAsiaTheme="minorEastAsia" w:hAnsiTheme="majorBidi" w:cstheme="majorBidi"/>
        </w:rPr>
      </w:pPr>
      <w:r>
        <w:rPr>
          <w:rFonts w:asciiTheme="majorBidi" w:eastAsiaTheme="minorEastAsia" w:hAnsiTheme="majorBidi" w:cstheme="majorBidi"/>
        </w:rPr>
        <w:t>Socialization: when people convert knowledge from tacit to tacit through face-to-face social interactions;</w:t>
      </w:r>
    </w:p>
    <w:p w14:paraId="2E3642AF" w14:textId="77777777" w:rsidR="00873152" w:rsidRDefault="00873152" w:rsidP="00873152">
      <w:pPr>
        <w:pStyle w:val="AAAAAAA"/>
        <w:numPr>
          <w:ilvl w:val="0"/>
          <w:numId w:val="45"/>
        </w:numPr>
        <w:rPr>
          <w:rFonts w:asciiTheme="majorBidi" w:eastAsiaTheme="minorEastAsia" w:hAnsiTheme="majorBidi" w:cstheme="majorBidi"/>
        </w:rPr>
      </w:pPr>
      <w:r>
        <w:rPr>
          <w:rFonts w:asciiTheme="majorBidi" w:eastAsiaTheme="minorEastAsia" w:hAnsiTheme="majorBidi" w:cstheme="majorBidi"/>
        </w:rPr>
        <w:t xml:space="preserve">Externalization: converting knowledge from tacit to explicit by extracting individual knowledge, documenting it and making it available throughout the organization; </w:t>
      </w:r>
    </w:p>
    <w:p w14:paraId="72A8F296" w14:textId="77777777" w:rsidR="00873152" w:rsidRDefault="00873152" w:rsidP="00873152">
      <w:pPr>
        <w:pStyle w:val="AAAAAAA"/>
        <w:numPr>
          <w:ilvl w:val="0"/>
          <w:numId w:val="45"/>
        </w:numPr>
        <w:rPr>
          <w:rFonts w:asciiTheme="majorBidi" w:eastAsiaTheme="minorEastAsia" w:hAnsiTheme="majorBidi" w:cstheme="majorBidi"/>
        </w:rPr>
      </w:pPr>
      <w:r>
        <w:rPr>
          <w:rFonts w:asciiTheme="majorBidi" w:eastAsiaTheme="minorEastAsia" w:hAnsiTheme="majorBidi" w:cstheme="majorBidi"/>
        </w:rPr>
        <w:t xml:space="preserve">Combination: recombining pieces of explicit knowledge into another form, for example, computerizing annual reports; and </w:t>
      </w:r>
    </w:p>
    <w:p w14:paraId="22EBC897" w14:textId="440A95C5" w:rsidR="00873152" w:rsidRPr="00482405" w:rsidRDefault="00873152" w:rsidP="00482405">
      <w:pPr>
        <w:pStyle w:val="AAAAAAA"/>
        <w:numPr>
          <w:ilvl w:val="0"/>
          <w:numId w:val="45"/>
        </w:numPr>
        <w:rPr>
          <w:rFonts w:asciiTheme="majorBidi" w:eastAsiaTheme="minorEastAsia" w:hAnsiTheme="majorBidi" w:cstheme="majorBidi"/>
        </w:rPr>
      </w:pPr>
      <w:r>
        <w:rPr>
          <w:rFonts w:asciiTheme="majorBidi" w:eastAsiaTheme="minorEastAsia" w:hAnsiTheme="majorBidi" w:cstheme="majorBidi"/>
        </w:rPr>
        <w:t>Internalization: converting knowledge from explicit to tacit by capturing new knowledge, enhancing it and reframing it alongside existing knowledge.</w:t>
      </w:r>
    </w:p>
    <w:p w14:paraId="30A423C5" w14:textId="2C16ECBA" w:rsidR="00EE00BF" w:rsidRPr="00114507" w:rsidRDefault="00EE00BF" w:rsidP="002C4A1A">
      <w:pPr>
        <w:pStyle w:val="AAAAAAA"/>
        <w:rPr>
          <w:rFonts w:asciiTheme="majorBidi" w:eastAsiaTheme="minorEastAsia" w:hAnsiTheme="majorBidi" w:cstheme="majorBidi"/>
          <w:color w:val="000000" w:themeColor="text1"/>
        </w:rPr>
      </w:pPr>
      <w:bookmarkStart w:id="85" w:name="_Hlk520569247"/>
      <w:r w:rsidRPr="002A7627">
        <w:rPr>
          <w:rFonts w:asciiTheme="majorBidi" w:eastAsiaTheme="minorEastAsia" w:hAnsiTheme="majorBidi" w:cstheme="majorBidi"/>
        </w:rPr>
        <w:t xml:space="preserve">Knowledge management has been defined in several ways. </w:t>
      </w:r>
      <w:r w:rsidR="00CD0B2F" w:rsidRPr="002A7627">
        <w:rPr>
          <w:rFonts w:asciiTheme="majorBidi" w:eastAsiaTheme="minorEastAsia" w:hAnsiTheme="majorBidi" w:cstheme="majorBidi"/>
        </w:rPr>
        <w:fldChar w:fldCharType="begin" w:fldLock="1"/>
      </w:r>
      <w:r w:rsidR="00CD0B2F" w:rsidRPr="002A7627">
        <w:rPr>
          <w:rFonts w:asciiTheme="majorBidi" w:eastAsiaTheme="minorEastAsia" w:hAnsiTheme="majorBidi" w:cstheme="majorBidi"/>
        </w:rPr>
        <w:instrText>ADDIN CSL_CITATION {"citationItems":[{"id":"ITEM-1","itemData":{"ISBN":"1635491614","author":[{"dropping-particle":"","family":"Marshall","given":"Shawn","non-dropping-particle":"","parse-names":false,"suffix":""}],"id":"ITEM-1","issued":{"date-parts":[["2017"]]},"publisher":"Larsen &amp; Keller Education","publisher-place":"London, UK","title":"Essential guide to knowledge management.","type":"book"},"uris":["http://www.mendeley.com/documents/?uuid=47abd153-ceb5-3e31-bb6c-b210d436714b"]}],"mendeley":{"formattedCitation":"(Marshall, 2017)","manualFormatting":"Marshall (2017)","plainTextFormattedCitation":"(Marshall, 2017)"},"properties":{"noteIndex":0},"schema":"https://github.com/citation-style-language/schema/raw/master/csl-citation.json"}</w:instrText>
      </w:r>
      <w:r w:rsidR="00CD0B2F" w:rsidRPr="002A7627">
        <w:rPr>
          <w:rFonts w:asciiTheme="majorBidi" w:eastAsiaTheme="minorEastAsia" w:hAnsiTheme="majorBidi" w:cstheme="majorBidi"/>
        </w:rPr>
        <w:fldChar w:fldCharType="separate"/>
      </w:r>
      <w:r w:rsidR="00CD0B2F" w:rsidRPr="002A7627">
        <w:rPr>
          <w:rFonts w:asciiTheme="majorBidi" w:eastAsiaTheme="minorEastAsia" w:hAnsiTheme="majorBidi" w:cstheme="majorBidi"/>
          <w:noProof/>
        </w:rPr>
        <w:t>Marshall (2017)</w:t>
      </w:r>
      <w:r w:rsidR="00CD0B2F" w:rsidRPr="002A7627">
        <w:rPr>
          <w:rFonts w:asciiTheme="majorBidi" w:eastAsiaTheme="minorEastAsia" w:hAnsiTheme="majorBidi" w:cstheme="majorBidi"/>
        </w:rPr>
        <w:fldChar w:fldCharType="end"/>
      </w:r>
      <w:r w:rsidRPr="002A7627">
        <w:rPr>
          <w:rFonts w:asciiTheme="majorBidi" w:eastAsiaTheme="minorEastAsia" w:hAnsiTheme="majorBidi" w:cstheme="majorBidi"/>
        </w:rPr>
        <w:t xml:space="preserve"> defined it as the process of </w:t>
      </w:r>
      <w:r w:rsidR="005F4ACA" w:rsidRPr="002A7627">
        <w:rPr>
          <w:rFonts w:asciiTheme="majorBidi" w:eastAsiaTheme="minorEastAsia" w:hAnsiTheme="majorBidi" w:cstheme="majorBidi"/>
        </w:rPr>
        <w:t>gathering</w:t>
      </w:r>
      <w:r w:rsidRPr="002A7627">
        <w:rPr>
          <w:rFonts w:asciiTheme="majorBidi" w:eastAsiaTheme="minorEastAsia" w:hAnsiTheme="majorBidi" w:cstheme="majorBidi"/>
        </w:rPr>
        <w:t>, developing</w:t>
      </w:r>
      <w:r w:rsidR="00193A9C" w:rsidRPr="002A7627">
        <w:rPr>
          <w:rFonts w:asciiTheme="majorBidi" w:eastAsiaTheme="minorEastAsia" w:hAnsiTheme="majorBidi" w:cstheme="majorBidi"/>
        </w:rPr>
        <w:t>,</w:t>
      </w:r>
      <w:r w:rsidRPr="002A7627">
        <w:rPr>
          <w:rFonts w:asciiTheme="majorBidi" w:eastAsiaTheme="minorEastAsia" w:hAnsiTheme="majorBidi" w:cstheme="majorBidi"/>
        </w:rPr>
        <w:t xml:space="preserve"> and sharing knowledge to </w:t>
      </w:r>
      <w:r w:rsidR="005F4ACA" w:rsidRPr="002A7627">
        <w:rPr>
          <w:rFonts w:asciiTheme="majorBidi" w:eastAsiaTheme="minorEastAsia" w:hAnsiTheme="majorBidi" w:cstheme="majorBidi"/>
        </w:rPr>
        <w:t>allow</w:t>
      </w:r>
      <w:r w:rsidRPr="002A7627">
        <w:rPr>
          <w:rFonts w:asciiTheme="majorBidi" w:eastAsiaTheme="minorEastAsia" w:hAnsiTheme="majorBidi" w:cstheme="majorBidi"/>
        </w:rPr>
        <w:t xml:space="preserve"> organizational learning. </w:t>
      </w:r>
      <w:r w:rsidR="001633B1" w:rsidRPr="002A7627">
        <w:t xml:space="preserve">O’Dell, Grayson, and Essaides </w:t>
      </w:r>
      <w:r w:rsidRPr="002A7627">
        <w:rPr>
          <w:rFonts w:asciiTheme="majorBidi" w:eastAsiaTheme="minorEastAsia" w:hAnsiTheme="majorBidi" w:cstheme="majorBidi"/>
        </w:rPr>
        <w:fldChar w:fldCharType="begin" w:fldLock="1"/>
      </w:r>
      <w:r w:rsidR="00E24626" w:rsidRPr="002A7627">
        <w:rPr>
          <w:rFonts w:asciiTheme="majorBidi" w:eastAsiaTheme="minorEastAsia" w:hAnsiTheme="majorBidi" w:cstheme="majorBidi"/>
        </w:rPr>
        <w:instrText>ADDIN CSL_CITATION {"citationItems":[{"id":"ITEM-1","itemData":{"ISBN":"0684844745","author":[{"dropping-particle":"","family":"O'Dell","given":"Carla S","non-dropping-particle":"","parse-names":false,"suffix":""},{"dropping-particle":"","family":"Grayson","given":"C Jackson","non-dropping-particle":"","parse-names":false,"suffix":""},{"dropping-particle":"","family":"Essaides","given":"Nilly","non-dropping-particle":"","parse-names":false,"suffix":""}],"id":"ITEM-1","issued":{"date-parts":[["1998"]]},"publisher":"Simon and Schuster","publisher-place":"London, UK","title":"If only we knew what we know: The transfer of internal knowledge and best practice","type":"book"},"suppress-author":1,"uris":["http://www.mendeley.com/documents/?uuid=831af589-ab2b-4a90-8828-166bb649a058"]}],"mendeley":{"formattedCitation":"(1998)","plainTextFormattedCitation":"(1998)","previouslyFormattedCitation":"(1998)"},"properties":{"noteIndex":0},"schema":"https://github.com/citation-style-language/schema/raw/master/csl-citation.json"}</w:instrText>
      </w:r>
      <w:r w:rsidRPr="002A7627">
        <w:rPr>
          <w:rFonts w:asciiTheme="majorBidi" w:eastAsiaTheme="minorEastAsia" w:hAnsiTheme="majorBidi" w:cstheme="majorBidi"/>
        </w:rPr>
        <w:fldChar w:fldCharType="separate"/>
      </w:r>
      <w:r w:rsidRPr="002A7627">
        <w:rPr>
          <w:rFonts w:asciiTheme="majorBidi" w:eastAsiaTheme="minorEastAsia" w:hAnsiTheme="majorBidi" w:cstheme="majorBidi"/>
          <w:noProof/>
        </w:rPr>
        <w:t>(1998)</w:t>
      </w:r>
      <w:r w:rsidRPr="002A7627">
        <w:rPr>
          <w:rFonts w:asciiTheme="majorBidi" w:eastAsiaTheme="minorEastAsia" w:hAnsiTheme="majorBidi" w:cstheme="majorBidi"/>
        </w:rPr>
        <w:fldChar w:fldCharType="end"/>
      </w:r>
      <w:r w:rsidRPr="002A7627">
        <w:rPr>
          <w:rFonts w:asciiTheme="majorBidi" w:eastAsiaTheme="minorEastAsia" w:hAnsiTheme="majorBidi" w:cstheme="majorBidi"/>
        </w:rPr>
        <w:t xml:space="preserve"> defined it as a strategy to distribute the </w:t>
      </w:r>
      <w:r w:rsidR="000C3077">
        <w:rPr>
          <w:rFonts w:asciiTheme="majorBidi" w:eastAsiaTheme="minorEastAsia" w:hAnsiTheme="majorBidi" w:cstheme="majorBidi"/>
        </w:rPr>
        <w:t>right</w:t>
      </w:r>
      <w:r w:rsidR="000C3077" w:rsidRPr="002A7627">
        <w:rPr>
          <w:rFonts w:asciiTheme="majorBidi" w:eastAsiaTheme="minorEastAsia" w:hAnsiTheme="majorBidi" w:cstheme="majorBidi"/>
        </w:rPr>
        <w:t xml:space="preserve"> </w:t>
      </w:r>
      <w:r w:rsidRPr="002A7627">
        <w:rPr>
          <w:rFonts w:asciiTheme="majorBidi" w:eastAsiaTheme="minorEastAsia" w:hAnsiTheme="majorBidi" w:cstheme="majorBidi"/>
        </w:rPr>
        <w:t xml:space="preserve">knowledge to the </w:t>
      </w:r>
      <w:r w:rsidR="000C3077">
        <w:rPr>
          <w:rFonts w:asciiTheme="majorBidi" w:eastAsiaTheme="minorEastAsia" w:hAnsiTheme="majorBidi" w:cstheme="majorBidi"/>
        </w:rPr>
        <w:t>right</w:t>
      </w:r>
      <w:r w:rsidR="000C3077" w:rsidRPr="002A7627">
        <w:rPr>
          <w:rFonts w:asciiTheme="majorBidi" w:eastAsiaTheme="minorEastAsia" w:hAnsiTheme="majorBidi" w:cstheme="majorBidi"/>
        </w:rPr>
        <w:t xml:space="preserve"> </w:t>
      </w:r>
      <w:r w:rsidRPr="002A7627">
        <w:rPr>
          <w:rFonts w:asciiTheme="majorBidi" w:eastAsiaTheme="minorEastAsia" w:hAnsiTheme="majorBidi" w:cstheme="majorBidi"/>
        </w:rPr>
        <w:t>people at the right</w:t>
      </w:r>
      <w:r w:rsidR="007A0E9F">
        <w:rPr>
          <w:rFonts w:asciiTheme="majorBidi" w:eastAsiaTheme="minorEastAsia" w:hAnsiTheme="majorBidi" w:cstheme="majorBidi"/>
        </w:rPr>
        <w:t xml:space="preserve"> </w:t>
      </w:r>
      <w:r w:rsidRPr="002A7627">
        <w:rPr>
          <w:rFonts w:asciiTheme="majorBidi" w:eastAsiaTheme="minorEastAsia" w:hAnsiTheme="majorBidi" w:cstheme="majorBidi"/>
        </w:rPr>
        <w:t xml:space="preserve">time, to help </w:t>
      </w:r>
      <w:r w:rsidRPr="00114507">
        <w:rPr>
          <w:rFonts w:asciiTheme="majorBidi" w:eastAsiaTheme="minorEastAsia" w:hAnsiTheme="majorBidi" w:cstheme="majorBidi"/>
          <w:color w:val="000000" w:themeColor="text1"/>
        </w:rPr>
        <w:t>individuals to share knowledge and improve organizational performance</w:t>
      </w:r>
      <w:bookmarkEnd w:id="85"/>
      <w:r w:rsidRPr="00114507">
        <w:rPr>
          <w:rFonts w:asciiTheme="majorBidi" w:eastAsiaTheme="minorEastAsia" w:hAnsiTheme="majorBidi" w:cstheme="majorBidi"/>
          <w:color w:val="000000" w:themeColor="text1"/>
        </w:rPr>
        <w:t xml:space="preserve">. </w:t>
      </w:r>
      <w:r w:rsidR="0075026B" w:rsidRPr="00114507">
        <w:rPr>
          <w:rFonts w:asciiTheme="majorBidi" w:eastAsiaTheme="minorEastAsia" w:hAnsiTheme="majorBidi" w:cstheme="majorBidi"/>
          <w:color w:val="000000" w:themeColor="text1"/>
        </w:rPr>
        <w:fldChar w:fldCharType="begin" w:fldLock="1"/>
      </w:r>
      <w:r w:rsidR="0075026B" w:rsidRPr="00114507">
        <w:rPr>
          <w:rFonts w:asciiTheme="majorBidi" w:eastAsiaTheme="minorEastAsia" w:hAnsiTheme="majorBidi" w:cstheme="majorBidi"/>
          <w:color w:val="000000" w:themeColor="text1"/>
        </w:rPr>
        <w:instrText>ADDIN CSL_CITATION {"citationItems":[{"id":"ITEM-1","itemData":{"ISBN":"0017-8012","ISSN":"0017-8012","PMID":"10127041","abstract":"A learning organization values the role that learning can play in developing organizational effectiveness. It demonstrates this by having an inspiring vision for learning and a learning strategy that will support the organization in achieving its vision. For organizations wishing to remain relevant and thrive, learning better and faster is critically important. Many organizations apply quick and easy fixes often driven by technology. Most are futile attempts to create organizational change. However, organizational learning is neither possible nor sustainable without understanding what drives it. The figure below shows the subsystems of a learning organization: organization, people, knowledge, and technology. Each subsystem supports the others in magnifying the learning as it permeates across the system. Keywords","author":[{"dropping-particle":"","family":"Serrat","given":"Olivier","non-dropping-particle":"","parse-names":false,"suffix":""}],"container-title":"Knowledge Solutions","id":"ITEM-1","issued":{"date-parts":[["2017"]]},"page":"57-67","publisher":"Springer","publisher-place":"Singapore, Singapore","title":"Building a learning organization","type":"chapter"},"uris":["http://www.mendeley.com/documents/?uuid=206d2df2-e7ec-42bf-a641-53240ff20c7b"]}],"mendeley":{"formattedCitation":"(Serrat, 2017)","manualFormatting":"Serrat (2017)","plainTextFormattedCitation":"(Serrat, 2017)","previouslyFormattedCitation":"(Serrat, 2017)"},"properties":{"noteIndex":0},"schema":"https://github.com/citation-style-language/schema/raw/master/csl-citation.json"}</w:instrText>
      </w:r>
      <w:r w:rsidR="0075026B" w:rsidRPr="00114507">
        <w:rPr>
          <w:rFonts w:asciiTheme="majorBidi" w:eastAsiaTheme="minorEastAsia" w:hAnsiTheme="majorBidi" w:cstheme="majorBidi"/>
          <w:color w:val="000000" w:themeColor="text1"/>
        </w:rPr>
        <w:fldChar w:fldCharType="separate"/>
      </w:r>
      <w:r w:rsidR="0075026B" w:rsidRPr="00114507">
        <w:rPr>
          <w:rFonts w:asciiTheme="majorBidi" w:eastAsiaTheme="minorEastAsia" w:hAnsiTheme="majorBidi" w:cstheme="majorBidi"/>
          <w:noProof/>
          <w:color w:val="000000" w:themeColor="text1"/>
        </w:rPr>
        <w:t>Serrat (2017)</w:t>
      </w:r>
      <w:r w:rsidR="0075026B" w:rsidRPr="00114507">
        <w:rPr>
          <w:rFonts w:asciiTheme="majorBidi" w:eastAsiaTheme="minorEastAsia" w:hAnsiTheme="majorBidi" w:cstheme="majorBidi"/>
          <w:color w:val="000000" w:themeColor="text1"/>
        </w:rPr>
        <w:fldChar w:fldCharType="end"/>
      </w:r>
      <w:r w:rsidRPr="00114507">
        <w:rPr>
          <w:rFonts w:asciiTheme="majorBidi" w:eastAsiaTheme="minorEastAsia" w:hAnsiTheme="majorBidi" w:cstheme="majorBidi"/>
          <w:color w:val="000000" w:themeColor="text1"/>
        </w:rPr>
        <w:t xml:space="preserve"> defined knowledge </w:t>
      </w:r>
      <w:r w:rsidR="000C3077" w:rsidRPr="00114507">
        <w:rPr>
          <w:rFonts w:asciiTheme="majorBidi" w:eastAsiaTheme="minorEastAsia" w:hAnsiTheme="majorBidi" w:cstheme="majorBidi"/>
          <w:color w:val="000000" w:themeColor="text1"/>
        </w:rPr>
        <w:t xml:space="preserve">management </w:t>
      </w:r>
      <w:r w:rsidRPr="00114507">
        <w:rPr>
          <w:rFonts w:asciiTheme="majorBidi" w:eastAsiaTheme="minorEastAsia" w:hAnsiTheme="majorBidi" w:cstheme="majorBidi"/>
          <w:color w:val="000000" w:themeColor="text1"/>
        </w:rPr>
        <w:t>as a</w:t>
      </w:r>
      <w:r w:rsidR="00196FA2" w:rsidRPr="00114507">
        <w:rPr>
          <w:rFonts w:asciiTheme="majorBidi" w:eastAsiaTheme="minorEastAsia" w:hAnsiTheme="majorBidi" w:cstheme="majorBidi"/>
          <w:color w:val="000000" w:themeColor="text1"/>
        </w:rPr>
        <w:t>n</w:t>
      </w:r>
      <w:r w:rsidRPr="00114507">
        <w:rPr>
          <w:rFonts w:asciiTheme="majorBidi" w:eastAsiaTheme="minorEastAsia" w:hAnsiTheme="majorBidi" w:cstheme="majorBidi"/>
          <w:color w:val="000000" w:themeColor="text1"/>
        </w:rPr>
        <w:t xml:space="preserve"> </w:t>
      </w:r>
      <w:r w:rsidR="00196FA2" w:rsidRPr="00114507">
        <w:rPr>
          <w:rFonts w:asciiTheme="majorBidi" w:eastAsiaTheme="minorEastAsia" w:hAnsiTheme="majorBidi" w:cstheme="majorBidi"/>
          <w:color w:val="000000" w:themeColor="text1"/>
        </w:rPr>
        <w:t>organized</w:t>
      </w:r>
      <w:r w:rsidRPr="00114507">
        <w:rPr>
          <w:rFonts w:asciiTheme="majorBidi" w:eastAsiaTheme="minorEastAsia" w:hAnsiTheme="majorBidi" w:cstheme="majorBidi"/>
          <w:color w:val="000000" w:themeColor="text1"/>
        </w:rPr>
        <w:t xml:space="preserve"> </w:t>
      </w:r>
      <w:r w:rsidR="00196FA2" w:rsidRPr="00114507">
        <w:rPr>
          <w:rFonts w:asciiTheme="majorBidi" w:eastAsiaTheme="minorEastAsia" w:hAnsiTheme="majorBidi" w:cstheme="majorBidi"/>
          <w:color w:val="000000" w:themeColor="text1"/>
        </w:rPr>
        <w:t xml:space="preserve">method </w:t>
      </w:r>
      <w:r w:rsidRPr="00114507">
        <w:rPr>
          <w:rFonts w:asciiTheme="majorBidi" w:eastAsiaTheme="minorEastAsia" w:hAnsiTheme="majorBidi" w:cstheme="majorBidi"/>
          <w:color w:val="000000" w:themeColor="text1"/>
        </w:rPr>
        <w:t xml:space="preserve">that enables people to collect knowledge resources and identify, store and share them for benefits such as working faster and promoting best practice </w:t>
      </w:r>
      <w:r w:rsidRPr="00114507">
        <w:rPr>
          <w:rFonts w:asciiTheme="majorBidi" w:eastAsiaTheme="minorEastAsia" w:hAnsiTheme="majorBidi" w:cstheme="majorBidi"/>
          <w:color w:val="000000" w:themeColor="text1"/>
        </w:rPr>
        <w:fldChar w:fldCharType="begin" w:fldLock="1"/>
      </w:r>
      <w:r w:rsidR="0083144E" w:rsidRPr="00114507">
        <w:rPr>
          <w:rFonts w:asciiTheme="majorBidi" w:eastAsiaTheme="minorEastAsia" w:hAnsiTheme="majorBidi" w:cstheme="majorBidi"/>
          <w:color w:val="000000" w:themeColor="text1"/>
        </w:rPr>
        <w:instrText>ADDIN CSL_CITATION {"citationItems":[{"id":"ITEM-1","itemData":{"DOI":"10.1016/S0024-6301(99)00115-6","ISSN":"00246301","abstract":"Despite the widely recognised importance of knowledge as a vital source of competitive advantage, there is little understanding of how organisations actually create and manage knowledge dynamically. Nonaka, Toyama and Konno start from the view of an organisation as an entity that creates knowledge continuously, and their goal in this article is to understand the dynamic process in which an organisation creates, maintains and exploits knowledge. They propose a model of knowledge creation consisting of three elements: (i) the SECI process, knowledge creation through the conversion of tacit and explicit knowledge; (ii) 'ba', the shared context for knowledge creation; and (iii) knowledge assets, the inputs, outputs and moderators of the knowledge-creating process. The knowledge creation process is a spiral that grows out of these three elements; the key to leading it is dialectical thinking. The role of top management in articulating the organisation's knowledge vision is emphasised, as is the important role of middle management ('knowledge producers') in energising ba. In summary, using existing knowledge assets, an organisation creates new knowledge through the SECI process that takes place in ba, where new knowledge, once created, becomes in turn the basis for a new spiral of knowledge creation. © 2000 Elsevier Science Ltd. All rights reserved.","author":[{"dropping-particle":"","family":"Nonaka","given":"Ikujiro","non-dropping-particle":"","parse-names":false,"suffix":""},{"dropping-particle":"","family":"Toyama","given":"Ryoko","non-dropping-particle":"","parse-names":false,"suffix":""},{"dropping-particle":"","family":"Konno","given":"Noboru","non-dropping-particle":"","parse-names":false,"suffix":""}],"container-title":"Long Range Planning","id":"ITEM-1","issue":"1","issued":{"date-parts":[["2000","2"]]},"page":"5-34","title":"SECI, Ba and leadership: A unified model of dynamic knowledge creation","type":"article-journal","volume":"33"},"uris":["http://www.mendeley.com/documents/?uuid=f12a62d7-0784-41b0-8c3a-c36be7f8df39"]}],"mendeley":{"formattedCitation":"(Nonaka, Toyama, &amp; Konno, 2000)","manualFormatting":"(Nonaka, Toyama, &amp; Konno, 2000)","plainTextFormattedCitation":"(Nonaka, Toyama, &amp; Konno, 2000)","previouslyFormattedCitation":"(Nonaka, Toyama, &amp; Konno, 2000)"},"properties":{"noteIndex":0},"schema":"https://github.com/citation-style-language/schema/raw/master/csl-citation.json"}</w:instrText>
      </w:r>
      <w:r w:rsidRPr="00114507">
        <w:rPr>
          <w:rFonts w:asciiTheme="majorBidi" w:eastAsiaTheme="minorEastAsia" w:hAnsiTheme="majorBidi" w:cstheme="majorBidi"/>
          <w:color w:val="000000" w:themeColor="text1"/>
        </w:rPr>
        <w:fldChar w:fldCharType="separate"/>
      </w:r>
      <w:r w:rsidRPr="00114507">
        <w:rPr>
          <w:rFonts w:asciiTheme="majorBidi" w:eastAsiaTheme="minorEastAsia" w:hAnsiTheme="majorBidi" w:cstheme="majorBidi"/>
          <w:noProof/>
          <w:color w:val="000000" w:themeColor="text1"/>
        </w:rPr>
        <w:t xml:space="preserve">(Nonaka, Toyama, </w:t>
      </w:r>
      <w:r w:rsidR="0083144E" w:rsidRPr="00114507">
        <w:rPr>
          <w:rFonts w:asciiTheme="majorBidi" w:eastAsiaTheme="minorEastAsia" w:hAnsiTheme="majorBidi" w:cstheme="majorBidi"/>
          <w:noProof/>
          <w:color w:val="000000" w:themeColor="text1"/>
        </w:rPr>
        <w:t>&amp; Konno, 2000)</w:t>
      </w:r>
      <w:r w:rsidRPr="00114507">
        <w:rPr>
          <w:rFonts w:asciiTheme="majorBidi" w:eastAsiaTheme="minorEastAsia" w:hAnsiTheme="majorBidi" w:cstheme="majorBidi"/>
          <w:color w:val="000000" w:themeColor="text1"/>
        </w:rPr>
        <w:fldChar w:fldCharType="end"/>
      </w:r>
      <w:r w:rsidRPr="00114507">
        <w:rPr>
          <w:rFonts w:asciiTheme="majorBidi" w:eastAsiaTheme="minorEastAsia" w:hAnsiTheme="majorBidi" w:cstheme="majorBidi"/>
          <w:color w:val="000000" w:themeColor="text1"/>
        </w:rPr>
        <w:t>. It can</w:t>
      </w:r>
      <w:r w:rsidR="00054373" w:rsidRPr="00114507">
        <w:rPr>
          <w:rFonts w:asciiTheme="majorBidi" w:eastAsiaTheme="minorEastAsia" w:hAnsiTheme="majorBidi" w:cstheme="majorBidi"/>
          <w:color w:val="000000" w:themeColor="text1"/>
        </w:rPr>
        <w:t xml:space="preserve">, therefore, </w:t>
      </w:r>
      <w:r w:rsidRPr="00114507">
        <w:rPr>
          <w:rFonts w:asciiTheme="majorBidi" w:eastAsiaTheme="minorEastAsia" w:hAnsiTheme="majorBidi" w:cstheme="majorBidi"/>
          <w:color w:val="000000" w:themeColor="text1"/>
        </w:rPr>
        <w:t xml:space="preserve">be considered as a mixture of information management and organizational learning </w:t>
      </w:r>
      <w:r w:rsidRPr="00114507">
        <w:rPr>
          <w:rFonts w:asciiTheme="majorBidi" w:eastAsiaTheme="minorEastAsia" w:hAnsiTheme="majorBidi" w:cstheme="majorBidi"/>
          <w:color w:val="000000" w:themeColor="text1"/>
        </w:rPr>
        <w:fldChar w:fldCharType="begin" w:fldLock="1"/>
      </w:r>
      <w:r w:rsidR="0075026B" w:rsidRPr="00114507">
        <w:rPr>
          <w:rFonts w:asciiTheme="majorBidi" w:eastAsiaTheme="minorEastAsia" w:hAnsiTheme="majorBidi" w:cstheme="majorBidi"/>
          <w:color w:val="000000" w:themeColor="text1"/>
        </w:rPr>
        <w:instrText>ADDIN CSL_CITATION {"citationItems":[{"id":"ITEM-1","itemData":{"ISBN":"0017-8012","ISSN":"0017-8012","PMID":"10127041","abstract":"A learning organization values the role that learning can play in developing organizational effectiveness. It demonstrates this by having an inspiring vision for learning and a learning strategy that will support the organization in achieving its vision. For organizations wishing to remain relevant and thrive, learning better and faster is critically important. Many organizations apply quick and easy fixes often driven by technology. Most are futile attempts to create organizational change. However, organizational learning is neither possible nor sustainable without understanding what drives it. The figure below shows the subsystems of a learning organization: organization, people, knowledge, and technology. Each subsystem supports the others in magnifying the learning as it permeates across the system. Keywords","author":[{"dropping-particle":"","family":"Serrat","given":"Olivier","non-dropping-particle":"","parse-names":false,"suffix":""}],"container-title":"Knowledge Solutions","id":"ITEM-1","issued":{"date-parts":[["2017"]]},"page":"57-67","publisher":"Springer","publisher-place":"Singapore, Singapore","title":"Building a learning organization","type":"chapter"},"uris":["http://www.mendeley.com/documents/?uuid=206d2df2-e7ec-42bf-a641-53240ff20c7b"]}],"mendeley":{"formattedCitation":"(Serrat, 2017)","plainTextFormattedCitation":"(Serrat, 2017)","previouslyFormattedCitation":"(Serrat, 2017)"},"properties":{"noteIndex":0},"schema":"https://github.com/citation-style-language/schema/raw/master/csl-citation.json"}</w:instrText>
      </w:r>
      <w:r w:rsidRPr="00114507">
        <w:rPr>
          <w:rFonts w:asciiTheme="majorBidi" w:eastAsiaTheme="minorEastAsia" w:hAnsiTheme="majorBidi" w:cstheme="majorBidi"/>
          <w:color w:val="000000" w:themeColor="text1"/>
        </w:rPr>
        <w:fldChar w:fldCharType="separate"/>
      </w:r>
      <w:r w:rsidR="0075026B" w:rsidRPr="00114507">
        <w:rPr>
          <w:rFonts w:asciiTheme="majorBidi" w:eastAsiaTheme="minorEastAsia" w:hAnsiTheme="majorBidi" w:cstheme="majorBidi"/>
          <w:noProof/>
          <w:color w:val="000000" w:themeColor="text1"/>
        </w:rPr>
        <w:t>(Serrat, 2017)</w:t>
      </w:r>
      <w:r w:rsidRPr="00114507">
        <w:rPr>
          <w:rFonts w:asciiTheme="majorBidi" w:eastAsiaTheme="minorEastAsia" w:hAnsiTheme="majorBidi" w:cstheme="majorBidi"/>
          <w:color w:val="000000" w:themeColor="text1"/>
        </w:rPr>
        <w:fldChar w:fldCharType="end"/>
      </w:r>
      <w:r w:rsidRPr="00114507">
        <w:rPr>
          <w:rFonts w:asciiTheme="majorBidi" w:eastAsiaTheme="minorEastAsia" w:hAnsiTheme="majorBidi" w:cstheme="majorBidi"/>
          <w:color w:val="000000" w:themeColor="text1"/>
        </w:rPr>
        <w:t xml:space="preserve">. </w:t>
      </w:r>
      <w:r w:rsidR="000C3077" w:rsidRPr="00114507">
        <w:rPr>
          <w:rFonts w:asciiTheme="majorBidi" w:eastAsiaTheme="minorEastAsia" w:hAnsiTheme="majorBidi" w:cstheme="majorBidi"/>
          <w:color w:val="000000" w:themeColor="text1"/>
        </w:rPr>
        <w:t xml:space="preserve">It </w:t>
      </w:r>
      <w:r w:rsidRPr="00114507">
        <w:rPr>
          <w:rFonts w:asciiTheme="majorBidi" w:eastAsiaTheme="minorEastAsia" w:hAnsiTheme="majorBidi" w:cstheme="majorBidi"/>
          <w:color w:val="000000" w:themeColor="text1"/>
        </w:rPr>
        <w:t xml:space="preserve">can also be defined as a system that improves the performance of both </w:t>
      </w:r>
      <w:r w:rsidR="005F4ACA" w:rsidRPr="00114507">
        <w:rPr>
          <w:rFonts w:asciiTheme="majorBidi" w:eastAsiaTheme="minorEastAsia" w:hAnsiTheme="majorBidi" w:cstheme="majorBidi"/>
          <w:color w:val="000000" w:themeColor="text1"/>
        </w:rPr>
        <w:t>people</w:t>
      </w:r>
      <w:r w:rsidRPr="00114507">
        <w:rPr>
          <w:rFonts w:asciiTheme="majorBidi" w:eastAsiaTheme="minorEastAsia" w:hAnsiTheme="majorBidi" w:cstheme="majorBidi"/>
          <w:color w:val="000000" w:themeColor="text1"/>
        </w:rPr>
        <w:t xml:space="preserve"> and organizations and </w:t>
      </w:r>
      <w:r w:rsidRPr="00114507">
        <w:rPr>
          <w:rFonts w:asciiTheme="majorBidi" w:eastAsiaTheme="minorEastAsia" w:hAnsiTheme="majorBidi" w:cstheme="majorBidi"/>
          <w:color w:val="000000" w:themeColor="text1"/>
        </w:rPr>
        <w:lastRenderedPageBreak/>
        <w:t xml:space="preserve">leverages the current and future value of knowledge assets through intellectual assets </w:t>
      </w:r>
      <w:r w:rsidRPr="00114507">
        <w:rPr>
          <w:rFonts w:asciiTheme="majorBidi" w:eastAsiaTheme="minorEastAsia" w:hAnsiTheme="majorBidi" w:cstheme="majorBidi"/>
          <w:color w:val="000000" w:themeColor="text1"/>
        </w:rPr>
        <w:fldChar w:fldCharType="begin" w:fldLock="1"/>
      </w:r>
      <w:r w:rsidRPr="00114507">
        <w:rPr>
          <w:rFonts w:asciiTheme="majorBidi" w:eastAsiaTheme="minorEastAsia" w:hAnsiTheme="majorBidi" w:cstheme="majorBidi"/>
          <w:color w:val="000000" w:themeColor="text1"/>
        </w:rPr>
        <w:instrText>ADDIN CSL_CITATION {"citationItems":[{"id":"ITEM-1","itemData":{"author":[{"dropping-particle":"","family":"Stankosky M","given":"","non-dropping-particle":"","parse-names":false,"suffix":""}],"container-title":"Keynote address to ICICKM. In International Conference on Intellectual Capital","id":"ITEM-1","issued":{"date-parts":[["2008"]]},"page":"9-10","title":"Knowledge Management and Organisational Learning","type":"article-journal"},"uris":["http://www.mendeley.com/documents/?uuid=48b246e0-970f-4f82-a539-e5c4e4b8f9a6"]}],"mendeley":{"formattedCitation":"(Stankosky M, 2008)","manualFormatting":"(Stankosky, 2008)","plainTextFormattedCitation":"(Stankosky M, 2008)","previouslyFormattedCitation":"(Stankosky M, 2008)"},"properties":{"noteIndex":0},"schema":"https://github.com/citation-style-language/schema/raw/master/csl-citation.json"}</w:instrText>
      </w:r>
      <w:r w:rsidRPr="00114507">
        <w:rPr>
          <w:rFonts w:asciiTheme="majorBidi" w:eastAsiaTheme="minorEastAsia" w:hAnsiTheme="majorBidi" w:cstheme="majorBidi"/>
          <w:color w:val="000000" w:themeColor="text1"/>
        </w:rPr>
        <w:fldChar w:fldCharType="separate"/>
      </w:r>
      <w:r w:rsidRPr="00114507">
        <w:rPr>
          <w:rFonts w:asciiTheme="majorBidi" w:eastAsiaTheme="minorEastAsia" w:hAnsiTheme="majorBidi" w:cstheme="majorBidi"/>
          <w:noProof/>
          <w:color w:val="000000" w:themeColor="text1"/>
        </w:rPr>
        <w:t>(Stankosky, 2008)</w:t>
      </w:r>
      <w:r w:rsidRPr="00114507">
        <w:rPr>
          <w:rFonts w:asciiTheme="majorBidi" w:eastAsiaTheme="minorEastAsia" w:hAnsiTheme="majorBidi" w:cstheme="majorBidi"/>
          <w:color w:val="000000" w:themeColor="text1"/>
        </w:rPr>
        <w:fldChar w:fldCharType="end"/>
      </w:r>
      <w:r w:rsidRPr="00114507">
        <w:rPr>
          <w:rFonts w:asciiTheme="majorBidi" w:eastAsiaTheme="minorEastAsia" w:hAnsiTheme="majorBidi" w:cstheme="majorBidi"/>
          <w:color w:val="000000" w:themeColor="text1"/>
        </w:rPr>
        <w:t xml:space="preserve">. </w:t>
      </w:r>
    </w:p>
    <w:p w14:paraId="23FD1309" w14:textId="2870C070" w:rsidR="00EE00BF" w:rsidRDefault="00EE00BF" w:rsidP="00054373">
      <w:pPr>
        <w:pStyle w:val="AAAAAAA"/>
        <w:rPr>
          <w:rFonts w:asciiTheme="majorBidi" w:eastAsiaTheme="minorEastAsia" w:hAnsiTheme="majorBidi" w:cstheme="majorBidi"/>
          <w:color w:val="000000" w:themeColor="text1"/>
        </w:rPr>
      </w:pPr>
      <w:r w:rsidRPr="00114507">
        <w:rPr>
          <w:color w:val="000000" w:themeColor="text1"/>
        </w:rPr>
        <w:t xml:space="preserve">Many of the different definitions of knowledge management share a common core: that it is a way to enhance organizational performance by following a particular process that ends with sharing information. Knowledge management contributes to </w:t>
      </w:r>
      <w:r w:rsidR="00685DDC" w:rsidRPr="00114507">
        <w:rPr>
          <w:color w:val="000000" w:themeColor="text1"/>
        </w:rPr>
        <w:t xml:space="preserve">decision making, </w:t>
      </w:r>
      <w:r w:rsidRPr="00114507">
        <w:rPr>
          <w:color w:val="000000" w:themeColor="text1"/>
        </w:rPr>
        <w:t xml:space="preserve">business strategy, </w:t>
      </w:r>
      <w:r w:rsidR="00845A10" w:rsidRPr="00114507">
        <w:rPr>
          <w:color w:val="000000" w:themeColor="text1"/>
        </w:rPr>
        <w:t xml:space="preserve">organizational performance and </w:t>
      </w:r>
      <w:r w:rsidRPr="00114507">
        <w:rPr>
          <w:color w:val="000000" w:themeColor="text1"/>
        </w:rPr>
        <w:t xml:space="preserve">organizational learning </w:t>
      </w:r>
      <w:r w:rsidRPr="00114507">
        <w:rPr>
          <w:color w:val="000000" w:themeColor="text1"/>
        </w:rPr>
        <w:fldChar w:fldCharType="begin" w:fldLock="1"/>
      </w:r>
      <w:r w:rsidR="00E24626" w:rsidRPr="00114507">
        <w:rPr>
          <w:color w:val="000000" w:themeColor="text1"/>
        </w:rPr>
        <w:instrText>ADDIN CSL_CITATION {"citationItems":[{"id":"ITEM-1","itemData":{"DOI":"10.1108/JKM-12-2015-0521","ISBN":"1367-3270","ISSN":"1367-3270","PMID":"118869012","abstract":"Purpose This paper aims to examine the views of the global knowledge management (KM) community on the research area of KM and business performance and identify key future research themes. Design/methodology/approach An interview study spanning 222 informants in 38 countries was launched to collect data on KM expert views concerning the future research needs of the KM field. Findings The value contribution of KM requires more research despite experts agreeing on the complexities involved in solving this challenge. Further research areas identified were related to the influence of KM to support business strategy, intellectual capital, decision-making, knowledge sharing, organizational learning, innovation performance, productivity and competitive advantage. Research limitations/implications The sample is dominated by European-based KM experts and the self-selecting sampling approach that was used by relying on the networks of each partner could have biased the structure of this sample. Practical implications The recognition of the complexity to demonstrate the value contribution of KM could prevent practitioners from using over-simplified approaches and encourage them to use more advanced measurement approaches. Originality/value The paper is unique, in that it reports on the views of 222 KM experts from 38 countries representing both academia and practice, on the issue of future research needs in terms of KM and business outcomes. As such it provides valuable guidance for future studies in the KM field and related subjects.","author":[{"dropping-particle":"","family":"Heisig","given":"Peter","non-dropping-particle":"","parse-names":false,"suffix":""},{"dropping-particle":"","family":"Suraj","given":"Olunifesi Adekunle","non-dropping-particle":"","parse-names":false,"suffix":""},{"dropping-particle":"","family":"Kianto","given":"Aino","non-dropping-particle":"","parse-names":false,"suffix":""},{"dropping-particle":"","family":"Kemboi","given":"Cosmas","non-dropping-particle":"","parse-names":false,"suffix":""},{"dropping-particle":"","family":"Perez Arrau","given":"Gregorio","non-dropping-particle":"","parse-names":false,"suffix":""},{"dropping-particle":"","family":"Fathi Easa","given":"Nasser","non-dropping-particle":"","parse-names":false,"suffix":""}],"container-title":"Journal of Knowledge Management","id":"ITEM-1","issue":"6","issued":{"date-parts":[["2016"]]},"page":"1169-1198","title":"Knowledge management and business performance: Global experts’ views on future research needs","type":"article-journal","volume":"20"},"uris":["http://www.mendeley.com/documents/?uuid=08438de8-d160-40ed-b343-4eac4e45f4b9"]},{"id":"ITEM-2","itemData":{"DOI":"10.1108/JKM-12-2012-0381","ISSN":"1367-3270","abstract":"Knowledge management and measurement: a critical review","author":[{"dropping-particle":"","family":"Ragab","given":"Mohamed A. F.","non-dropping-particle":"","parse-names":false,"suffix":""},{"dropping-particle":"","family":"Arisha","given":"Amr","non-dropping-particle":"","parse-names":false,"suffix":""}],"container-title":"Journal of Knowledge Management","id":"ITEM-2","issue":"6","issued":{"date-parts":[["2013","10","21"]]},"page":"873-901","title":"Knowledge management and measurement: A critical review","type":"article-journal","volume":"17"},"uris":["http://www.mendeley.com/documents/?uuid=5bc6f112-4fc1-42e0-9644-3b4e82670bf6"]}],"mendeley":{"formattedCitation":"(Heisig et al., 2016; Ragab &amp; Arisha, 2013)","plainTextFormattedCitation":"(Heisig et al., 2016; Ragab &amp; Arisha, 2013)","previouslyFormattedCitation":"(Heisig et al., 2016; Ragab &amp; Arisha, 2013)"},"properties":{"noteIndex":0},"schema":"https://github.com/citation-style-language/schema/raw/master/csl-citation.json"}</w:instrText>
      </w:r>
      <w:r w:rsidRPr="00114507">
        <w:rPr>
          <w:color w:val="000000" w:themeColor="text1"/>
        </w:rPr>
        <w:fldChar w:fldCharType="separate"/>
      </w:r>
      <w:r w:rsidRPr="00114507">
        <w:rPr>
          <w:noProof/>
          <w:color w:val="000000" w:themeColor="text1"/>
        </w:rPr>
        <w:t>(Heisig et al., 2016; Ragab &amp; Arisha, 2013)</w:t>
      </w:r>
      <w:r w:rsidRPr="00114507">
        <w:rPr>
          <w:color w:val="000000" w:themeColor="text1"/>
        </w:rPr>
        <w:fldChar w:fldCharType="end"/>
      </w:r>
      <w:r w:rsidRPr="00114507">
        <w:rPr>
          <w:color w:val="000000" w:themeColor="text1"/>
        </w:rPr>
        <w:t xml:space="preserve">. Despite its importance and considerable work by organizations to encourage knowledge management, many knowledge management initiatives and activities fail </w:t>
      </w:r>
      <w:r w:rsidRPr="00114507">
        <w:rPr>
          <w:color w:val="000000" w:themeColor="text1"/>
        </w:rPr>
        <w:fldChar w:fldCharType="begin" w:fldLock="1"/>
      </w:r>
      <w:r w:rsidR="003C4C7A" w:rsidRPr="00114507">
        <w:rPr>
          <w:color w:val="000000" w:themeColor="text1"/>
        </w:rPr>
        <w:instrText>ADDIN CSL_CITATION {"citationItems":[{"id":"ITEM-1","itemData":{"DOI":"10.1089/cpb.2007.0019","ISBN":"10949313","ISSN":"1094-9313","PMID":"18275313","abstract":"This qualitative study investigated online interpersonal trust formation in knowledge-sharing (KS) practice, with emphasis on the interplay between the physical and virtual social contexts. Data were collected during a 6-month period from phenomenological interviews of 49 elementary and junior high school teachers who used a Web-based knowledge management system (KMS) to share their knowledge. Interpretive analysis revealed three important facets of the interpersonal trust formation process in using Web-based KMS: (a) the social role of the teachers, (b) the rigid and tight professional community, and (c) the keys to breaking through. Results of this study can lead to a better understanding of how an individual's perception is shaped and to what extent social factors affect knowledge-sharing practice in virtual communities. In addition to the practical implications to those who intend to manage knowledge-intensive activities, our study demonstrates the relevance of phenomenology for trust in KS research and provides a new way of viewing knowledge management problems in terms of human consciousness.","author":[{"dropping-particle":"","family":"Young","given":"Mei-Lien","non-dropping-particle":"","parse-names":false,"suffix":""},{"dropping-particle":"","family":"Tseng","given":"Fan-Chuan","non-dropping-particle":"","parse-names":false,"suffix":""}],"container-title":"CyberPsychology &amp; Behavior","id":"ITEM-1","issue":"1","issued":{"date-parts":[["2008"]]},"page":"55-64","title":"Interplay between physical and virtual settings for online interpersonal trust formation in knowledge-sharing practice","type":"article-journal","volume":"11"},"uris":["http://www.mendeley.com/documents/?uuid=cf1e7ea0-3b3b-422f-9613-50e2b114adec"]}],"mendeley":{"formattedCitation":"(Young &amp; Tseng, 2008)","manualFormatting":"(Chua &amp; m, 2005)","plainTextFormattedCitation":"(Young &amp; Tseng, 2008)","previouslyFormattedCitation":"(Young &amp; Tseng, 2008)"},"properties":{"noteIndex":0},"schema":"https://github.com/citation-style-language/schema/raw/master/csl-citation.json"}</w:instrText>
      </w:r>
      <w:r w:rsidRPr="00114507">
        <w:rPr>
          <w:color w:val="000000" w:themeColor="text1"/>
        </w:rPr>
        <w:fldChar w:fldCharType="separate"/>
      </w:r>
      <w:r w:rsidRPr="00114507">
        <w:rPr>
          <w:noProof/>
          <w:color w:val="000000" w:themeColor="text1"/>
        </w:rPr>
        <w:t xml:space="preserve">(Chua </w:t>
      </w:r>
      <w:r w:rsidR="0083144E" w:rsidRPr="00114507">
        <w:rPr>
          <w:noProof/>
          <w:color w:val="000000" w:themeColor="text1"/>
        </w:rPr>
        <w:t xml:space="preserve">&amp; </w:t>
      </w:r>
      <w:r w:rsidR="002A5132">
        <w:rPr>
          <w:noProof/>
          <w:color w:val="000000" w:themeColor="text1"/>
        </w:rPr>
        <w:t>la</w:t>
      </w:r>
      <w:r w:rsidR="0083144E" w:rsidRPr="00114507">
        <w:rPr>
          <w:noProof/>
          <w:color w:val="000000" w:themeColor="text1"/>
        </w:rPr>
        <w:t>m, 2005)</w:t>
      </w:r>
      <w:r w:rsidRPr="00114507">
        <w:rPr>
          <w:rFonts w:asciiTheme="majorBidi" w:eastAsiaTheme="minorEastAsia" w:hAnsiTheme="majorBidi" w:cstheme="majorBidi"/>
          <w:color w:val="000000" w:themeColor="text1"/>
        </w:rPr>
        <w:fldChar w:fldCharType="end"/>
      </w:r>
      <w:r w:rsidRPr="00114507">
        <w:rPr>
          <w:rFonts w:asciiTheme="majorBidi" w:eastAsiaTheme="minorEastAsia" w:hAnsiTheme="majorBidi" w:cstheme="majorBidi"/>
          <w:color w:val="000000" w:themeColor="text1"/>
        </w:rPr>
        <w:t xml:space="preserve">. This is often because organizations fail to promote knowledge sharing among employees </w:t>
      </w:r>
      <w:r w:rsidRPr="00114507">
        <w:rPr>
          <w:rFonts w:asciiTheme="majorBidi" w:eastAsiaTheme="minorEastAsia" w:hAnsiTheme="majorBidi" w:cstheme="majorBidi"/>
          <w:color w:val="000000" w:themeColor="text1"/>
        </w:rPr>
        <w:fldChar w:fldCharType="begin" w:fldLock="1"/>
      </w:r>
      <w:r w:rsidR="004C27D4" w:rsidRPr="00114507">
        <w:rPr>
          <w:rFonts w:asciiTheme="majorBidi" w:eastAsiaTheme="minorEastAsia" w:hAnsiTheme="majorBidi" w:cstheme="majorBidi"/>
          <w:color w:val="000000" w:themeColor="text1"/>
        </w:rPr>
        <w:instrText>ADDIN CSL_CITATION {"citationItems":[{"id":"ITEM-1","itemData":{"DOI":"10.5465/apbpp.1999.27613308","ISSN":"0065-0668","abstract":"Strategists have argued that knowledge and how it is managed is a key source of competitive advantage. No where is this more important than in knowledge-intensive professional service firms, where resources are almost exclusively knowledge-based. Learning from past experiences and applying knowledge in new situations are essential for improving future value creation for clients. The paper introduces a framework for understanding how these firms can leverage knowledge more effectively. The framework explains the core social processes of knowledge collection and connection. These processes are essential for making knowledge productive, using it to innovate, delivering better services, and preventing \"reinventing of the wheel.\" Yet few professional service firms focus on how these processes actually work. To understand these processes, professional service firms must recognize the difference between rationalized and embedded knowledge. The paper describes these concepts and shows how this typology sheds light on the importance of reciprocity, trust, power, politics and rewards and incentives as determining factors of whether professionals share what they know. Data presented are based on extensive fieldwork in a leading professional service firm. Extensive access to proprietary data enabled me to employ multiple qualitative methods, including more than 100 structured, in-depth interviews with professionals at all levels of the hierarchy, observations of teams in the office and with clients, and confidential client proposals and project reports. Additionally, twenty interviews with senior-level executives at eight other professional service firms informed this research. ABSTRACT FROM AUTHOR Copyright of Academy of Management Proceedings is the property of Academy of Management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Abstracts)","author":[{"dropping-particle":"","family":"Weiss","given":"LEIGH M.","non-dropping-particle":"","parse-names":false,"suffix":""}],"container-title":"Academy of Management Proceedings","id":"ITEM-1","issue":"1","issued":{"date-parts":[["1999","8"]]},"page":"A1-A6","title":"Collection and connection: The anatomy of knowledge sharing in professional service firms","type":"article-journal","volume":"1999"},"uris":["http://www.mendeley.com/documents/?uuid=20562406-9fe7-4f04-8a5f-143babfa06ed"]}],"mendeley":{"formattedCitation":"(Weiss, 1999)","plainTextFormattedCitation":"(Weiss, 1999)","previouslyFormattedCitation":"(Weiss, 1999)"},"properties":{"noteIndex":0},"schema":"https://github.com/citation-style-language/schema/raw/master/csl-citation.json"}</w:instrText>
      </w:r>
      <w:r w:rsidRPr="00114507">
        <w:rPr>
          <w:rFonts w:asciiTheme="majorBidi" w:eastAsiaTheme="minorEastAsia" w:hAnsiTheme="majorBidi" w:cstheme="majorBidi"/>
          <w:color w:val="000000" w:themeColor="text1"/>
        </w:rPr>
        <w:fldChar w:fldCharType="separate"/>
      </w:r>
      <w:r w:rsidR="00E24626" w:rsidRPr="00114507">
        <w:rPr>
          <w:rFonts w:asciiTheme="majorBidi" w:eastAsiaTheme="minorEastAsia" w:hAnsiTheme="majorBidi" w:cstheme="majorBidi"/>
          <w:noProof/>
          <w:color w:val="000000" w:themeColor="text1"/>
        </w:rPr>
        <w:t>(Weiss, 1999)</w:t>
      </w:r>
      <w:r w:rsidRPr="00114507">
        <w:rPr>
          <w:rFonts w:asciiTheme="majorBidi" w:eastAsiaTheme="minorEastAsia" w:hAnsiTheme="majorBidi" w:cstheme="majorBidi"/>
          <w:color w:val="000000" w:themeColor="text1"/>
        </w:rPr>
        <w:fldChar w:fldCharType="end"/>
      </w:r>
      <w:r w:rsidRPr="00114507">
        <w:rPr>
          <w:rFonts w:asciiTheme="majorBidi" w:eastAsiaTheme="minorEastAsia" w:hAnsiTheme="majorBidi" w:cstheme="majorBidi"/>
          <w:color w:val="000000" w:themeColor="text1"/>
        </w:rPr>
        <w:t>. It is</w:t>
      </w:r>
      <w:r w:rsidR="00054373" w:rsidRPr="00114507">
        <w:rPr>
          <w:rFonts w:asciiTheme="majorBidi" w:eastAsiaTheme="minorEastAsia" w:hAnsiTheme="majorBidi" w:cstheme="majorBidi"/>
          <w:color w:val="000000" w:themeColor="text1"/>
        </w:rPr>
        <w:t xml:space="preserve">, therefore, </w:t>
      </w:r>
      <w:r w:rsidRPr="00114507">
        <w:rPr>
          <w:rFonts w:asciiTheme="majorBidi" w:eastAsiaTheme="minorEastAsia" w:hAnsiTheme="majorBidi" w:cstheme="majorBidi"/>
          <w:color w:val="000000" w:themeColor="text1"/>
        </w:rPr>
        <w:t xml:space="preserve">crucial to have </w:t>
      </w:r>
      <w:r w:rsidR="007D314F" w:rsidRPr="00114507">
        <w:rPr>
          <w:rFonts w:asciiTheme="majorBidi" w:eastAsiaTheme="minorEastAsia" w:hAnsiTheme="majorBidi" w:cstheme="majorBidi"/>
          <w:color w:val="000000" w:themeColor="text1"/>
        </w:rPr>
        <w:t>better</w:t>
      </w:r>
      <w:r w:rsidR="00845A10" w:rsidRPr="00114507">
        <w:rPr>
          <w:rFonts w:asciiTheme="majorBidi" w:eastAsiaTheme="minorEastAsia" w:hAnsiTheme="majorBidi" w:cstheme="majorBidi"/>
          <w:color w:val="000000" w:themeColor="text1"/>
        </w:rPr>
        <w:t xml:space="preserve"> knowledge and</w:t>
      </w:r>
      <w:r w:rsidRPr="00114507">
        <w:rPr>
          <w:rFonts w:asciiTheme="majorBidi" w:eastAsiaTheme="minorEastAsia" w:hAnsiTheme="majorBidi" w:cstheme="majorBidi"/>
          <w:color w:val="000000" w:themeColor="text1"/>
        </w:rPr>
        <w:t xml:space="preserve"> </w:t>
      </w:r>
      <w:r w:rsidR="00845A10" w:rsidRPr="00114507">
        <w:rPr>
          <w:rFonts w:asciiTheme="majorBidi" w:eastAsiaTheme="minorEastAsia" w:hAnsiTheme="majorBidi" w:cstheme="majorBidi"/>
          <w:color w:val="000000" w:themeColor="text1"/>
        </w:rPr>
        <w:t>a</w:t>
      </w:r>
      <w:r w:rsidR="007D314F" w:rsidRPr="00114507">
        <w:rPr>
          <w:rFonts w:asciiTheme="majorBidi" w:eastAsiaTheme="minorEastAsia" w:hAnsiTheme="majorBidi" w:cstheme="majorBidi"/>
          <w:color w:val="000000" w:themeColor="text1"/>
        </w:rPr>
        <w:t>n</w:t>
      </w:r>
      <w:r w:rsidR="00845A10" w:rsidRPr="00114507">
        <w:rPr>
          <w:rFonts w:asciiTheme="majorBidi" w:eastAsiaTheme="minorEastAsia" w:hAnsiTheme="majorBidi" w:cstheme="majorBidi"/>
          <w:color w:val="000000" w:themeColor="text1"/>
        </w:rPr>
        <w:t xml:space="preserve"> </w:t>
      </w:r>
      <w:r w:rsidR="00196FA2" w:rsidRPr="00114507">
        <w:rPr>
          <w:rFonts w:asciiTheme="majorBidi" w:eastAsiaTheme="minorEastAsia" w:hAnsiTheme="majorBidi" w:cstheme="majorBidi"/>
          <w:color w:val="000000" w:themeColor="text1"/>
        </w:rPr>
        <w:t xml:space="preserve">ability to think </w:t>
      </w:r>
      <w:r w:rsidR="002C10A7" w:rsidRPr="00114507">
        <w:rPr>
          <w:rFonts w:asciiTheme="majorBidi" w:eastAsiaTheme="minorEastAsia" w:hAnsiTheme="majorBidi" w:cstheme="majorBidi"/>
          <w:color w:val="000000" w:themeColor="text1"/>
        </w:rPr>
        <w:t>or</w:t>
      </w:r>
      <w:r w:rsidR="00196FA2" w:rsidRPr="00114507">
        <w:rPr>
          <w:rFonts w:asciiTheme="majorBidi" w:eastAsiaTheme="minorEastAsia" w:hAnsiTheme="majorBidi" w:cstheme="majorBidi"/>
          <w:color w:val="000000" w:themeColor="text1"/>
        </w:rPr>
        <w:t xml:space="preserve"> learn </w:t>
      </w:r>
      <w:r w:rsidR="002C10A7" w:rsidRPr="00114507">
        <w:rPr>
          <w:rFonts w:asciiTheme="majorBidi" w:eastAsiaTheme="minorEastAsia" w:hAnsiTheme="majorBidi" w:cstheme="majorBidi"/>
          <w:color w:val="000000" w:themeColor="text1"/>
        </w:rPr>
        <w:t xml:space="preserve">about </w:t>
      </w:r>
      <w:r w:rsidRPr="00114507">
        <w:rPr>
          <w:rFonts w:asciiTheme="majorBidi" w:eastAsiaTheme="minorEastAsia" w:hAnsiTheme="majorBidi" w:cstheme="majorBidi"/>
          <w:color w:val="000000" w:themeColor="text1"/>
        </w:rPr>
        <w:t xml:space="preserve">knowledge management benefits and </w:t>
      </w:r>
      <w:r w:rsidR="002C10A7" w:rsidRPr="00114507">
        <w:rPr>
          <w:rFonts w:asciiTheme="majorBidi" w:eastAsiaTheme="minorEastAsia" w:hAnsiTheme="majorBidi" w:cstheme="majorBidi"/>
          <w:color w:val="000000" w:themeColor="text1"/>
        </w:rPr>
        <w:t xml:space="preserve">investigate </w:t>
      </w:r>
      <w:r w:rsidRPr="00114507">
        <w:rPr>
          <w:rFonts w:asciiTheme="majorBidi" w:eastAsiaTheme="minorEastAsia" w:hAnsiTheme="majorBidi" w:cstheme="majorBidi"/>
          <w:color w:val="000000" w:themeColor="text1"/>
        </w:rPr>
        <w:t xml:space="preserve">the impact of </w:t>
      </w:r>
      <w:r w:rsidR="00845A10" w:rsidRPr="00114507">
        <w:rPr>
          <w:rFonts w:asciiTheme="majorBidi" w:eastAsiaTheme="minorEastAsia" w:hAnsiTheme="majorBidi" w:cstheme="majorBidi"/>
          <w:color w:val="000000" w:themeColor="text1"/>
        </w:rPr>
        <w:t xml:space="preserve">variables </w:t>
      </w:r>
      <w:r w:rsidRPr="00114507">
        <w:rPr>
          <w:rFonts w:asciiTheme="majorBidi" w:eastAsiaTheme="minorEastAsia" w:hAnsiTheme="majorBidi" w:cstheme="majorBidi"/>
          <w:color w:val="000000" w:themeColor="text1"/>
        </w:rPr>
        <w:t>that affect these outcomes.</w:t>
      </w:r>
      <w:r w:rsidR="00196FA2" w:rsidRPr="00114507">
        <w:rPr>
          <w:rFonts w:asciiTheme="majorBidi" w:eastAsiaTheme="minorEastAsia" w:hAnsiTheme="majorBidi" w:cstheme="majorBidi"/>
          <w:color w:val="000000" w:themeColor="text1"/>
        </w:rPr>
        <w:t xml:space="preserve"> </w:t>
      </w:r>
    </w:p>
    <w:p w14:paraId="08934AB4" w14:textId="77777777" w:rsidR="009920E8" w:rsidRPr="00114507" w:rsidRDefault="009920E8" w:rsidP="00054373">
      <w:pPr>
        <w:pStyle w:val="AAAAAAA"/>
        <w:rPr>
          <w:rFonts w:asciiTheme="majorBidi" w:eastAsiaTheme="minorEastAsia" w:hAnsiTheme="majorBidi" w:cstheme="majorBidi"/>
          <w:color w:val="000000" w:themeColor="text1"/>
        </w:rPr>
      </w:pPr>
    </w:p>
    <w:p w14:paraId="3ED00B46" w14:textId="6FE76F40" w:rsidR="00EE00BF" w:rsidRPr="002A7627" w:rsidRDefault="00D45FE9" w:rsidP="0017121F">
      <w:pPr>
        <w:pStyle w:val="Heading1"/>
        <w:rPr>
          <w:color w:val="000000"/>
        </w:rPr>
      </w:pPr>
      <w:bookmarkStart w:id="86" w:name="_Toc13959621"/>
      <w:bookmarkStart w:id="87" w:name="_Toc22331654"/>
      <w:r>
        <w:rPr>
          <w:color w:val="000000"/>
        </w:rPr>
        <w:t xml:space="preserve">2.3. </w:t>
      </w:r>
      <w:r w:rsidR="00EE00BF" w:rsidRPr="002A7627">
        <w:rPr>
          <w:color w:val="000000"/>
        </w:rPr>
        <w:t xml:space="preserve">Knowledge </w:t>
      </w:r>
      <w:r w:rsidR="002C4A1A" w:rsidRPr="002A7627">
        <w:rPr>
          <w:color w:val="000000"/>
        </w:rPr>
        <w:t xml:space="preserve">Management </w:t>
      </w:r>
      <w:r w:rsidR="00EE00BF" w:rsidRPr="002A7627">
        <w:rPr>
          <w:color w:val="000000"/>
        </w:rPr>
        <w:t xml:space="preserve">in </w:t>
      </w:r>
      <w:r w:rsidR="002C4A1A" w:rsidRPr="002A7627">
        <w:rPr>
          <w:color w:val="000000"/>
        </w:rPr>
        <w:t>Public Sector Organizations</w:t>
      </w:r>
      <w:bookmarkEnd w:id="86"/>
      <w:bookmarkEnd w:id="87"/>
    </w:p>
    <w:p w14:paraId="4E4D4F73" w14:textId="04672F9F" w:rsidR="00EE00BF" w:rsidRPr="002A7627" w:rsidRDefault="00EE00BF" w:rsidP="002C4A1A">
      <w:pPr>
        <w:pStyle w:val="AAAAAAA"/>
      </w:pPr>
      <w:r w:rsidRPr="002A7627">
        <w:fldChar w:fldCharType="begin" w:fldLock="1"/>
      </w:r>
      <w:r w:rsidR="00500081" w:rsidRPr="002A7627">
        <w:instrText>ADDIN CSL_CITATION {"citationItems":[{"id":"ITEM-1","itemData":{"DOI":"10.1108/JKM-11-2014-0466","ISBN":"1367-3270","ISSN":"17587484","PMID":"225424609","abstract":"Purpose ? This paper aims to review and critique the public sector knowledge management (KM) literature, offers an overview of the state of public sector KM research and outlines a future research agenda. Design/methodology/approach ? Articles published in KM journals are analyzed using a structured literature review methodology. The paper analyzes 180 papers published within ten journals specializing in the field of KM. Findings ? Public sector KM is a research area of growing importance. Findings show that few authors specialize in the field and there are several obstacles to developing a cohesive body of literature. Low levels of international cooperation among authors and international comparisons mean that the literature is fragmented. Some research topics and some geographical areas within the public sector theme are over-analyzed, while others are under-investigated. Additionally, academic researchers should re-think their methodological approach if they wish to make significant contributions to the literature and work toward developing research which impacts practice in conjunction with practitioners. Originality/value ? The paper presents a comprehensive structured literature review of the articles published in KM journals. The paper?s findings can offer insights into future research needs.","author":[{"dropping-particle":"","family":"Massaro","given":"Maurizio","non-dropping-particle":"","parse-names":false,"suffix":""},{"dropping-particle":"","family":"Dumay","given":"John","non-dropping-particle":"","parse-names":false,"suffix":""},{"dropping-particle":"","family":"Garlatti","given":"Andrea","non-dropping-particle":"","parse-names":false,"suffix":""}],"container-title":"Journal of Knowledge Management","id":"ITEM-1","issue":"3","issued":{"date-parts":[["2015"]]},"page":"530-558","title":"Public sector knowledge management: A structured literature review","type":"article-journal","volume":"19"},"uris":["http://www.mendeley.com/documents/?uuid=f81c58f4-a3a0-4d4a-b1be-7e678e94d759"]}],"mendeley":{"formattedCitation":"(Massaro et al., 2015)","manualFormatting":"Massaro et al. (2015)","plainTextFormattedCitation":"(Massaro et al., 2015)","previouslyFormattedCitation":"(Massaro et al., 2015)"},"properties":{"noteIndex":0},"schema":"https://github.com/citation-style-language/schema/raw/master/csl-citation.json"}</w:instrText>
      </w:r>
      <w:r w:rsidRPr="002A7627">
        <w:fldChar w:fldCharType="separate"/>
      </w:r>
      <w:r w:rsidR="00CC5481" w:rsidRPr="002A7627">
        <w:rPr>
          <w:noProof/>
        </w:rPr>
        <w:t xml:space="preserve">Massaro et al. </w:t>
      </w:r>
      <w:r w:rsidR="00500081" w:rsidRPr="002A7627">
        <w:rPr>
          <w:noProof/>
        </w:rPr>
        <w:t>(</w:t>
      </w:r>
      <w:r w:rsidR="00CC5481" w:rsidRPr="002A7627">
        <w:rPr>
          <w:noProof/>
        </w:rPr>
        <w:t>2015)</w:t>
      </w:r>
      <w:r w:rsidRPr="002A7627">
        <w:fldChar w:fldCharType="end"/>
      </w:r>
      <w:r w:rsidRPr="002A7627">
        <w:t xml:space="preserve"> </w:t>
      </w:r>
      <w:r w:rsidR="00940222">
        <w:t xml:space="preserve">focused on </w:t>
      </w:r>
      <w:r w:rsidR="00D17386">
        <w:t xml:space="preserve">the </w:t>
      </w:r>
      <w:r w:rsidR="00940222">
        <w:t xml:space="preserve">public sector and </w:t>
      </w:r>
      <w:r w:rsidRPr="002A7627">
        <w:t>investigated 180 studies of knowledge management between 2002 and 2014</w:t>
      </w:r>
      <w:r w:rsidR="00BB350B">
        <w:t>. They</w:t>
      </w:r>
      <w:r w:rsidRPr="002A7627">
        <w:t xml:space="preserve"> identified </w:t>
      </w:r>
      <w:r w:rsidR="00D17386">
        <w:t xml:space="preserve">a number of </w:t>
      </w:r>
      <w:r w:rsidRPr="002A7627">
        <w:t xml:space="preserve">gaps </w:t>
      </w:r>
      <w:r w:rsidR="00D17386">
        <w:t>in the</w:t>
      </w:r>
      <w:r w:rsidRPr="002A7627">
        <w:t xml:space="preserve"> literature. First, there were few authors who specialized in knowledge management</w:t>
      </w:r>
      <w:r w:rsidR="00193A9C" w:rsidRPr="002A7627">
        <w:t>,</w:t>
      </w:r>
      <w:r w:rsidRPr="002A7627">
        <w:t xml:space="preserve"> and the level of international cooperation was low. Some areas in the public sector were under-researched</w:t>
      </w:r>
      <w:r w:rsidR="00193A9C" w:rsidRPr="002A7627">
        <w:t>,</w:t>
      </w:r>
      <w:r w:rsidRPr="002A7627">
        <w:t xml:space="preserve"> and others were over-researched, </w:t>
      </w:r>
      <w:r w:rsidR="00BB350B" w:rsidRPr="002A7627">
        <w:t xml:space="preserve">by </w:t>
      </w:r>
      <w:r w:rsidRPr="002A7627">
        <w:t xml:space="preserve">both sector and geography. The public sector knowledge management literature is dominated by research in the education and research sectors, with a focus on </w:t>
      </w:r>
      <w:r w:rsidRPr="002A7627">
        <w:lastRenderedPageBreak/>
        <w:t xml:space="preserve">Malaysia and India </w:t>
      </w:r>
      <w:r w:rsidRPr="002A7627">
        <w:fldChar w:fldCharType="begin" w:fldLock="1"/>
      </w:r>
      <w:r w:rsidR="00E24626" w:rsidRPr="002A7627">
        <w:instrText>ADDIN CSL_CITATION {"citationItems":[{"id":"ITEM-1","itemData":{"DOI":"10.1108/JKM-11-2012-0369","ISBN":"1367327121","ISSN":"1367-3270","PMID":"1365807770","abstract":"Abstract Purpose – The purpose of this paper is to investigate the factors that affect knowledge sharing in a public sector organization. Design/methodology/approach – The paper is based on quantitative research. The data were gathered through questionnaires and analyzed using multiple regression. Findings – Community-related considerations, normative considerations and personal benefits were three motivators found to have a unique contribution to the variance in knowledge sharing. The following enablers had a significant main effect on knowledge sharing: social interaction, rewards, and organizational support. Two barriers, degree of courage and degree of empathy, which measured organizational climate, were found to have a significant main effect on knowledge sharing. The interaction of normative consideration with social interaction, personal benefit with organizational support, and normative considerations with degree of courage, had a moderating effect on the relationship between motivating factors and knowledge sharing. Research limitations/implications – The study was conducted in a single public sector organization, which limits the generalizability of the findings to other settings. Another limitation is that attitudes toward knowledge sharing, and knowledge-sharing behaviors, vary across cultures. Finally, self-reported data are subject to response bias. Practical implications – Identifying factors that influence knowledge sharing could help practitioners create a knowledge-sharing culture that is needed to support knowledge sharing and knowledge management within public sector organizations. Originality/value – This empirical study will contribute to the theoretical knowledge on knowledge sharing in the public sector, which has been neglected in knowledge-sharing research. Keywords Public sector organizations, Knowledge management, Knowledge sharing, Motivational factors, Enablers, Barriers Paper type Research paper Introduction","author":[{"dropping-particle":"","family":"Titi Amayah","given":"Angela","non-dropping-particle":"","parse-names":false,"suffix":""}],"container-title":"Journal of Knowledge Management","id":"ITEM-1","issue":"3","issued":{"date-parts":[["2013"]]},"page":"454-471","title":"Determinants of knowledge sharing in a public sector organization","type":"article-journal","volume":"17"},"uris":["http://www.mendeley.com/documents/?uuid=b705c496-eeb9-45ee-917f-9238a6c09273"]},{"id":"ITEM-2","itemData":{"DOI":"10.1108/13673270910988150","ISSN":"1367-3270","abstract":"Purpose - The purpose of this paper is to examine the initiatives being taken in India in recent years to revitalize the national education and skill development systems from the perspectives of a knowledge economy. These initiatives include strengthening of the higher and technical education system of the country and bringing about a paradigm shift in the national skill development system through the plans of action contained in the on-going Eleventh Five Year Plan (2007-2012). The new policy frameworks for education and skill development developed by respective Government Ministries are also to be examined from the point of view of their efficacy in moving India up the ladder of knowledge economy. Design/methodology/approach - The critical review is based on an assessment of India's current status on well-known Knowledge Economy Indices, providing a conceptual understanding of the requirements from the country's education and skill development systems, and the emerging needs for making measurable progress on issues related to education and skill development. The approach is literature-survey based. Findings - The paper, while underscoring the emphasis given by the Government in bringing about major changes through mission-mode activities in both education and skill development systems, highlights possible gaps and mismatches in various initiatives taken up by different agencies, resulting in continuing issues and challenges in India's path towards moving up the ladder of knowledge economy. Originality/value - The paper gives a fresh look at several initiatives which have been continually taken up by the Government in the past, from the prism of a knowledge economy. © Emerald Group Publishing Limited.","author":[{"dropping-particle":"","family":"Batra","given":"Surinder","non-dropping-particle":"","parse-names":false,"suffix":""}],"container-title":"Journal of Knowledge Management","editor":[{"dropping-particle":"","family":"Carrillo","given":"Francisco Javier","non-dropping-particle":"","parse-names":false,"suffix":""}],"id":"ITEM-2","issue":"5","issued":{"date-parts":[["2009","9","11"]]},"page":"345-358","title":"Strengthening human capital for knowledge economy needs: An Indian perspective","type":"article-journal","volume":"13"},"uris":["http://www.mendeley.com/documents/?uuid=3c6ee226-4fcc-47e8-a838-a16a8d7b2cbe"]}],"mendeley":{"formattedCitation":"(Batra, 2009; Titi Amayah, 2013)","plainTextFormattedCitation":"(Batra, 2009; Titi Amayah, 2013)","previouslyFormattedCitation":"(Batra, 2009; Titi Amayah, 2013)"},"properties":{"noteIndex":0},"schema":"https://github.com/citation-style-language/schema/raw/master/csl-citation.json"}</w:instrText>
      </w:r>
      <w:r w:rsidRPr="002A7627">
        <w:fldChar w:fldCharType="separate"/>
      </w:r>
      <w:r w:rsidRPr="002A7627">
        <w:rPr>
          <w:noProof/>
        </w:rPr>
        <w:t>(Batra, 2009; Titi Amayah, 2013)</w:t>
      </w:r>
      <w:r w:rsidRPr="002A7627">
        <w:fldChar w:fldCharType="end"/>
      </w:r>
      <w:r w:rsidRPr="002A7627">
        <w:t>. Other areas, including defense and police, were examined in just 3% and 5% of studies. It is</w:t>
      </w:r>
      <w:r w:rsidR="00054373" w:rsidRPr="002A7627">
        <w:t xml:space="preserve">, therefore, </w:t>
      </w:r>
      <w:r w:rsidR="002C10A7" w:rsidRPr="009920E8">
        <w:rPr>
          <w:color w:val="000000" w:themeColor="text1"/>
        </w:rPr>
        <w:t>essential</w:t>
      </w:r>
      <w:r w:rsidRPr="009920E8">
        <w:rPr>
          <w:color w:val="000000" w:themeColor="text1"/>
        </w:rPr>
        <w:t xml:space="preserve"> to </w:t>
      </w:r>
      <w:r w:rsidR="00034035" w:rsidRPr="009920E8">
        <w:rPr>
          <w:color w:val="000000" w:themeColor="text1"/>
        </w:rPr>
        <w:t>increase understanding of</w:t>
      </w:r>
      <w:r w:rsidRPr="009920E8">
        <w:rPr>
          <w:color w:val="000000" w:themeColor="text1"/>
        </w:rPr>
        <w:t xml:space="preserve"> </w:t>
      </w:r>
      <w:r w:rsidRPr="002A7627">
        <w:t>knowledge management in these sectors (e.g.</w:t>
      </w:r>
      <w:r w:rsidR="00193A9C" w:rsidRPr="002A7627">
        <w:t>,</w:t>
      </w:r>
      <w:r w:rsidRPr="002A7627">
        <w:t xml:space="preserve"> </w:t>
      </w:r>
      <w:r w:rsidRPr="002A7627">
        <w:fldChar w:fldCharType="begin" w:fldLock="1"/>
      </w:r>
      <w:r w:rsidR="00E24626" w:rsidRPr="002A7627">
        <w:instrText>ADDIN CSL_CITATION {"citationItems":[{"id":"ITEM-1","itemData":{"DOI":"10.1108/13673271211262808","ISSN":"1367-3270","abstract":"Purpose – This paper aims to clarify the relationship between explicit and tacit knowledge in specific organizational environm</w:instrText>
      </w:r>
      <w:r w:rsidR="00E24626" w:rsidRPr="002A7627">
        <w:rPr>
          <w:rFonts w:hint="eastAsia"/>
        </w:rPr>
        <w:instrText>ents. It seeks to explore processes and strategies currently being deployed as best practices in the military to see what can be learnt from them and to improve the use of knowledge assets in large</w:instrText>
      </w:r>
      <w:r w:rsidR="00E24626" w:rsidRPr="002A7627">
        <w:rPr>
          <w:rFonts w:hint="eastAsia"/>
        </w:rPr>
        <w:instrText>‐</w:instrText>
      </w:r>
      <w:r w:rsidR="00E24626" w:rsidRPr="002A7627">
        <w:rPr>
          <w:rFonts w:hint="eastAsia"/>
        </w:rPr>
        <w:instrText>scale organizations in high</w:instrText>
      </w:r>
      <w:r w:rsidR="00E24626" w:rsidRPr="002A7627">
        <w:rPr>
          <w:rFonts w:hint="eastAsia"/>
        </w:rPr>
        <w:instrText>‐</w:instrText>
      </w:r>
      <w:r w:rsidR="00E24626" w:rsidRPr="002A7627">
        <w:rPr>
          <w:rFonts w:hint="eastAsia"/>
        </w:rPr>
        <w:instrText>velocity and/or turbulent env</w:instrText>
      </w:r>
      <w:r w:rsidR="00E24626" w:rsidRPr="002A7627">
        <w:instrText>ironments.Design/methodology/approach – High velocity/turbulent environments are defined. The paper uses examples from the public sector and the private sector and provides a model for knowledge management in high velocity/turbulent environments (HVTE) and offers several propositions for further exploration.Findings – The paper provides insights into how and why tacit knowledge is more important to decision making and strategic positioning in high velocity/turbulent environments. The complexity of knowledge management is enormous.Practical implications – What the authors learned from the military can serve as lessons for businesses...","author":[{"dropping-particle":"","family":"Jones","given":"Nory B.","non-dropping-particle":"","parse-names":false,"suffix":""},{"dropping-particle":"","family":"Mahon","given":"John F.","non-dropping-particle":"","parse-names":false,"suffix":""}],"container-title":"Journal of Knowledge Management","id":"ITEM-1","issue":"5","issued":{"date-parts":[["2012","9","7"]]},"page":"774-788","title":"Nimble knowledge transfer in high velocity/turbulent environments","type":"article-journal","volume":"16"},"uris":["http://www.mendeley.com/documents/?uuid=897a9f3a-49c8-4431-81c2-e9626af775d5"]},{"id":"ITEM-2","itemData":{"DOI":"10.1016/j.ijinfomgt.2011.12.003","ISSN":"02684012","abstract":"This study contributes to the limited research base on knowledge sharing in public sector organisations, specifically police forces, and organisations in the Middle East through a case study investigation into the factors that affect knowledge sharing in the Dubai Police Force. A questionnaire-based survey was conducted with staff in key departments in the Dubai Police Force. Informed by the literature and by interviews conducted in a previous phase, the core of the questionnaire was a bank of Likert-style questions covering the dependent variables intention to knowledge share, and attitude towards knowledge sharing, and the independent variables, trust, organisational structure, leadership, reward, time, and information technology. Data was analysed using structured equation modelling, in order to test the measurement model using confirmatory factor analysis, and to test the structural model. The structural model suggests a strong relationship between attitude to knowledge sharing, and intention to share knowledge. Hypotheses regarding the influence of leadership, trust, organisational structure, time, and information technology on attitude to knowledge sharing were upheld. Rewards did not to influence attitude to knowledge sharing. Recommendations are offered for practice and further research.","author":[{"dropping-particle":"","family":"Seba","given":"Ibrahim","non-dropping-particle":"","parse-names":false,"suffix":""},{"dropping-particle":"","family":"Rowley","given":"Jennifer","non-dropping-particle":"","parse-names":false,"suffix":""},{"dropping-particle":"","family":"Lambert","given":"Sian","non-dropping-particle":"","parse-names":false,"suffix":""}],"container-title":"International Journal of Information Management","id":"ITEM-2","issue":"4","issued":{"date-parts":[["2012","8"]]},"note":"Factors affecting attitudes and intentions towards knowledge sharing in the Dubai Police Force","page":"372-380","title":"Factors affecting attitudes and intentions towards knowledge sharing in the Dubai Police Force","type":"article-journal","volume":"32"},"uris":["http://www.mendeley.com/documents/?uuid=9b514d30-5ab1-48be-9381-4fadb816c67b"]}],"mendeley":{"formattedCitation":"(Jones &amp; Mahon, 2012; Seba, Rowley, &amp; Lambert, 2012)","manualFormatting":"Jones &amp; Mahon, 2012; Seba, Rowley, &amp; Lambert, 2012)","plainTextFormattedCitation":"(Jones &amp; Mahon, 2012; Seba, Rowley, &amp; Lambert, 2012)","previouslyFormattedCitation":"(Jones &amp; Mahon, 2012; Seba, Rowley, &amp; Lambert, 2012)"},"properties":{"noteIndex":0},"schema":"https://github.com/citation-style-language/schema/raw/master/csl-citation.json"}</w:instrText>
      </w:r>
      <w:r w:rsidRPr="002A7627">
        <w:fldChar w:fldCharType="separate"/>
      </w:r>
      <w:r w:rsidRPr="002A7627">
        <w:rPr>
          <w:noProof/>
        </w:rPr>
        <w:t>Jones &amp; Mahon, 2012; Seba, Rowley, &amp; Lambert, 2012)</w:t>
      </w:r>
      <w:r w:rsidRPr="002A7627">
        <w:fldChar w:fldCharType="end"/>
      </w:r>
      <w:r w:rsidRPr="002A7627">
        <w:t xml:space="preserve">, where knowledge is a critical factor in saving lives and maintaining safety and security </w:t>
      </w:r>
      <w:r w:rsidRPr="002A7627">
        <w:fldChar w:fldCharType="begin" w:fldLock="1"/>
      </w:r>
      <w:r w:rsidR="00E24626" w:rsidRPr="002A7627">
        <w:instrText>ADDIN CSL_CITATION {"citationItems":[{"id":"ITEM-1","itemData":{"DOI":"10.1108/JES-06-2015-0094","ISSN":"0144-3585","abstract":"Access to this document was granted through an Emerald subscription provided by emerald-srm:534301 [] For Authors If you would like to write for this, or any other Emerald publication, then please use our Emerald for Authors service information about how to choose which publication to write for and submission guidelines are available for all. Please visit www.emeraldinsight.com/authors for more information. About Emerald www.emeraldinsight.com Emerald is a global publisher linking research and practice to the benefit of society. The company manages a portfolio of more than 290 journals and over 2,350 books and book series volumes, as well as providing an extensive range of online products and additional customer resources and services. Abstract Purpose – The purpose of this paper is to offer a review of the trade policy in the UAE. It also investigates the dynamic interaction between trade openness and GDP per capita in this emerging economy. Design/methodology/approach – The asymmetric generalized impulse response functions and the asymmetric causality tests developed by Hatemi-J are used. Findings – The results from asymmetric generalized impulse response functions indicate that a positive permanent shock in the trade openness results in a significant positive response in the cumulative sum of the positive component of the GDP per capita. Such a response is not found for the negative shocks in the trade openness. Furthermore, neither a positive nor a negative shock in the GPD per capita results in any significant response in the trade openness. These empirical findings are also supported by the implemented asymmetric causality tests. Originality/value – This is the first attempt that investigates the impact of trade openness on economic performance in the UAE. Unlike previous literature on the topic, this paper allows for asymmetric impacts in the empirical model. 1. Introduction The economic performance of the UAE has been impressive especially during the last recent decades. The UAE is usually considered as a successful economic example. There are many reasons behind this impressive success. The political and economic stability of the country in a relatively volatile region combined with a good regulation system, which makes the rule of law to apply, can be mentioned as the main reasons. The government has also been active in implementing policies that can promote economic growth without too much reliance on the main source of income which is oil. A…","author":[{"dropping-particle":"","family":"Al-Shayeb","given":"Abdulrahman","non-dropping-particle":"","parse-names":false,"suffix":""},{"dropping-particle":"","family":"Hatemi-J","given":"Abdulnasser","non-dropping-particle":"","parse-names":false,"suffix":""}],"container-title":"Journal of Economic Studies","id":"ITEM-1","issue":"4","issued":{"date-parts":[["2016","9","12"]]},"page":"587-597","title":"Trade openness and economic development in the UAE: An asymmetric approach","type":"article-journal","volume":"43"},"uris":["http://www.mendeley.com/documents/?uuid=efa5ceb3-3336-4970-aa21-cfc6dea06613"]}],"mendeley":{"formattedCitation":"(Al-Shayeb &amp; Hatemi-J, 2016)","plainTextFormattedCitation":"(Al-Shayeb &amp; Hatemi-J, 2016)","previouslyFormattedCitation":"(Al-Shayeb &amp; Hatemi-J, 2016)"},"properties":{"noteIndex":0},"schema":"https://github.com/citation-style-language/schema/raw/master/csl-citation.json"}</w:instrText>
      </w:r>
      <w:r w:rsidRPr="002A7627">
        <w:fldChar w:fldCharType="separate"/>
      </w:r>
      <w:r w:rsidRPr="002A7627">
        <w:rPr>
          <w:noProof/>
        </w:rPr>
        <w:t>(Al-Shayeb &amp; Hatemi-J, 2016)</w:t>
      </w:r>
      <w:r w:rsidRPr="002A7627">
        <w:fldChar w:fldCharType="end"/>
      </w:r>
      <w:r w:rsidRPr="002A7627">
        <w:t xml:space="preserve">. It is possible that researchers have preferred to study education and academia because of having easier access to information </w:t>
      </w:r>
      <w:r w:rsidRPr="002A7627">
        <w:fldChar w:fldCharType="begin" w:fldLock="1"/>
      </w:r>
      <w:r w:rsidR="004C27D4" w:rsidRPr="002A7627">
        <w:instrText>ADDIN CSL_CITATION {"citationItems":[{"id":"ITEM-1","itemData":{"DOI":"10.1108/TLO-03-2017-0030","ISSN":"0969-6474","abstract":"© 2017, © Emerald Publishing Limited. Purpose: The purpose of this study is to contribute to research on knowledge management in higher education institutions (HEIs), by studying the enablers and barriers to knowledge management in a country with a developing higher education sector, Mauritius. Design/methodology/approach: Semi-structured interviews were conducted with senior staff in the main public and private HEIs in Mauritius. Questions focused on knowledge management, including relevant barriers and enabling factors to knowledge creation, knowledge sharing and knowledge transfer. Findings: Although participants were able to discuss knowledge management, none of the universities had a knowledge management strategy. Moreover, more barriers than enablers to knowledge management were identified. Barriers included: a lack of policies and reward mechanisms, resources, data, funding and time for research, coupled with frequent leadership changes, a lack of a knowledge-sharing culture and research repositories and weak industry–academia linkages. Enablers were perceived to be: qualified and experienced academic staff in public HEIs, information technology (IT) infrastructure and library/digital library and some incentives for knowledge creation and transfer. Originality/value: Previous research on knowledge management in universities has focused on countries with a relatively well-developed higher education sector. This research contributes by focusing on the perceived barriers and enablers to knowledge management in a country with a small and developing higher education sector.","author":[{"dropping-particle":"","family":"Veer Ramjeawon","given":"Poonam","non-dropping-particle":"","parse-names":false,"suffix":""},{"dropping-particle":"","family":"Rowley","given":"Jennifer","non-dropping-particle":"","parse-names":false,"suffix":""}],"container-title":"The Learning Organization","id":"ITEM-1","issue":"5","issued":{"date-parts":[["2017","7","10"]]},"page":"366-377","title":"Knowledge management in higher education institutions: Enablers and barriers in Mauritius","type":"article-journal","volume":"24"},"uris":["http://www.mendeley.com/documents/?uuid=d6e56a44-21cb-4e90-b32a-279fc9c96852"]},{"id":"ITEM-2","itemData":{"DOI":"10.1108/JEIM-09-2015-0087","ISSN":"17410398","abstract":"© 2017, © Emerald Publishing Limited. Purpose: This is an empirical study of knowledge management performance (KMP) at a university and the purpose of this paper is to examine the relationship between knowledge management process (KMPR), KMP and job performance (JP). Design/methodology/approach: The data were collected using a questionnaire, as the instrument for the primary data collection, with total collected back responses of 207 from university lecturers who have actually participated. Structural equation modeling technique was used to fully analyze the data in order to determine what level of the relationship between knowledge management (KM) and JP existed. Findings: The main findings were related to confirming the two main hypotheses of the research that were related to testing if there were relationships between the KMPR (represented by seven surrogate measures, namely, knowledge identification, knowledge creation, knowledge collection, knowledge organizing, knowledge storage, knowledge dissemination and knowledge application) and KMP, as well as if the KMP was related to the JP. Originality/value: This paper focuses on investigating the actual role of KM at a university, which is assumingly a knowledge factory. Contrary to the conventional wisdom that presumes the importance of KM and specially when there is no proper KM regiment in place, the paper reports the limited influence KM has on staff JP. It is one of the few studies that fills the gap in the literature concerned with the relationship between KM and JP and perhaps the first to provide insights about the KM intricacies at a Jordanian University.","author":[{"dropping-particle":"","family":"Masa’deh","given":"R.","non-dropping-particle":"","parse-names":false,"suffix":""},{"dropping-particle":"","family":"Shannak","given":"Rifat","non-dropping-particle":"","parse-names":false,"suffix":""},{"dropping-particle":"","family":"Maqableh","given":"Mahmoud","non-dropping-particle":"","parse-names":false,"suffix":""},{"dropping-particle":"","family":"Tarhini","given":"Ali","non-dropping-particle":"","parse-names":false,"suffix":""}],"container-title":"Journal of Enterprise Information Management","id":"ITEM-2","issue":"2","issued":{"date-parts":[["2017"]]},"page":"244-262","title":"The impact of knowledge management on job performance in higher education: The case of the University of Jordan","type":"article-journal","volume":"30"},"uris":["http://www.mendeley.com/documents/?uuid=3a194aaf-7dcf-4c42-aa1d-e35fe4ec3e41"]}],"mendeley":{"formattedCitation":"(Masa’deh, Shannak, Maqableh, &amp; Tarhini, 2017; Veer Ramjeawon &amp; Rowley, 2017)","plainTextFormattedCitation":"(Masa’deh, Shannak, Maqableh, &amp; Tarhini, 2017; Veer Ramjeawon &amp; Rowley, 2017)","previouslyFormattedCitation":"(Masa’deh, Shannak, Maqableh, &amp; Tarhini, 2017; Veer Ramjeawon &amp; Rowley, 2017)"},"properties":{"noteIndex":0},"schema":"https://github.com/citation-style-language/schema/raw/master/csl-citation.json"}</w:instrText>
      </w:r>
      <w:r w:rsidRPr="002A7627">
        <w:fldChar w:fldCharType="separate"/>
      </w:r>
      <w:r w:rsidR="00E24626" w:rsidRPr="002A7627">
        <w:rPr>
          <w:noProof/>
        </w:rPr>
        <w:t>(Masa’deh, Shannak, Maqableh, &amp; Tarhini, 2017; Veer Ramjeawon &amp; Rowley, 2017)</w:t>
      </w:r>
      <w:r w:rsidRPr="002A7627">
        <w:fldChar w:fldCharType="end"/>
      </w:r>
      <w:r w:rsidRPr="002A7627">
        <w:t xml:space="preserve">. However, this provides an incentive to investigate knowledge management in safety and security organizations, particularly policing organizations, where research is scarce. </w:t>
      </w:r>
    </w:p>
    <w:p w14:paraId="06EDD283" w14:textId="760900F8" w:rsidR="00EE00BF" w:rsidRPr="009920E8" w:rsidRDefault="00EE00BF" w:rsidP="002C4A1A">
      <w:pPr>
        <w:pStyle w:val="AAAAAAA"/>
        <w:rPr>
          <w:rFonts w:eastAsia="Times New Roman"/>
          <w:color w:val="000000" w:themeColor="text1"/>
        </w:rPr>
      </w:pPr>
      <w:r w:rsidRPr="002A7627">
        <w:t>There have, however, been a few studies</w:t>
      </w:r>
      <w:r w:rsidR="00034035">
        <w:t xml:space="preserve"> that have</w:t>
      </w:r>
      <w:r w:rsidRPr="002A7627">
        <w:t xml:space="preserve"> </w:t>
      </w:r>
      <w:r w:rsidR="00940222">
        <w:t xml:space="preserve">investigated related issues such as </w:t>
      </w:r>
      <w:r w:rsidRPr="002A7627">
        <w:t xml:space="preserve">knowledge sharing in the police. In the UK, one study found that police forces face </w:t>
      </w:r>
      <w:r w:rsidR="00940222">
        <w:t>challenges</w:t>
      </w:r>
      <w:r w:rsidRPr="002A7627">
        <w:t xml:space="preserve"> in </w:t>
      </w:r>
      <w:r w:rsidR="00940222">
        <w:t>promoting</w:t>
      </w:r>
      <w:r w:rsidR="00940222" w:rsidRPr="002A7627">
        <w:t xml:space="preserve"> </w:t>
      </w:r>
      <w:r w:rsidRPr="002A7627">
        <w:t xml:space="preserve">knowledge sharing </w:t>
      </w:r>
      <w:r w:rsidR="00940222">
        <w:t xml:space="preserve">because of the size of the force, </w:t>
      </w:r>
      <w:r w:rsidRPr="002A7627">
        <w:t xml:space="preserve">the </w:t>
      </w:r>
      <w:r w:rsidR="00940222" w:rsidRPr="002A7627">
        <w:t>culture and</w:t>
      </w:r>
      <w:r w:rsidRPr="002A7627">
        <w:t xml:space="preserve"> the value placed on knowledge management </w:t>
      </w:r>
      <w:r w:rsidRPr="009920E8">
        <w:rPr>
          <w:color w:val="000000" w:themeColor="text1"/>
        </w:rPr>
        <w:fldChar w:fldCharType="begin" w:fldLock="1"/>
      </w:r>
      <w:r w:rsidR="00E24626" w:rsidRPr="009920E8">
        <w:rPr>
          <w:color w:val="000000" w:themeColor="text1"/>
        </w:rPr>
        <w:instrText>ADDIN CSL_CITATION {"citationItems":[{"id":"ITEM-1","itemData":{"DOI":"10.1108/13673271011059554","ISSN":"1367-3270","abstract":"Purpose: This study seeks to contribute to understanding of knowledge management and, specifically, knowledge sharing in the public sector through a case study-based investigation of knowledge management policies and strategies, and knowledge-sharing processes in four UK police forces. Design/methodology/approach: Semi-structured interviews were conducted with ten police officers in three police forces, and in the National Policing Improvement Agency. Questions focused on knowledge management strategy, strategies for encouraging staff to share and exchange knowledge, and any challenges in these areas. Interviews were recorded and transcripts created. A three-stage thematic analysis of the interview transcripts was undertaken. Findings: None of the case study organizations has an overarching knowledge management strategy or policy, although there is widespread recognition of the importance of intelligence and knowledge sharing to successful policing. The three police forces, supported by the National Policing Improvement Agency, do try to embody knowledge management in their strategies, processes and training methods, although it is sometimes difficult to identify relevant initiatives and practices. Forces are facing major issues in encouraging knowledge sharing as a result of the culture, the size of the force, and variable recognition of the value of knowledge management. Originality/value: The study concurs with earlier work on research into knowledge management and knowledge sharing in the public sector that suggests that these processes are implicit and embedded in the culture of such organizations. This makes it challenging to \"manage\" knowledge in such contexts. The paper offers some insights into how knowledge is managed in the UK police force. © Emerald Group Publishing Limited.","author":[{"dropping-particle":"","family":"Seba","given":"Ibrahim","non-dropping-particle":"","parse-names":false,"suffix":""},{"dropping-particle":"","family":"Rowley","given":"Jennifer","non-dropping-particle":"","parse-names":false,"suffix":""}],"container-title":"Journal of Knowledge Management","id":"ITEM-1","issue":"4","issued":{"date-parts":[["2010","7","20"]]},"page":"611-626","title":"Knowledge management in UK police forces","type":"article-journal","volume":"14"},"uris":["http://www.mendeley.com/documents/?uuid=fefccc45-a5ed-4b8f-894a-148dea2bf87c"]}],"mendeley":{"formattedCitation":"(Seba &amp; Rowley, 2010)","plainTextFormattedCitation":"(Seba &amp; Rowley, 2010)","previouslyFormattedCitation":"(Seba &amp; Rowley, 2010)"},"properties":{"noteIndex":0},"schema":"https://github.com/citation-style-language/schema/raw/master/csl-citation.json"}</w:instrText>
      </w:r>
      <w:r w:rsidRPr="009920E8">
        <w:rPr>
          <w:color w:val="000000" w:themeColor="text1"/>
        </w:rPr>
        <w:fldChar w:fldCharType="separate"/>
      </w:r>
      <w:r w:rsidRPr="009920E8">
        <w:rPr>
          <w:noProof/>
          <w:color w:val="000000" w:themeColor="text1"/>
        </w:rPr>
        <w:t>(Seba &amp; Rowley, 2010)</w:t>
      </w:r>
      <w:r w:rsidRPr="009920E8">
        <w:rPr>
          <w:color w:val="000000" w:themeColor="text1"/>
        </w:rPr>
        <w:fldChar w:fldCharType="end"/>
      </w:r>
      <w:r w:rsidRPr="009920E8">
        <w:rPr>
          <w:color w:val="000000" w:themeColor="text1"/>
        </w:rPr>
        <w:t xml:space="preserve">. A study investigating Dubai Police found four </w:t>
      </w:r>
      <w:r w:rsidR="00CE1C59" w:rsidRPr="009920E8">
        <w:rPr>
          <w:color w:val="000000" w:themeColor="text1"/>
        </w:rPr>
        <w:t xml:space="preserve">major </w:t>
      </w:r>
      <w:r w:rsidR="002C10A7" w:rsidRPr="009920E8">
        <w:rPr>
          <w:color w:val="000000" w:themeColor="text1"/>
        </w:rPr>
        <w:t xml:space="preserve">challenges </w:t>
      </w:r>
      <w:r w:rsidRPr="009920E8">
        <w:rPr>
          <w:color w:val="000000" w:themeColor="text1"/>
        </w:rPr>
        <w:t xml:space="preserve">to knowledge sharing: </w:t>
      </w:r>
      <w:r w:rsidR="00CE1C59" w:rsidRPr="009920E8">
        <w:rPr>
          <w:color w:val="000000" w:themeColor="text1"/>
        </w:rPr>
        <w:t xml:space="preserve">trust, </w:t>
      </w:r>
      <w:r w:rsidRPr="009920E8">
        <w:rPr>
          <w:color w:val="000000" w:themeColor="text1"/>
        </w:rPr>
        <w:t xml:space="preserve">leadership, </w:t>
      </w:r>
      <w:r w:rsidR="00CE1C59" w:rsidRPr="009920E8">
        <w:rPr>
          <w:color w:val="000000" w:themeColor="text1"/>
        </w:rPr>
        <w:t>time</w:t>
      </w:r>
      <w:r w:rsidRPr="009920E8">
        <w:rPr>
          <w:color w:val="000000" w:themeColor="text1"/>
        </w:rPr>
        <w:t xml:space="preserve"> and organizational structure </w:t>
      </w:r>
      <w:r w:rsidRPr="009920E8">
        <w:rPr>
          <w:color w:val="000000" w:themeColor="text1"/>
        </w:rPr>
        <w:fldChar w:fldCharType="begin" w:fldLock="1"/>
      </w:r>
      <w:r w:rsidRPr="009920E8">
        <w:rPr>
          <w:color w:val="000000" w:themeColor="text1"/>
        </w:rPr>
        <w:instrText>ADDIN CSL_CITATION {"citationItems":[{"id":"ITEM-1","itemData":{"DOI":"10.1016/j.ijinfomgt.2011.12.003","ISSN":"02684012","abstract":"This study contributes to the limited research base on knowledge sharing in public sector organisations, specifically police forces, and organisations in the Middle East through a case study investigation into the factors that affect knowledge sharing in the Dubai Police Force. A questionnaire-based survey was conducted with staff in key departments in the Dubai Police Force. Informed by the literature and by interviews conducted in a previous phase, the core of the questionnaire was a bank of Likert-style questions covering the dependent variables intention to knowledge share, and attitude towards knowledge sharing, and the independent variables, trust, organisational structure, leadership, reward, time, and information technology. Data was analysed using structured equation modelling, in order to test the measurement model using confirmatory factor analysis, and to test the structural model. The structural model suggests a strong relationship between attitude to knowledge sharing, and intention to share knowledge. Hypotheses regarding the influence of leadership, trust, organisational structure, time, and information technology on attitude to knowledge sharing were upheld. Rewards did not to influence attitude to knowledge sharing. Recommendations are offered for practice and further research.","author":[{"dropping-particle":"","family":"Seba","given":"Ibrahim","non-dropping-particle":"","parse-names":false,"suffix":""},{"dropping-particle":"","family":"Rowley","given":"Jennifer","non-dropping-particle":"","parse-names":false,"suffix":""},{"dropping-particle":"","family":"Lambert","given":"Sian","non-dropping-particle":"","parse-names":false,"suffix":""}],"container-title":"International Journal of Information Management","id":"ITEM-1","issue":"4","issued":{"date-parts":[["2012","8"]]},"note":"Factors affecting attitudes and intentions towards knowledge sharing in the Dubai Police Force","page":"372-380","title":"Factors affecting attitudes and intentions towards knowledge sharing in the Dubai Police Force","type":"article-journal","volume":"32"},"uris":["http://www.mendeley.com/documents/?uuid=9b514d30-5ab1-48be-9381-4fadb816c67b"]}],"mendeley":{"formattedCitation":"(Seba et al., 2012)","plainTextFormattedCitation":"(Seba et al., 2012)","previouslyFormattedCitation":"(Seba et al., 2012)"},"properties":{"noteIndex":0},"schema":"https://github.com/citation-style-language/schema/raw/master/csl-citation.json"}</w:instrText>
      </w:r>
      <w:r w:rsidRPr="009920E8">
        <w:rPr>
          <w:color w:val="000000" w:themeColor="text1"/>
        </w:rPr>
        <w:fldChar w:fldCharType="separate"/>
      </w:r>
      <w:r w:rsidRPr="009920E8">
        <w:rPr>
          <w:noProof/>
          <w:color w:val="000000" w:themeColor="text1"/>
        </w:rPr>
        <w:t>(Seba et al., 2012)</w:t>
      </w:r>
      <w:r w:rsidRPr="009920E8">
        <w:rPr>
          <w:color w:val="000000" w:themeColor="text1"/>
        </w:rPr>
        <w:fldChar w:fldCharType="end"/>
      </w:r>
      <w:r w:rsidRPr="009920E8">
        <w:rPr>
          <w:color w:val="000000" w:themeColor="text1"/>
        </w:rPr>
        <w:t xml:space="preserve">. That study showed that the </w:t>
      </w:r>
      <w:r w:rsidR="00CE1C59" w:rsidRPr="009920E8">
        <w:rPr>
          <w:color w:val="000000" w:themeColor="text1"/>
        </w:rPr>
        <w:t xml:space="preserve">police </w:t>
      </w:r>
      <w:r w:rsidRPr="009920E8">
        <w:rPr>
          <w:color w:val="000000" w:themeColor="text1"/>
        </w:rPr>
        <w:t xml:space="preserve">force has not succeeded in </w:t>
      </w:r>
      <w:r w:rsidR="00CE1C59" w:rsidRPr="009920E8">
        <w:rPr>
          <w:color w:val="000000" w:themeColor="text1"/>
        </w:rPr>
        <w:t xml:space="preserve">promoting </w:t>
      </w:r>
      <w:r w:rsidRPr="009920E8">
        <w:rPr>
          <w:color w:val="000000" w:themeColor="text1"/>
        </w:rPr>
        <w:t xml:space="preserve">a knowledge culture. It suggested that further studies should be conducted in police organizations in </w:t>
      </w:r>
      <w:r w:rsidR="00193A9C" w:rsidRPr="009920E8">
        <w:rPr>
          <w:color w:val="000000" w:themeColor="text1"/>
        </w:rPr>
        <w:t xml:space="preserve">the </w:t>
      </w:r>
      <w:r w:rsidRPr="009920E8">
        <w:rPr>
          <w:color w:val="000000" w:themeColor="text1"/>
        </w:rPr>
        <w:t xml:space="preserve">Middle East to </w:t>
      </w:r>
      <w:r w:rsidR="002C10A7" w:rsidRPr="009920E8">
        <w:rPr>
          <w:color w:val="000000" w:themeColor="text1"/>
        </w:rPr>
        <w:t xml:space="preserve">investigate </w:t>
      </w:r>
      <w:r w:rsidRPr="009920E8">
        <w:rPr>
          <w:color w:val="000000" w:themeColor="text1"/>
        </w:rPr>
        <w:t xml:space="preserve">the factors affecting knowledge sharing </w:t>
      </w:r>
      <w:r w:rsidRPr="009920E8">
        <w:rPr>
          <w:color w:val="000000" w:themeColor="text1"/>
        </w:rPr>
        <w:fldChar w:fldCharType="begin" w:fldLock="1"/>
      </w:r>
      <w:r w:rsidRPr="009920E8">
        <w:rPr>
          <w:color w:val="000000" w:themeColor="text1"/>
        </w:rPr>
        <w:instrText>ADDIN CSL_CITATION {"citationItems":[{"id":"ITEM-1","itemData":{"DOI":"10.1016/j.ijinfomgt.2011.12.003","ISSN":"02684012","abstract":"This study contributes to the limited research base on knowledge sharing in public sector organisations, specifically police forces, and organisations in the Middle East through a case study investigation into the factors that affect knowledge sharing in the Dubai Police Force. A questionnaire-based survey was conducted with staff in key departments in the Dubai Police Force. Informed by the literature and by interviews conducted in a previous phase, the core of the questionnaire was a bank of Likert-style questions covering the dependent variables intention to knowledge share, and attitude towards knowledge sharing, and the independent variables, trust, organisational structure, leadership, reward, time, and information technology. Data was analysed using structured equation modelling, in order to test the measurement model using confirmatory factor analysis, and to test the structural model. The structural model suggests a strong relationship between attitude to knowledge sharing, and intention to share knowledge. Hypotheses regarding the influence of leadership, trust, organisational structure, time, and information technology on attitude to knowledge sharing were upheld. Rewards did not to influence attitude to knowledge sharing. Recommendations are offered for practice and further research.","author":[{"dropping-particle":"","family":"Seba","given":"Ibrahim","non-dropping-particle":"","parse-names":false,"suffix":""},{"dropping-particle":"","family":"Rowley","given":"Jennifer","non-dropping-particle":"","parse-names":false,"suffix":""},{"dropping-particle":"","family":"Lambert","given":"Sian","non-dropping-particle":"","parse-names":false,"suffix":""}],"container-title":"International Journal of Information Management","id":"ITEM-1","issue":"4","issued":{"date-parts":[["2012","8"]]},"note":"Factors affecting attitudes and intentions towards knowledge sharing in the Dubai Police Force","page":"372-380","title":"Factors affecting attitudes and intentions towards knowledge sharing in the Dubai Police Force","type":"article-journal","volume":"32"},"uris":["http://www.mendeley.com/documents/?uuid=9b514d30-5ab1-48be-9381-4fadb816c67b"]}],"mendeley":{"formattedCitation":"(Seba et al., 2012)","plainTextFormattedCitation":"(Seba et al., 2012)","previouslyFormattedCitation":"(Seba et al., 2012)"},"properties":{"noteIndex":0},"schema":"https://github.com/citation-style-language/schema/raw/master/csl-citation.json"}</w:instrText>
      </w:r>
      <w:r w:rsidRPr="009920E8">
        <w:rPr>
          <w:color w:val="000000" w:themeColor="text1"/>
        </w:rPr>
        <w:fldChar w:fldCharType="separate"/>
      </w:r>
      <w:r w:rsidRPr="009920E8">
        <w:rPr>
          <w:noProof/>
          <w:color w:val="000000" w:themeColor="text1"/>
        </w:rPr>
        <w:t>(Seba et al., 2012)</w:t>
      </w:r>
      <w:r w:rsidRPr="009920E8">
        <w:rPr>
          <w:color w:val="000000" w:themeColor="text1"/>
        </w:rPr>
        <w:fldChar w:fldCharType="end"/>
      </w:r>
      <w:r w:rsidRPr="009920E8">
        <w:rPr>
          <w:color w:val="000000" w:themeColor="text1"/>
        </w:rPr>
        <w:t xml:space="preserve">. </w:t>
      </w:r>
      <w:r w:rsidR="00790A4A">
        <w:rPr>
          <w:color w:val="000000" w:themeColor="text1"/>
        </w:rPr>
        <w:t>Hussein</w:t>
      </w:r>
      <w:r w:rsidR="00BC0EC9">
        <w:rPr>
          <w:color w:val="000000" w:themeColor="text1"/>
        </w:rPr>
        <w:t xml:space="preserve"> et al.</w:t>
      </w:r>
      <w:r w:rsidR="00790A4A" w:rsidRPr="009920E8">
        <w:rPr>
          <w:color w:val="000000" w:themeColor="text1"/>
        </w:rPr>
        <w:t xml:space="preserve"> </w:t>
      </w:r>
      <w:r w:rsidRPr="009920E8">
        <w:rPr>
          <w:color w:val="000000" w:themeColor="text1"/>
        </w:rPr>
        <w:fldChar w:fldCharType="begin" w:fldLock="1"/>
      </w:r>
      <w:r w:rsidR="00E24626" w:rsidRPr="009920E8">
        <w:rPr>
          <w:color w:val="000000" w:themeColor="text1"/>
        </w:rPr>
        <w:instrText>ADDIN CSL_CITATION {"citationItems":[{"id":"ITEM-1","itemData":{"DOI":"10.1108/JWL-05-2016-0041","ISSN":"1366-5626","abstract":"Purpose This paper aims to examine a research model that links knowledge sharing enablers, processes and outcome dimensions in law enforcement in the United Arab Emirates (UAE). It attempts to examine the impact of knowledge self-efficacy and top management support on knowledge donating and collecting. It also attempts to examine the effect of these two aspects of knowledge sharing on firm innovation capability. Design/methodology/approach This study used a quantitative approach, with data collected by questionnaire from 685 police officers in a law enforcement agency in the UAE. Findings Knowledge self-efficacy and top management support have a positive impact on knowledge donating and collecting. Only knowledge collecting, however, had a positive effect on firm innovation capability. Research limitations/implications The study has significant academic and practical implications. It supports a previous research model that links enablers, processes and outcomes of knowledge sharing, and confirms them in the context of law enforcement in the UAE. It could also help law enforcement agencies to promote a knowledge sharing culture to support innovation in the UAE. Originality/value The research model is likely to be particularly valuable in knowledge-intensive organizations such as the law enforcement sector. Knowledge sharing is often overlooked by organizations in the UAE because there has to date been little research in this field.","author":[{"dropping-particle":"","family":"Hussein","given":"AlShaima Taleb Taleb","non-dropping-particle":"","parse-names":false,"suffix":""},{"dropping-particle":"","family":"Singh","given":"Sanjay Kumar","non-dropping-particle":"","parse-names":false,"suffix":""},{"dropping-particle":"","family":"Farouk","given":"Sherine","non-dropping-particle":"","parse-names":false,"suffix":""},{"dropping-particle":"","family":"Sohal","given":"Amrik S.","non-dropping-particle":"","parse-names":false,"suffix":""}],"container-title":"Journal of Workplace Learning","id":"ITEM-1","issue":"8","issued":{"date-parts":[["2016","10","10"]]},"page":"484-495","title":"Knowledge sharing enablers, processes and firm innovation capability","type":"article-journal","volume":"28"},"suppress-author":1,"uris":["http://www.mendeley.com/documents/?uuid=6cc4e2c3-3f32-43e9-bcbb-5cbc898f37e1"]}],"mendeley":{"formattedCitation":"(2016)","plainTextFormattedCitation":"(2016)","previouslyFormattedCitation":"(2016)"},"properties":{"noteIndex":0},"schema":"https://github.com/citation-style-language/schema/raw/master/csl-citation.json"}</w:instrText>
      </w:r>
      <w:r w:rsidRPr="009920E8">
        <w:rPr>
          <w:color w:val="000000" w:themeColor="text1"/>
        </w:rPr>
        <w:fldChar w:fldCharType="separate"/>
      </w:r>
      <w:r w:rsidRPr="009920E8">
        <w:rPr>
          <w:noProof/>
          <w:color w:val="000000" w:themeColor="text1"/>
        </w:rPr>
        <w:t>(2016)</w:t>
      </w:r>
      <w:r w:rsidRPr="009920E8">
        <w:rPr>
          <w:color w:val="000000" w:themeColor="text1"/>
        </w:rPr>
        <w:fldChar w:fldCharType="end"/>
      </w:r>
      <w:r w:rsidRPr="009920E8">
        <w:rPr>
          <w:color w:val="000000" w:themeColor="text1"/>
        </w:rPr>
        <w:t xml:space="preserve"> proposed a knowledge management framework for a law enforcement organization in the UAE. That study focused on knowledge-enabling factors, process</w:t>
      </w:r>
      <w:r w:rsidR="00193A9C" w:rsidRPr="009920E8">
        <w:rPr>
          <w:color w:val="000000" w:themeColor="text1"/>
        </w:rPr>
        <w:t>,</w:t>
      </w:r>
      <w:r w:rsidRPr="009920E8">
        <w:rPr>
          <w:color w:val="000000" w:themeColor="text1"/>
        </w:rPr>
        <w:t xml:space="preserve"> and outcomes. Knowledge </w:t>
      </w:r>
      <w:r w:rsidRPr="009920E8">
        <w:rPr>
          <w:color w:val="000000" w:themeColor="text1"/>
        </w:rPr>
        <w:lastRenderedPageBreak/>
        <w:t>enablers, particularly</w:t>
      </w:r>
      <w:r w:rsidR="00CE1C59" w:rsidRPr="009920E8">
        <w:rPr>
          <w:color w:val="000000" w:themeColor="text1"/>
        </w:rPr>
        <w:t xml:space="preserve"> top management support and</w:t>
      </w:r>
      <w:r w:rsidRPr="009920E8">
        <w:rPr>
          <w:color w:val="000000" w:themeColor="text1"/>
        </w:rPr>
        <w:t xml:space="preserve"> knowledge self-efficacy, had a positive </w:t>
      </w:r>
      <w:r w:rsidR="002C10A7" w:rsidRPr="009920E8">
        <w:rPr>
          <w:color w:val="000000" w:themeColor="text1"/>
        </w:rPr>
        <w:t>relationship with</w:t>
      </w:r>
      <w:r w:rsidRPr="009920E8">
        <w:rPr>
          <w:color w:val="000000" w:themeColor="text1"/>
        </w:rPr>
        <w:t xml:space="preserve"> knowledge donating and collecting. However, only knowledge collecting had a positive relationship with innovation capability. There is</w:t>
      </w:r>
      <w:r w:rsidR="00054373" w:rsidRPr="009920E8">
        <w:rPr>
          <w:color w:val="000000" w:themeColor="text1"/>
        </w:rPr>
        <w:t xml:space="preserve">, therefore, </w:t>
      </w:r>
      <w:r w:rsidRPr="009920E8">
        <w:rPr>
          <w:color w:val="000000" w:themeColor="text1"/>
        </w:rPr>
        <w:t>a gap in the literature for an empirical and comprehensive study about the knowledge management outcomes or benefits in policing organizations.</w:t>
      </w:r>
    </w:p>
    <w:p w14:paraId="6CB195FF" w14:textId="103E4D49" w:rsidR="00EE00BF" w:rsidRPr="002A7627" w:rsidRDefault="00D45FE9" w:rsidP="0017121F">
      <w:pPr>
        <w:pStyle w:val="Heading1"/>
        <w:rPr>
          <w:color w:val="000000"/>
        </w:rPr>
      </w:pPr>
      <w:bookmarkStart w:id="88" w:name="_Toc13959622"/>
      <w:bookmarkStart w:id="89" w:name="_Toc22331655"/>
      <w:bookmarkStart w:id="90" w:name="_Hlk520569323"/>
      <w:r>
        <w:rPr>
          <w:color w:val="000000"/>
        </w:rPr>
        <w:t xml:space="preserve">2.4. </w:t>
      </w:r>
      <w:r w:rsidR="00EE00BF" w:rsidRPr="002A7627">
        <w:rPr>
          <w:color w:val="000000"/>
        </w:rPr>
        <w:t xml:space="preserve">Knowledge </w:t>
      </w:r>
      <w:r w:rsidR="002C4A1A" w:rsidRPr="002A7627">
        <w:rPr>
          <w:color w:val="000000"/>
        </w:rPr>
        <w:t>Management Benefits</w:t>
      </w:r>
      <w:bookmarkEnd w:id="88"/>
      <w:bookmarkEnd w:id="89"/>
    </w:p>
    <w:p w14:paraId="1BC118B0" w14:textId="31E13AF9" w:rsidR="00004BFD" w:rsidRDefault="00EE00BF" w:rsidP="001D5F54">
      <w:pPr>
        <w:pStyle w:val="AAAAAAA"/>
      </w:pPr>
      <w:r w:rsidRPr="002A7627">
        <w:t xml:space="preserve">Knowledge management benefits or outcomes have been considered by a number of scholars. However, all but a few have considered each benefit separately </w:t>
      </w:r>
      <w:r w:rsidRPr="002A7627">
        <w:rPr>
          <w:noProof/>
        </w:rPr>
        <w:t xml:space="preserve">(Heisig et al., 2016; Muthuveloo, Shanmugam, </w:t>
      </w:r>
      <w:r w:rsidR="0083144E" w:rsidRPr="002A7627">
        <w:rPr>
          <w:noProof/>
        </w:rPr>
        <w:t>&amp;</w:t>
      </w:r>
      <w:r w:rsidRPr="002A7627">
        <w:rPr>
          <w:noProof/>
        </w:rPr>
        <w:t xml:space="preserve"> Teoh, 2017; Pee </w:t>
      </w:r>
      <w:r w:rsidR="0083144E" w:rsidRPr="002A7627">
        <w:rPr>
          <w:noProof/>
        </w:rPr>
        <w:t>&amp;</w:t>
      </w:r>
      <w:r w:rsidRPr="002A7627">
        <w:rPr>
          <w:noProof/>
        </w:rPr>
        <w:t xml:space="preserve"> Kankanhalli, 2016)</w:t>
      </w:r>
      <w:r w:rsidRPr="002A7627">
        <w:t xml:space="preserve">. </w:t>
      </w:r>
      <w:r w:rsidR="001C4338" w:rsidRPr="002A7627">
        <w:t>Table</w:t>
      </w:r>
      <w:r w:rsidRPr="002A7627">
        <w:t xml:space="preserve">s </w:t>
      </w:r>
      <w:r w:rsidR="001B475A" w:rsidRPr="002A7627">
        <w:t>2</w:t>
      </w:r>
      <w:r w:rsidRPr="002A7627">
        <w:t xml:space="preserve"> and </w:t>
      </w:r>
      <w:r w:rsidR="00141425">
        <w:t>3</w:t>
      </w:r>
      <w:r w:rsidRPr="002A7627">
        <w:t xml:space="preserve"> describe the knowledge management benefits identified in different studies in developed and developing countries. Yahyapour et al. </w:t>
      </w:r>
      <w:r w:rsidRPr="002A7627">
        <w:fldChar w:fldCharType="begin" w:fldLock="1"/>
      </w:r>
      <w:r w:rsidRPr="002A7627">
        <w:instrText>ADDIN CSL_CITATION {"citationItems":[{"id":"ITEM-1","itemData":{"DOI":"10.1108/JKM-05-2015-0166","ISBN":"1220140538","ISSN":"1367-3270","abstract":"Purpose – The paper aims to foster a better understanding of knowledge management (KM) benefits by integrating the qualitative findings of prior research under a multilayer conceptual framework. Design/methodology/approach – A meta-synthesis approach was conducted by adopting “Noblit and Hare’s” seven-step method. Findings – A breakdown structure for KM benefits which encompasses 3 “macro benefits” at Level 1, 7 “benefits” at Level 2 and 44 “micro benefits” at Level 3. Research limitations/implications – The main limitation is that this research does not provide criteria and measures to assess the benefits of KM. Practical implications – Organizations which intend to invest in KM can obtain a better insight about outcomes and benefits of implementingKMinitiatives. This study will provide those organizations which have already invested in KM with some ideas to evaluate their KM efforts qualitatively. Originality/value – Based on available data, this study is the first of its kind that has identified the benefits ofKMin three layers. Also, the number ofKMbenefits identified in this study is greater than that of any previous research.","author":[{"dropping-particle":"","family":"Yahyapour","given":"Shiva","non-dropping-particle":"","parse-names":false,"suffix":""},{"dropping-particle":"","family":"Shamizanjani","given":"Mehdi","non-dropping-particle":"","parse-names":false,"suffix":""},{"dropping-particle":"","family":"Mosakhani","given":"Mohammad","non-dropping-particle":"","parse-names":false,"suffix":""}],"container-title":"Journal of Knowledge Management","id":"ITEM-1","issue":"6","issued":{"date-parts":[["2015","10","12"]]},"page":"1295-1309","title":"A conceptual breakdown structure for knowledge management benefits using meta-synthesis method","type":"article-journal","volume":"19"},"suppress-author":1,"uris":["http://www.mendeley.com/documents/?uuid=534d5029-a59c-4eb7-b595-6e3265aca0b8"]}],"mendeley":{"formattedCitation":"(2015)","plainTextFormattedCitation":"(2015)","previouslyFormattedCitation":"(2015)"},"properties":{"noteIndex":0},"schema":"https://github.com/citation-style-language/schema/raw/master/csl-citation.json"}</w:instrText>
      </w:r>
      <w:r w:rsidRPr="002A7627">
        <w:fldChar w:fldCharType="separate"/>
      </w:r>
      <w:r w:rsidRPr="002A7627">
        <w:rPr>
          <w:noProof/>
        </w:rPr>
        <w:t>(2015)</w:t>
      </w:r>
      <w:r w:rsidRPr="002A7627">
        <w:fldChar w:fldCharType="end"/>
      </w:r>
      <w:r w:rsidRPr="002A7627">
        <w:t xml:space="preserve"> provided a meta-table and divided knowledge management benefits into seven categories: training and </w:t>
      </w:r>
      <w:r w:rsidRPr="00790A4A">
        <w:rPr>
          <w:color w:val="000000" w:themeColor="text1"/>
        </w:rPr>
        <w:t xml:space="preserve">development, </w:t>
      </w:r>
      <w:r w:rsidR="002C10A7" w:rsidRPr="00790A4A">
        <w:rPr>
          <w:color w:val="000000" w:themeColor="text1"/>
        </w:rPr>
        <w:t>easier communication, more participation, high motivation, customer satisfaction</w:t>
      </w:r>
      <w:r w:rsidRPr="00790A4A">
        <w:rPr>
          <w:color w:val="000000" w:themeColor="text1"/>
        </w:rPr>
        <w:t xml:space="preserve">, tangible </w:t>
      </w:r>
      <w:r w:rsidRPr="002A7627">
        <w:t>performance</w:t>
      </w:r>
      <w:r w:rsidR="00193A9C" w:rsidRPr="002A7627">
        <w:t>,</w:t>
      </w:r>
      <w:r w:rsidRPr="002A7627">
        <w:t xml:space="preserve"> and intangible performance. </w:t>
      </w:r>
      <w:bookmarkEnd w:id="90"/>
      <w:r w:rsidRPr="002A7627">
        <w:t>This could be used to develop a framework of knowledge management benefits using criteria or indicators. Choy et al.</w:t>
      </w:r>
      <w:r w:rsidR="00034035">
        <w:t>’</w:t>
      </w:r>
      <w:r w:rsidR="00C41F2A" w:rsidRPr="002A7627">
        <w:t>s</w:t>
      </w:r>
      <w:r w:rsidRPr="002A7627">
        <w:t xml:space="preserve"> </w:t>
      </w:r>
      <w:r w:rsidR="00C41F2A" w:rsidRPr="002A7627">
        <w:t>(</w:t>
      </w:r>
      <w:r w:rsidRPr="002A7627">
        <w:fldChar w:fldCharType="begin" w:fldLock="1"/>
      </w:r>
      <w:r w:rsidR="00F4281A" w:rsidRPr="002A7627">
        <w:instrText>ADDIN CSL_CITATION {"citationItems":[{"id":"ITEM-1","itemData":{"DOI":"10.1108/02635570610688850","ISSN":"0263-5577","abstract":"Criteria for measuring KM performance outcomes in organisations","author":[{"dropping-particle":"","family":"Choy","given":"Chong Siong","non-dropping-particle":"","parse-names":false,"suffix":""},{"dropping-particle":"","family":"Yew","given":"Wong Kuan","non-dropping-particle":"","parse-names":false,"suffix":""},{"dropping-particle":"","family":"Lin","given":"Binshan","non-dropping-particle":"","parse-names":false,"suffix":""}],"container-title":"Industrial Management and Data Systems","id":"ITEM-1","issue":"7","issued":{"date-parts":[["2006","8"]]},"page":"917-936","title":"Criteria for measuring KM performance outcomes in organisations","type":"article-journal","volume":"106"},"uris":["http://www.mendeley.com/documents/?uuid=7e3cc852-ba42-42df-973e-99abed53d35f"]}],"mendeley":{"formattedCitation":"(Choy et al., 2006)","manualFormatting":"2006)","plainTextFormattedCitation":"(Choy et al., 2006)","previouslyFormattedCitation":"(Choy et al., 2006)"},"properties":{"noteIndex":0},"schema":"https://github.com/citation-style-language/schema/raw/master/csl-citation.json"}</w:instrText>
      </w:r>
      <w:r w:rsidRPr="002A7627">
        <w:fldChar w:fldCharType="separate"/>
      </w:r>
      <w:r w:rsidRPr="002A7627">
        <w:rPr>
          <w:noProof/>
        </w:rPr>
        <w:t>2006)</w:t>
      </w:r>
      <w:r w:rsidRPr="002A7627">
        <w:fldChar w:fldCharType="end"/>
      </w:r>
      <w:r w:rsidRPr="002A7627">
        <w:t xml:space="preserve"> </w:t>
      </w:r>
      <w:r w:rsidR="00C41F2A" w:rsidRPr="002A7627">
        <w:t xml:space="preserve">study </w:t>
      </w:r>
      <w:r w:rsidRPr="002A7627">
        <w:t xml:space="preserve">proposed five key dimensions to measure knowledge management benefits. These were </w:t>
      </w:r>
      <w:r w:rsidR="000A4862">
        <w:t>employee devel</w:t>
      </w:r>
      <w:r w:rsidR="00DD1894">
        <w:t>opment, knowledge management activities, good relationship with stakeholders,</w:t>
      </w:r>
      <w:r w:rsidRPr="002A7627">
        <w:t xml:space="preserve"> customer satisfaction, and organizational success. Massingham and Massingham </w:t>
      </w:r>
      <w:r w:rsidRPr="002A7627">
        <w:fldChar w:fldCharType="begin" w:fldLock="1"/>
      </w:r>
      <w:r w:rsidR="004C27D4" w:rsidRPr="002A7627">
        <w:instrText>ADDIN CSL_CITATION {"citationItems":[{"id":"ITEM-1","itemData":{"DOI":"10.1108/JKM-10-2013-0390","ISSN":"1367-3270","author":[{"dropping-particle":"","family":"Massingham","given":"Peter Rex","non-dropping-particle":"","parse-names":false,"suffix":""},{"dropping-particle":"","family":"Massingham","given":"Rada K","non-dropping-particle":"","parse-names":false,"suffix":""}],"container-title":"Journal of Knowledge Management","id":"ITEM-1","issue":"2","issued":{"date-parts":[["2014","4","7"]]},"page":"221-254","title":"Does knowledge management produce practical outcomes?","type":"article-journal","volume":"18"},"suppress-author":1,"uris":["http://www.mendeley.com/documents/?uuid=30f6f652-d1e6-4124-9d18-eb19f09b4489"]}],"mendeley":{"formattedCitation":"(2014)","plainTextFormattedCitation":"(2014)","previouslyFormattedCitation":"(2014)"},"properties":{"noteIndex":0},"schema":"https://github.com/citation-style-language/schema/raw/master/csl-citation.json"}</w:instrText>
      </w:r>
      <w:r w:rsidRPr="002A7627">
        <w:fldChar w:fldCharType="separate"/>
      </w:r>
      <w:r w:rsidR="00E24626" w:rsidRPr="002A7627">
        <w:rPr>
          <w:noProof/>
        </w:rPr>
        <w:t>(2014)</w:t>
      </w:r>
      <w:r w:rsidRPr="002A7627">
        <w:fldChar w:fldCharType="end"/>
      </w:r>
      <w:r w:rsidRPr="002A7627">
        <w:t xml:space="preserve"> identified </w:t>
      </w:r>
      <w:r w:rsidR="00DD1894" w:rsidRPr="00790A4A">
        <w:rPr>
          <w:color w:val="000000" w:themeColor="text1"/>
        </w:rPr>
        <w:t xml:space="preserve">both </w:t>
      </w:r>
      <w:r w:rsidRPr="00790A4A">
        <w:rPr>
          <w:color w:val="000000" w:themeColor="text1"/>
        </w:rPr>
        <w:t xml:space="preserve">financial and non-financial measures </w:t>
      </w:r>
      <w:r w:rsidRPr="002A7627">
        <w:t xml:space="preserve">for knowledge management in </w:t>
      </w:r>
      <w:r w:rsidR="00193A9C" w:rsidRPr="002A7627">
        <w:t xml:space="preserve">the </w:t>
      </w:r>
      <w:r w:rsidRPr="002A7627">
        <w:t>public sector in Australia, including</w:t>
      </w:r>
      <w:r w:rsidRPr="002A7627" w:rsidDel="00143215">
        <w:t xml:space="preserve"> </w:t>
      </w:r>
      <w:r w:rsidRPr="002A7627">
        <w:t>corporate governance, benchmarking, performance drivers</w:t>
      </w:r>
      <w:r w:rsidR="00193A9C" w:rsidRPr="002A7627">
        <w:t>,</w:t>
      </w:r>
      <w:r w:rsidRPr="002A7627">
        <w:t xml:space="preserve"> and problem-solving. In turn, </w:t>
      </w:r>
      <w:r w:rsidRPr="002A7627">
        <w:lastRenderedPageBreak/>
        <w:t>problem-solving contained three measures, activity, efficiency</w:t>
      </w:r>
      <w:r w:rsidR="00193A9C" w:rsidRPr="002A7627">
        <w:t>,</w:t>
      </w:r>
      <w:r w:rsidRPr="002A7627">
        <w:t xml:space="preserve"> and effectiveness. </w:t>
      </w:r>
      <w:bookmarkStart w:id="91" w:name="_Toc13959685"/>
      <w:bookmarkStart w:id="92" w:name="_Toc14144614"/>
    </w:p>
    <w:p w14:paraId="3830FE2D" w14:textId="77777777" w:rsidR="004B487C" w:rsidRDefault="004B487C" w:rsidP="00032B01">
      <w:pPr>
        <w:pStyle w:val="AAAAAAA"/>
        <w:ind w:firstLine="0"/>
      </w:pPr>
    </w:p>
    <w:p w14:paraId="7B72A310" w14:textId="22D90316" w:rsidR="004B487C" w:rsidRPr="004B487C" w:rsidRDefault="00004BFD" w:rsidP="004B487C">
      <w:pPr>
        <w:pStyle w:val="Caption"/>
        <w:keepNext/>
        <w:jc w:val="lowKashida"/>
      </w:pPr>
      <w:bookmarkStart w:id="93" w:name="_Toc19478580"/>
      <w:bookmarkStart w:id="94" w:name="_Toc21074070"/>
      <w:r w:rsidRPr="00031AF8">
        <w:t xml:space="preserve">Table </w:t>
      </w:r>
      <w:r w:rsidR="006D32F8" w:rsidRPr="00031AF8">
        <w:rPr>
          <w:noProof/>
        </w:rPr>
        <w:fldChar w:fldCharType="begin"/>
      </w:r>
      <w:r w:rsidR="006D32F8" w:rsidRPr="00031AF8">
        <w:rPr>
          <w:noProof/>
        </w:rPr>
        <w:instrText xml:space="preserve"> SEQ Table \* ARABIC </w:instrText>
      </w:r>
      <w:r w:rsidR="006D32F8" w:rsidRPr="00031AF8">
        <w:rPr>
          <w:noProof/>
        </w:rPr>
        <w:fldChar w:fldCharType="separate"/>
      </w:r>
      <w:r w:rsidR="00972C3F" w:rsidRPr="00031AF8">
        <w:rPr>
          <w:noProof/>
        </w:rPr>
        <w:t>2</w:t>
      </w:r>
      <w:r w:rsidR="006D32F8" w:rsidRPr="00031AF8">
        <w:rPr>
          <w:noProof/>
        </w:rPr>
        <w:fldChar w:fldCharType="end"/>
      </w:r>
      <w:r w:rsidRPr="00031AF8">
        <w:t>.</w:t>
      </w:r>
      <w:r>
        <w:t xml:space="preserve"> </w:t>
      </w:r>
      <w:r w:rsidRPr="00B24E57">
        <w:t>Studies examining knowledge management benefits in developed countries.</w:t>
      </w:r>
      <w:bookmarkEnd w:id="93"/>
      <w:bookmarkEnd w:id="94"/>
    </w:p>
    <w:bookmarkEnd w:id="91"/>
    <w:bookmarkEnd w:id="92"/>
    <w:p w14:paraId="73F0B9C9" w14:textId="1CC31D98" w:rsidR="00004BFD" w:rsidRPr="001D5F54" w:rsidRDefault="00004BFD" w:rsidP="001D5F54"/>
    <w:tbl>
      <w:tblPr>
        <w:tblStyle w:val="APAReport"/>
        <w:tblW w:w="8195" w:type="dxa"/>
        <w:tblLayout w:type="fixed"/>
        <w:tblCellMar>
          <w:top w:w="115" w:type="dxa"/>
          <w:left w:w="115" w:type="dxa"/>
          <w:bottom w:w="115" w:type="dxa"/>
          <w:right w:w="115" w:type="dxa"/>
        </w:tblCellMar>
        <w:tblLook w:val="04A0" w:firstRow="1" w:lastRow="0" w:firstColumn="1" w:lastColumn="0" w:noHBand="0" w:noVBand="1"/>
      </w:tblPr>
      <w:tblGrid>
        <w:gridCol w:w="1418"/>
        <w:gridCol w:w="1984"/>
        <w:gridCol w:w="1560"/>
        <w:gridCol w:w="2268"/>
        <w:gridCol w:w="965"/>
      </w:tblGrid>
      <w:tr w:rsidR="00EE00BF" w:rsidRPr="002A7627" w14:paraId="7606DF87" w14:textId="77777777" w:rsidTr="00790A4A">
        <w:trPr>
          <w:cnfStyle w:val="100000000000" w:firstRow="1" w:lastRow="0" w:firstColumn="0" w:lastColumn="0" w:oddVBand="0" w:evenVBand="0" w:oddHBand="0" w:evenHBand="0" w:firstRowFirstColumn="0" w:firstRowLastColumn="0" w:lastRowFirstColumn="0" w:lastRowLastColumn="0"/>
          <w:trHeight w:val="456"/>
          <w:tblHeader/>
        </w:trPr>
        <w:tc>
          <w:tcPr>
            <w:tcW w:w="1418" w:type="dxa"/>
          </w:tcPr>
          <w:p w14:paraId="233A80B1" w14:textId="77777777" w:rsidR="00EE00BF" w:rsidRPr="002A7627" w:rsidRDefault="00EE00BF" w:rsidP="00EE00BF">
            <w:pPr>
              <w:jc w:val="both"/>
              <w:rPr>
                <w:rFonts w:cs="Times New Roman"/>
                <w:b/>
                <w:sz w:val="20"/>
                <w:szCs w:val="20"/>
              </w:rPr>
            </w:pPr>
            <w:r w:rsidRPr="002A7627">
              <w:rPr>
                <w:rFonts w:cs="Times New Roman"/>
                <w:b/>
                <w:sz w:val="20"/>
                <w:szCs w:val="20"/>
              </w:rPr>
              <w:t>Source</w:t>
            </w:r>
          </w:p>
        </w:tc>
        <w:tc>
          <w:tcPr>
            <w:tcW w:w="1984" w:type="dxa"/>
          </w:tcPr>
          <w:p w14:paraId="1667CE29" w14:textId="77777777" w:rsidR="00EE00BF" w:rsidRPr="002A7627" w:rsidRDefault="00EE00BF" w:rsidP="00141425">
            <w:pPr>
              <w:jc w:val="lowKashida"/>
              <w:rPr>
                <w:rFonts w:cs="Times New Roman"/>
                <w:b/>
                <w:sz w:val="20"/>
                <w:szCs w:val="20"/>
              </w:rPr>
            </w:pPr>
            <w:r w:rsidRPr="002A7627">
              <w:rPr>
                <w:rFonts w:cs="Times New Roman"/>
                <w:b/>
                <w:sz w:val="20"/>
                <w:szCs w:val="20"/>
              </w:rPr>
              <w:t>Purpose</w:t>
            </w:r>
          </w:p>
        </w:tc>
        <w:tc>
          <w:tcPr>
            <w:tcW w:w="1560" w:type="dxa"/>
          </w:tcPr>
          <w:p w14:paraId="275CB5CA" w14:textId="77777777" w:rsidR="00EE00BF" w:rsidRPr="002A7627" w:rsidRDefault="00EE00BF" w:rsidP="00EE00BF">
            <w:pPr>
              <w:jc w:val="both"/>
              <w:rPr>
                <w:rFonts w:cs="Times New Roman"/>
                <w:b/>
                <w:sz w:val="20"/>
                <w:szCs w:val="20"/>
              </w:rPr>
            </w:pPr>
            <w:r w:rsidRPr="002A7627">
              <w:rPr>
                <w:rFonts w:cs="Times New Roman"/>
                <w:b/>
                <w:sz w:val="20"/>
                <w:szCs w:val="20"/>
              </w:rPr>
              <w:t>Research Methodology</w:t>
            </w:r>
          </w:p>
        </w:tc>
        <w:tc>
          <w:tcPr>
            <w:tcW w:w="2268" w:type="dxa"/>
          </w:tcPr>
          <w:p w14:paraId="2AB6D762" w14:textId="77777777" w:rsidR="00EE00BF" w:rsidRPr="002A7627" w:rsidRDefault="00EE00BF" w:rsidP="00EE00BF">
            <w:pPr>
              <w:jc w:val="lowKashida"/>
              <w:rPr>
                <w:rFonts w:cs="Times New Roman"/>
                <w:b/>
                <w:sz w:val="20"/>
                <w:szCs w:val="20"/>
              </w:rPr>
            </w:pPr>
            <w:r w:rsidRPr="002A7627">
              <w:rPr>
                <w:rFonts w:cs="Times New Roman"/>
                <w:b/>
                <w:sz w:val="20"/>
                <w:szCs w:val="20"/>
              </w:rPr>
              <w:t>Findings</w:t>
            </w:r>
          </w:p>
        </w:tc>
        <w:tc>
          <w:tcPr>
            <w:tcW w:w="965" w:type="dxa"/>
          </w:tcPr>
          <w:p w14:paraId="43718BA4" w14:textId="77777777" w:rsidR="00EE00BF" w:rsidRPr="002A7627" w:rsidRDefault="00EE00BF" w:rsidP="00EE00BF">
            <w:pPr>
              <w:jc w:val="both"/>
              <w:rPr>
                <w:rFonts w:cs="Times New Roman"/>
                <w:b/>
                <w:sz w:val="20"/>
                <w:szCs w:val="20"/>
              </w:rPr>
            </w:pPr>
            <w:r w:rsidRPr="002A7627">
              <w:rPr>
                <w:rFonts w:cs="Times New Roman"/>
                <w:b/>
                <w:sz w:val="20"/>
                <w:szCs w:val="20"/>
              </w:rPr>
              <w:t>Country</w:t>
            </w:r>
          </w:p>
        </w:tc>
      </w:tr>
      <w:tr w:rsidR="00EE00BF" w:rsidRPr="002A7627" w14:paraId="614618CB" w14:textId="77777777" w:rsidTr="00790A4A">
        <w:trPr>
          <w:trHeight w:val="922"/>
        </w:trPr>
        <w:tc>
          <w:tcPr>
            <w:tcW w:w="1418" w:type="dxa"/>
            <w:hideMark/>
          </w:tcPr>
          <w:p w14:paraId="00BA2CCB" w14:textId="596F74FD" w:rsidR="00EE00BF" w:rsidRPr="002A7627" w:rsidRDefault="00E24626" w:rsidP="00EE00BF">
            <w:pPr>
              <w:jc w:val="lowKashida"/>
              <w:rPr>
                <w:rFonts w:eastAsia="Times New Roman" w:cs="Times New Roman"/>
                <w:sz w:val="20"/>
                <w:szCs w:val="20"/>
              </w:rPr>
            </w:pPr>
            <w:r w:rsidRPr="002A7627">
              <w:rPr>
                <w:rFonts w:eastAsia="Times New Roman" w:cs="Times New Roman"/>
                <w:noProof/>
                <w:sz w:val="20"/>
                <w:szCs w:val="20"/>
              </w:rPr>
              <w:t xml:space="preserve">Chuang </w:t>
            </w:r>
            <w:r w:rsidR="00CC5481" w:rsidRPr="002A7627">
              <w:rPr>
                <w:rFonts w:eastAsia="Times New Roman" w:cs="Times New Roman"/>
                <w:noProof/>
                <w:sz w:val="20"/>
                <w:szCs w:val="20"/>
              </w:rPr>
              <w:t>(</w:t>
            </w:r>
            <w:r w:rsidRPr="002A7627">
              <w:rPr>
                <w:rFonts w:eastAsia="Times New Roman" w:cs="Times New Roman"/>
                <w:noProof/>
                <w:sz w:val="20"/>
                <w:szCs w:val="20"/>
              </w:rPr>
              <w:t>2004)</w:t>
            </w:r>
            <w:r w:rsidR="00EE00BF" w:rsidRPr="002A7627">
              <w:rPr>
                <w:rFonts w:eastAsia="Times New Roman" w:cs="Times New Roman"/>
                <w:sz w:val="20"/>
                <w:szCs w:val="20"/>
              </w:rPr>
              <w:t xml:space="preserve"> </w:t>
            </w:r>
          </w:p>
        </w:tc>
        <w:tc>
          <w:tcPr>
            <w:tcW w:w="1984" w:type="dxa"/>
            <w:hideMark/>
          </w:tcPr>
          <w:p w14:paraId="015506D8" w14:textId="510BDDCB" w:rsidR="00EE00BF" w:rsidRPr="002A7627" w:rsidRDefault="00EE00BF" w:rsidP="00141425">
            <w:pPr>
              <w:jc w:val="lowKashida"/>
              <w:rPr>
                <w:rFonts w:eastAsia="Times New Roman" w:cs="Times New Roman"/>
                <w:sz w:val="20"/>
                <w:szCs w:val="20"/>
              </w:rPr>
            </w:pPr>
            <w:r w:rsidRPr="002A7627">
              <w:rPr>
                <w:rFonts w:eastAsia="Times New Roman" w:cs="Times New Roman"/>
                <w:sz w:val="20"/>
                <w:szCs w:val="20"/>
              </w:rPr>
              <w:t xml:space="preserve">To </w:t>
            </w:r>
            <w:r w:rsidR="002C10A7" w:rsidRPr="00790A4A">
              <w:rPr>
                <w:rFonts w:eastAsia="Times New Roman" w:cs="Times New Roman"/>
                <w:color w:val="000000" w:themeColor="text1"/>
                <w:sz w:val="20"/>
                <w:szCs w:val="20"/>
              </w:rPr>
              <w:t xml:space="preserve">examine </w:t>
            </w:r>
            <w:r w:rsidRPr="00790A4A">
              <w:rPr>
                <w:rFonts w:eastAsia="Times New Roman" w:cs="Times New Roman"/>
                <w:color w:val="000000" w:themeColor="text1"/>
                <w:sz w:val="20"/>
                <w:szCs w:val="20"/>
              </w:rPr>
              <w:t xml:space="preserve">the </w:t>
            </w:r>
            <w:r w:rsidR="00DD1894" w:rsidRPr="00790A4A">
              <w:rPr>
                <w:rFonts w:eastAsia="Times New Roman" w:cs="Times New Roman"/>
                <w:color w:val="000000" w:themeColor="text1"/>
                <w:sz w:val="20"/>
                <w:szCs w:val="20"/>
              </w:rPr>
              <w:t xml:space="preserve">relationship </w:t>
            </w:r>
            <w:r w:rsidRPr="00790A4A">
              <w:rPr>
                <w:rFonts w:eastAsia="Times New Roman" w:cs="Times New Roman"/>
                <w:color w:val="000000" w:themeColor="text1"/>
                <w:sz w:val="20"/>
                <w:szCs w:val="20"/>
              </w:rPr>
              <w:t xml:space="preserve">between </w:t>
            </w:r>
            <w:r w:rsidRPr="002A7627">
              <w:rPr>
                <w:rFonts w:eastAsia="Times New Roman" w:cs="Times New Roman"/>
                <w:sz w:val="20"/>
                <w:szCs w:val="20"/>
              </w:rPr>
              <w:t>knowledge management capabilities and competitive advantage.</w:t>
            </w:r>
          </w:p>
        </w:tc>
        <w:tc>
          <w:tcPr>
            <w:tcW w:w="1560" w:type="dxa"/>
            <w:hideMark/>
          </w:tcPr>
          <w:p w14:paraId="35F44E8F" w14:textId="77777777"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Quantitative (survey)</w:t>
            </w:r>
          </w:p>
        </w:tc>
        <w:tc>
          <w:tcPr>
            <w:tcW w:w="2268" w:type="dxa"/>
            <w:hideMark/>
          </w:tcPr>
          <w:p w14:paraId="78768ADD" w14:textId="77777777"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Superior knowledge management capability leads to sustainable competitive advantage</w:t>
            </w:r>
          </w:p>
        </w:tc>
        <w:tc>
          <w:tcPr>
            <w:tcW w:w="965" w:type="dxa"/>
          </w:tcPr>
          <w:p w14:paraId="76BA39BE"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Taiwan</w:t>
            </w:r>
          </w:p>
        </w:tc>
      </w:tr>
      <w:tr w:rsidR="00EE00BF" w:rsidRPr="002A7627" w14:paraId="22DCAC89" w14:textId="77777777" w:rsidTr="00790A4A">
        <w:trPr>
          <w:trHeight w:val="1457"/>
        </w:trPr>
        <w:tc>
          <w:tcPr>
            <w:tcW w:w="1418" w:type="dxa"/>
            <w:hideMark/>
          </w:tcPr>
          <w:p w14:paraId="59321DCE" w14:textId="4DC4B462" w:rsidR="00EE00BF" w:rsidRPr="002A7627" w:rsidRDefault="00EE00BF" w:rsidP="00EE00BF">
            <w:pPr>
              <w:rPr>
                <w:rFonts w:eastAsia="Times New Roman" w:cs="Times New Roman"/>
                <w:sz w:val="20"/>
                <w:szCs w:val="20"/>
              </w:rPr>
            </w:pPr>
            <w:r w:rsidRPr="002A7627">
              <w:rPr>
                <w:rFonts w:eastAsia="Times New Roman" w:cs="Times New Roman"/>
                <w:sz w:val="20"/>
                <w:szCs w:val="20"/>
              </w:rPr>
              <w:t xml:space="preserve">Anantatmula and </w:t>
            </w:r>
            <w:r w:rsidR="00C41F2A" w:rsidRPr="002A7627">
              <w:rPr>
                <w:sz w:val="20"/>
                <w:szCs w:val="22"/>
              </w:rPr>
              <w:t xml:space="preserve">Kanungo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{"citationItems":[{"id":"ITEM-1","itemData":{"DOI":"10.1108/13673270610679345","ISBN":"1367-3270","ISSN":"1367-3270","PMID":"230309068","abstract":"Purpose - This study aims to identify a set of criteria to assess the effectiveness of knowledge management (KM) and to understand how these criteria inter-relate with one another. From a research and practitioner's perspective, the study seeks to study how to expand these criteria to develop measures. Design/methodology/approach - The research methodology is based on literature review to determine a list of KM outcomes followed by the Delphi technique and survey questionnaire methods. The findings of the Delphi were used to supplement literature review findings. Both these results were used to develop the survey questionnaire. Survey-based research, which used a questionnaire targeting knowledge management professionals as respondents, was aimed at establishing criteria for assessing knowledge management success. Findings - Using the criteria based on survey results, a computer-assisted model is used to understand the shared underlying organizational framework in which KM operates and to identify how these criteria were linked. These relations should be explored and utilized to improve organizational performance. Research limitations/implications - Some of the limitations of this original research are limited number of experts participating in the study. Also, about 48 percent of the survey respondents represent for-profit organizations and thus, research results may be biased towards for-profit organizations. Future research should focus on translating the soft measures of knowledge management into detailed metrics. Originality/value - This is an academic research paper providing information on the underlying relations among KM outcomes. [PUBLICATION ABSTRACT]","author":[{"dropping-particle":"","family":"Anantatmula","given":"Vittal S.","non-dropping-particle":"","parse-names":false,"suffix":""},{"dropping-particle":"","family":"Kanungo","given":"Shivraj","non-dropping-particle":"","parse-names":false,"suffix":""}],"container-title":"Journal of Knowledge Management","id":"ITEM-1","issue":"4","issued":{"date-parts":[["2006"]]},"page":"25-42","title":"Structuring the underlying relations among the knowledge management outcomes","type":"article-journal","volume":"10"},"suppress-author":1,"uris":["http://www.mendeley.com/documents/?uuid=050c029e-4cdc-43be-a3db-8042aea2fc27"]}],"mendeley":{"formattedCitation":"(2006)","plainTextFormattedCitation":"(2006)","previouslyFormattedCitation":"(2006)"},"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(2006)</w:t>
            </w:r>
            <w:r w:rsidRPr="002A7627">
              <w:rPr>
                <w:rFonts w:eastAsia="Times New Roman" w:cs="Times New Roman"/>
                <w:sz w:val="20"/>
                <w:szCs w:val="20"/>
              </w:rPr>
              <w:fldChar w:fldCharType="end"/>
            </w:r>
          </w:p>
        </w:tc>
        <w:tc>
          <w:tcPr>
            <w:tcW w:w="1984" w:type="dxa"/>
            <w:hideMark/>
          </w:tcPr>
          <w:p w14:paraId="72AE3D8D" w14:textId="23E800ED" w:rsidR="00EE00BF" w:rsidRPr="002A7627" w:rsidRDefault="00EE00BF">
            <w:pPr>
              <w:jc w:val="lowKashida"/>
              <w:rPr>
                <w:rFonts w:eastAsia="Times New Roman" w:cs="Times New Roman"/>
                <w:sz w:val="20"/>
                <w:szCs w:val="20"/>
              </w:rPr>
            </w:pPr>
            <w:r w:rsidRPr="002A7627">
              <w:rPr>
                <w:rFonts w:eastAsia="Times New Roman" w:cs="Times New Roman"/>
                <w:sz w:val="20"/>
                <w:szCs w:val="20"/>
              </w:rPr>
              <w:t>To assess knowledge management</w:t>
            </w:r>
            <w:r w:rsidR="00DD1894">
              <w:rPr>
                <w:rFonts w:eastAsia="Times New Roman" w:cs="Times New Roman"/>
                <w:sz w:val="20"/>
                <w:szCs w:val="20"/>
              </w:rPr>
              <w:t xml:space="preserve"> effectiveness</w:t>
            </w:r>
            <w:r w:rsidRPr="002A7627">
              <w:rPr>
                <w:rFonts w:eastAsia="Times New Roman" w:cs="Times New Roman"/>
                <w:sz w:val="20"/>
                <w:szCs w:val="20"/>
              </w:rPr>
              <w:t xml:space="preserve"> and propose some measures.</w:t>
            </w:r>
          </w:p>
        </w:tc>
        <w:tc>
          <w:tcPr>
            <w:tcW w:w="1560" w:type="dxa"/>
            <w:hideMark/>
          </w:tcPr>
          <w:p w14:paraId="217C42A2" w14:textId="77777777"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Quantitative (questionnaire -Delphi approach)</w:t>
            </w:r>
          </w:p>
        </w:tc>
        <w:tc>
          <w:tcPr>
            <w:tcW w:w="2268" w:type="dxa"/>
            <w:hideMark/>
          </w:tcPr>
          <w:p w14:paraId="371516CC" w14:textId="77777777"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Knowledge management can enhance collaboration, improve communication, improve employees’ skills, and improve productivity and decision making</w:t>
            </w:r>
          </w:p>
        </w:tc>
        <w:tc>
          <w:tcPr>
            <w:tcW w:w="965" w:type="dxa"/>
            <w:hideMark/>
          </w:tcPr>
          <w:p w14:paraId="3F1850B3"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USA</w:t>
            </w:r>
          </w:p>
        </w:tc>
      </w:tr>
      <w:tr w:rsidR="00EE00BF" w:rsidRPr="002A7627" w14:paraId="65FAEC61" w14:textId="77777777" w:rsidTr="00790A4A">
        <w:trPr>
          <w:trHeight w:val="922"/>
        </w:trPr>
        <w:tc>
          <w:tcPr>
            <w:tcW w:w="1418" w:type="dxa"/>
          </w:tcPr>
          <w:p w14:paraId="06D3BE84" w14:textId="167856F9" w:rsidR="00EE00BF" w:rsidRPr="002A7627" w:rsidRDefault="00EE00BF">
            <w:pPr>
              <w:rPr>
                <w:rFonts w:eastAsia="Times New Roman" w:cs="Times New Roman"/>
                <w:sz w:val="20"/>
                <w:szCs w:val="20"/>
              </w:rPr>
            </w:pPr>
            <w:r w:rsidRPr="002A7627">
              <w:rPr>
                <w:rFonts w:eastAsia="Times New Roman" w:cs="Times New Roman"/>
                <w:sz w:val="20"/>
                <w:szCs w:val="20"/>
              </w:rPr>
              <w:t>Holgersson</w:t>
            </w:r>
            <w:r w:rsidR="00553356">
              <w:rPr>
                <w:rFonts w:eastAsia="Times New Roman" w:cs="Times New Roman"/>
                <w:sz w:val="20"/>
                <w:szCs w:val="20"/>
              </w:rPr>
              <w:t>, Gottschalk and Dean</w:t>
            </w:r>
            <w:r w:rsidRPr="002A7627">
              <w:rPr>
                <w:rFonts w:eastAsia="Times New Roman" w:cs="Times New Roman"/>
                <w:sz w:val="20"/>
                <w:szCs w:val="20"/>
              </w:rPr>
              <w:t xml:space="preserve"> </w:t>
            </w:r>
            <w:r w:rsidRPr="002A7627">
              <w:rPr>
                <w:rFonts w:eastAsia="Times New Roman" w:cs="Times New Roman"/>
                <w:sz w:val="20"/>
                <w:szCs w:val="20"/>
              </w:rPr>
              <w:fldChar w:fldCharType="begin" w:fldLock="1"/>
            </w:r>
            <w:r w:rsidR="00E24626" w:rsidRPr="002A7627">
              <w:rPr>
                <w:rFonts w:eastAsia="Times New Roman" w:cs="Times New Roman"/>
                <w:sz w:val="20"/>
                <w:szCs w:val="20"/>
              </w:rPr>
              <w:instrText>ADDIN CSL_CITATION {"citationItems":[{"id":"ITEM-1","itemData":{"DOI":"10.1350/ijps.2008.10.1.76","ISSN":"1461-3557","abstract":"This paper describes and classifies different types of knowledge that are a part of police patrol officers' practice. Even though an intervention usually forces a police officer to apply several different knowledge types, this paper discusses different forms of professional knowledge separately to enable categorisation. In general, a large part of police officers' professional knowledge, as well as professional knowledge in many other contexts, is complex and difficult to describe and explain in words. The police profession is distinguished by the broad range of knowledge types that are required and by the time pressure under which actions often must be taken. This paper presents a polarisation into two knowledge management perspectives: the theoretical knowledge view and the street-level knowledge view respectively. [ABSTRACT FROM AUTHOR] Copyright of International Journal of Police Science &amp; Management is the property of Vathek Publishing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Holgersson","given":"Stefan","non-dropping-particle":"","parse-names":false,"suffix":""},{"dropping-particle":"","family":"Gottschalk","given":"Petter","non-dropping-particle":"","parse-names":false,"suffix":""},{"dropping-particle":"","family":"Dean","given":"Geoff","non-dropping-particle":"","parse-names":false,"suffix":""}],"container-title":"International Journal of Police Science and Management","id":"ITEM-1","issue":"1","issued":{"date-parts":[["2008","3"]]},"page":"76-88","title":"Knowledge management in law enforcement: Knowledge views for patrolling police officers","type":"article-journal","volume":"10"},"suppress-author":1,"uris":["http://www.mendeley.com/documents/?uuid=3fce4d7b-7052-4f10-b04a-975da6f837e7"]}],"mendeley":{"formattedCitation":"(2008)","plainTextFormattedCitation":"(2008)","previouslyFormattedCitation":"(2008)"},"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(2008)</w:t>
            </w:r>
            <w:r w:rsidRPr="002A7627">
              <w:rPr>
                <w:rFonts w:eastAsia="Times New Roman" w:cs="Times New Roman"/>
                <w:sz w:val="20"/>
                <w:szCs w:val="20"/>
              </w:rPr>
              <w:fldChar w:fldCharType="end"/>
            </w:r>
          </w:p>
        </w:tc>
        <w:tc>
          <w:tcPr>
            <w:tcW w:w="1984" w:type="dxa"/>
          </w:tcPr>
          <w:p w14:paraId="04409105" w14:textId="77777777" w:rsidR="00EE00BF" w:rsidRPr="002A7627" w:rsidRDefault="00EE00BF" w:rsidP="00141425">
            <w:pPr>
              <w:jc w:val="lowKashida"/>
              <w:rPr>
                <w:rFonts w:eastAsia="Times New Roman" w:cs="Times New Roman"/>
                <w:sz w:val="20"/>
                <w:szCs w:val="20"/>
              </w:rPr>
            </w:pPr>
            <w:r w:rsidRPr="002A7627">
              <w:rPr>
                <w:rFonts w:eastAsia="Times New Roman" w:cs="Times New Roman"/>
                <w:sz w:val="20"/>
                <w:szCs w:val="20"/>
              </w:rPr>
              <w:t>To investigate the knowledge gap between high-ranking officers and police patrol officers.</w:t>
            </w:r>
          </w:p>
          <w:p w14:paraId="3C080FBC" w14:textId="77777777" w:rsidR="00EE00BF" w:rsidRPr="002A7627" w:rsidRDefault="00EE00BF" w:rsidP="00141425">
            <w:pPr>
              <w:jc w:val="lowKashida"/>
              <w:rPr>
                <w:rFonts w:eastAsia="Times New Roman" w:cs="Times New Roman"/>
                <w:sz w:val="20"/>
                <w:szCs w:val="20"/>
              </w:rPr>
            </w:pPr>
          </w:p>
        </w:tc>
        <w:tc>
          <w:tcPr>
            <w:tcW w:w="1560" w:type="dxa"/>
          </w:tcPr>
          <w:p w14:paraId="1C506B80"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t>Qualitative (interviews and observation)</w:t>
            </w:r>
          </w:p>
        </w:tc>
        <w:tc>
          <w:tcPr>
            <w:tcW w:w="2268" w:type="dxa"/>
          </w:tcPr>
          <w:p w14:paraId="5438DCEC" w14:textId="6B2861B4"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 xml:space="preserve">High-level decision-makers </w:t>
            </w:r>
            <w:r w:rsidR="008917E0">
              <w:rPr>
                <w:rFonts w:eastAsia="Times New Roman" w:cs="Times New Roman"/>
                <w:sz w:val="20"/>
                <w:szCs w:val="20"/>
              </w:rPr>
              <w:t>enhance</w:t>
            </w:r>
            <w:r w:rsidRPr="002A7627">
              <w:rPr>
                <w:rFonts w:eastAsia="Times New Roman" w:cs="Times New Roman"/>
                <w:sz w:val="20"/>
                <w:szCs w:val="20"/>
              </w:rPr>
              <w:t xml:space="preserve"> knowledge management if they communicate effectively with patrols.</w:t>
            </w:r>
          </w:p>
        </w:tc>
        <w:tc>
          <w:tcPr>
            <w:tcW w:w="965" w:type="dxa"/>
          </w:tcPr>
          <w:p w14:paraId="24803841"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Sweden</w:t>
            </w:r>
          </w:p>
        </w:tc>
      </w:tr>
      <w:tr w:rsidR="00EE00BF" w:rsidRPr="002A7627" w14:paraId="08C863D8" w14:textId="77777777" w:rsidTr="00790A4A">
        <w:trPr>
          <w:trHeight w:val="1790"/>
        </w:trPr>
        <w:tc>
          <w:tcPr>
            <w:tcW w:w="1418" w:type="dxa"/>
          </w:tcPr>
          <w:p w14:paraId="73343C46"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t xml:space="preserve">Zack et al. </w:t>
            </w:r>
          </w:p>
          <w:p w14:paraId="35F94609" w14:textId="5D5DE981" w:rsidR="00EE00BF" w:rsidRPr="002A7627" w:rsidRDefault="00EE00BF" w:rsidP="00EE00BF">
            <w:pPr>
              <w:rPr>
                <w:rFonts w:eastAsia="Times New Roman" w:cs="Times New Roman"/>
                <w:sz w:val="20"/>
                <w:szCs w:val="20"/>
              </w:rPr>
            </w:pPr>
            <w:r w:rsidRPr="002A7627">
              <w:rPr>
                <w:rFonts w:eastAsia="Times New Roman" w:cs="Times New Roman"/>
                <w:sz w:val="20"/>
                <w:szCs w:val="20"/>
              </w:rPr>
              <w:fldChar w:fldCharType="begin" w:fldLock="1"/>
            </w:r>
            <w:r w:rsidR="00E24626" w:rsidRPr="002A7627">
              <w:rPr>
                <w:rFonts w:eastAsia="Times New Roman" w:cs="Times New Roman"/>
                <w:sz w:val="20"/>
                <w:szCs w:val="20"/>
              </w:rPr>
              <w:instrText>ADDIN CSL_CITATION {"citationItems":[{"id":"ITEM-1","itemData":{"DOI":"10.1108/13673270910997088","ISSN":"1367-3270","abstract":"Purpose – The purpose of this paper is to report the results of an exploratory investigation of the organizational impact of knowledge management (KM).Design/methodology/approach – A search of the literature revealed 12 KM practices whose performance impact was assessed via a survey of business organizations.Findings – KM practices were found to be directly related to organizational performance which, in turn, was directly related to financial performance. There was no direct relationship found between KM practices and financial performance. A different set of KM practices was associated with each value discipline (i.e. customer intimacy, product development and operational excellence). A gap exists between the KM practices that firms believe to be important and those that were directly related to organizational performance.Research limitations/implications – The majority of the research constructs were formative, thus improving the measurement of KM practices will prove vital for validating and extending...","author":[{"dropping-particle":"","family":"Zack","given":"Michael H.","non-dropping-particle":"","parse-names":false,"suffix":""},{"dropping-particle":"","family":"McKeen","given":"James","non-dropping-particle":"","parse-names":false,"suffix":""},{"dropping-particle":"","family":"Singh","given":"Satyendra","non-dropping-particle":"","parse-names":false,"suffix":""}],"container-title":"Journal of Knowledge Management","id":"ITEM-1","issue":"6","issued":{"date-parts":[["2009","10","23"]]},"page":"392-409","publisher":"Emerald Group Publishing Limited","title":"Knowledge management and organizational performance: An exploratory analysis","type":"article-journal","volume":"13"},"suppress-author":1,"uris":["http://www.mendeley.com/documents/?uuid=dc7dcbdd-0da7-3bc8-8590-8593ae317e9d"]}],"mendeley":{"formattedCitation":"(2009)","plainTextFormattedCitation":"(2009)","previouslyFormattedCitation":"(2009)"},"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(2009)</w:t>
            </w:r>
            <w:r w:rsidRPr="002A7627">
              <w:rPr>
                <w:rFonts w:eastAsia="Times New Roman" w:cs="Times New Roman"/>
                <w:sz w:val="20"/>
                <w:szCs w:val="20"/>
              </w:rPr>
              <w:fldChar w:fldCharType="end"/>
            </w:r>
          </w:p>
        </w:tc>
        <w:tc>
          <w:tcPr>
            <w:tcW w:w="1984" w:type="dxa"/>
          </w:tcPr>
          <w:p w14:paraId="3700A3CF" w14:textId="0CDFF435" w:rsidR="00EE00BF" w:rsidRPr="002A7627" w:rsidRDefault="00EE00BF" w:rsidP="00141425">
            <w:pPr>
              <w:jc w:val="lowKashida"/>
              <w:rPr>
                <w:rFonts w:eastAsia="Times New Roman" w:cs="Times New Roman"/>
                <w:sz w:val="20"/>
                <w:szCs w:val="20"/>
              </w:rPr>
            </w:pPr>
            <w:r w:rsidRPr="00790A4A">
              <w:rPr>
                <w:rFonts w:eastAsia="Times New Roman" w:cs="Times New Roman"/>
                <w:color w:val="000000" w:themeColor="text1"/>
                <w:sz w:val="20"/>
                <w:szCs w:val="20"/>
              </w:rPr>
              <w:t xml:space="preserve">To </w:t>
            </w:r>
            <w:r w:rsidR="002C10A7" w:rsidRPr="00790A4A">
              <w:rPr>
                <w:rFonts w:eastAsia="Times New Roman" w:cs="Times New Roman"/>
                <w:color w:val="000000" w:themeColor="text1"/>
                <w:sz w:val="20"/>
                <w:szCs w:val="20"/>
              </w:rPr>
              <w:t xml:space="preserve">investigate </w:t>
            </w:r>
            <w:r w:rsidRPr="00790A4A">
              <w:rPr>
                <w:rFonts w:eastAsia="Times New Roman" w:cs="Times New Roman"/>
                <w:color w:val="000000" w:themeColor="text1"/>
                <w:sz w:val="20"/>
                <w:szCs w:val="20"/>
              </w:rPr>
              <w:t xml:space="preserve">the </w:t>
            </w:r>
            <w:r w:rsidR="002C10A7" w:rsidRPr="00790A4A">
              <w:rPr>
                <w:rFonts w:eastAsia="Times New Roman" w:cs="Times New Roman"/>
                <w:color w:val="000000" w:themeColor="text1"/>
                <w:sz w:val="20"/>
                <w:szCs w:val="20"/>
              </w:rPr>
              <w:t xml:space="preserve">impact </w:t>
            </w:r>
            <w:r w:rsidRPr="00790A4A">
              <w:rPr>
                <w:rFonts w:eastAsia="Times New Roman" w:cs="Times New Roman"/>
                <w:color w:val="000000" w:themeColor="text1"/>
                <w:sz w:val="20"/>
                <w:szCs w:val="20"/>
              </w:rPr>
              <w:t xml:space="preserve">of </w:t>
            </w:r>
            <w:r w:rsidRPr="002A7627">
              <w:rPr>
                <w:rFonts w:eastAsia="Times New Roman" w:cs="Times New Roman"/>
                <w:sz w:val="20"/>
                <w:szCs w:val="20"/>
              </w:rPr>
              <w:t>knowledge management practices on financial performance</w:t>
            </w:r>
          </w:p>
        </w:tc>
        <w:tc>
          <w:tcPr>
            <w:tcW w:w="1560" w:type="dxa"/>
          </w:tcPr>
          <w:p w14:paraId="2E98FC30"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t>Quantitative (survey)</w:t>
            </w:r>
          </w:p>
        </w:tc>
        <w:tc>
          <w:tcPr>
            <w:tcW w:w="2268" w:type="dxa"/>
          </w:tcPr>
          <w:p w14:paraId="3E0F9BEC" w14:textId="4A016E6E" w:rsidR="00EE00BF" w:rsidRPr="002A7627" w:rsidRDefault="00EE00BF">
            <w:pPr>
              <w:jc w:val="lowKashida"/>
              <w:rPr>
                <w:rFonts w:eastAsia="Times New Roman" w:cs="Times New Roman"/>
                <w:sz w:val="20"/>
                <w:szCs w:val="20"/>
              </w:rPr>
            </w:pPr>
            <w:r w:rsidRPr="002A7627">
              <w:rPr>
                <w:rFonts w:eastAsia="Times New Roman" w:cs="Times New Roman"/>
                <w:sz w:val="20"/>
                <w:szCs w:val="20"/>
              </w:rPr>
              <w:t xml:space="preserve">Knowledge management practices </w:t>
            </w:r>
            <w:r w:rsidR="00E644FF" w:rsidRPr="002A7627">
              <w:rPr>
                <w:rFonts w:eastAsia="Times New Roman" w:cs="Times New Roman"/>
                <w:sz w:val="20"/>
                <w:szCs w:val="20"/>
              </w:rPr>
              <w:t>directly</w:t>
            </w:r>
            <w:r w:rsidR="00874F07">
              <w:rPr>
                <w:rFonts w:eastAsia="Times New Roman" w:cs="Times New Roman"/>
                <w:sz w:val="20"/>
                <w:szCs w:val="20"/>
              </w:rPr>
              <w:t xml:space="preserve"> affected</w:t>
            </w:r>
            <w:r w:rsidR="00E644FF" w:rsidRPr="002A7627">
              <w:rPr>
                <w:rFonts w:eastAsia="Times New Roman" w:cs="Times New Roman"/>
                <w:sz w:val="20"/>
                <w:szCs w:val="20"/>
              </w:rPr>
              <w:t xml:space="preserve"> organizational</w:t>
            </w:r>
            <w:r w:rsidRPr="002A7627">
              <w:rPr>
                <w:rFonts w:eastAsia="Times New Roman" w:cs="Times New Roman"/>
                <w:sz w:val="20"/>
                <w:szCs w:val="20"/>
              </w:rPr>
              <w:t xml:space="preserve"> performance but</w:t>
            </w:r>
            <w:r w:rsidR="00B02953">
              <w:rPr>
                <w:rFonts w:eastAsia="Times New Roman" w:cs="Times New Roman"/>
                <w:sz w:val="20"/>
                <w:szCs w:val="20"/>
              </w:rPr>
              <w:t xml:space="preserve"> ha</w:t>
            </w:r>
            <w:r w:rsidR="00874F07">
              <w:rPr>
                <w:rFonts w:eastAsia="Times New Roman" w:cs="Times New Roman"/>
                <w:sz w:val="20"/>
                <w:szCs w:val="20"/>
              </w:rPr>
              <w:t>d</w:t>
            </w:r>
            <w:r w:rsidR="00B02953">
              <w:rPr>
                <w:rFonts w:eastAsia="Times New Roman" w:cs="Times New Roman"/>
                <w:sz w:val="20"/>
                <w:szCs w:val="20"/>
              </w:rPr>
              <w:t xml:space="preserve"> no impact on</w:t>
            </w:r>
            <w:r w:rsidRPr="002A7627">
              <w:rPr>
                <w:rFonts w:eastAsia="Times New Roman" w:cs="Times New Roman"/>
                <w:sz w:val="20"/>
                <w:szCs w:val="20"/>
              </w:rPr>
              <w:t xml:space="preserve"> financial performance. Organizational performance mediated the relationship between knowledge management practices and financial performance.</w:t>
            </w:r>
          </w:p>
        </w:tc>
        <w:tc>
          <w:tcPr>
            <w:tcW w:w="965" w:type="dxa"/>
          </w:tcPr>
          <w:p w14:paraId="77DD8872"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North America and Australia</w:t>
            </w:r>
          </w:p>
        </w:tc>
      </w:tr>
      <w:tr w:rsidR="00EE00BF" w:rsidRPr="002A7627" w14:paraId="2C2AA020" w14:textId="77777777" w:rsidTr="00790A4A">
        <w:trPr>
          <w:trHeight w:val="1377"/>
        </w:trPr>
        <w:tc>
          <w:tcPr>
            <w:tcW w:w="1418" w:type="dxa"/>
          </w:tcPr>
          <w:p w14:paraId="0AAB14A3"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lastRenderedPageBreak/>
              <w:t>Seba and Rowley</w:t>
            </w:r>
          </w:p>
          <w:p w14:paraId="60436969" w14:textId="25BB0FB5" w:rsidR="00EE00BF" w:rsidRPr="002A7627" w:rsidRDefault="00EE00BF" w:rsidP="00EE00BF">
            <w:pPr>
              <w:rPr>
                <w:rFonts w:eastAsia="Times New Roman" w:cs="Times New Roman"/>
                <w:sz w:val="20"/>
                <w:szCs w:val="20"/>
              </w:rPr>
            </w:pPr>
            <w:r w:rsidRPr="002A7627">
              <w:rPr>
                <w:rFonts w:eastAsia="Times New Roman" w:cs="Times New Roman"/>
                <w:sz w:val="20"/>
                <w:szCs w:val="20"/>
              </w:rPr>
              <w:fldChar w:fldCharType="begin" w:fldLock="1"/>
            </w:r>
            <w:r w:rsidR="00E24626" w:rsidRPr="002A7627">
              <w:rPr>
                <w:rFonts w:eastAsia="Times New Roman" w:cs="Times New Roman"/>
                <w:sz w:val="20"/>
                <w:szCs w:val="20"/>
              </w:rPr>
              <w:instrText>ADDIN CSL_CITATION {"citationItems":[{"id":"ITEM-1","itemData":{"DOI":"10.1108/13673271011059554","ISSN":"1367-3270","abstract":"Purpose: This study seeks to contribute to understanding of knowledge management and, specifically, knowledge sharing in the public sector through a case study-based investigation of knowledge management policies and strategies, and knowledge-sharing processes in four UK police forces. Design/methodology/approach: Semi-structured interviews were conducted with ten police officers in three police forces, and in the National Policing Improvement Agency. Questions focused on knowledge management strategy, strategies for encouraging staff to share and exchange knowledge, and any challenges in these areas. Interviews were recorded and transcripts created. A three-stage thematic analysis of the interview transcripts was undertaken. Findings: None of the case study organizations has an overarching knowledge management strategy or policy, although there is widespread recognition of the importance of intelligence and knowledge sharing to successful policing. The three police forces, supported by the National Policing Improvement Agency, do try to embody knowledge management in their strategies, processes and training methods, although it is sometimes difficult to identify relevant initiatives and practices. Forces are facing major issues in encouraging knowledge sharing as a result of the culture, the size of the force, and variable recognition of the value of knowledge management. Originality/value: The study concurs with earlier work on research into knowledge management and knowledge sharing in the public sector that suggests that these processes are implicit and embedded in the culture of such organizations. This makes it challenging to \"manage\" knowledge in such contexts. The paper offers some insights into how knowledge is managed in the UK police force. © Emerald Group Publishing Limited.","author":[{"dropping-particle":"","family":"Seba","given":"Ibrahim","non-dropping-particle":"","parse-names":false,"suffix":""},{"dropping-particle":"","family":"Rowley","given":"Jennifer","non-dropping-particle":"","parse-names":false,"suffix":""}],"container-title":"Journal of Knowledge Management","id":"ITEM-1","issue":"4","issued":{"date-parts":[["2010","7","20"]]},"page":"611-626","title":"Knowledge management in UK police forces","type":"article-journal","volume":"14"},"suppress-author":1,"uris":["http://www.mendeley.com/documents/?uuid=fefccc45-a5ed-4b8f-894a-148dea2bf87c"]}],"mendeley":{"formattedCitation":"(2010)","plainTextFormattedCitation":"(2010)","previouslyFormattedCitation":"(2010)"},"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(2010)</w:t>
            </w:r>
            <w:r w:rsidRPr="002A7627">
              <w:rPr>
                <w:rFonts w:eastAsia="Times New Roman" w:cs="Times New Roman"/>
                <w:sz w:val="20"/>
                <w:szCs w:val="20"/>
              </w:rPr>
              <w:fldChar w:fldCharType="end"/>
            </w:r>
          </w:p>
        </w:tc>
        <w:tc>
          <w:tcPr>
            <w:tcW w:w="1984" w:type="dxa"/>
          </w:tcPr>
          <w:p w14:paraId="152FC3D4" w14:textId="13B362B7" w:rsidR="00EE00BF" w:rsidRPr="002A7627" w:rsidRDefault="00EE00BF" w:rsidP="00141425">
            <w:pPr>
              <w:jc w:val="lowKashida"/>
              <w:rPr>
                <w:rFonts w:eastAsia="Times New Roman" w:cs="Times New Roman"/>
                <w:sz w:val="20"/>
                <w:szCs w:val="20"/>
              </w:rPr>
            </w:pPr>
            <w:r w:rsidRPr="002A7627">
              <w:rPr>
                <w:rFonts w:eastAsia="Times New Roman" w:cs="Times New Roman"/>
                <w:sz w:val="20"/>
                <w:szCs w:val="20"/>
              </w:rPr>
              <w:t xml:space="preserve">To investigate knowledge management policies and </w:t>
            </w:r>
            <w:r w:rsidR="008917E0">
              <w:rPr>
                <w:rFonts w:eastAsia="Times New Roman" w:cs="Times New Roman"/>
                <w:sz w:val="20"/>
                <w:szCs w:val="20"/>
              </w:rPr>
              <w:t>strategic plans</w:t>
            </w:r>
            <w:r w:rsidR="00193A9C" w:rsidRPr="002A7627">
              <w:rPr>
                <w:rFonts w:eastAsia="Times New Roman" w:cs="Times New Roman"/>
                <w:sz w:val="20"/>
                <w:szCs w:val="20"/>
              </w:rPr>
              <w:t>,</w:t>
            </w:r>
            <w:r w:rsidRPr="002A7627">
              <w:rPr>
                <w:rFonts w:eastAsia="Times New Roman" w:cs="Times New Roman"/>
                <w:sz w:val="20"/>
                <w:szCs w:val="20"/>
              </w:rPr>
              <w:t xml:space="preserve"> and knowledge-sharing </w:t>
            </w:r>
            <w:r w:rsidR="008917E0">
              <w:rPr>
                <w:rFonts w:eastAsia="Times New Roman" w:cs="Times New Roman"/>
                <w:sz w:val="20"/>
                <w:szCs w:val="20"/>
              </w:rPr>
              <w:t>practices</w:t>
            </w:r>
            <w:r w:rsidR="008917E0" w:rsidRPr="002A7627">
              <w:rPr>
                <w:rFonts w:eastAsia="Times New Roman" w:cs="Times New Roman"/>
                <w:sz w:val="20"/>
                <w:szCs w:val="20"/>
              </w:rPr>
              <w:t xml:space="preserve"> </w:t>
            </w:r>
            <w:r w:rsidRPr="002A7627">
              <w:rPr>
                <w:rFonts w:eastAsia="Times New Roman" w:cs="Times New Roman"/>
                <w:sz w:val="20"/>
                <w:szCs w:val="20"/>
              </w:rPr>
              <w:t>in four UK police forces.</w:t>
            </w:r>
          </w:p>
        </w:tc>
        <w:tc>
          <w:tcPr>
            <w:tcW w:w="1560" w:type="dxa"/>
          </w:tcPr>
          <w:p w14:paraId="647857F5"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t xml:space="preserve">Qualitative (semi-structured interviews) </w:t>
            </w:r>
          </w:p>
        </w:tc>
        <w:tc>
          <w:tcPr>
            <w:tcW w:w="2268" w:type="dxa"/>
          </w:tcPr>
          <w:p w14:paraId="77D337D4" w14:textId="7AD8FDD0"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 xml:space="preserve">Forces face </w:t>
            </w:r>
            <w:r w:rsidR="008917E0">
              <w:rPr>
                <w:rFonts w:eastAsia="Times New Roman" w:cs="Times New Roman"/>
                <w:sz w:val="20"/>
                <w:szCs w:val="20"/>
              </w:rPr>
              <w:t xml:space="preserve">challenges in promoting knowledge sharing because of </w:t>
            </w:r>
            <w:r w:rsidRPr="002A7627">
              <w:rPr>
                <w:rFonts w:eastAsia="Times New Roman" w:cs="Times New Roman"/>
                <w:sz w:val="20"/>
                <w:szCs w:val="20"/>
              </w:rPr>
              <w:t xml:space="preserve">the culture, </w:t>
            </w:r>
            <w:r w:rsidR="008917E0">
              <w:rPr>
                <w:rFonts w:eastAsia="Times New Roman" w:cs="Times New Roman"/>
                <w:sz w:val="20"/>
                <w:szCs w:val="20"/>
              </w:rPr>
              <w:t>workforce size</w:t>
            </w:r>
            <w:r w:rsidR="00193A9C" w:rsidRPr="002A7627">
              <w:rPr>
                <w:rFonts w:eastAsia="Times New Roman" w:cs="Times New Roman"/>
                <w:sz w:val="20"/>
                <w:szCs w:val="20"/>
              </w:rPr>
              <w:t>,</w:t>
            </w:r>
            <w:r w:rsidRPr="002A7627">
              <w:rPr>
                <w:rFonts w:eastAsia="Times New Roman" w:cs="Times New Roman"/>
                <w:sz w:val="20"/>
                <w:szCs w:val="20"/>
              </w:rPr>
              <w:t xml:space="preserve"> and the value placed on knowledge management.</w:t>
            </w:r>
          </w:p>
        </w:tc>
        <w:tc>
          <w:tcPr>
            <w:tcW w:w="965" w:type="dxa"/>
          </w:tcPr>
          <w:p w14:paraId="7D11BA72"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UK</w:t>
            </w:r>
          </w:p>
        </w:tc>
      </w:tr>
      <w:tr w:rsidR="00EE00BF" w:rsidRPr="002A7627" w14:paraId="5C279A8A" w14:textId="77777777" w:rsidTr="00790A4A">
        <w:trPr>
          <w:trHeight w:val="1411"/>
        </w:trPr>
        <w:tc>
          <w:tcPr>
            <w:tcW w:w="1418" w:type="dxa"/>
          </w:tcPr>
          <w:p w14:paraId="7A4DB713" w14:textId="79A7DB7D" w:rsidR="00EE00BF" w:rsidRPr="002A7627" w:rsidRDefault="007C79F2" w:rsidP="00EE00BF">
            <w:pPr>
              <w:rPr>
                <w:rFonts w:eastAsia="Times New Roman" w:cs="Times New Roman"/>
                <w:sz w:val="20"/>
                <w:szCs w:val="20"/>
              </w:rPr>
            </w:pPr>
            <w:r w:rsidRPr="002A7627">
              <w:rPr>
                <w:sz w:val="20"/>
                <w:szCs w:val="20"/>
              </w:rPr>
              <w:t xml:space="preserve">Birasnav, Rangnekar, and Dalpati </w:t>
            </w:r>
            <w:r w:rsidR="00EE00BF" w:rsidRPr="002A7627">
              <w:rPr>
                <w:rFonts w:eastAsia="Times New Roman" w:cs="Times New Roman"/>
                <w:sz w:val="20"/>
                <w:szCs w:val="20"/>
              </w:rPr>
              <w:fldChar w:fldCharType="begin" w:fldLock="1"/>
            </w:r>
            <w:r w:rsidR="00E24626" w:rsidRPr="002A7627">
              <w:rPr>
                <w:rFonts w:eastAsia="Times New Roman" w:cs="Times New Roman"/>
                <w:sz w:val="20"/>
                <w:szCs w:val="20"/>
              </w:rPr>
              <w:instrText>ADDIN CSL_CITATION {"citationItems":[{"id":"ITEM-1","itemData":{"DOI":"10.1108/01437731111112962","ISSN":"0143-7739","abstract":"Purpose – In order to achieve sustained competitive advantage through developing human capital, organizations, apart from human resource management practices, concentrate on developing transformational leaders and implementing knowledge management (KM). To take part in their efforts, this paper intends to explore leadership and KM literatures to examine the interrelationship between transformational leadership, KM, and employee‐perceived human capital creation or benefits.Design/methodology/approach – A systematic literature review is carried out of traditional and contemporary theoretical and empirical research studies to support the nexus of interrelationship between transformational leadership, KM, and human capital. This review is mainly integrated using a model and propositions that relate transformational leadership and KM with human capital benefits.Findings – Transformational leaders have potential to affect their employees' perceptions of human capital benefits. They also have the greatest potent...","author":[{"dropping-particle":"","family":"Birasnav","given":"M.","non-dropping-particle":"","parse-names":false,"suffix":""},{"dropping-particle":"","family":"Rangnekar","given":"S.","non-dropping-particle":"","parse-names":false,"suffix":""},{"dropping-particle":"","family":"Dalpati","given":"A.","non-dropping-particle":"","parse-names":false,"suffix":""}],"container-title":"Leadership and Organization Development Journal","id":"ITEM-1","issue":"2","issued":{"date-parts":[["2011","3","8"]]},"page":"106-126","publisher":"Emerald Group Publishing Limited","title":"Transformational leadership and human capital benefits: The role of knowledge management","type":"article-journal","volume":"32"},"suppress-author":1,"uris":["http://www.mendeley.com/documents/?uuid=b3f81bc5-9e29-3c71-bf13-e42ad9a13e2a"]}],"mendeley":{"formattedCitation":"(2011)","plainTextFormattedCitation":"(2011)","previouslyFormattedCitation":"(2011)"},"properties":{"noteIndex":0},"schema":"https://github.com/citation-style-language/schema/raw/master/csl-citation.json"}</w:instrText>
            </w:r>
            <w:r w:rsidR="00EE00BF" w:rsidRPr="002A7627">
              <w:rPr>
                <w:rFonts w:eastAsia="Times New Roman" w:cs="Times New Roman"/>
                <w:sz w:val="20"/>
                <w:szCs w:val="20"/>
              </w:rPr>
              <w:fldChar w:fldCharType="separate"/>
            </w:r>
            <w:r w:rsidR="00EE00BF" w:rsidRPr="002A7627">
              <w:rPr>
                <w:rFonts w:eastAsia="Times New Roman" w:cs="Times New Roman"/>
                <w:noProof/>
                <w:sz w:val="20"/>
                <w:szCs w:val="20"/>
              </w:rPr>
              <w:t>(2011)</w:t>
            </w:r>
            <w:r w:rsidR="00EE00BF" w:rsidRPr="002A7627">
              <w:rPr>
                <w:rFonts w:eastAsia="Times New Roman" w:cs="Times New Roman"/>
                <w:sz w:val="20"/>
                <w:szCs w:val="20"/>
              </w:rPr>
              <w:fldChar w:fldCharType="end"/>
            </w:r>
          </w:p>
        </w:tc>
        <w:tc>
          <w:tcPr>
            <w:tcW w:w="1984" w:type="dxa"/>
          </w:tcPr>
          <w:p w14:paraId="127550BC" w14:textId="515570DA" w:rsidR="00EE00BF" w:rsidRPr="002A7627" w:rsidRDefault="00EE00BF" w:rsidP="00141425">
            <w:pPr>
              <w:jc w:val="lowKashida"/>
              <w:rPr>
                <w:rFonts w:eastAsia="Times New Roman" w:cs="Times New Roman"/>
                <w:sz w:val="20"/>
                <w:szCs w:val="20"/>
              </w:rPr>
            </w:pPr>
            <w:r w:rsidRPr="002A7627">
              <w:rPr>
                <w:rFonts w:eastAsia="Times New Roman" w:cs="Times New Roman"/>
                <w:sz w:val="20"/>
                <w:szCs w:val="20"/>
              </w:rPr>
              <w:t>To show the</w:t>
            </w:r>
            <w:r w:rsidR="00B02953">
              <w:rPr>
                <w:rFonts w:eastAsia="Times New Roman" w:cs="Times New Roman"/>
                <w:sz w:val="20"/>
                <w:szCs w:val="20"/>
              </w:rPr>
              <w:t xml:space="preserve"> </w:t>
            </w:r>
            <w:r w:rsidR="00C7226E">
              <w:rPr>
                <w:rFonts w:eastAsia="Times New Roman" w:cs="Times New Roman"/>
                <w:sz w:val="20"/>
                <w:szCs w:val="20"/>
              </w:rPr>
              <w:t>link</w:t>
            </w:r>
            <w:r w:rsidR="00C7226E" w:rsidRPr="002A7627">
              <w:rPr>
                <w:rFonts w:eastAsia="Times New Roman" w:cs="Times New Roman"/>
                <w:sz w:val="20"/>
                <w:szCs w:val="20"/>
              </w:rPr>
              <w:t xml:space="preserve"> between</w:t>
            </w:r>
            <w:r w:rsidRPr="002A7627">
              <w:rPr>
                <w:rFonts w:eastAsia="Times New Roman" w:cs="Times New Roman"/>
                <w:sz w:val="20"/>
                <w:szCs w:val="20"/>
              </w:rPr>
              <w:t xml:space="preserve"> knowledge management and the development of transformational leadership and human capital</w:t>
            </w:r>
          </w:p>
        </w:tc>
        <w:tc>
          <w:tcPr>
            <w:tcW w:w="1560" w:type="dxa"/>
          </w:tcPr>
          <w:p w14:paraId="39A70773"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t xml:space="preserve">A systematic review of literature </w:t>
            </w:r>
          </w:p>
        </w:tc>
        <w:tc>
          <w:tcPr>
            <w:tcW w:w="2268" w:type="dxa"/>
          </w:tcPr>
          <w:p w14:paraId="57D5A7BC" w14:textId="77777777"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 xml:space="preserve">Transformational leaders have an impact on employees' perception of human capital </w:t>
            </w:r>
          </w:p>
        </w:tc>
        <w:tc>
          <w:tcPr>
            <w:tcW w:w="965" w:type="dxa"/>
          </w:tcPr>
          <w:p w14:paraId="3A90B2C9"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Hong Kong</w:t>
            </w:r>
          </w:p>
        </w:tc>
      </w:tr>
      <w:tr w:rsidR="00EE00BF" w:rsidRPr="002A7627" w14:paraId="533471EE" w14:textId="77777777" w:rsidTr="00790A4A">
        <w:trPr>
          <w:trHeight w:val="1790"/>
        </w:trPr>
        <w:tc>
          <w:tcPr>
            <w:tcW w:w="1418" w:type="dxa"/>
          </w:tcPr>
          <w:p w14:paraId="766091F2" w14:textId="5895D50E" w:rsidR="00EE00BF" w:rsidRPr="002A7627" w:rsidRDefault="00EE00BF" w:rsidP="00EE00BF">
            <w:pPr>
              <w:rPr>
                <w:rFonts w:eastAsia="Times New Roman" w:cs="Times New Roman"/>
                <w:sz w:val="20"/>
                <w:szCs w:val="20"/>
              </w:rPr>
            </w:pPr>
            <w:r w:rsidRPr="002A7627">
              <w:rPr>
                <w:rFonts w:eastAsia="Times New Roman" w:cs="Times New Roman"/>
                <w:sz w:val="20"/>
                <w:szCs w:val="20"/>
              </w:rPr>
              <w:t>Zyngier</w:t>
            </w:r>
            <w:r w:rsidR="00553356">
              <w:rPr>
                <w:rFonts w:eastAsia="Times New Roman" w:cs="Times New Roman"/>
                <w:sz w:val="20"/>
                <w:szCs w:val="20"/>
              </w:rPr>
              <w:t xml:space="preserve"> and Burstein</w:t>
            </w:r>
            <w:r w:rsidRPr="002A7627">
              <w:rPr>
                <w:rFonts w:eastAsia="Times New Roman" w:cs="Times New Roman"/>
                <w:sz w:val="20"/>
                <w:szCs w:val="20"/>
              </w:rPr>
              <w:t xml:space="preserve"> </w:t>
            </w:r>
          </w:p>
          <w:p w14:paraId="71CBEDBE"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{"citationItems":[{"id":"ITEM-1","itemData":{"DOI":"10.1057/jit.2011.31","ISBN":"0268-3962","ISSN":"02683962","abstract":"Investment in knowledge management (KM) programmes is often contentious due to the challenge of meeting the need for continuous and sustainable benefits realization. In KM, the word 'sustainable' describes how programmes of strategies to leverage organizational knowledge remain productive over time: that they deliver strategic value to the organization. The focus of this paper falls on the constructs of the governance of KM and on its leadership, in KM strategy development and implementation, including risk management, financial controls and transparent evaluation mechanisms for continuous benefits realization. This paper presents a KM governance model and explores its recent validation through six case studies of large, distributed, multinational organizations, and through these introduces the granular constructs of KM governance. Exploration of the impact of KM governance on developing and implementing KM programmes in each case study organization demonstrates that there is a clear nexus between strategic KM governance and benefits realized from those programmes. [PUBLICATION ABSTRACT]","author":[{"dropping-particle":"","family":"Zyngier","given":"Suzanne","non-dropping-particle":"","parse-names":false,"suffix":""},{"dropping-particle":"","family":"Burstein","given":"Frada","non-dropping-particle":"","parse-names":false,"suffix":""}],"container-title":"Journal of Information Technology","id":"ITEM-1","issue":"2","issued":{"date-parts":[["2012"]]},"page":"140-155","title":"Knowledge management governance: The road to continuous benefits realization","type":"article-journal","volume":"27"},"suppress-author":1,"uris":["http://www.mendeley.com/documents/?uuid=2679b736-d219-4c9b-b630-f9718880028c"]}],"mendeley":{"formattedCitation":"(2012)","plainTextFormattedCitation":"(2012)","previouslyFormattedCitation":"(2012)"},"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(2012)</w:t>
            </w:r>
            <w:r w:rsidRPr="002A7627">
              <w:rPr>
                <w:rFonts w:eastAsia="Times New Roman" w:cs="Times New Roman"/>
                <w:sz w:val="20"/>
                <w:szCs w:val="20"/>
              </w:rPr>
              <w:fldChar w:fldCharType="end"/>
            </w:r>
          </w:p>
        </w:tc>
        <w:tc>
          <w:tcPr>
            <w:tcW w:w="1984" w:type="dxa"/>
          </w:tcPr>
          <w:p w14:paraId="376C838A" w14:textId="77777777" w:rsidR="00EE00BF" w:rsidRPr="002A7627" w:rsidRDefault="00EE00BF" w:rsidP="00141425">
            <w:pPr>
              <w:jc w:val="lowKashida"/>
              <w:rPr>
                <w:rFonts w:eastAsia="Times New Roman" w:cs="Times New Roman"/>
                <w:sz w:val="20"/>
                <w:szCs w:val="20"/>
              </w:rPr>
            </w:pPr>
            <w:r w:rsidRPr="002A7627">
              <w:rPr>
                <w:rFonts w:eastAsia="Times New Roman" w:cs="Times New Roman"/>
                <w:sz w:val="20"/>
                <w:szCs w:val="20"/>
              </w:rPr>
              <w:t>To examine factors that contribute to knowledge management success by differentiating between knowledge management leadership through management and governance</w:t>
            </w:r>
          </w:p>
        </w:tc>
        <w:tc>
          <w:tcPr>
            <w:tcW w:w="1560" w:type="dxa"/>
          </w:tcPr>
          <w:p w14:paraId="58FF262A" w14:textId="379C4884" w:rsidR="00EE00BF" w:rsidRPr="002A7627" w:rsidRDefault="00EE00BF" w:rsidP="00EE00BF">
            <w:pPr>
              <w:rPr>
                <w:rFonts w:eastAsia="Times New Roman" w:cs="Times New Roman"/>
                <w:sz w:val="20"/>
                <w:szCs w:val="20"/>
              </w:rPr>
            </w:pPr>
            <w:r w:rsidRPr="002A7627">
              <w:rPr>
                <w:rFonts w:eastAsia="Times New Roman" w:cs="Times New Roman"/>
                <w:sz w:val="20"/>
                <w:szCs w:val="20"/>
              </w:rPr>
              <w:t>Quantitative (on</w:t>
            </w:r>
            <w:r w:rsidR="00480D89" w:rsidRPr="002A7627">
              <w:rPr>
                <w:rFonts w:eastAsia="Times New Roman" w:cs="Times New Roman"/>
                <w:sz w:val="20"/>
                <w:szCs w:val="20"/>
              </w:rPr>
              <w:t>line</w:t>
            </w:r>
            <w:r w:rsidRPr="002A7627">
              <w:rPr>
                <w:rFonts w:eastAsia="Times New Roman" w:cs="Times New Roman"/>
                <w:sz w:val="20"/>
                <w:szCs w:val="20"/>
              </w:rPr>
              <w:t xml:space="preserve"> survey) </w:t>
            </w:r>
          </w:p>
        </w:tc>
        <w:tc>
          <w:tcPr>
            <w:tcW w:w="2268" w:type="dxa"/>
          </w:tcPr>
          <w:p w14:paraId="4F67FBB7" w14:textId="77777777"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Governance contributes to strategic knowledge management success and benefits</w:t>
            </w:r>
          </w:p>
        </w:tc>
        <w:tc>
          <w:tcPr>
            <w:tcW w:w="965" w:type="dxa"/>
          </w:tcPr>
          <w:p w14:paraId="633068E1"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Australia</w:t>
            </w:r>
          </w:p>
        </w:tc>
      </w:tr>
      <w:tr w:rsidR="00EE00BF" w:rsidRPr="002A7627" w14:paraId="1DC6BA8F" w14:textId="77777777" w:rsidTr="00790A4A">
        <w:trPr>
          <w:trHeight w:val="296"/>
        </w:trPr>
        <w:tc>
          <w:tcPr>
            <w:tcW w:w="1418" w:type="dxa"/>
          </w:tcPr>
          <w:p w14:paraId="1E038A69"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t>Andreeva and Kianto</w:t>
            </w:r>
          </w:p>
          <w:p w14:paraId="08E1948C"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{"citationItems":[{"id":"ITEM-1","itemData":{"DOI":"10.1108/13673271211246185","ISBN":"1367327121","ISSN":"1367-3270","PMID":"1023897605","abstract":"Structured Abstract: Purpose – While nowadays an extensive literature promoting knowledge management (KM) exists, there is a worrying shortage of empirical studies demonstrating an actual connection between KM activities and organizational outcomes. To bridge this gap, we examine the link between KM practices, firm competitiveness and economic performance. Design/methodology/approach – This paper proposes a framework of KM practices consisting of HRM and ICT. These both are hypothesised to impact competitiveness and economic performance of the firm. Hypotheses are then tested with structural equation modelling by using a survey dataset of 234 companies. Findings – The results show that HRM and ICT practices for managing knowledge are quite strongly correlated and have a statistically significant influence on both financial performance and competitiveness of the firm. The findings also indicate that ICT practices improve financial performance only when they are coupled with HRM practices. Research limitations – The data is limited to companies from Finland, Russia and China. Originality/value – This paper contributes to the literature on knowledge-based organizing by empirically analyzing the performance impact of various areas of KM. It thereby tests the proposition put forth in many previous theoretical and case-based studies that KM promotes high 'This article is © Emerald Group Publishing and permission has been granted for this version to appear here Practical implications – The paper contributes to managerial practice by pointing out the importance of utilizing a combination of both social and technical means for KM and illustrating that they do matter for the company bottom line.","author":[{"dropping-particle":"","family":"Andreeva","given":"Tatiana","non-dropping-particle":"","parse-names":false,"suffix":""},{"dropping-particle":"","family":"Kianto","given":"Aino","non-dropping-particle":"","parse-names":false,"suffix":""}],"container-title":"Journal of Knowledge Management","editor":[{"dropping-particle":"","family":"Schiuma","given":"Giovanni","non-dropping-particle":"","parse-names":false,"suffix":""}],"id":"ITEM-1","issue":"4","issued":{"date-parts":[["2012","7","13"]]},"page":"617-636","title":"Does knowledge management really matter? Linking knowledge management practices, competitiveness and economic performance","type":"article-journal","volume":"16"},"suppress-author":1,"uris":["http://www.mendeley.com/documents/?uuid=957e032d-4a89-4923-906c-ac8173c1f799"]}],"mendeley":{"formattedCitation":"(2012)","plainTextFormattedCitation":"(2012)","previouslyFormattedCitation":"(2012)"},"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(2012)</w:t>
            </w:r>
            <w:r w:rsidRPr="002A7627">
              <w:rPr>
                <w:rFonts w:eastAsia="Times New Roman" w:cs="Times New Roman"/>
                <w:sz w:val="20"/>
                <w:szCs w:val="20"/>
              </w:rPr>
              <w:fldChar w:fldCharType="end"/>
            </w:r>
          </w:p>
        </w:tc>
        <w:tc>
          <w:tcPr>
            <w:tcW w:w="1984" w:type="dxa"/>
          </w:tcPr>
          <w:p w14:paraId="510C6D64" w14:textId="06A85B64" w:rsidR="00EE00BF" w:rsidRPr="002A7627" w:rsidRDefault="00EE00BF" w:rsidP="00141425">
            <w:pPr>
              <w:jc w:val="lowKashida"/>
              <w:rPr>
                <w:rFonts w:eastAsia="Times New Roman" w:cs="Times New Roman"/>
                <w:sz w:val="20"/>
                <w:szCs w:val="20"/>
              </w:rPr>
            </w:pPr>
            <w:r w:rsidRPr="002A7627">
              <w:rPr>
                <w:rFonts w:eastAsia="Times New Roman" w:cs="Times New Roman"/>
                <w:sz w:val="20"/>
                <w:szCs w:val="20"/>
              </w:rPr>
              <w:t xml:space="preserve">To </w:t>
            </w:r>
            <w:r w:rsidR="002C10A7" w:rsidRPr="00790A4A">
              <w:rPr>
                <w:rFonts w:eastAsia="Times New Roman" w:cs="Times New Roman"/>
                <w:color w:val="000000" w:themeColor="text1"/>
                <w:sz w:val="20"/>
                <w:szCs w:val="20"/>
              </w:rPr>
              <w:t>investigate</w:t>
            </w:r>
            <w:r w:rsidR="002C10A7" w:rsidRPr="00034035">
              <w:rPr>
                <w:rFonts w:eastAsia="Times New Roman" w:cs="Times New Roman"/>
                <w:color w:val="FF0000"/>
                <w:sz w:val="20"/>
                <w:szCs w:val="20"/>
              </w:rPr>
              <w:t xml:space="preserve"> </w:t>
            </w:r>
            <w:r w:rsidRPr="002A7627">
              <w:rPr>
                <w:rFonts w:eastAsia="Times New Roman" w:cs="Times New Roman"/>
                <w:sz w:val="20"/>
                <w:szCs w:val="20"/>
              </w:rPr>
              <w:t xml:space="preserve">the </w:t>
            </w:r>
            <w:r w:rsidR="00C7226E">
              <w:rPr>
                <w:rFonts w:eastAsia="Times New Roman" w:cs="Times New Roman"/>
                <w:sz w:val="20"/>
                <w:szCs w:val="20"/>
              </w:rPr>
              <w:t>connection</w:t>
            </w:r>
            <w:r w:rsidR="00C7226E" w:rsidRPr="002A7627">
              <w:rPr>
                <w:rFonts w:eastAsia="Times New Roman" w:cs="Times New Roman"/>
                <w:sz w:val="20"/>
                <w:szCs w:val="20"/>
              </w:rPr>
              <w:t xml:space="preserve"> </w:t>
            </w:r>
            <w:r w:rsidRPr="002A7627">
              <w:rPr>
                <w:rFonts w:eastAsia="Times New Roman" w:cs="Times New Roman"/>
                <w:sz w:val="20"/>
                <w:szCs w:val="20"/>
              </w:rPr>
              <w:t>between knowledge management practices, firm competitiveness</w:t>
            </w:r>
            <w:r w:rsidR="00193A9C" w:rsidRPr="002A7627">
              <w:rPr>
                <w:rFonts w:eastAsia="Times New Roman" w:cs="Times New Roman"/>
                <w:sz w:val="20"/>
                <w:szCs w:val="20"/>
              </w:rPr>
              <w:t>,</w:t>
            </w:r>
            <w:r w:rsidRPr="002A7627">
              <w:rPr>
                <w:rFonts w:eastAsia="Times New Roman" w:cs="Times New Roman"/>
                <w:sz w:val="20"/>
                <w:szCs w:val="20"/>
              </w:rPr>
              <w:t xml:space="preserve"> and economic performance</w:t>
            </w:r>
          </w:p>
        </w:tc>
        <w:tc>
          <w:tcPr>
            <w:tcW w:w="1560" w:type="dxa"/>
          </w:tcPr>
          <w:p w14:paraId="64CD6773"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t>Quantitative (survey)</w:t>
            </w:r>
          </w:p>
        </w:tc>
        <w:tc>
          <w:tcPr>
            <w:tcW w:w="2268" w:type="dxa"/>
          </w:tcPr>
          <w:p w14:paraId="3706839D" w14:textId="33F65252" w:rsidR="00EE00BF" w:rsidRPr="002A7627" w:rsidRDefault="00EE00BF">
            <w:pPr>
              <w:jc w:val="lowKashida"/>
              <w:rPr>
                <w:rFonts w:eastAsia="Times New Roman" w:cs="Times New Roman"/>
                <w:sz w:val="20"/>
                <w:szCs w:val="20"/>
              </w:rPr>
            </w:pPr>
            <w:r w:rsidRPr="002A7627">
              <w:rPr>
                <w:rFonts w:eastAsia="Times New Roman" w:cs="Times New Roman"/>
                <w:sz w:val="20"/>
                <w:szCs w:val="20"/>
              </w:rPr>
              <w:t xml:space="preserve">HR and ICT practices influence </w:t>
            </w:r>
            <w:r w:rsidRPr="00790A4A">
              <w:rPr>
                <w:rFonts w:eastAsia="Times New Roman" w:cs="Times New Roman"/>
                <w:color w:val="000000" w:themeColor="text1"/>
                <w:sz w:val="20"/>
                <w:szCs w:val="20"/>
              </w:rPr>
              <w:t>both financial performance and</w:t>
            </w:r>
            <w:r w:rsidR="00874F07" w:rsidRPr="00790A4A">
              <w:rPr>
                <w:rFonts w:eastAsia="Times New Roman" w:cs="Times New Roman"/>
                <w:color w:val="000000" w:themeColor="text1"/>
                <w:sz w:val="20"/>
                <w:szCs w:val="20"/>
              </w:rPr>
              <w:t xml:space="preserve"> the overall ability of the firm to compete</w:t>
            </w:r>
          </w:p>
        </w:tc>
        <w:tc>
          <w:tcPr>
            <w:tcW w:w="965" w:type="dxa"/>
          </w:tcPr>
          <w:p w14:paraId="0FF3F9E7"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Finland, Russia, and China</w:t>
            </w:r>
          </w:p>
        </w:tc>
      </w:tr>
      <w:tr w:rsidR="00EE00BF" w:rsidRPr="002A7627" w14:paraId="306AEFA6" w14:textId="77777777" w:rsidTr="00790A4A">
        <w:trPr>
          <w:trHeight w:val="1120"/>
        </w:trPr>
        <w:tc>
          <w:tcPr>
            <w:tcW w:w="1418" w:type="dxa"/>
          </w:tcPr>
          <w:p w14:paraId="6BEFB6CB"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t xml:space="preserve">Ragab and Arisha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{"citationItems":[{"id":"ITEM-1","itemData":{"DOI":"10.1108/JKM-12-2012-0381","ISSN":"1367-3270","abstract":"Knowledge management and measurement: a critical review","author":[{"dropping-particle":"","family":"Ragab","given":"Mohamed A. F.","non-dropping-particle":"","parse-names":false,"suffix":""},{"dropping-particle":"","family":"Arisha","given":"Amr","non-dropping-particle":"","parse-names":false,"suffix":""}],"container-title":"Journal of Knowledge Management","id":"ITEM-1","issue":"6","issued":{"date-parts":[["2013","10","21"]]},"page":"873-901","title":"Knowledge management and measurement: A critical review","type":"article-journal","volume":"17"},"suppress-author":1,"uris":["http://www.mendeley.com/documents/?uuid=5bc6f112-4fc1-42e0-9644-3b4e82670bf6"]}],"mendeley":{"formattedCitation":"(2013)","plainTextFormattedCitation":"(2013)","previouslyFormattedCitation":"(2013)"},"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(2013)</w:t>
            </w:r>
            <w:r w:rsidRPr="002A7627">
              <w:rPr>
                <w:rFonts w:eastAsia="Times New Roman" w:cs="Times New Roman"/>
                <w:sz w:val="20"/>
                <w:szCs w:val="20"/>
              </w:rPr>
              <w:fldChar w:fldCharType="end"/>
            </w:r>
          </w:p>
        </w:tc>
        <w:tc>
          <w:tcPr>
            <w:tcW w:w="1984" w:type="dxa"/>
          </w:tcPr>
          <w:p w14:paraId="66448873" w14:textId="77777777" w:rsidR="00EE00BF" w:rsidRPr="002A7627" w:rsidRDefault="00EE00BF" w:rsidP="00141425">
            <w:pPr>
              <w:jc w:val="lowKashida"/>
              <w:rPr>
                <w:rFonts w:eastAsia="Times New Roman" w:cs="Times New Roman"/>
                <w:sz w:val="20"/>
                <w:szCs w:val="20"/>
              </w:rPr>
            </w:pPr>
            <w:r w:rsidRPr="002A7627">
              <w:rPr>
                <w:rFonts w:eastAsia="Times New Roman" w:cs="Times New Roman"/>
                <w:sz w:val="20"/>
                <w:szCs w:val="20"/>
              </w:rPr>
              <w:t xml:space="preserve">To review the literature on this issue </w:t>
            </w:r>
          </w:p>
        </w:tc>
        <w:tc>
          <w:tcPr>
            <w:tcW w:w="1560" w:type="dxa"/>
          </w:tcPr>
          <w:p w14:paraId="6E33839C" w14:textId="010D6653" w:rsidR="00EE00BF" w:rsidRPr="002A7627" w:rsidRDefault="00AF41A6">
            <w:pPr>
              <w:jc w:val="lowKashida"/>
              <w:rPr>
                <w:rFonts w:eastAsia="Times New Roman" w:cs="Times New Roman"/>
                <w:sz w:val="20"/>
                <w:szCs w:val="20"/>
              </w:rPr>
            </w:pPr>
            <w:r>
              <w:rPr>
                <w:rFonts w:eastAsia="Times New Roman" w:cs="Times New Roman"/>
                <w:sz w:val="20"/>
                <w:szCs w:val="20"/>
              </w:rPr>
              <w:t>R</w:t>
            </w:r>
            <w:r w:rsidR="00EE00BF" w:rsidRPr="002A7627">
              <w:rPr>
                <w:rFonts w:eastAsia="Times New Roman" w:cs="Times New Roman"/>
                <w:sz w:val="20"/>
                <w:szCs w:val="20"/>
              </w:rPr>
              <w:t>eview</w:t>
            </w:r>
            <w:r>
              <w:rPr>
                <w:rFonts w:eastAsia="Times New Roman" w:cs="Times New Roman"/>
                <w:sz w:val="20"/>
                <w:szCs w:val="20"/>
              </w:rPr>
              <w:t xml:space="preserve"> of</w:t>
            </w:r>
            <w:r w:rsidR="00EE00BF" w:rsidRPr="002A7627">
              <w:rPr>
                <w:rFonts w:eastAsia="Times New Roman" w:cs="Times New Roman"/>
                <w:sz w:val="20"/>
                <w:szCs w:val="20"/>
              </w:rPr>
              <w:t xml:space="preserve"> 350 articles published in peer-reviewed journals</w:t>
            </w:r>
          </w:p>
        </w:tc>
        <w:tc>
          <w:tcPr>
            <w:tcW w:w="2268" w:type="dxa"/>
          </w:tcPr>
          <w:p w14:paraId="494CDDB9" w14:textId="74467BBA"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Theory–practice gaps were challenging issues</w:t>
            </w:r>
            <w:r w:rsidR="00193A9C" w:rsidRPr="002A7627">
              <w:rPr>
                <w:rFonts w:eastAsia="Times New Roman" w:cs="Times New Roman"/>
                <w:sz w:val="20"/>
                <w:szCs w:val="20"/>
              </w:rPr>
              <w:t>,</w:t>
            </w:r>
            <w:r w:rsidRPr="002A7627">
              <w:rPr>
                <w:rFonts w:eastAsia="Times New Roman" w:cs="Times New Roman"/>
                <w:sz w:val="20"/>
                <w:szCs w:val="20"/>
              </w:rPr>
              <w:t xml:space="preserve"> and knowledge management measurement needs to be addressed</w:t>
            </w:r>
          </w:p>
        </w:tc>
        <w:tc>
          <w:tcPr>
            <w:tcW w:w="965" w:type="dxa"/>
          </w:tcPr>
          <w:p w14:paraId="24E2EB55"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UK and Ireland</w:t>
            </w:r>
          </w:p>
        </w:tc>
      </w:tr>
      <w:tr w:rsidR="00EE00BF" w:rsidRPr="002A7627" w14:paraId="24F77A72" w14:textId="77777777" w:rsidTr="00790A4A">
        <w:trPr>
          <w:trHeight w:val="922"/>
        </w:trPr>
        <w:tc>
          <w:tcPr>
            <w:tcW w:w="1418" w:type="dxa"/>
          </w:tcPr>
          <w:p w14:paraId="11788FFF" w14:textId="684AE013" w:rsidR="00EE00BF" w:rsidRPr="002A7627" w:rsidRDefault="00EE00BF" w:rsidP="00EE00BF">
            <w:pPr>
              <w:rPr>
                <w:rFonts w:eastAsia="Times New Roman" w:cs="Times New Roman"/>
                <w:sz w:val="20"/>
                <w:szCs w:val="20"/>
              </w:rPr>
            </w:pPr>
            <w:r w:rsidRPr="002A7627">
              <w:rPr>
                <w:rFonts w:eastAsia="Times New Roman" w:cs="Times New Roman"/>
                <w:sz w:val="20"/>
                <w:szCs w:val="20"/>
              </w:rPr>
              <w:t xml:space="preserve">Edvardsson and Durst </w:t>
            </w:r>
            <w:r w:rsidRPr="002A7627">
              <w:rPr>
                <w:rFonts w:eastAsia="Times New Roman" w:cs="Times New Roman"/>
                <w:sz w:val="20"/>
                <w:szCs w:val="20"/>
              </w:rPr>
              <w:fldChar w:fldCharType="begin" w:fldLock="1"/>
            </w:r>
            <w:r w:rsidR="00CC5481" w:rsidRPr="002A7627">
              <w:rPr>
                <w:rFonts w:eastAsia="Times New Roman" w:cs="Times New Roman"/>
                <w:sz w:val="20"/>
                <w:szCs w:val="20"/>
              </w:rPr>
              <w:instrText>ADDIN CSL_CITATION {"citationItems":[{"id":"ITEM-1","itemData":{"DOI":"10.1016/j.sbspro.2013.06.441","ISBN":"1877-0428","ISSN":"18770428","abstract":"The purpose of our paper is to review extant research to identify what we know about the benefits of knowledge management for small and medium-sized enterprises. The following research questions were formulated according to this aim: 1) What kind of studies have been conducted that focus on benefits of KM within SMEs? 2) What were the main findings of the studies? We propose an approach of literature review in order to understand knowledge benefits for SMEs; a poorly understood area of stud y to date. The few studies identified highlight employee development, innovation, customer satisfaction and organisational success as areas where small and medium-sized businesses benefit from KM activities.","author":[{"dropping-particle":"","family":"Edvardsson","given":"Ingi Runar","non-dropping-particle":"","parse-names":false,"suffix":""},{"dropping-particle":"","family":"Durst","given":"Susanne","non-dropping-particle":"","parse-names":false,"suffix":""}],"container-title":"Procedia - Social and Behavioral Sciences","id":"ITEM-1","issued":{"date-parts":[["2013","6"]]},"page":"351-354","publisher":"Elsevier B.V.","title":"The benefits of knowledge management in small and medium-sized enterprises","type":"article-journal","volume":"81"},"uris":["http://www.mendeley.com/documents/?uuid=ca338fa5-d363-46b6-ba0e-cca6e75953c0"]}],"mendeley":{"formattedCitation":"(Edvardsson &amp; Durst, 2013)","manualFormatting":"(2013)","plainTextFormattedCitation":"(Edvardsson &amp; Durst, 2013)","previouslyFormattedCitation":"(Edvardsson &amp; Durst, 2013)"},"properties":{"noteIndex":0},"schema":"https://github.com/citation-style-language/schema/raw/master/csl-citation.json"}</w:instrText>
            </w:r>
            <w:r w:rsidRPr="002A7627">
              <w:rPr>
                <w:rFonts w:eastAsia="Times New Roman" w:cs="Times New Roman"/>
                <w:sz w:val="20"/>
                <w:szCs w:val="20"/>
              </w:rPr>
              <w:fldChar w:fldCharType="separate"/>
            </w:r>
            <w:r w:rsidR="00E24626" w:rsidRPr="002A7627">
              <w:rPr>
                <w:rFonts w:eastAsia="Times New Roman" w:cs="Times New Roman"/>
                <w:noProof/>
                <w:sz w:val="20"/>
                <w:szCs w:val="20"/>
              </w:rPr>
              <w:t>(2013)</w:t>
            </w:r>
            <w:r w:rsidRPr="002A7627">
              <w:rPr>
                <w:rFonts w:eastAsia="Times New Roman" w:cs="Times New Roman"/>
                <w:sz w:val="20"/>
                <w:szCs w:val="20"/>
              </w:rPr>
              <w:fldChar w:fldCharType="end"/>
            </w:r>
          </w:p>
        </w:tc>
        <w:tc>
          <w:tcPr>
            <w:tcW w:w="1984" w:type="dxa"/>
          </w:tcPr>
          <w:p w14:paraId="5938D133" w14:textId="7A1B203E" w:rsidR="00EE00BF" w:rsidRPr="002A7627" w:rsidRDefault="00EE00BF">
            <w:pPr>
              <w:jc w:val="lowKashida"/>
              <w:rPr>
                <w:rFonts w:eastAsia="Times New Roman" w:cs="Times New Roman"/>
                <w:sz w:val="20"/>
                <w:szCs w:val="20"/>
              </w:rPr>
            </w:pPr>
            <w:r w:rsidRPr="002A7627">
              <w:rPr>
                <w:rFonts w:eastAsia="Times New Roman" w:cs="Times New Roman"/>
                <w:sz w:val="20"/>
                <w:szCs w:val="20"/>
              </w:rPr>
              <w:t xml:space="preserve">To study the benefits of knowledge </w:t>
            </w:r>
            <w:r w:rsidRPr="00790A4A">
              <w:rPr>
                <w:rFonts w:eastAsia="Times New Roman" w:cs="Times New Roman"/>
                <w:color w:val="000000" w:themeColor="text1"/>
                <w:sz w:val="20"/>
                <w:szCs w:val="20"/>
              </w:rPr>
              <w:t xml:space="preserve">management </w:t>
            </w:r>
            <w:r w:rsidR="00E03CDB" w:rsidRPr="00790A4A">
              <w:rPr>
                <w:rFonts w:eastAsia="Times New Roman" w:cs="Times New Roman"/>
                <w:color w:val="000000" w:themeColor="text1"/>
                <w:sz w:val="20"/>
                <w:szCs w:val="20"/>
              </w:rPr>
              <w:t xml:space="preserve">initiatives </w:t>
            </w:r>
            <w:r w:rsidR="00874F07">
              <w:rPr>
                <w:rFonts w:eastAsia="Times New Roman" w:cs="Times New Roman"/>
                <w:sz w:val="20"/>
                <w:szCs w:val="20"/>
              </w:rPr>
              <w:t>for</w:t>
            </w:r>
            <w:r w:rsidR="00874F07" w:rsidRPr="002A7627">
              <w:rPr>
                <w:rFonts w:eastAsia="Times New Roman" w:cs="Times New Roman"/>
                <w:sz w:val="20"/>
                <w:szCs w:val="20"/>
              </w:rPr>
              <w:t xml:space="preserve"> </w:t>
            </w:r>
            <w:r w:rsidRPr="002A7627">
              <w:rPr>
                <w:rFonts w:eastAsia="Times New Roman" w:cs="Times New Roman"/>
                <w:sz w:val="20"/>
                <w:szCs w:val="20"/>
              </w:rPr>
              <w:t xml:space="preserve">small and medium-sized </w:t>
            </w:r>
            <w:r w:rsidRPr="002A7627">
              <w:rPr>
                <w:rFonts w:eastAsia="Times New Roman" w:cs="Times New Roman"/>
                <w:sz w:val="20"/>
                <w:szCs w:val="20"/>
              </w:rPr>
              <w:lastRenderedPageBreak/>
              <w:t>companies</w:t>
            </w:r>
          </w:p>
        </w:tc>
        <w:tc>
          <w:tcPr>
            <w:tcW w:w="1560" w:type="dxa"/>
          </w:tcPr>
          <w:p w14:paraId="73BE67C4"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lastRenderedPageBreak/>
              <w:t xml:space="preserve">An in-depth and structured review of literature on the field. </w:t>
            </w:r>
          </w:p>
        </w:tc>
        <w:tc>
          <w:tcPr>
            <w:tcW w:w="2268" w:type="dxa"/>
          </w:tcPr>
          <w:p w14:paraId="6A9FCD07" w14:textId="4F0580E9"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 xml:space="preserve">Knowledge management activities provided benefits including innovation, employee development, consumer </w:t>
            </w:r>
            <w:r w:rsidRPr="002A7627">
              <w:rPr>
                <w:rFonts w:eastAsia="Times New Roman" w:cs="Times New Roman"/>
                <w:sz w:val="20"/>
                <w:szCs w:val="20"/>
              </w:rPr>
              <w:lastRenderedPageBreak/>
              <w:t>satisfaction</w:t>
            </w:r>
            <w:r w:rsidR="00193A9C" w:rsidRPr="002A7627">
              <w:rPr>
                <w:rFonts w:eastAsia="Times New Roman" w:cs="Times New Roman"/>
                <w:sz w:val="20"/>
                <w:szCs w:val="20"/>
              </w:rPr>
              <w:t>,</w:t>
            </w:r>
            <w:r w:rsidRPr="002A7627">
              <w:rPr>
                <w:rFonts w:eastAsia="Times New Roman" w:cs="Times New Roman"/>
                <w:sz w:val="20"/>
                <w:szCs w:val="20"/>
              </w:rPr>
              <w:t xml:space="preserve"> and organization success</w:t>
            </w:r>
          </w:p>
        </w:tc>
        <w:tc>
          <w:tcPr>
            <w:tcW w:w="965" w:type="dxa"/>
          </w:tcPr>
          <w:p w14:paraId="0F896514"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lastRenderedPageBreak/>
              <w:t>NA</w:t>
            </w:r>
          </w:p>
        </w:tc>
      </w:tr>
      <w:tr w:rsidR="00EE00BF" w:rsidRPr="002A7627" w14:paraId="304B949A" w14:textId="77777777" w:rsidTr="00790A4A">
        <w:trPr>
          <w:trHeight w:val="1443"/>
        </w:trPr>
        <w:tc>
          <w:tcPr>
            <w:tcW w:w="1418" w:type="dxa"/>
          </w:tcPr>
          <w:p w14:paraId="45213A82"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t xml:space="preserve">Tseng and Lee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{"citationItems":[{"id":"ITEM-1","itemData":{"DOI":"10.1108/JEIM-05-2012-0025","ISSN":"1741-0398","abstract":"The effect of knowledge management capability and dynamic capability on organizational performance","author":[{"dropping-particle":"","family":"Tseng","given":"Shu-Mei","non-dropping-particle":"","parse-names":false,"suffix":""},{"dropping-particle":"","family":"Lee","given":"Pei-Shan","non-dropping-particle":"","parse-names":false,"suffix":""}],"container-title":"Journal of Enterprise Information Management","id":"ITEM-1","issue":"2","issued":{"date-parts":[["2014","2","4"]]},"page":"158-179","title":"The effect of knowledge management capability and dynamic capability on organizational performance","type":"article-journal","volume":"27"},"suppress-author":1,"uris":["http://www.mendeley.com/documents/?uuid=6f3139a4-59e8-4c26-896c-f1fda060a8d8"]}],"mendeley":{"formattedCitation":"(2014)","plainTextFormattedCitation":"(2014)","previouslyFormattedCitation":"(2014)"},"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(2014)</w:t>
            </w:r>
            <w:r w:rsidRPr="002A7627">
              <w:rPr>
                <w:rFonts w:eastAsia="Times New Roman" w:cs="Times New Roman"/>
                <w:sz w:val="20"/>
                <w:szCs w:val="20"/>
              </w:rPr>
              <w:fldChar w:fldCharType="end"/>
            </w:r>
          </w:p>
        </w:tc>
        <w:tc>
          <w:tcPr>
            <w:tcW w:w="1984" w:type="dxa"/>
          </w:tcPr>
          <w:p w14:paraId="26CE77ED" w14:textId="77777777" w:rsidR="00EE00BF" w:rsidRPr="002A7627" w:rsidRDefault="00EE00BF" w:rsidP="00141425">
            <w:pPr>
              <w:jc w:val="lowKashida"/>
              <w:rPr>
                <w:rFonts w:eastAsia="Times New Roman" w:cs="Times New Roman"/>
                <w:sz w:val="20"/>
                <w:szCs w:val="20"/>
              </w:rPr>
            </w:pPr>
            <w:r w:rsidRPr="002A7627">
              <w:rPr>
                <w:rFonts w:eastAsia="Times New Roman" w:cs="Times New Roman"/>
                <w:sz w:val="20"/>
                <w:szCs w:val="20"/>
              </w:rPr>
              <w:t>To expand on the current strategic management model, which is unable to provide answers to critical questions in the dynamic business environment</w:t>
            </w:r>
          </w:p>
        </w:tc>
        <w:tc>
          <w:tcPr>
            <w:tcW w:w="1560" w:type="dxa"/>
          </w:tcPr>
          <w:p w14:paraId="59DB8BC0" w14:textId="7DB0DD29" w:rsidR="00EE00BF" w:rsidRPr="002A7627" w:rsidRDefault="00EE00BF" w:rsidP="00EE00BF">
            <w:pPr>
              <w:rPr>
                <w:rFonts w:eastAsia="Times New Roman" w:cs="Times New Roman"/>
                <w:sz w:val="20"/>
                <w:szCs w:val="20"/>
              </w:rPr>
            </w:pPr>
            <w:r w:rsidRPr="002A7627">
              <w:rPr>
                <w:rFonts w:eastAsia="Times New Roman" w:cs="Times New Roman"/>
                <w:sz w:val="20"/>
                <w:szCs w:val="20"/>
              </w:rPr>
              <w:t>Quantitative (questionnaire and statistical analysis)</w:t>
            </w:r>
          </w:p>
        </w:tc>
        <w:tc>
          <w:tcPr>
            <w:tcW w:w="2268" w:type="dxa"/>
          </w:tcPr>
          <w:p w14:paraId="568D179F" w14:textId="0F135614"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Dynamic capability was a benefit of knowledge management capability and helped organizations to perform competitively in the industry</w:t>
            </w:r>
          </w:p>
        </w:tc>
        <w:tc>
          <w:tcPr>
            <w:tcW w:w="965" w:type="dxa"/>
          </w:tcPr>
          <w:p w14:paraId="7DD0048D"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Taiwan</w:t>
            </w:r>
          </w:p>
        </w:tc>
      </w:tr>
      <w:tr w:rsidR="00EE00BF" w:rsidRPr="002A7627" w14:paraId="6EA337F3" w14:textId="77777777" w:rsidTr="00790A4A">
        <w:trPr>
          <w:trHeight w:val="1098"/>
        </w:trPr>
        <w:tc>
          <w:tcPr>
            <w:tcW w:w="1418" w:type="dxa"/>
          </w:tcPr>
          <w:p w14:paraId="5E90A9B1" w14:textId="239BF92E" w:rsidR="00EE00BF" w:rsidRPr="002A7627" w:rsidRDefault="00EE00BF" w:rsidP="00EE00BF">
            <w:pPr>
              <w:rPr>
                <w:rFonts w:eastAsia="Times New Roman" w:cs="Times New Roman"/>
                <w:sz w:val="20"/>
                <w:szCs w:val="20"/>
              </w:rPr>
            </w:pPr>
            <w:r w:rsidRPr="002A7627">
              <w:rPr>
                <w:rFonts w:eastAsia="Times New Roman" w:cs="Times New Roman"/>
                <w:sz w:val="20"/>
                <w:szCs w:val="20"/>
              </w:rPr>
              <w:t xml:space="preserve">Massaro et al. </w:t>
            </w:r>
            <w:r w:rsidRPr="002A7627">
              <w:rPr>
                <w:rFonts w:eastAsia="Times New Roman" w:cs="Times New Roman"/>
                <w:sz w:val="20"/>
                <w:szCs w:val="20"/>
              </w:rPr>
              <w:fldChar w:fldCharType="begin" w:fldLock="1"/>
            </w:r>
            <w:r w:rsidR="00CB0956" w:rsidRPr="002A7627">
              <w:rPr>
                <w:rFonts w:eastAsia="Times New Roman" w:cs="Times New Roman"/>
                <w:sz w:val="20"/>
                <w:szCs w:val="20"/>
              </w:rPr>
              <w:instrText>ADDIN CSL_CITATION {"citationItems":[{"id":"ITEM-1","itemData":{"DOI":"10.1108/JKM-11-2014-0466","ISBN":"1367-3270","ISSN":"17587484","PMID":"225424609","abstract":"Purpose ? This paper aims to review and critique the public sector knowledge management (KM) literature, offers an overview of the state of public sector KM research and outlines a future research agenda. Design/methodology/approach ? Articles published in KM journals are analyzed using a structured literature review methodology. The paper analyzes 180 papers published within ten journals specializing in the field of KM. Findings ? Public sector KM is a research area of growing importance. Findings show that few authors specialize in the field and there are several obstacles to developing a cohesive body of literature. Low levels of international cooperation among authors and international comparisons mean that the literature is fragmented. Some research topics and some geographical areas within the public sector theme are over-analyzed, while others are under-investigated. Additionally, academic researchers should re-think their methodological approach if they wish to make significant contributions to the literature and work toward developing research which impacts practice in conjunction with practitioners. Originality/value ? The paper presents a comprehensive structured literature review of the articles published in KM journals. The paper?s findings can offer insights into future research needs.","author":[{"dropping-particle":"","family":"Massaro","given":"Maurizio","non-dropping-particle":"","parse-names":false,"suffix":""},{"dropping-particle":"","family":"Dumay","given":"John","non-dropping-particle":"","parse-names":false,"suffix":""},{"dropping-particle":"","family":"Garlatti","given":"Andrea","non-dropping-particle":"","parse-names":false,"suffix":""}],"container-title":"Journal of Knowledge Management","id":"ITEM-1","issue":"3","issued":{"date-parts":[["2015"]]},"page":"530-558","title":"Public sector knowledge management: A structured literature review","type":"article-journal","volume":"19"},"uris":["http://www.mendeley.com/documents/?uuid=f81c58f4-a3a0-4d4a-b1be-7e678e94d759"]}],"mendeley":{"formattedCitation":"(Massaro et al., 2015)","manualFormatting":"(2015)","plainTextFormattedCitation":"(Massaro et al., 2015)","previouslyFormattedCitation":"(Massaro et al., 2015)"},"properties":{"noteIndex":0},"schema":"https://github.com/citation-style-language/schema/raw/master/csl-citation.json"}</w:instrText>
            </w:r>
            <w:r w:rsidRPr="002A7627">
              <w:rPr>
                <w:rFonts w:eastAsia="Times New Roman" w:cs="Times New Roman"/>
                <w:sz w:val="20"/>
                <w:szCs w:val="20"/>
              </w:rPr>
              <w:fldChar w:fldCharType="separate"/>
            </w:r>
            <w:r w:rsidR="00CC5481" w:rsidRPr="002A7627">
              <w:rPr>
                <w:rFonts w:eastAsia="Times New Roman" w:cs="Times New Roman"/>
                <w:noProof/>
                <w:sz w:val="20"/>
                <w:szCs w:val="20"/>
              </w:rPr>
              <w:t>(2015)</w:t>
            </w:r>
            <w:r w:rsidRPr="002A7627">
              <w:rPr>
                <w:rFonts w:eastAsia="Times New Roman" w:cs="Times New Roman"/>
                <w:sz w:val="20"/>
                <w:szCs w:val="20"/>
              </w:rPr>
              <w:fldChar w:fldCharType="end"/>
            </w:r>
            <w:r w:rsidRPr="002A7627">
              <w:rPr>
                <w:rFonts w:eastAsia="Times New Roman" w:cs="Times New Roman"/>
                <w:sz w:val="20"/>
                <w:szCs w:val="20"/>
              </w:rPr>
              <w:t xml:space="preserve"> </w:t>
            </w:r>
          </w:p>
        </w:tc>
        <w:tc>
          <w:tcPr>
            <w:tcW w:w="1984" w:type="dxa"/>
          </w:tcPr>
          <w:p w14:paraId="6ECACBA8" w14:textId="7AA9B578" w:rsidR="00EE00BF" w:rsidRPr="00790A4A" w:rsidRDefault="00EE00BF" w:rsidP="00141425">
            <w:pPr>
              <w:jc w:val="lowKashida"/>
              <w:rPr>
                <w:rFonts w:eastAsia="Times New Roman" w:cs="Times New Roman"/>
                <w:color w:val="000000" w:themeColor="text1"/>
                <w:sz w:val="20"/>
                <w:szCs w:val="20"/>
              </w:rPr>
            </w:pPr>
            <w:r w:rsidRPr="00790A4A">
              <w:rPr>
                <w:rFonts w:eastAsia="Times New Roman" w:cs="Times New Roman"/>
                <w:color w:val="000000" w:themeColor="text1"/>
                <w:sz w:val="20"/>
                <w:szCs w:val="20"/>
              </w:rPr>
              <w:t xml:space="preserve">To provide </w:t>
            </w:r>
            <w:r w:rsidR="00E03CDB" w:rsidRPr="00790A4A">
              <w:rPr>
                <w:rFonts w:eastAsia="Times New Roman" w:cs="Times New Roman"/>
                <w:color w:val="000000" w:themeColor="text1"/>
                <w:sz w:val="20"/>
                <w:szCs w:val="20"/>
              </w:rPr>
              <w:t>a summary</w:t>
            </w:r>
            <w:r w:rsidRPr="00790A4A">
              <w:rPr>
                <w:rFonts w:eastAsia="Times New Roman" w:cs="Times New Roman"/>
                <w:color w:val="000000" w:themeColor="text1"/>
                <w:sz w:val="20"/>
                <w:szCs w:val="20"/>
              </w:rPr>
              <w:t xml:space="preserve"> of the state of public sector knowledge management research and outline suggestions for future research.</w:t>
            </w:r>
          </w:p>
        </w:tc>
        <w:tc>
          <w:tcPr>
            <w:tcW w:w="1560" w:type="dxa"/>
          </w:tcPr>
          <w:p w14:paraId="74F3DC7F" w14:textId="05217631" w:rsidR="00EE00BF" w:rsidRPr="00790A4A" w:rsidRDefault="00EE00BF">
            <w:pPr>
              <w:rPr>
                <w:rFonts w:eastAsia="Times New Roman" w:cs="Times New Roman"/>
                <w:color w:val="000000" w:themeColor="text1"/>
                <w:sz w:val="20"/>
                <w:szCs w:val="20"/>
              </w:rPr>
            </w:pPr>
            <w:r w:rsidRPr="00790A4A">
              <w:rPr>
                <w:rFonts w:eastAsia="Times New Roman" w:cs="Times New Roman"/>
                <w:color w:val="000000" w:themeColor="text1"/>
                <w:sz w:val="20"/>
                <w:szCs w:val="20"/>
              </w:rPr>
              <w:t xml:space="preserve">Structured literature review. </w:t>
            </w:r>
          </w:p>
        </w:tc>
        <w:tc>
          <w:tcPr>
            <w:tcW w:w="2268" w:type="dxa"/>
          </w:tcPr>
          <w:p w14:paraId="4A5EE6B4" w14:textId="77777777" w:rsidR="00EE00BF" w:rsidRPr="00790A4A" w:rsidRDefault="00EE00BF" w:rsidP="00EE00BF">
            <w:pPr>
              <w:jc w:val="lowKashida"/>
              <w:rPr>
                <w:rFonts w:eastAsia="Times New Roman" w:cs="Times New Roman"/>
                <w:color w:val="000000" w:themeColor="text1"/>
                <w:sz w:val="20"/>
                <w:szCs w:val="20"/>
              </w:rPr>
            </w:pPr>
            <w:r w:rsidRPr="00790A4A">
              <w:rPr>
                <w:rFonts w:eastAsia="Times New Roman" w:cs="Times New Roman"/>
                <w:color w:val="000000" w:themeColor="text1"/>
                <w:sz w:val="20"/>
                <w:szCs w:val="20"/>
              </w:rPr>
              <w:t xml:space="preserve">The knowledge management literature is fragmented. Some topics are over-analyzed, while others are under-investigated. </w:t>
            </w:r>
          </w:p>
        </w:tc>
        <w:tc>
          <w:tcPr>
            <w:tcW w:w="965" w:type="dxa"/>
          </w:tcPr>
          <w:p w14:paraId="35C556E4"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NA</w:t>
            </w:r>
          </w:p>
        </w:tc>
      </w:tr>
      <w:tr w:rsidR="00EE00BF" w:rsidRPr="002A7627" w14:paraId="4CCFFC3A" w14:textId="77777777" w:rsidTr="00790A4A">
        <w:trPr>
          <w:trHeight w:val="922"/>
        </w:trPr>
        <w:tc>
          <w:tcPr>
            <w:tcW w:w="1418" w:type="dxa"/>
          </w:tcPr>
          <w:p w14:paraId="06A65E4A"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t xml:space="preserve">Pee and Kankanhalli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{"citationItems":[{"id":"ITEM-1","itemData":{"DOI":"10.1016/j.giq.2015.06.002","ISSN":"0740624X","abstract":"In public administration, knowledge management (KM) is increasingly advocated for improving novelty and agility in policy development and service delivery. This study identifies factors influencing KM, theorizes their interaction effects based on the resource-based view, and assesses the impact of KM on organizational effectiveness. Physical resources invested specifically to promote KM (e.g., KM technology) are hypothesized to interact with organizational and human resources to influence public organizations' KM capability in capturing, sharing, applying, and creating knowledge. Data collected from 101 public organizations indicate that senior management championship, social capital, and employees' job expertise enhance the effectiveness of physical KM resources while organizational structure has a suppressing effect. Among them, senior management championship has the strongest enhancing effect. The findings also support the general expectation that developing a strong KM capability improves organizational effectiveness. Clarifying the interaction effects has important implications for the theoretical understanding of KM in public administration, while providing empirical evidence for the performance impact of KM informs public management.","author":[{"dropping-particle":"","family":"Pee","given":"L.G.","non-dropping-particle":"","parse-names":false,"suffix":""},{"dropping-particle":"","family":"Kankanhalli","given":"A.","non-dropping-particle":"","parse-names":false,"suffix":""}],"container-title":"Government Information Quarterly","id":"ITEM-1","issue":"1","issued":{"date-parts":[["2016","1","1"]]},"note":"findings also support the general expectation that developing a strong KM capability improves organizational effectiveness.","page":"188-199","title":"Interactions among factors influencing knowledge management in public-sector organizations: A resource-based view","type":"article-journal","volume":"33"},"suppress-author":1,"uris":["http://www.mendeley.com/documents/?uuid=348a46f3-da8a-335d-b3f5-977129ba8f03"]}],"mendeley":{"formattedCitation":"(2016)","plainTextFormattedCitation":"(2016)","previouslyFormattedCitation":"(2016)"},"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(2016)</w:t>
            </w:r>
            <w:r w:rsidRPr="002A7627">
              <w:rPr>
                <w:rFonts w:eastAsia="Times New Roman" w:cs="Times New Roman"/>
                <w:sz w:val="20"/>
                <w:szCs w:val="20"/>
              </w:rPr>
              <w:fldChar w:fldCharType="end"/>
            </w:r>
          </w:p>
        </w:tc>
        <w:tc>
          <w:tcPr>
            <w:tcW w:w="1984" w:type="dxa"/>
          </w:tcPr>
          <w:p w14:paraId="377BFDD9" w14:textId="77777777" w:rsidR="00EE00BF" w:rsidRPr="00790A4A" w:rsidRDefault="00EE00BF" w:rsidP="00141425">
            <w:pPr>
              <w:jc w:val="lowKashida"/>
              <w:rPr>
                <w:rFonts w:eastAsia="Times New Roman" w:cs="Times New Roman"/>
                <w:color w:val="000000" w:themeColor="text1"/>
                <w:sz w:val="20"/>
                <w:szCs w:val="20"/>
              </w:rPr>
            </w:pPr>
            <w:r w:rsidRPr="00790A4A">
              <w:rPr>
                <w:rFonts w:eastAsia="Times New Roman" w:cs="Times New Roman"/>
                <w:color w:val="000000" w:themeColor="text1"/>
                <w:sz w:val="20"/>
                <w:szCs w:val="20"/>
              </w:rPr>
              <w:t>To investigate the factors affecting knowledge management and assess its impact on organizational effectiveness.</w:t>
            </w:r>
          </w:p>
        </w:tc>
        <w:tc>
          <w:tcPr>
            <w:tcW w:w="1560" w:type="dxa"/>
          </w:tcPr>
          <w:p w14:paraId="2AC633D1" w14:textId="77777777" w:rsidR="00EE00BF" w:rsidRPr="00790A4A" w:rsidRDefault="00EE00BF" w:rsidP="00EE00BF">
            <w:pPr>
              <w:jc w:val="lowKashida"/>
              <w:rPr>
                <w:rFonts w:eastAsia="Times New Roman" w:cs="Times New Roman"/>
                <w:color w:val="000000" w:themeColor="text1"/>
                <w:sz w:val="20"/>
                <w:szCs w:val="20"/>
              </w:rPr>
            </w:pPr>
            <w:r w:rsidRPr="00790A4A">
              <w:rPr>
                <w:rFonts w:eastAsia="Times New Roman" w:cs="Times New Roman"/>
                <w:color w:val="000000" w:themeColor="text1"/>
                <w:sz w:val="20"/>
                <w:szCs w:val="20"/>
              </w:rPr>
              <w:t>Quantitative (survey)</w:t>
            </w:r>
          </w:p>
        </w:tc>
        <w:tc>
          <w:tcPr>
            <w:tcW w:w="2268" w:type="dxa"/>
          </w:tcPr>
          <w:p w14:paraId="10BEA56E" w14:textId="6FBFF8DC" w:rsidR="00EE00BF" w:rsidRPr="00790A4A" w:rsidRDefault="00E03CDB">
            <w:pPr>
              <w:jc w:val="lowKashida"/>
              <w:rPr>
                <w:rFonts w:eastAsia="Times New Roman" w:cs="Times New Roman"/>
                <w:color w:val="000000" w:themeColor="text1"/>
                <w:sz w:val="20"/>
                <w:szCs w:val="20"/>
              </w:rPr>
            </w:pPr>
            <w:r w:rsidRPr="00790A4A">
              <w:rPr>
                <w:rFonts w:eastAsia="Times New Roman" w:cs="Times New Roman"/>
                <w:color w:val="000000" w:themeColor="text1"/>
                <w:sz w:val="20"/>
                <w:szCs w:val="20"/>
              </w:rPr>
              <w:t>K</w:t>
            </w:r>
            <w:r w:rsidR="00EE00BF" w:rsidRPr="00790A4A">
              <w:rPr>
                <w:rFonts w:eastAsia="Times New Roman" w:cs="Times New Roman"/>
                <w:color w:val="000000" w:themeColor="text1"/>
                <w:sz w:val="20"/>
                <w:szCs w:val="20"/>
              </w:rPr>
              <w:t xml:space="preserve">nowledge management capabilities </w:t>
            </w:r>
            <w:r w:rsidRPr="00790A4A">
              <w:rPr>
                <w:rFonts w:eastAsia="Times New Roman" w:cs="Times New Roman"/>
                <w:color w:val="000000" w:themeColor="text1"/>
                <w:sz w:val="20"/>
                <w:szCs w:val="20"/>
              </w:rPr>
              <w:t>ha</w:t>
            </w:r>
            <w:r w:rsidR="00874F07" w:rsidRPr="00790A4A">
              <w:rPr>
                <w:rFonts w:eastAsia="Times New Roman" w:cs="Times New Roman"/>
                <w:color w:val="000000" w:themeColor="text1"/>
                <w:sz w:val="20"/>
                <w:szCs w:val="20"/>
              </w:rPr>
              <w:t>d</w:t>
            </w:r>
            <w:r w:rsidRPr="00790A4A">
              <w:rPr>
                <w:rFonts w:eastAsia="Times New Roman" w:cs="Times New Roman"/>
                <w:color w:val="000000" w:themeColor="text1"/>
                <w:sz w:val="20"/>
                <w:szCs w:val="20"/>
              </w:rPr>
              <w:t xml:space="preserve"> a positive impact on </w:t>
            </w:r>
            <w:r w:rsidR="00EE00BF" w:rsidRPr="00790A4A">
              <w:rPr>
                <w:rFonts w:eastAsia="Times New Roman" w:cs="Times New Roman"/>
                <w:color w:val="000000" w:themeColor="text1"/>
                <w:sz w:val="20"/>
                <w:szCs w:val="20"/>
              </w:rPr>
              <w:t xml:space="preserve">organizational effectiveness. </w:t>
            </w:r>
          </w:p>
        </w:tc>
        <w:tc>
          <w:tcPr>
            <w:tcW w:w="965" w:type="dxa"/>
          </w:tcPr>
          <w:p w14:paraId="7CDD31E4"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Singapore</w:t>
            </w:r>
          </w:p>
        </w:tc>
      </w:tr>
      <w:tr w:rsidR="00EE00BF" w:rsidRPr="002A7627" w14:paraId="16C10C96" w14:textId="77777777" w:rsidTr="00790A4A">
        <w:trPr>
          <w:trHeight w:val="1790"/>
        </w:trPr>
        <w:tc>
          <w:tcPr>
            <w:tcW w:w="1418" w:type="dxa"/>
          </w:tcPr>
          <w:p w14:paraId="620C1569" w14:textId="5DA4A641" w:rsidR="00EE00BF" w:rsidRPr="002A7627" w:rsidRDefault="00EE00BF" w:rsidP="00EE00BF">
            <w:pPr>
              <w:rPr>
                <w:rFonts w:eastAsia="Times New Roman" w:cs="Times New Roman"/>
                <w:sz w:val="20"/>
                <w:szCs w:val="20"/>
              </w:rPr>
            </w:pPr>
            <w:r w:rsidRPr="002A7627">
              <w:rPr>
                <w:rFonts w:eastAsia="Times New Roman" w:cs="Times New Roman"/>
                <w:sz w:val="20"/>
                <w:szCs w:val="20"/>
              </w:rPr>
              <w:t xml:space="preserve">Heisig et al. </w:t>
            </w:r>
            <w:r w:rsidRPr="002A7627">
              <w:rPr>
                <w:rFonts w:eastAsia="Times New Roman" w:cs="Times New Roman"/>
                <w:sz w:val="20"/>
                <w:szCs w:val="20"/>
              </w:rPr>
              <w:fldChar w:fldCharType="begin" w:fldLock="1"/>
            </w:r>
            <w:r w:rsidR="00E24626" w:rsidRPr="002A7627">
              <w:rPr>
                <w:rFonts w:eastAsia="Times New Roman" w:cs="Times New Roman"/>
                <w:sz w:val="20"/>
                <w:szCs w:val="20"/>
              </w:rPr>
              <w:instrText>ADDIN CSL_CITATION {"citationItems":[{"id":"ITEM-1","itemData":{"DOI":"10.1108/JKM-12-2015-0521","ISBN":"1367-3270","ISSN":"1367-3270","PMID":"118869012","abstract":"Purpose This paper aims to examine the views of the global knowledge management (KM) community on the research area of KM and business performance and identify key future research themes. Design/methodology/approach An interview study spanning 222 informants in 38 countries was launched to collect data on KM expert views concerning the future research needs of the KM field. Findings The value contribution of KM requires more research despite experts agreeing on the complexities involved in solving this challenge. Further research areas identified were related to the influence of KM to support business strategy, intellectual capital, decision-making, knowledge sharing, organizational learning, innovation performance, productivity and competitive advantage. Research limitations/implications The sample is dominated by European-based KM experts and the self-selecting sampling approach that was used by relying on the networks of each partner could have biased the structure of this sample. Practical implications The recognition of the complexity to demonstrate the value contribution of KM could prevent practitioners from using over-simplified approaches and encourage them to use more advanced measurement approaches. Originality/value The paper is unique, in that it reports on the views of 222 KM experts from 38 countries representing both academia and practice, on the issue of future research needs in terms of KM and business outcomes. As such it provides valuable guidance for future studies in the KM field and related subjects.","author":[{"dropping-particle":"","family":"Heisig","given":"Peter","non-dropping-particle":"","parse-names":false,"suffix":""},{"dropping-particle":"","family":"Suraj","given":"Olunifesi Adekunle","non-dropping-particle":"","parse-names":false,"suffix":""},{"dropping-particle":"","family":"Kianto","given":"Aino","non-dropping-particle":"","parse-names":false,"suffix":""},{"dropping-particle":"","family":"Kemboi","given":"Cosmas","non-dropping-particle":"","parse-names":false,"suffix":""},{"dropping-particle":"","family":"Perez Arrau","given":"Gregorio","non-dropping-particle":"","parse-names":false,"suffix":""},{"dropping-particle":"","family":"Fathi Easa","given":"Nasser","non-dropping-particle":"","parse-names":false,"suffix":""}],"container-title":"Journal of Knowledge Management","id":"ITEM-1","issue":"6","issued":{"date-parts":[["2016"]]},"page":"1169-1198","title":"Knowledge management and business performance: Global experts’ views on future research needs","type":"article-journal","volume":"20"},"suppress-author":1,"uris":["http://www.mendeley.com/documents/?uuid=08438de8-d160-40ed-b343-4eac4e45f4b9"]}],"mendeley":{"formattedCitation":"(2016)","plainTextFormattedCitation":"(2016)","previouslyFormattedCitation":"(2016)"},"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(2016)</w:t>
            </w:r>
            <w:r w:rsidRPr="002A7627">
              <w:rPr>
                <w:rFonts w:eastAsia="Times New Roman" w:cs="Times New Roman"/>
                <w:sz w:val="20"/>
                <w:szCs w:val="20"/>
              </w:rPr>
              <w:fldChar w:fldCharType="end"/>
            </w:r>
          </w:p>
        </w:tc>
        <w:tc>
          <w:tcPr>
            <w:tcW w:w="1984" w:type="dxa"/>
          </w:tcPr>
          <w:p w14:paraId="049E3CE8" w14:textId="77777777" w:rsidR="00EE00BF" w:rsidRPr="002A7627" w:rsidRDefault="00EE00BF" w:rsidP="00141425">
            <w:pPr>
              <w:jc w:val="lowKashida"/>
              <w:rPr>
                <w:rFonts w:eastAsia="Times New Roman" w:cs="Times New Roman"/>
                <w:sz w:val="20"/>
                <w:szCs w:val="20"/>
              </w:rPr>
            </w:pPr>
            <w:r w:rsidRPr="002A7627">
              <w:rPr>
                <w:rFonts w:eastAsia="Times New Roman" w:cs="Times New Roman"/>
                <w:sz w:val="20"/>
                <w:szCs w:val="20"/>
              </w:rPr>
              <w:t>To identify key future research themes.</w:t>
            </w:r>
          </w:p>
        </w:tc>
        <w:tc>
          <w:tcPr>
            <w:tcW w:w="1560" w:type="dxa"/>
          </w:tcPr>
          <w:p w14:paraId="45934901"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t>Qualitative (semi-structured interview based on Delphi method)</w:t>
            </w:r>
          </w:p>
        </w:tc>
        <w:tc>
          <w:tcPr>
            <w:tcW w:w="2268" w:type="dxa"/>
          </w:tcPr>
          <w:p w14:paraId="3E647219" w14:textId="15E7FC19"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 xml:space="preserve">Knowledge management could influence </w:t>
            </w:r>
            <w:r w:rsidR="00B97EB2" w:rsidRPr="002A7627">
              <w:rPr>
                <w:rFonts w:eastAsia="Times New Roman" w:cs="Times New Roman"/>
                <w:sz w:val="20"/>
                <w:szCs w:val="20"/>
              </w:rPr>
              <w:t>decision-making</w:t>
            </w:r>
            <w:r w:rsidR="00B97EB2">
              <w:rPr>
                <w:rFonts w:eastAsia="Times New Roman" w:cs="Times New Roman"/>
                <w:sz w:val="20"/>
                <w:szCs w:val="20"/>
              </w:rPr>
              <w:t>,</w:t>
            </w:r>
            <w:r w:rsidR="00B97EB2" w:rsidRPr="002A7627">
              <w:rPr>
                <w:rFonts w:eastAsia="Times New Roman" w:cs="Times New Roman"/>
                <w:sz w:val="20"/>
                <w:szCs w:val="20"/>
              </w:rPr>
              <w:t xml:space="preserve"> intellectual capital</w:t>
            </w:r>
            <w:r w:rsidR="00B97EB2">
              <w:rPr>
                <w:rFonts w:eastAsia="Times New Roman" w:cs="Times New Roman"/>
                <w:sz w:val="20"/>
                <w:szCs w:val="20"/>
              </w:rPr>
              <w:t>,</w:t>
            </w:r>
            <w:r w:rsidR="00B97EB2" w:rsidRPr="002A7627">
              <w:rPr>
                <w:rFonts w:eastAsia="Times New Roman" w:cs="Times New Roman"/>
                <w:sz w:val="20"/>
                <w:szCs w:val="20"/>
              </w:rPr>
              <w:t xml:space="preserve"> </w:t>
            </w:r>
            <w:r w:rsidRPr="002A7627">
              <w:rPr>
                <w:rFonts w:eastAsia="Times New Roman" w:cs="Times New Roman"/>
                <w:sz w:val="20"/>
                <w:szCs w:val="20"/>
              </w:rPr>
              <w:t xml:space="preserve">knowledge sharing, </w:t>
            </w:r>
            <w:r w:rsidR="00B97EB2" w:rsidRPr="002A7627">
              <w:rPr>
                <w:rFonts w:eastAsia="Times New Roman" w:cs="Times New Roman"/>
                <w:sz w:val="20"/>
                <w:szCs w:val="20"/>
              </w:rPr>
              <w:t xml:space="preserve">business strategy </w:t>
            </w:r>
            <w:r w:rsidRPr="002A7627">
              <w:rPr>
                <w:rFonts w:eastAsia="Times New Roman" w:cs="Times New Roman"/>
                <w:sz w:val="20"/>
                <w:szCs w:val="20"/>
              </w:rPr>
              <w:t>organizational learning, innovation, productivity</w:t>
            </w:r>
            <w:r w:rsidR="00193A9C" w:rsidRPr="002A7627">
              <w:rPr>
                <w:rFonts w:eastAsia="Times New Roman" w:cs="Times New Roman"/>
                <w:sz w:val="20"/>
                <w:szCs w:val="20"/>
              </w:rPr>
              <w:t>,</w:t>
            </w:r>
            <w:r w:rsidRPr="002A7627">
              <w:rPr>
                <w:rFonts w:eastAsia="Times New Roman" w:cs="Times New Roman"/>
                <w:sz w:val="20"/>
                <w:szCs w:val="20"/>
              </w:rPr>
              <w:t xml:space="preserve"> and competitive advantage</w:t>
            </w:r>
          </w:p>
        </w:tc>
        <w:tc>
          <w:tcPr>
            <w:tcW w:w="965" w:type="dxa"/>
          </w:tcPr>
          <w:p w14:paraId="2E79EE8B"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38 countries</w:t>
            </w:r>
          </w:p>
        </w:tc>
      </w:tr>
      <w:tr w:rsidR="00EE00BF" w:rsidRPr="002A7627" w14:paraId="523183C1" w14:textId="77777777" w:rsidTr="00790A4A">
        <w:trPr>
          <w:trHeight w:val="1704"/>
        </w:trPr>
        <w:tc>
          <w:tcPr>
            <w:tcW w:w="1418" w:type="dxa"/>
          </w:tcPr>
          <w:p w14:paraId="070C91EA" w14:textId="73D9FCE1" w:rsidR="00EE00BF" w:rsidRPr="002A7627" w:rsidRDefault="00135247" w:rsidP="00EE00BF">
            <w:pPr>
              <w:rPr>
                <w:rFonts w:eastAsia="Times New Roman" w:cs="Times New Roman"/>
                <w:sz w:val="20"/>
                <w:szCs w:val="20"/>
              </w:rPr>
            </w:pPr>
            <w:r w:rsidRPr="002A7627">
              <w:rPr>
                <w:sz w:val="20"/>
                <w:szCs w:val="20"/>
              </w:rPr>
              <w:t xml:space="preserve">Cegarra-Navarro, Soto-Acosta, and Wensley </w:t>
            </w:r>
            <w:r w:rsidR="00EE00BF" w:rsidRPr="002A7627">
              <w:rPr>
                <w:rFonts w:eastAsia="Times New Roman" w:cs="Times New Roman"/>
                <w:sz w:val="20"/>
                <w:szCs w:val="20"/>
              </w:rPr>
              <w:fldChar w:fldCharType="begin" w:fldLock="1"/>
            </w:r>
            <w:r w:rsidR="00EE00BF" w:rsidRPr="002A7627">
              <w:rPr>
                <w:rFonts w:eastAsia="Times New Roman" w:cs="Times New Roman"/>
                <w:sz w:val="20"/>
                <w:szCs w:val="20"/>
              </w:rPr>
              <w:instrText>ADDIN CSL_CITATION {"citationItems":[{"id":"ITEM-1","itemData":{"DOI":"10.1016/J.JBUSRES.2015.10.014","ISSN":"0148-2963","abstract":"Organizational agility facilitates the search and retrieval of relevant knowledge and enables businesses to apply this knowledge to develop high-quality services and products or react to the emergence of new competitors. This work develops a research model that explores the relationships among knowledge management structures, organizational agility, and firm performance. The empirical study examines these relationships using partial least squares structural equation modelling on a dataset of 112 large Spanish companies. The results of this modelling exercise support the effectiveness of a specific set and sequence of knowledge management processes and confirm not only the direct effect of knowledge application on organizational performance, but also the mediating effect of organizational agility in this relationship.","author":[{"dropping-particle":"","family":"Cegarra-Navarro","given":"Juan-Gabriel","non-dropping-particle":"","parse-names":false,"suffix":""},{"dropping-particle":"","family":"Soto-Acosta","given":"Pedro","non-dropping-particle":"","parse-names":false,"suffix":""},{"dropping-particle":"","family":"Wensley","given":"Anthony K.P.","non-dropping-particle":"","parse-names":false,"suffix":""}],"container-title":"Journal of Business Research","id":"ITEM-1","issue":"5","issued":{"date-parts":[["2016","5","1"]]},"page":"1544-1549","publisher":"Elsevier","title":"Structured knowledge processes and firm performance: The role of organizational agility","type":"article-journal","volume":"69"},"suppress-author":1,"uris":["http://www.mendeley.com/documents/?uuid=d1717383-8950-3b09-bbe8-49151faf26d4"]}],"mendeley":{"formattedCitation":"(2016)","plainTextFormattedCitation":"(2016)","previouslyFormattedCitation":"(2016)"},"properties":{"noteIndex":0},"schema":"https://github.com/citation-style-language/schema/raw/master/csl-citation.json"}</w:instrText>
            </w:r>
            <w:r w:rsidR="00EE00BF" w:rsidRPr="002A7627">
              <w:rPr>
                <w:rFonts w:eastAsia="Times New Roman" w:cs="Times New Roman"/>
                <w:sz w:val="20"/>
                <w:szCs w:val="20"/>
              </w:rPr>
              <w:fldChar w:fldCharType="separate"/>
            </w:r>
            <w:r w:rsidR="00EE00BF" w:rsidRPr="002A7627">
              <w:rPr>
                <w:rFonts w:eastAsia="Times New Roman" w:cs="Times New Roman"/>
                <w:noProof/>
                <w:sz w:val="20"/>
                <w:szCs w:val="20"/>
              </w:rPr>
              <w:t>(2016)</w:t>
            </w:r>
            <w:r w:rsidR="00EE00BF" w:rsidRPr="002A7627">
              <w:rPr>
                <w:rFonts w:eastAsia="Times New Roman" w:cs="Times New Roman"/>
                <w:sz w:val="20"/>
                <w:szCs w:val="20"/>
              </w:rPr>
              <w:fldChar w:fldCharType="end"/>
            </w:r>
          </w:p>
        </w:tc>
        <w:tc>
          <w:tcPr>
            <w:tcW w:w="1984" w:type="dxa"/>
          </w:tcPr>
          <w:p w14:paraId="08467310" w14:textId="601F1197" w:rsidR="00EE00BF" w:rsidRPr="002A7627" w:rsidRDefault="00EE00BF" w:rsidP="00141425">
            <w:pPr>
              <w:jc w:val="lowKashida"/>
              <w:rPr>
                <w:rFonts w:eastAsia="Times New Roman" w:cs="Times New Roman"/>
                <w:sz w:val="20"/>
                <w:szCs w:val="20"/>
              </w:rPr>
            </w:pPr>
            <w:r w:rsidRPr="002A7627">
              <w:rPr>
                <w:rFonts w:eastAsia="Times New Roman" w:cs="Times New Roman"/>
                <w:sz w:val="20"/>
                <w:szCs w:val="20"/>
              </w:rPr>
              <w:t xml:space="preserve">To </w:t>
            </w:r>
            <w:r w:rsidR="002B4252">
              <w:rPr>
                <w:rFonts w:eastAsia="Times New Roman" w:cs="Times New Roman"/>
                <w:sz w:val="20"/>
                <w:szCs w:val="20"/>
              </w:rPr>
              <w:t>examine the impact</w:t>
            </w:r>
            <w:r w:rsidRPr="002A7627">
              <w:rPr>
                <w:rFonts w:eastAsia="Times New Roman" w:cs="Times New Roman"/>
                <w:sz w:val="20"/>
                <w:szCs w:val="20"/>
              </w:rPr>
              <w:t xml:space="preserve"> of organizational agility and knowledge management structures on the reflex reaction of </w:t>
            </w:r>
            <w:r w:rsidRPr="002A7627">
              <w:rPr>
                <w:rFonts w:eastAsia="Times New Roman" w:cs="Times New Roman"/>
                <w:sz w:val="20"/>
                <w:szCs w:val="20"/>
              </w:rPr>
              <w:lastRenderedPageBreak/>
              <w:t>companies to competition and volatilities in the business environment</w:t>
            </w:r>
          </w:p>
        </w:tc>
        <w:tc>
          <w:tcPr>
            <w:tcW w:w="1560" w:type="dxa"/>
          </w:tcPr>
          <w:p w14:paraId="11B8D102" w14:textId="53CABDB2" w:rsidR="00EE00BF" w:rsidRPr="002A7627" w:rsidRDefault="00EE00BF" w:rsidP="00EE00BF">
            <w:pPr>
              <w:rPr>
                <w:rFonts w:eastAsia="Times New Roman" w:cs="Times New Roman"/>
                <w:sz w:val="20"/>
                <w:szCs w:val="20"/>
              </w:rPr>
            </w:pPr>
            <w:r w:rsidRPr="002A7627">
              <w:rPr>
                <w:rFonts w:eastAsia="Times New Roman" w:cs="Times New Roman"/>
                <w:sz w:val="20"/>
                <w:szCs w:val="20"/>
              </w:rPr>
              <w:lastRenderedPageBreak/>
              <w:t xml:space="preserve">Quantitative (survey, partial least squares structural equation modeling) </w:t>
            </w:r>
          </w:p>
        </w:tc>
        <w:tc>
          <w:tcPr>
            <w:tcW w:w="2268" w:type="dxa"/>
          </w:tcPr>
          <w:p w14:paraId="7A36E2EF" w14:textId="77777777"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 xml:space="preserve">The strategic application of a specific set of knowledge management structures improved organizational agility. </w:t>
            </w:r>
          </w:p>
        </w:tc>
        <w:tc>
          <w:tcPr>
            <w:tcW w:w="965" w:type="dxa"/>
          </w:tcPr>
          <w:p w14:paraId="26ACE748"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Spain</w:t>
            </w:r>
          </w:p>
        </w:tc>
      </w:tr>
      <w:tr w:rsidR="00EE00BF" w:rsidRPr="002A7627" w14:paraId="5A9DB44D" w14:textId="77777777" w:rsidTr="00790A4A">
        <w:trPr>
          <w:trHeight w:val="1006"/>
        </w:trPr>
        <w:tc>
          <w:tcPr>
            <w:tcW w:w="1418" w:type="dxa"/>
          </w:tcPr>
          <w:p w14:paraId="509871B5" w14:textId="4DDDB09B" w:rsidR="00EE00BF" w:rsidRPr="002A7627" w:rsidRDefault="00EE00BF" w:rsidP="00EE00BF">
            <w:pPr>
              <w:rPr>
                <w:rFonts w:eastAsia="Times New Roman" w:cs="Times New Roman"/>
                <w:sz w:val="20"/>
                <w:szCs w:val="20"/>
              </w:rPr>
            </w:pPr>
            <w:r w:rsidRPr="002A7627">
              <w:rPr>
                <w:rFonts w:eastAsia="Times New Roman" w:cs="Times New Roman"/>
                <w:sz w:val="20"/>
                <w:szCs w:val="20"/>
              </w:rPr>
              <w:t xml:space="preserve">Jennex </w:t>
            </w:r>
            <w:r w:rsidRPr="002A7627">
              <w:rPr>
                <w:rFonts w:eastAsia="Times New Roman" w:cs="Times New Roman"/>
                <w:sz w:val="20"/>
                <w:szCs w:val="20"/>
              </w:rPr>
              <w:fldChar w:fldCharType="begin" w:fldLock="1"/>
            </w:r>
            <w:r w:rsidR="00E24626" w:rsidRPr="002A7627">
              <w:rPr>
                <w:rFonts w:eastAsia="Times New Roman" w:cs="Times New Roman"/>
                <w:sz w:val="20"/>
                <w:szCs w:val="20"/>
              </w:rPr>
              <w:instrText>ADDIN CSL_CITATION {"citationItems":[{"id":"ITEM-1","itemData":{"ISBN":"0998133108","author":[{"dropping-particle":"","family":"Jennex","given":"Murray","non-dropping-particle":"","parse-names":false,"suffix":""}],"container-title":"Proceedings of the 50th Hawaii International Conference on System Sciences","id":"ITEM-1","issued":{"date-parts":[["2017"]]},"title":"Re-examining the jennex olfman knowledge management success model","type":"paper-conference"},"suppress-author":1,"uris":["http://www.mendeley.com/documents/?uuid=869abf79-89f0-4161-9db2-60b4d5f72777"]}],"mendeley":{"formattedCitation":"(2017)","plainTextFormattedCitation":"(2017)","previouslyFormattedCitation":"(2017)"},"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(2017)</w:t>
            </w:r>
            <w:r w:rsidRPr="002A7627">
              <w:rPr>
                <w:rFonts w:eastAsia="Times New Roman" w:cs="Times New Roman"/>
                <w:sz w:val="20"/>
                <w:szCs w:val="20"/>
              </w:rPr>
              <w:fldChar w:fldCharType="end"/>
            </w:r>
          </w:p>
        </w:tc>
        <w:tc>
          <w:tcPr>
            <w:tcW w:w="1984" w:type="dxa"/>
          </w:tcPr>
          <w:p w14:paraId="034F0A7E" w14:textId="2782D6DC" w:rsidR="00EE00BF" w:rsidRPr="002A7627" w:rsidRDefault="00141425" w:rsidP="00141425">
            <w:pPr>
              <w:jc w:val="lowKashida"/>
              <w:rPr>
                <w:rFonts w:eastAsia="Times New Roman" w:cs="Times New Roman"/>
                <w:sz w:val="20"/>
                <w:szCs w:val="20"/>
              </w:rPr>
            </w:pPr>
            <w:r>
              <w:rPr>
                <w:rFonts w:eastAsia="Times New Roman" w:cs="Times New Roman"/>
                <w:sz w:val="20"/>
                <w:szCs w:val="20"/>
              </w:rPr>
              <w:t>To enhance Jennex Olfman knowledge management success m</w:t>
            </w:r>
            <w:r w:rsidR="00EE00BF" w:rsidRPr="002A7627">
              <w:rPr>
                <w:rFonts w:eastAsia="Times New Roman" w:cs="Times New Roman"/>
                <w:sz w:val="20"/>
                <w:szCs w:val="20"/>
              </w:rPr>
              <w:t>odel</w:t>
            </w:r>
          </w:p>
        </w:tc>
        <w:tc>
          <w:tcPr>
            <w:tcW w:w="1560" w:type="dxa"/>
          </w:tcPr>
          <w:p w14:paraId="0A52402B"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t xml:space="preserve">Conceptual </w:t>
            </w:r>
          </w:p>
        </w:tc>
        <w:tc>
          <w:tcPr>
            <w:tcW w:w="2268" w:type="dxa"/>
          </w:tcPr>
          <w:p w14:paraId="1074748A" w14:textId="286C93BD"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It is possible to enhance the knowledge pyramid by incorporating learning, filtering, process</w:t>
            </w:r>
            <w:r w:rsidR="00193A9C" w:rsidRPr="002A7627">
              <w:rPr>
                <w:rFonts w:eastAsia="Times New Roman" w:cs="Times New Roman"/>
                <w:sz w:val="20"/>
                <w:szCs w:val="20"/>
              </w:rPr>
              <w:t>,</w:t>
            </w:r>
            <w:r w:rsidRPr="002A7627">
              <w:rPr>
                <w:rFonts w:eastAsia="Times New Roman" w:cs="Times New Roman"/>
                <w:sz w:val="20"/>
                <w:szCs w:val="20"/>
              </w:rPr>
              <w:t xml:space="preserve"> and technologies. </w:t>
            </w:r>
          </w:p>
        </w:tc>
        <w:tc>
          <w:tcPr>
            <w:tcW w:w="965" w:type="dxa"/>
          </w:tcPr>
          <w:p w14:paraId="5EA77E1B"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USA</w:t>
            </w:r>
          </w:p>
        </w:tc>
      </w:tr>
      <w:tr w:rsidR="00EE00BF" w:rsidRPr="002A7627" w14:paraId="339318B7" w14:textId="77777777" w:rsidTr="00790A4A">
        <w:trPr>
          <w:trHeight w:val="1702"/>
        </w:trPr>
        <w:tc>
          <w:tcPr>
            <w:tcW w:w="1418" w:type="dxa"/>
          </w:tcPr>
          <w:p w14:paraId="6F1AD213" w14:textId="0CC73140" w:rsidR="00EE00BF" w:rsidRPr="002A7627" w:rsidRDefault="00F4281A" w:rsidP="00F4281A">
            <w:pPr>
              <w:rPr>
                <w:rFonts w:eastAsia="Times New Roman" w:cs="Times New Roman"/>
                <w:sz w:val="20"/>
                <w:szCs w:val="20"/>
              </w:rPr>
            </w:pPr>
            <w:r w:rsidRPr="002A7627">
              <w:rPr>
                <w:rFonts w:eastAsia="Times New Roman" w:cs="Times New Roman"/>
                <w:sz w:val="20"/>
                <w:szCs w:val="20"/>
              </w:rPr>
              <w:t xml:space="preserve">Santoro, Vrontis, Thrassou, and Dezi </w:t>
            </w:r>
            <w:r w:rsidR="00EE00BF" w:rsidRPr="002A7627">
              <w:rPr>
                <w:rFonts w:eastAsia="Times New Roman" w:cs="Times New Roman"/>
                <w:sz w:val="20"/>
                <w:szCs w:val="20"/>
              </w:rPr>
              <w:fldChar w:fldCharType="begin" w:fldLock="1"/>
            </w:r>
            <w:r w:rsidR="00EE00BF" w:rsidRPr="002A7627">
              <w:rPr>
                <w:rFonts w:eastAsia="Times New Roman" w:cs="Times New Roman"/>
                <w:sz w:val="20"/>
                <w:szCs w:val="20"/>
              </w:rPr>
              <w:instrText>ADDIN CSL_CITATION {"citationItems":[{"id":"ITEM-1","itemData":{"DOI":"10.1016/J.TECHFORE.2017.02.034","ISSN":"0040-1625","abstract":"New disruptive technologies in the context of the Internet of Things (IoT), especially, are changing the manner in which knowledge is managed within organizations, calling for a new and inventive knowledge management system and an open approach, to foster knowledge flows. This pattern expectedly should also enhance the development of internal knowledge management capacity, which in turn is a prerequisite of firm's innovativeness. In this context, the main goal of this research is to investigate the relationship among knowledge management system, open innovation, knowledge management capacity and innovation capacity. To reach this goal, the research employs structural equation modelling on a sample of 298 Italian firms from different sectors. The findings indicate that knowledge management system facilitates the creation of open and collaborative ecosystems, and the exploitation of internal and external flows of knowledge, through the development of internal knowledge management capacity, which in turn increases innovation capacity. The research further draws on its findings to identify significant scholarly and managerial implications, and to prescribe future research directions.","author":[{"dropping-particle":"","family":"Santoro","given":"Gabriele","non-dropping-particle":"","parse-names":false,"suffix":""},{"dropping-particle":"","family":"Vrontis","given":"Demetris","non-dropping-particle":"","parse-names":false,"suffix":""},{"dropping-particle":"","family":"Thrassou","given":"Alkis","non-dropping-particle":"","parse-names":false,"suffix":""},{"dropping-particle":"","family":"Dezi","given":"Luca","non-dropping-particle":"","parse-names":false,"suffix":""}],"container-title":"Technological Forecasting and Social Change","id":"ITEM-1","issued":{"date-parts":[["2018","11","1"]]},"page":"347-354","publisher":"North-Holland","title":"The Internet of Things: Building a knowledge management system for open innovation and knowledge management capacity","type":"article-journal","volume":"136"},"suppress-author":1,"uris":["http://www.mendeley.com/documents/?uuid=c33f85c4-52a9-3b85-a109-d8be61b80520"]}],"mendeley":{"formattedCitation":"(2018)","plainTextFormattedCitation":"(2018)","previouslyFormattedCitation":"(2018)"},"properties":{"noteIndex":0},"schema":"https://github.com/citation-style-language/schema/raw/master/csl-citation.json"}</w:instrText>
            </w:r>
            <w:r w:rsidR="00EE00BF" w:rsidRPr="002A7627">
              <w:rPr>
                <w:rFonts w:eastAsia="Times New Roman" w:cs="Times New Roman"/>
                <w:sz w:val="20"/>
                <w:szCs w:val="20"/>
              </w:rPr>
              <w:fldChar w:fldCharType="separate"/>
            </w:r>
            <w:r w:rsidR="00EE00BF" w:rsidRPr="002A7627">
              <w:rPr>
                <w:rFonts w:eastAsia="Times New Roman" w:cs="Times New Roman"/>
                <w:noProof/>
                <w:sz w:val="20"/>
                <w:szCs w:val="20"/>
              </w:rPr>
              <w:t>(2018)</w:t>
            </w:r>
            <w:r w:rsidR="00EE00BF" w:rsidRPr="002A7627">
              <w:rPr>
                <w:rFonts w:eastAsia="Times New Roman" w:cs="Times New Roman"/>
                <w:sz w:val="20"/>
                <w:szCs w:val="20"/>
              </w:rPr>
              <w:fldChar w:fldCharType="end"/>
            </w:r>
            <w:r w:rsidR="00EE00BF" w:rsidRPr="002A7627">
              <w:rPr>
                <w:rFonts w:eastAsia="Times New Roman" w:cs="Times New Roman"/>
                <w:sz w:val="20"/>
                <w:szCs w:val="20"/>
              </w:rPr>
              <w:t xml:space="preserve"> </w:t>
            </w:r>
          </w:p>
        </w:tc>
        <w:tc>
          <w:tcPr>
            <w:tcW w:w="1984" w:type="dxa"/>
          </w:tcPr>
          <w:p w14:paraId="72FA1684" w14:textId="4C52D7FE" w:rsidR="00EE00BF" w:rsidRPr="002A7627" w:rsidRDefault="00EE00BF" w:rsidP="00141425">
            <w:pPr>
              <w:jc w:val="lowKashida"/>
              <w:rPr>
                <w:rFonts w:eastAsia="Times New Roman" w:cs="Times New Roman"/>
                <w:sz w:val="20"/>
                <w:szCs w:val="20"/>
              </w:rPr>
            </w:pPr>
            <w:r w:rsidRPr="002A7627">
              <w:rPr>
                <w:rFonts w:eastAsia="Times New Roman" w:cs="Times New Roman"/>
                <w:sz w:val="20"/>
                <w:szCs w:val="20"/>
              </w:rPr>
              <w:t xml:space="preserve">To </w:t>
            </w:r>
            <w:r w:rsidR="002B4252" w:rsidRPr="002A7627">
              <w:rPr>
                <w:rFonts w:eastAsia="Times New Roman" w:cs="Times New Roman"/>
                <w:sz w:val="20"/>
                <w:szCs w:val="20"/>
              </w:rPr>
              <w:t>study</w:t>
            </w:r>
            <w:r w:rsidRPr="002A7627">
              <w:rPr>
                <w:rFonts w:eastAsia="Times New Roman" w:cs="Times New Roman"/>
                <w:sz w:val="20"/>
                <w:szCs w:val="20"/>
              </w:rPr>
              <w:t xml:space="preserve"> the relationships among knowledge management systems, innovation capacity, open innovation</w:t>
            </w:r>
            <w:r w:rsidR="00193A9C" w:rsidRPr="002A7627">
              <w:rPr>
                <w:rFonts w:eastAsia="Times New Roman" w:cs="Times New Roman"/>
                <w:sz w:val="20"/>
                <w:szCs w:val="20"/>
              </w:rPr>
              <w:t>,</w:t>
            </w:r>
            <w:r w:rsidRPr="002A7627">
              <w:rPr>
                <w:rFonts w:eastAsia="Times New Roman" w:cs="Times New Roman"/>
                <w:sz w:val="20"/>
                <w:szCs w:val="20"/>
              </w:rPr>
              <w:t xml:space="preserve"> and knowledge management capacity </w:t>
            </w:r>
          </w:p>
        </w:tc>
        <w:tc>
          <w:tcPr>
            <w:tcW w:w="1560" w:type="dxa"/>
          </w:tcPr>
          <w:p w14:paraId="7F3EAA47"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t>Quantitative (survey)</w:t>
            </w:r>
          </w:p>
        </w:tc>
        <w:tc>
          <w:tcPr>
            <w:tcW w:w="2268" w:type="dxa"/>
          </w:tcPr>
          <w:p w14:paraId="22176E64" w14:textId="6C7EFACC"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Open innovation and knowledge ecosystems facilitate</w:t>
            </w:r>
            <w:r w:rsidR="00874F07">
              <w:rPr>
                <w:rFonts w:eastAsia="Times New Roman" w:cs="Times New Roman"/>
                <w:sz w:val="20"/>
                <w:szCs w:val="20"/>
              </w:rPr>
              <w:t>d</w:t>
            </w:r>
            <w:r w:rsidRPr="002A7627">
              <w:rPr>
                <w:rFonts w:eastAsia="Times New Roman" w:cs="Times New Roman"/>
                <w:sz w:val="20"/>
                <w:szCs w:val="20"/>
              </w:rPr>
              <w:t xml:space="preserve"> internal and external knowledge flows and helped in the innovative development of internal knowledge capacity</w:t>
            </w:r>
          </w:p>
        </w:tc>
        <w:tc>
          <w:tcPr>
            <w:tcW w:w="965" w:type="dxa"/>
          </w:tcPr>
          <w:p w14:paraId="77F2AAE5"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Italy</w:t>
            </w:r>
          </w:p>
        </w:tc>
      </w:tr>
      <w:tr w:rsidR="00EE00BF" w:rsidRPr="002A7627" w14:paraId="663F37C7" w14:textId="77777777" w:rsidTr="00790A4A">
        <w:trPr>
          <w:trHeight w:val="1273"/>
        </w:trPr>
        <w:tc>
          <w:tcPr>
            <w:tcW w:w="1418" w:type="dxa"/>
          </w:tcPr>
          <w:p w14:paraId="2D27F255" w14:textId="32BAFF91" w:rsidR="00EE00BF" w:rsidRPr="002A7627" w:rsidRDefault="00EE00BF">
            <w:pPr>
              <w:rPr>
                <w:rFonts w:eastAsia="Times New Roman" w:cs="Times New Roman"/>
                <w:sz w:val="20"/>
                <w:szCs w:val="20"/>
              </w:rPr>
            </w:pPr>
            <w:r w:rsidRPr="002A7627">
              <w:rPr>
                <w:rFonts w:eastAsia="Times New Roman" w:cs="Times New Roman"/>
                <w:sz w:val="20"/>
                <w:szCs w:val="20"/>
              </w:rPr>
              <w:t>Nisar</w:t>
            </w:r>
            <w:r w:rsidR="00553356">
              <w:rPr>
                <w:rFonts w:eastAsia="Times New Roman" w:cs="Times New Roman"/>
                <w:sz w:val="20"/>
                <w:szCs w:val="20"/>
              </w:rPr>
              <w:t xml:space="preserve">, Prabhakar and Strakova </w:t>
            </w:r>
            <w:r w:rsidRPr="002A7627">
              <w:rPr>
                <w:rFonts w:eastAsia="Times New Roman" w:cs="Times New Roman"/>
                <w:sz w:val="20"/>
                <w:szCs w:val="20"/>
              </w:rPr>
              <w:fldChar w:fldCharType="begin" w:fldLock="1"/>
            </w:r>
            <w:r w:rsidR="00E24626" w:rsidRPr="002A7627">
              <w:rPr>
                <w:rFonts w:eastAsia="Times New Roman" w:cs="Times New Roman"/>
                <w:sz w:val="20"/>
                <w:szCs w:val="20"/>
              </w:rPr>
              <w:instrText>ADDIN CSL_CITATION {"citationItems":[{"id":"ITEM-1","itemData":{"DOI":"10.1016/j.jbusres.2018.05.005","ISSN":"01482963","abstract":"Social technologies can provide a potent means for organizations to manage their information flows and thus induce changes in their knowledge management (KM) systems, which can then be linked to performance improvements. This paper examines the growth of social media within organizations, considering the impact this may have upon knowledge sharing in a particular type of KM system - Community of Practice - (CoP) based discussion groups (KMDG). We focus on this KM tool because it provides employees with an opportunity to strategically reach out to different groups of people within their CoP, and engage in information exchange and communication. Using a content analysis method, we investigate two intermediate information mechanisms (information richness and informal communication) that social media KMDGs are theorized to generate, and quantify their effects on labor productivity and return on assets. Our findings provide evidence of KMDG positively affecting organizational performance through embedded information and social communication.","author":[{"dropping-particle":"","family":"Nisar","given":"Tahir M.","non-dropping-particle":"","parse-names":false,"suffix":""},{"dropping-particle":"","family":"Prabhakar","given":"Guru","non-dropping-particle":"","parse-names":false,"suffix":""},{"dropping-particle":"","family":"Strakova","given":"Lubica","non-dropping-particle":"","parse-names":false,"suffix":""}],"container-title":"Journal of Business Research","id":"ITEM-1","issued":{"date-parts":[["2019","1"]]},"page":"264-272","title":"Social media information benefits, knowledge management and smart organizations","type":"article-journal","volume":"94"},"suppress-author":1,"uris":["http://www.mendeley.com/documents/?uuid=be394a23-d012-4361-bdd7-13168c3aa661"]}],"mendeley":{"formattedCitation":"(2019)","plainTextFormattedCitation":"(2019)","previouslyFormattedCitation":"(2019)"},"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(2019)</w:t>
            </w:r>
            <w:r w:rsidRPr="002A7627">
              <w:rPr>
                <w:rFonts w:eastAsia="Times New Roman" w:cs="Times New Roman"/>
                <w:sz w:val="20"/>
                <w:szCs w:val="20"/>
              </w:rPr>
              <w:fldChar w:fldCharType="end"/>
            </w:r>
          </w:p>
        </w:tc>
        <w:tc>
          <w:tcPr>
            <w:tcW w:w="1984" w:type="dxa"/>
          </w:tcPr>
          <w:p w14:paraId="70887627" w14:textId="77777777" w:rsidR="00EE00BF" w:rsidRPr="002A7627" w:rsidRDefault="00EE00BF" w:rsidP="00141425">
            <w:pPr>
              <w:jc w:val="lowKashida"/>
              <w:rPr>
                <w:rFonts w:eastAsia="Times New Roman" w:cs="Times New Roman"/>
                <w:sz w:val="20"/>
                <w:szCs w:val="20"/>
              </w:rPr>
            </w:pPr>
            <w:r w:rsidRPr="002A7627">
              <w:rPr>
                <w:rFonts w:eastAsia="Times New Roman" w:cs="Times New Roman"/>
                <w:sz w:val="20"/>
                <w:szCs w:val="20"/>
              </w:rPr>
              <w:t>To study the growth of social media within organizations and its impact on knowledge sharing</w:t>
            </w:r>
          </w:p>
        </w:tc>
        <w:tc>
          <w:tcPr>
            <w:tcW w:w="1560" w:type="dxa"/>
          </w:tcPr>
          <w:p w14:paraId="3E2996C0" w14:textId="77777777" w:rsidR="00EE00BF" w:rsidRPr="002A7627" w:rsidRDefault="00EE00BF" w:rsidP="00EE00BF">
            <w:pPr>
              <w:rPr>
                <w:rFonts w:eastAsia="Times New Roman" w:cs="Times New Roman"/>
                <w:sz w:val="20"/>
                <w:szCs w:val="20"/>
              </w:rPr>
            </w:pPr>
            <w:r w:rsidRPr="002A7627">
              <w:rPr>
                <w:rFonts w:eastAsia="Times New Roman" w:cs="Times New Roman"/>
                <w:sz w:val="20"/>
                <w:szCs w:val="20"/>
              </w:rPr>
              <w:t>Quantitative (content analysis)</w:t>
            </w:r>
          </w:p>
        </w:tc>
        <w:tc>
          <w:tcPr>
            <w:tcW w:w="2268" w:type="dxa"/>
          </w:tcPr>
          <w:p w14:paraId="5C8922D5" w14:textId="2649DF5C"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Employees were able to strategically share information to community of practice or discussion groups</w:t>
            </w:r>
            <w:r w:rsidR="00193A9C" w:rsidRPr="002A7627">
              <w:rPr>
                <w:rFonts w:eastAsia="Times New Roman" w:cs="Times New Roman"/>
                <w:sz w:val="20"/>
                <w:szCs w:val="20"/>
              </w:rPr>
              <w:t>,</w:t>
            </w:r>
            <w:r w:rsidRPr="002A7627">
              <w:rPr>
                <w:rFonts w:eastAsia="Times New Roman" w:cs="Times New Roman"/>
                <w:sz w:val="20"/>
                <w:szCs w:val="20"/>
              </w:rPr>
              <w:t xml:space="preserve"> and this had potential to influence performance</w:t>
            </w:r>
          </w:p>
        </w:tc>
        <w:tc>
          <w:tcPr>
            <w:tcW w:w="965" w:type="dxa"/>
          </w:tcPr>
          <w:p w14:paraId="140A327A" w14:textId="77777777" w:rsidR="00EE00BF" w:rsidRPr="002A7627" w:rsidRDefault="00EE00BF" w:rsidP="00EE00BF">
            <w:pPr>
              <w:jc w:val="center"/>
              <w:rPr>
                <w:rFonts w:eastAsia="Times New Roman" w:cs="Times New Roman"/>
                <w:sz w:val="20"/>
                <w:szCs w:val="20"/>
              </w:rPr>
            </w:pPr>
            <w:r w:rsidRPr="002A7627">
              <w:rPr>
                <w:rFonts w:eastAsia="Times New Roman" w:cs="Times New Roman"/>
                <w:sz w:val="20"/>
                <w:szCs w:val="20"/>
              </w:rPr>
              <w:t>UK</w:t>
            </w:r>
          </w:p>
        </w:tc>
      </w:tr>
    </w:tbl>
    <w:p w14:paraId="355199C7" w14:textId="37BC67F4" w:rsidR="00553356" w:rsidRDefault="00553356" w:rsidP="002C68CB">
      <w:pPr>
        <w:pStyle w:val="Caption"/>
        <w:jc w:val="lowKashida"/>
        <w:rPr>
          <w:bCs w:val="0"/>
        </w:rPr>
      </w:pPr>
      <w:bookmarkStart w:id="95" w:name="_Toc13959686"/>
      <w:bookmarkStart w:id="96" w:name="_Toc14144615"/>
      <w:bookmarkStart w:id="97" w:name="_Toc19478581"/>
    </w:p>
    <w:p w14:paraId="51ECCCB6" w14:textId="0476507E" w:rsidR="00031AF8" w:rsidRDefault="00031AF8" w:rsidP="00031AF8">
      <w:pPr>
        <w:rPr>
          <w:lang w:bidi="en-US"/>
        </w:rPr>
      </w:pPr>
    </w:p>
    <w:p w14:paraId="49FA943D" w14:textId="604157D2" w:rsidR="00031AF8" w:rsidRDefault="00031AF8" w:rsidP="00031AF8">
      <w:pPr>
        <w:rPr>
          <w:lang w:bidi="en-US"/>
        </w:rPr>
      </w:pPr>
    </w:p>
    <w:p w14:paraId="45D2FF30" w14:textId="1598261D" w:rsidR="00031AF8" w:rsidRDefault="00031AF8" w:rsidP="00031AF8">
      <w:pPr>
        <w:rPr>
          <w:lang w:bidi="en-US"/>
        </w:rPr>
      </w:pPr>
    </w:p>
    <w:p w14:paraId="08FAED92" w14:textId="163BA8A9" w:rsidR="00031AF8" w:rsidRDefault="00031AF8" w:rsidP="00031AF8">
      <w:pPr>
        <w:rPr>
          <w:lang w:bidi="en-US"/>
        </w:rPr>
      </w:pPr>
    </w:p>
    <w:p w14:paraId="09C21744" w14:textId="77777777" w:rsidR="00031AF8" w:rsidRDefault="00031AF8" w:rsidP="00031AF8">
      <w:pPr>
        <w:rPr>
          <w:lang w:bidi="en-US"/>
        </w:rPr>
      </w:pPr>
    </w:p>
    <w:p w14:paraId="2EB31375" w14:textId="03464996" w:rsidR="00031AF8" w:rsidRDefault="00031AF8" w:rsidP="00031AF8">
      <w:pPr>
        <w:rPr>
          <w:lang w:bidi="en-US"/>
        </w:rPr>
      </w:pPr>
    </w:p>
    <w:p w14:paraId="3A81B18C" w14:textId="4E0CFC72" w:rsidR="00031AF8" w:rsidRDefault="00031AF8" w:rsidP="00031AF8">
      <w:pPr>
        <w:rPr>
          <w:lang w:bidi="en-US"/>
        </w:rPr>
      </w:pPr>
    </w:p>
    <w:p w14:paraId="633D86CA" w14:textId="6D26AB18" w:rsidR="00031AF8" w:rsidRDefault="00031AF8" w:rsidP="00031AF8">
      <w:pPr>
        <w:rPr>
          <w:lang w:bidi="en-US"/>
        </w:rPr>
      </w:pPr>
    </w:p>
    <w:p w14:paraId="7F7EA496" w14:textId="77777777" w:rsidR="00031AF8" w:rsidRPr="00031AF8" w:rsidRDefault="00031AF8" w:rsidP="00031AF8">
      <w:pPr>
        <w:rPr>
          <w:lang w:bidi="en-US"/>
        </w:rPr>
      </w:pPr>
    </w:p>
    <w:p w14:paraId="501BDCF3" w14:textId="5A27205A" w:rsidR="00F66155" w:rsidRPr="001D5F54" w:rsidRDefault="00004BFD" w:rsidP="002C68CB">
      <w:pPr>
        <w:pStyle w:val="Caption"/>
        <w:jc w:val="lowKashida"/>
        <w:rPr>
          <w:bCs w:val="0"/>
          <w:color w:val="000000"/>
          <w:szCs w:val="24"/>
        </w:rPr>
      </w:pPr>
      <w:bookmarkStart w:id="98" w:name="_Toc21074071"/>
      <w:r w:rsidRPr="004D08C5">
        <w:rPr>
          <w:bCs w:val="0"/>
        </w:rPr>
        <w:lastRenderedPageBreak/>
        <w:t xml:space="preserve">Table </w:t>
      </w:r>
      <w:r w:rsidR="006D32F8" w:rsidRPr="004D08C5">
        <w:rPr>
          <w:bCs w:val="0"/>
          <w:noProof/>
        </w:rPr>
        <w:fldChar w:fldCharType="begin"/>
      </w:r>
      <w:r w:rsidR="006D32F8" w:rsidRPr="004D08C5">
        <w:rPr>
          <w:bCs w:val="0"/>
          <w:noProof/>
        </w:rPr>
        <w:instrText xml:space="preserve"> SEQ Table \* ARABIC </w:instrText>
      </w:r>
      <w:r w:rsidR="006D32F8" w:rsidRPr="004D08C5">
        <w:rPr>
          <w:bCs w:val="0"/>
          <w:noProof/>
        </w:rPr>
        <w:fldChar w:fldCharType="separate"/>
      </w:r>
      <w:r w:rsidR="00972C3F">
        <w:rPr>
          <w:bCs w:val="0"/>
          <w:noProof/>
        </w:rPr>
        <w:t>3</w:t>
      </w:r>
      <w:r w:rsidR="006D32F8" w:rsidRPr="004D08C5">
        <w:rPr>
          <w:bCs w:val="0"/>
          <w:noProof/>
        </w:rPr>
        <w:fldChar w:fldCharType="end"/>
      </w:r>
      <w:r w:rsidRPr="004D08C5">
        <w:rPr>
          <w:bCs w:val="0"/>
        </w:rPr>
        <w:t>.</w:t>
      </w:r>
      <w:r>
        <w:t xml:space="preserve"> </w:t>
      </w:r>
      <w:r w:rsidRPr="005F7414">
        <w:t>Studies</w:t>
      </w:r>
      <w:r w:rsidRPr="006210E6">
        <w:t xml:space="preserve"> examining knowledge management benefits in developing countries.</w:t>
      </w:r>
      <w:bookmarkEnd w:id="95"/>
      <w:bookmarkEnd w:id="96"/>
      <w:bookmarkEnd w:id="97"/>
      <w:bookmarkEnd w:id="98"/>
    </w:p>
    <w:tbl>
      <w:tblPr>
        <w:tblStyle w:val="APAReport"/>
        <w:tblW w:w="8195" w:type="dxa"/>
        <w:tblLayout w:type="fixed"/>
        <w:tblCellMar>
          <w:top w:w="115" w:type="dxa"/>
          <w:left w:w="115" w:type="dxa"/>
          <w:bottom w:w="115" w:type="dxa"/>
          <w:right w:w="115" w:type="dxa"/>
        </w:tblCellMar>
        <w:tblLook w:val="04A0" w:firstRow="1" w:lastRow="0" w:firstColumn="1" w:lastColumn="0" w:noHBand="0" w:noVBand="1"/>
      </w:tblPr>
      <w:tblGrid>
        <w:gridCol w:w="1418"/>
        <w:gridCol w:w="2126"/>
        <w:gridCol w:w="1418"/>
        <w:gridCol w:w="2268"/>
        <w:gridCol w:w="965"/>
      </w:tblGrid>
      <w:tr w:rsidR="00EE00BF" w:rsidRPr="002A7627" w14:paraId="11B4FB43" w14:textId="77777777" w:rsidTr="00440923">
        <w:trPr>
          <w:cnfStyle w:val="100000000000" w:firstRow="1" w:lastRow="0" w:firstColumn="0" w:lastColumn="0" w:oddVBand="0" w:evenVBand="0" w:oddHBand="0" w:evenHBand="0" w:firstRowFirstColumn="0" w:firstRowLastColumn="0" w:lastRowFirstColumn="0" w:lastRowLastColumn="0"/>
          <w:trHeight w:val="591"/>
          <w:tblHeader/>
        </w:trPr>
        <w:tc>
          <w:tcPr>
            <w:tcW w:w="1418" w:type="dxa"/>
          </w:tcPr>
          <w:p w14:paraId="421A7C7C" w14:textId="77777777" w:rsidR="00EE00BF" w:rsidRPr="002A7627" w:rsidRDefault="00EE00BF" w:rsidP="00EE00BF">
            <w:pPr>
              <w:jc w:val="lowKashida"/>
              <w:rPr>
                <w:rFonts w:eastAsia="Times New Roman" w:cs="Times New Roman"/>
                <w:sz w:val="20"/>
                <w:szCs w:val="20"/>
              </w:rPr>
            </w:pPr>
            <w:r w:rsidRPr="002A7627">
              <w:rPr>
                <w:rFonts w:cs="Times New Roman"/>
                <w:b/>
                <w:sz w:val="20"/>
                <w:szCs w:val="20"/>
              </w:rPr>
              <w:t>Source</w:t>
            </w:r>
          </w:p>
        </w:tc>
        <w:tc>
          <w:tcPr>
            <w:tcW w:w="2126" w:type="dxa"/>
          </w:tcPr>
          <w:p w14:paraId="0D267E30" w14:textId="77777777" w:rsidR="00EE00BF" w:rsidRPr="002A7627" w:rsidRDefault="00EE00BF" w:rsidP="00EE00BF">
            <w:pPr>
              <w:jc w:val="lowKashida"/>
              <w:rPr>
                <w:rFonts w:eastAsia="Times New Roman" w:cs="Times New Roman"/>
                <w:sz w:val="20"/>
                <w:szCs w:val="20"/>
              </w:rPr>
            </w:pPr>
            <w:r w:rsidRPr="002A7627">
              <w:rPr>
                <w:rFonts w:cs="Times New Roman"/>
                <w:b/>
                <w:sz w:val="20"/>
                <w:szCs w:val="20"/>
              </w:rPr>
              <w:t>Purpose</w:t>
            </w:r>
          </w:p>
        </w:tc>
        <w:tc>
          <w:tcPr>
            <w:tcW w:w="1418" w:type="dxa"/>
          </w:tcPr>
          <w:p w14:paraId="18C3A273" w14:textId="77777777" w:rsidR="00EE00BF" w:rsidRPr="002A7627" w:rsidRDefault="00EE00BF" w:rsidP="00EE00BF">
            <w:pPr>
              <w:jc w:val="lowKashida"/>
              <w:rPr>
                <w:rFonts w:eastAsia="Times New Roman" w:cs="Times New Roman"/>
                <w:sz w:val="20"/>
                <w:szCs w:val="20"/>
              </w:rPr>
            </w:pPr>
            <w:r w:rsidRPr="002A7627">
              <w:rPr>
                <w:rFonts w:cs="Times New Roman"/>
                <w:b/>
                <w:sz w:val="20"/>
                <w:szCs w:val="20"/>
              </w:rPr>
              <w:t>Research Methodology</w:t>
            </w:r>
          </w:p>
        </w:tc>
        <w:tc>
          <w:tcPr>
            <w:tcW w:w="2268" w:type="dxa"/>
          </w:tcPr>
          <w:p w14:paraId="243BD34C" w14:textId="77777777" w:rsidR="00EE00BF" w:rsidRPr="002A7627" w:rsidRDefault="00EE00BF" w:rsidP="00EE00BF">
            <w:pPr>
              <w:jc w:val="lowKashida"/>
              <w:rPr>
                <w:rFonts w:eastAsia="Times New Roman" w:cs="Times New Roman"/>
                <w:sz w:val="20"/>
                <w:szCs w:val="20"/>
              </w:rPr>
            </w:pPr>
            <w:r w:rsidRPr="002A7627">
              <w:rPr>
                <w:rFonts w:cs="Times New Roman"/>
                <w:b/>
                <w:sz w:val="20"/>
                <w:szCs w:val="20"/>
              </w:rPr>
              <w:t>Findings</w:t>
            </w:r>
          </w:p>
        </w:tc>
        <w:tc>
          <w:tcPr>
            <w:tcW w:w="965" w:type="dxa"/>
          </w:tcPr>
          <w:p w14:paraId="2625C2F5" w14:textId="77777777" w:rsidR="00EE00BF" w:rsidRPr="002A7627" w:rsidRDefault="00EE00BF" w:rsidP="00EE00BF">
            <w:pPr>
              <w:jc w:val="lowKashida"/>
              <w:rPr>
                <w:rFonts w:eastAsia="Times New Roman" w:cs="Times New Roman"/>
                <w:sz w:val="20"/>
                <w:szCs w:val="20"/>
              </w:rPr>
            </w:pPr>
            <w:r w:rsidRPr="002A7627">
              <w:rPr>
                <w:rFonts w:cs="Times New Roman"/>
                <w:b/>
                <w:sz w:val="20"/>
                <w:szCs w:val="20"/>
              </w:rPr>
              <w:t>Country</w:t>
            </w:r>
          </w:p>
        </w:tc>
      </w:tr>
      <w:tr w:rsidR="00EE00BF" w:rsidRPr="002A7627" w14:paraId="40AC82B7" w14:textId="77777777" w:rsidTr="00440923">
        <w:trPr>
          <w:trHeight w:val="922"/>
        </w:trPr>
        <w:tc>
          <w:tcPr>
            <w:tcW w:w="1418" w:type="dxa"/>
          </w:tcPr>
          <w:p w14:paraId="6717ED0A" w14:textId="10346DBE" w:rsidR="00EE00BF" w:rsidRPr="002A7627" w:rsidRDefault="007C79F2">
            <w:pPr>
              <w:jc w:val="lowKashida"/>
              <w:rPr>
                <w:rFonts w:eastAsia="Times New Roman" w:cs="Times New Roman"/>
                <w:sz w:val="20"/>
                <w:szCs w:val="20"/>
              </w:rPr>
            </w:pPr>
            <w:r w:rsidRPr="002A7627">
              <w:rPr>
                <w:rFonts w:eastAsia="Times New Roman" w:cs="Times New Roman"/>
                <w:noProof/>
                <w:sz w:val="20"/>
                <w:szCs w:val="20"/>
              </w:rPr>
              <w:t>Choy et al.</w:t>
            </w:r>
            <w:r w:rsidR="00553356">
              <w:rPr>
                <w:rFonts w:eastAsia="Times New Roman" w:cs="Times New Roman"/>
                <w:noProof/>
                <w:sz w:val="20"/>
                <w:szCs w:val="20"/>
              </w:rPr>
              <w:t xml:space="preserve"> (</w:t>
            </w:r>
            <w:r w:rsidRPr="002A7627">
              <w:rPr>
                <w:rFonts w:eastAsia="Times New Roman" w:cs="Times New Roman"/>
                <w:noProof/>
                <w:sz w:val="20"/>
                <w:szCs w:val="20"/>
              </w:rPr>
              <w:t>2006)</w:t>
            </w:r>
          </w:p>
        </w:tc>
        <w:tc>
          <w:tcPr>
            <w:tcW w:w="2126" w:type="dxa"/>
          </w:tcPr>
          <w:p w14:paraId="1BED7F36" w14:textId="78FE8099"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 xml:space="preserve">To identify </w:t>
            </w:r>
            <w:r w:rsidR="002B4252" w:rsidRPr="002A7627">
              <w:rPr>
                <w:rFonts w:eastAsia="Times New Roman" w:cs="Times New Roman"/>
                <w:sz w:val="20"/>
                <w:szCs w:val="20"/>
              </w:rPr>
              <w:t>measures</w:t>
            </w:r>
            <w:r w:rsidRPr="002A7627">
              <w:rPr>
                <w:rFonts w:eastAsia="Times New Roman" w:cs="Times New Roman"/>
                <w:sz w:val="20"/>
                <w:szCs w:val="20"/>
              </w:rPr>
              <w:t xml:space="preserve"> for knowledge management performance outcomes </w:t>
            </w:r>
          </w:p>
        </w:tc>
        <w:tc>
          <w:tcPr>
            <w:tcW w:w="1418" w:type="dxa"/>
          </w:tcPr>
          <w:p w14:paraId="013607A6" w14:textId="77777777"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Case studies (open-ended interviews)</w:t>
            </w:r>
          </w:p>
        </w:tc>
        <w:tc>
          <w:tcPr>
            <w:tcW w:w="2268" w:type="dxa"/>
          </w:tcPr>
          <w:p w14:paraId="10D0144B" w14:textId="4320DE0B"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 xml:space="preserve"> 38 knowledge management benefits grouped into five key dimensions: </w:t>
            </w:r>
            <w:r w:rsidR="00ED0C05">
              <w:rPr>
                <w:rFonts w:eastAsia="Times New Roman" w:cs="Times New Roman"/>
                <w:sz w:val="20"/>
                <w:szCs w:val="20"/>
              </w:rPr>
              <w:t xml:space="preserve">employee development, </w:t>
            </w:r>
            <w:r w:rsidRPr="002A7627">
              <w:rPr>
                <w:rFonts w:eastAsia="Times New Roman" w:cs="Times New Roman"/>
                <w:sz w:val="20"/>
                <w:szCs w:val="20"/>
              </w:rPr>
              <w:t xml:space="preserve">knowledge activities, </w:t>
            </w:r>
            <w:r w:rsidR="00ED0C05">
              <w:rPr>
                <w:rFonts w:eastAsia="Times New Roman" w:cs="Times New Roman"/>
                <w:sz w:val="20"/>
                <w:szCs w:val="20"/>
              </w:rPr>
              <w:t xml:space="preserve">good relationship with stakeholders, </w:t>
            </w:r>
            <w:r w:rsidRPr="002A7627">
              <w:rPr>
                <w:rFonts w:eastAsia="Times New Roman" w:cs="Times New Roman"/>
                <w:sz w:val="20"/>
                <w:szCs w:val="20"/>
              </w:rPr>
              <w:t>customer satisfaction, and organizational success</w:t>
            </w:r>
          </w:p>
        </w:tc>
        <w:tc>
          <w:tcPr>
            <w:tcW w:w="965" w:type="dxa"/>
          </w:tcPr>
          <w:p w14:paraId="19A74270" w14:textId="77777777" w:rsidR="00EE00BF" w:rsidRPr="002A7627" w:rsidRDefault="00EE00BF" w:rsidP="00EE00BF">
            <w:pPr>
              <w:jc w:val="lowKashida"/>
              <w:rPr>
                <w:rFonts w:eastAsia="Times New Roman" w:cs="Times New Roman"/>
                <w:sz w:val="20"/>
                <w:szCs w:val="20"/>
              </w:rPr>
            </w:pPr>
            <w:r w:rsidRPr="002A7627">
              <w:rPr>
                <w:rFonts w:eastAsia="Times New Roman" w:cs="Times New Roman"/>
                <w:sz w:val="20"/>
                <w:szCs w:val="20"/>
              </w:rPr>
              <w:t>Nigeria</w:t>
            </w:r>
          </w:p>
        </w:tc>
      </w:tr>
      <w:tr w:rsidR="00141425" w:rsidRPr="002A7627" w14:paraId="56121760" w14:textId="77777777" w:rsidTr="00440923">
        <w:trPr>
          <w:trHeight w:val="312"/>
        </w:trPr>
        <w:tc>
          <w:tcPr>
            <w:tcW w:w="1418" w:type="dxa"/>
          </w:tcPr>
          <w:p w14:paraId="31934348" w14:textId="4662C3DA" w:rsidR="00141425" w:rsidRPr="002A7627" w:rsidRDefault="00141425">
            <w:pPr>
              <w:jc w:val="lowKashida"/>
              <w:rPr>
                <w:rFonts w:eastAsia="Times New Roman" w:cs="Times New Roman"/>
                <w:sz w:val="20"/>
                <w:szCs w:val="20"/>
              </w:rPr>
            </w:pPr>
            <w:r w:rsidRPr="002A7627">
              <w:rPr>
                <w:rFonts w:eastAsia="Times New Roman" w:cs="Times New Roman"/>
                <w:sz w:val="20"/>
                <w:szCs w:val="20"/>
              </w:rPr>
              <w:t xml:space="preserve">Boumarafi </w:t>
            </w:r>
            <w:r w:rsidR="00553356">
              <w:rPr>
                <w:rFonts w:eastAsia="Times New Roman" w:cs="Times New Roman"/>
                <w:sz w:val="20"/>
                <w:szCs w:val="20"/>
              </w:rPr>
              <w:t>and Jabnoun</w:t>
            </w:r>
            <w:r w:rsidRPr="002A7627">
              <w:rPr>
                <w:rFonts w:eastAsia="Times New Roman" w:cs="Times New Roman"/>
                <w:sz w:val="20"/>
                <w:szCs w:val="20"/>
              </w:rPr>
              <w:t xml:space="preserve">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{"citationItems":[{"id":"ITEM-1","itemData":{"DOI":"10.1057/kmrp.2008.16","ISSN":"14778238","abstract":"Knowledge management is gaining prominence in academia and the world of business practice. The need for organizations in the United Arab Emirates (UAE) to empower themselves through knowledge management cannot be ignored. Yet, not much empirical evidence on the subject can be found in the literature. This study investigates the relationship between knowledge management and organizational performance in the UAE. The knowledge management dimensions considered in this paper are organizational culture, organizational infrastructure, technical infrastructure, management support, reward and vision clarity. Organizational performance is measured in terms of efficiency, customer satisfaction, decision-making, quality of work and financial benefits. A questionnaire was used to collect data from general managers, functional managers, IT managers and chief knowledge officers from a variety of business sectors. Results of one sample t-test show that the dimensions used in this study enhance performance improvement. Results also show that except for reward and vision clarity, all investigated knowledge management dimensions are significantly correlated with performance improvement. [PUBLICATION ABSTRACT]","author":[{"dropping-particle":"","family":"Boumarafi","given":"Behdja","non-dropping-particle":"","parse-names":false,"suffix":""},{"dropping-particle":"","family":"Jabnoun","given":"Naceur","non-dropping-particle":"","parse-names":false,"suffix":""}],"container-title":"Knowledge Management Research and Practice","id":"ITEM-1","issue":"3","issued":{"date-parts":[["2008"]]},"page":"233-238","title":"Knowledge management and performance in UAE business organizations","type":"article-journal","volume":"6"},"suppress-author":1,"uris":["http://www.mendeley.com/documents/?uuid=b23b83b5-c17b-43e9-af38-4100731c7b1a"]}],"mendeley":{"formattedCitation":"(2008)","plainTextFormattedCitation":"(2008)","previouslyFormattedCitation":"(2008)"},"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(2008)</w:t>
            </w:r>
            <w:r w:rsidRPr="002A7627">
              <w:rPr>
                <w:rFonts w:eastAsia="Times New Roman" w:cs="Times New Roman"/>
                <w:sz w:val="20"/>
                <w:szCs w:val="20"/>
              </w:rPr>
              <w:fldChar w:fldCharType="end"/>
            </w:r>
            <w:r w:rsidRPr="002A7627">
              <w:rPr>
                <w:rFonts w:eastAsia="Times New Roman" w:cs="Times New Roman"/>
                <w:sz w:val="20"/>
                <w:szCs w:val="20"/>
              </w:rPr>
              <w:t xml:space="preserve"> </w:t>
            </w:r>
          </w:p>
        </w:tc>
        <w:tc>
          <w:tcPr>
            <w:tcW w:w="2126" w:type="dxa"/>
          </w:tcPr>
          <w:p w14:paraId="7988FE5D" w14:textId="0172B46D"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To investigate the relationship between knowledge management and organizational performance in the UAE</w:t>
            </w:r>
          </w:p>
        </w:tc>
        <w:tc>
          <w:tcPr>
            <w:tcW w:w="1418" w:type="dxa"/>
          </w:tcPr>
          <w:p w14:paraId="1793347E" w14:textId="288064D5"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Quantitative (survey) </w:t>
            </w:r>
          </w:p>
        </w:tc>
        <w:tc>
          <w:tcPr>
            <w:tcW w:w="2268" w:type="dxa"/>
          </w:tcPr>
          <w:p w14:paraId="05517F3F" w14:textId="56005404" w:rsidR="00141425" w:rsidRPr="002A7627" w:rsidRDefault="00D062C6">
            <w:pPr>
              <w:jc w:val="lowKashida"/>
              <w:rPr>
                <w:rFonts w:eastAsia="Times New Roman" w:cs="Times New Roman"/>
                <w:sz w:val="20"/>
                <w:szCs w:val="20"/>
              </w:rPr>
            </w:pPr>
            <w:r>
              <w:rPr>
                <w:rFonts w:eastAsia="Times New Roman" w:cs="Times New Roman"/>
                <w:sz w:val="20"/>
                <w:szCs w:val="20"/>
              </w:rPr>
              <w:t>The most wi</w:t>
            </w:r>
            <w:r w:rsidR="001F68E4">
              <w:rPr>
                <w:rFonts w:eastAsia="Times New Roman" w:cs="Times New Roman"/>
                <w:sz w:val="20"/>
                <w:szCs w:val="20"/>
              </w:rPr>
              <w:t xml:space="preserve">dely used </w:t>
            </w:r>
            <w:r w:rsidR="00D72610">
              <w:rPr>
                <w:rFonts w:eastAsia="Times New Roman" w:cs="Times New Roman"/>
                <w:sz w:val="20"/>
                <w:szCs w:val="20"/>
              </w:rPr>
              <w:t xml:space="preserve">knowledge management </w:t>
            </w:r>
            <w:r w:rsidR="001F68E4">
              <w:rPr>
                <w:rFonts w:eastAsia="Times New Roman" w:cs="Times New Roman"/>
                <w:sz w:val="20"/>
                <w:szCs w:val="20"/>
              </w:rPr>
              <w:t>dimensions are o</w:t>
            </w:r>
            <w:r w:rsidR="00141425" w:rsidRPr="002A7627">
              <w:rPr>
                <w:rFonts w:eastAsia="Times New Roman" w:cs="Times New Roman"/>
                <w:sz w:val="20"/>
                <w:szCs w:val="20"/>
              </w:rPr>
              <w:t xml:space="preserve">rganizational culture and technical infrastructure. </w:t>
            </w:r>
          </w:p>
        </w:tc>
        <w:tc>
          <w:tcPr>
            <w:tcW w:w="965" w:type="dxa"/>
          </w:tcPr>
          <w:p w14:paraId="228B5394" w14:textId="511CC352"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UAE</w:t>
            </w:r>
          </w:p>
        </w:tc>
      </w:tr>
      <w:tr w:rsidR="00141425" w:rsidRPr="002A7627" w14:paraId="7D420088" w14:textId="77777777" w:rsidTr="00440923">
        <w:trPr>
          <w:trHeight w:val="922"/>
        </w:trPr>
        <w:tc>
          <w:tcPr>
            <w:tcW w:w="1418" w:type="dxa"/>
          </w:tcPr>
          <w:p w14:paraId="351F7545" w14:textId="4F0BE1A9"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Al-Busaidi, Olfman, Ryan, and Leroy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{"citationItems":[{"id":"ITEM-1","itemData":{"abstract":"Abstract Knowledge is a powerful resource that enables individuals and organizations to achieve several benefits such as improved learning and decision-making. Repository knowledge management system (KMS) assists organizations to efficiently capture their knowledge for later reuse. However, the breadth and depth of a knowledge management system depends on the magnitude of knowledge contributed to the system. This paper empirically investigated the motivators of individual knowledge sharing behavior","author":[{"dropping-particle":"","family":"Al-Busaidi","given":"Ali Kamla","non-dropping-particle":"","parse-names":false,"suffix":""},{"dropping-particle":"","family":"Olfman","given":"Lorne","non-dropping-particle":"","parse-names":false,"suffix":""},{"dropping-particle":"","family":"Ryan","given":"Terry","non-dropping-particle":"","parse-names":false,"suffix":""},{"dropping-particle":"","family":"Leroy","given":"Gondy","non-dropping-particle":"","parse-names":false,"suffix":""}],"container-title":"Journal of Organizational Knowledge Management","id":"ITEM-1","issue":"1","issued":{"date-parts":[["2010"]]},"page":"928-935","title":"Sharing knowledge to a knowledge management system : Examining the motivators and the benefits in an Omani organization","type":"article-journal","volume":"2010"},"suppress-author":1,"uris":["http://www.mendeley.com/documents/?uuid=87de86fe-9ec4-473d-bd62-d1ac6ac0d13c"]}],"mendeley":{"formattedCitation":"(2010)","plainTextFormattedCitation":"(2010)","previouslyFormattedCitation":"(2010)"},"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(2010)</w:t>
            </w:r>
            <w:r w:rsidRPr="002A7627">
              <w:rPr>
                <w:rFonts w:eastAsia="Times New Roman" w:cs="Times New Roman"/>
                <w:sz w:val="20"/>
                <w:szCs w:val="20"/>
              </w:rPr>
              <w:fldChar w:fldCharType="end"/>
            </w:r>
            <w:r w:rsidRPr="002A7627">
              <w:rPr>
                <w:rFonts w:eastAsia="Times New Roman" w:cs="Times New Roman"/>
                <w:sz w:val="20"/>
                <w:szCs w:val="20"/>
              </w:rPr>
              <w:t xml:space="preserve"> </w:t>
            </w:r>
          </w:p>
        </w:tc>
        <w:tc>
          <w:tcPr>
            <w:tcW w:w="2126" w:type="dxa"/>
          </w:tcPr>
          <w:p w14:paraId="12E29E81"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To investigate the motivators of individual knowledge sharing</w:t>
            </w:r>
          </w:p>
        </w:tc>
        <w:tc>
          <w:tcPr>
            <w:tcW w:w="1418" w:type="dxa"/>
          </w:tcPr>
          <w:p w14:paraId="1AE76473" w14:textId="65A404C7" w:rsidR="00141425" w:rsidRPr="002A7627" w:rsidRDefault="00141425">
            <w:pPr>
              <w:jc w:val="lowKashida"/>
              <w:rPr>
                <w:rFonts w:eastAsia="Times New Roman" w:cs="Times New Roman"/>
                <w:sz w:val="20"/>
                <w:szCs w:val="20"/>
              </w:rPr>
            </w:pPr>
            <w:r w:rsidRPr="002A7627">
              <w:rPr>
                <w:rFonts w:eastAsia="Times New Roman" w:cs="Times New Roman"/>
                <w:sz w:val="20"/>
                <w:szCs w:val="20"/>
              </w:rPr>
              <w:t>Quantitative (questionnaire</w:t>
            </w:r>
            <w:r w:rsidR="00AF41A6">
              <w:rPr>
                <w:rFonts w:eastAsia="Times New Roman" w:cs="Times New Roman"/>
                <w:sz w:val="20"/>
                <w:szCs w:val="20"/>
              </w:rPr>
              <w:t xml:space="preserve"> and</w:t>
            </w:r>
            <w:r w:rsidRPr="002A7627">
              <w:rPr>
                <w:rFonts w:eastAsia="Times New Roman" w:cs="Times New Roman"/>
                <w:sz w:val="20"/>
                <w:szCs w:val="20"/>
              </w:rPr>
              <w:t xml:space="preserve"> structural equation modeling) </w:t>
            </w:r>
          </w:p>
        </w:tc>
        <w:tc>
          <w:tcPr>
            <w:tcW w:w="2268" w:type="dxa"/>
          </w:tcPr>
          <w:p w14:paraId="3A056259"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Organizational culture can motivate employees to share knowledge </w:t>
            </w:r>
          </w:p>
        </w:tc>
        <w:tc>
          <w:tcPr>
            <w:tcW w:w="965" w:type="dxa"/>
          </w:tcPr>
          <w:p w14:paraId="7B9AD09D"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Oman</w:t>
            </w:r>
          </w:p>
        </w:tc>
      </w:tr>
      <w:tr w:rsidR="00141425" w:rsidRPr="002A7627" w14:paraId="7E78198D" w14:textId="77777777" w:rsidTr="00440923">
        <w:trPr>
          <w:trHeight w:val="922"/>
        </w:trPr>
        <w:tc>
          <w:tcPr>
            <w:tcW w:w="1418" w:type="dxa"/>
          </w:tcPr>
          <w:p w14:paraId="681B5804" w14:textId="3D659A5F"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Siddique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{"citationItems":[{"id":"ITEM-1","itemData":{"DOI":"10.1108/13673271211262763","ISBN":"1367327121","ISSN":"1367-3270","author":[{"dropping-particle":"","family":"Siddique","given":"C. Muhammed","non-dropping-particle":"","parse-names":false,"suffix":""}],"container-title":"Journal of Knowledge Management","id":"ITEM-1","issue":"5","issued":{"date-parts":[["2012","9","7"]]},"page":"702-723","title":"Knowledge management initiatives in the United Arab Emirates: A baseline study","type":"article-journal","volume":"16"},"suppress-author":1,"uris":["http://www.mendeley.com/documents/?uuid=4416d806-e6e9-49fa-a6ff-2917a0c3d074"]}],"mendeley":{"formattedCitation":"(2012)","plainTextFormattedCitation":"(2012)","previouslyFormattedCitation":"(2012)"},"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(2012)</w:t>
            </w:r>
            <w:r w:rsidRPr="002A7627">
              <w:rPr>
                <w:rFonts w:eastAsia="Times New Roman" w:cs="Times New Roman"/>
                <w:sz w:val="20"/>
                <w:szCs w:val="20"/>
              </w:rPr>
              <w:fldChar w:fldCharType="end"/>
            </w:r>
          </w:p>
        </w:tc>
        <w:tc>
          <w:tcPr>
            <w:tcW w:w="2126" w:type="dxa"/>
          </w:tcPr>
          <w:p w14:paraId="7C0C7FF8" w14:textId="77777777" w:rsidR="00141425" w:rsidRPr="00790A4A" w:rsidRDefault="00141425" w:rsidP="00141425">
            <w:pPr>
              <w:jc w:val="lowKashida"/>
              <w:rPr>
                <w:rFonts w:eastAsia="Times New Roman" w:cs="Times New Roman"/>
                <w:color w:val="000000" w:themeColor="text1"/>
                <w:sz w:val="20"/>
                <w:szCs w:val="20"/>
              </w:rPr>
            </w:pPr>
            <w:r w:rsidRPr="00790A4A">
              <w:rPr>
                <w:rFonts w:eastAsia="Times New Roman" w:cs="Times New Roman"/>
                <w:color w:val="000000" w:themeColor="text1"/>
                <w:sz w:val="20"/>
                <w:szCs w:val="20"/>
              </w:rPr>
              <w:t>To develop baseline data on knowledge management initiatives of private organizations.</w:t>
            </w:r>
          </w:p>
        </w:tc>
        <w:tc>
          <w:tcPr>
            <w:tcW w:w="1418" w:type="dxa"/>
          </w:tcPr>
          <w:p w14:paraId="06964A3A" w14:textId="77777777" w:rsidR="00141425" w:rsidRPr="00790A4A" w:rsidRDefault="00141425" w:rsidP="00141425">
            <w:pPr>
              <w:jc w:val="lowKashida"/>
              <w:rPr>
                <w:rFonts w:eastAsia="Times New Roman" w:cs="Times New Roman"/>
                <w:color w:val="000000" w:themeColor="text1"/>
                <w:sz w:val="20"/>
                <w:szCs w:val="20"/>
              </w:rPr>
            </w:pPr>
            <w:r w:rsidRPr="00790A4A">
              <w:rPr>
                <w:rFonts w:eastAsia="Times New Roman" w:cs="Times New Roman"/>
                <w:color w:val="000000" w:themeColor="text1"/>
                <w:sz w:val="20"/>
                <w:szCs w:val="20"/>
              </w:rPr>
              <w:t xml:space="preserve">Quantitative (survey and statistical analysis) </w:t>
            </w:r>
          </w:p>
        </w:tc>
        <w:tc>
          <w:tcPr>
            <w:tcW w:w="2268" w:type="dxa"/>
          </w:tcPr>
          <w:p w14:paraId="4EAA53BC" w14:textId="77777777" w:rsidR="00141425" w:rsidRPr="00790A4A" w:rsidRDefault="00141425" w:rsidP="00141425">
            <w:pPr>
              <w:jc w:val="lowKashida"/>
              <w:rPr>
                <w:rFonts w:eastAsia="Times New Roman" w:cs="Times New Roman"/>
                <w:color w:val="000000" w:themeColor="text1"/>
                <w:sz w:val="20"/>
                <w:szCs w:val="20"/>
              </w:rPr>
            </w:pPr>
            <w:r w:rsidRPr="00790A4A">
              <w:rPr>
                <w:rFonts w:eastAsia="Times New Roman" w:cs="Times New Roman"/>
                <w:color w:val="000000" w:themeColor="text1"/>
                <w:sz w:val="20"/>
                <w:szCs w:val="20"/>
              </w:rPr>
              <w:t>Most knowledge management initiatives are focused on explicit knowledge, and companies are investing their resources to build ICT infrastructure</w:t>
            </w:r>
          </w:p>
        </w:tc>
        <w:tc>
          <w:tcPr>
            <w:tcW w:w="965" w:type="dxa"/>
          </w:tcPr>
          <w:p w14:paraId="775B23C4"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UAE</w:t>
            </w:r>
          </w:p>
        </w:tc>
      </w:tr>
      <w:tr w:rsidR="00141425" w:rsidRPr="002A7627" w14:paraId="1C3B391D" w14:textId="77777777" w:rsidTr="00440923">
        <w:trPr>
          <w:trHeight w:val="922"/>
        </w:trPr>
        <w:tc>
          <w:tcPr>
            <w:tcW w:w="1418" w:type="dxa"/>
          </w:tcPr>
          <w:p w14:paraId="60792018"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Seba et al.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{"citationItems":[{"id":"ITEM-1","itemData":{"DOI":"10.1016/j.ijinfomgt.2011.12.003","ISSN":"02684012","abstract":"This study contributes to the limited research base on knowledge sharing in public sector organisations, specifically police forces, and organisations in the Middle East through a case study investigation into the factors that affect knowledge sharing in the Dubai Police Force. A questionnaire-based survey was conducted with staff in key departments in the Dubai Police Force. Informed by the literature and by interviews conducted in a previous phase, the core of the questionnaire was a bank of Likert-style questions covering the dependent variables intention to knowledge share, and attitude towards knowledge sharing, and the independent variables, trust, organisational structure, leadership, reward, time, and information technology. Data was analysed using structured equation modelling, in order to test the measurement model using confirmatory factor analysis, and to test the structural model. The structural model suggests a strong relationship between attitude to knowledge sharing, and intention to share knowledge. Hypotheses regarding the influence of leadership, trust, organisational structure, time, and information technology on attitude to knowledge sharing were upheld. Rewards did not to influence attitude to knowledge sharing. Recommendations are offered for practice and further research.","author":[{"dropping-particle":"","family":"Seba","given":"Ibrahim","non-dropping-particle":"","parse-names":false,"suffix":""},{"dropping-particle":"","family":"Rowley","given":"Jennifer","non-dropping-particle":"","parse-names":false,"suffix":""},{"dropping-particle":"","family":"Lambert","given":"Sian","non-dropping-particle":"","parse-names":false,"suffix":""}],"container-title":"International Journal of Information Management","id":"ITEM-1","issue":"4","issued":{"date-parts":[["2012","8"]]},"note":"Factors affecting attitudes and intentions towards knowledge sharing in the Dubai Police Force","page":"372-380","title":"Factors affecting attitudes and intentions towards knowledge sharing in the Dubai Police Force","type":"article-journal","volume":"32"},"suppress-author":1,"uris":["http://www.mendeley.com/documents/?uuid=9b514d30-5ab1-48be-9381-4fadb816c67b"]}],"mendeley":{"formattedCitation":"(2012)","plainTextFormattedCitation":"(2012)","previouslyFormattedCitation":"(2012)"},"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(2012)</w:t>
            </w:r>
            <w:r w:rsidRPr="002A7627">
              <w:rPr>
                <w:rFonts w:eastAsia="Times New Roman" w:cs="Times New Roman"/>
                <w:sz w:val="20"/>
                <w:szCs w:val="20"/>
              </w:rPr>
              <w:fldChar w:fldCharType="end"/>
            </w:r>
          </w:p>
        </w:tc>
        <w:tc>
          <w:tcPr>
            <w:tcW w:w="2126" w:type="dxa"/>
          </w:tcPr>
          <w:p w14:paraId="21D12BE3" w14:textId="15AABDDD" w:rsidR="00141425" w:rsidRPr="00790A4A" w:rsidRDefault="00141425" w:rsidP="00141425">
            <w:pPr>
              <w:jc w:val="lowKashida"/>
              <w:rPr>
                <w:rFonts w:eastAsia="Times New Roman" w:cs="Times New Roman"/>
                <w:color w:val="000000" w:themeColor="text1"/>
                <w:sz w:val="20"/>
                <w:szCs w:val="20"/>
              </w:rPr>
            </w:pPr>
            <w:r w:rsidRPr="00790A4A">
              <w:rPr>
                <w:rFonts w:eastAsia="Times New Roman" w:cs="Times New Roman"/>
                <w:color w:val="000000" w:themeColor="text1"/>
                <w:sz w:val="20"/>
                <w:szCs w:val="20"/>
              </w:rPr>
              <w:t xml:space="preserve">To </w:t>
            </w:r>
            <w:r w:rsidR="00E03CDB" w:rsidRPr="00790A4A">
              <w:rPr>
                <w:rFonts w:eastAsia="Times New Roman" w:cs="Times New Roman"/>
                <w:color w:val="000000" w:themeColor="text1"/>
                <w:sz w:val="20"/>
                <w:szCs w:val="20"/>
              </w:rPr>
              <w:t xml:space="preserve">examine </w:t>
            </w:r>
            <w:r w:rsidRPr="00790A4A">
              <w:rPr>
                <w:rFonts w:eastAsia="Times New Roman" w:cs="Times New Roman"/>
                <w:color w:val="000000" w:themeColor="text1"/>
                <w:sz w:val="20"/>
                <w:szCs w:val="20"/>
              </w:rPr>
              <w:t xml:space="preserve">knowledge management </w:t>
            </w:r>
            <w:r w:rsidR="00FC41EF" w:rsidRPr="00790A4A">
              <w:rPr>
                <w:rFonts w:eastAsia="Times New Roman" w:cs="Times New Roman"/>
                <w:color w:val="000000" w:themeColor="text1"/>
                <w:sz w:val="20"/>
                <w:szCs w:val="20"/>
              </w:rPr>
              <w:t xml:space="preserve">activities </w:t>
            </w:r>
            <w:r w:rsidRPr="00790A4A">
              <w:rPr>
                <w:rFonts w:eastAsia="Times New Roman" w:cs="Times New Roman"/>
                <w:color w:val="000000" w:themeColor="text1"/>
                <w:sz w:val="20"/>
                <w:szCs w:val="20"/>
              </w:rPr>
              <w:t xml:space="preserve">and associated </w:t>
            </w:r>
            <w:r w:rsidR="00FC41EF" w:rsidRPr="00790A4A">
              <w:rPr>
                <w:rFonts w:eastAsia="Times New Roman" w:cs="Times New Roman"/>
                <w:color w:val="000000" w:themeColor="text1"/>
                <w:sz w:val="20"/>
                <w:szCs w:val="20"/>
              </w:rPr>
              <w:t xml:space="preserve">barriers </w:t>
            </w:r>
            <w:r w:rsidRPr="00790A4A">
              <w:rPr>
                <w:rFonts w:eastAsia="Times New Roman" w:cs="Times New Roman"/>
                <w:color w:val="000000" w:themeColor="text1"/>
                <w:sz w:val="20"/>
                <w:szCs w:val="20"/>
              </w:rPr>
              <w:t xml:space="preserve">and </w:t>
            </w:r>
            <w:r w:rsidR="00FC41EF" w:rsidRPr="00790A4A">
              <w:rPr>
                <w:rFonts w:eastAsia="Times New Roman" w:cs="Times New Roman"/>
                <w:color w:val="000000" w:themeColor="text1"/>
                <w:sz w:val="20"/>
                <w:szCs w:val="20"/>
              </w:rPr>
              <w:t>challenges</w:t>
            </w:r>
            <w:r w:rsidRPr="00790A4A">
              <w:rPr>
                <w:rFonts w:eastAsia="Times New Roman" w:cs="Times New Roman"/>
                <w:color w:val="000000" w:themeColor="text1"/>
                <w:sz w:val="20"/>
                <w:szCs w:val="20"/>
              </w:rPr>
              <w:t>.</w:t>
            </w:r>
          </w:p>
        </w:tc>
        <w:tc>
          <w:tcPr>
            <w:tcW w:w="1418" w:type="dxa"/>
          </w:tcPr>
          <w:p w14:paraId="708D5DE8" w14:textId="77777777" w:rsidR="00141425" w:rsidRPr="00790A4A" w:rsidRDefault="00141425" w:rsidP="00141425">
            <w:pPr>
              <w:jc w:val="lowKashida"/>
              <w:rPr>
                <w:rFonts w:eastAsia="Times New Roman" w:cs="Times New Roman"/>
                <w:color w:val="000000" w:themeColor="text1"/>
                <w:sz w:val="20"/>
                <w:szCs w:val="20"/>
              </w:rPr>
            </w:pPr>
            <w:r w:rsidRPr="00790A4A">
              <w:rPr>
                <w:rFonts w:eastAsia="Times New Roman" w:cs="Times New Roman"/>
                <w:color w:val="000000" w:themeColor="text1"/>
                <w:sz w:val="20"/>
                <w:szCs w:val="20"/>
              </w:rPr>
              <w:t xml:space="preserve">Quantitative (semi-structured interviews) </w:t>
            </w:r>
          </w:p>
        </w:tc>
        <w:tc>
          <w:tcPr>
            <w:tcW w:w="2268" w:type="dxa"/>
          </w:tcPr>
          <w:p w14:paraId="7A588131" w14:textId="329B8A15" w:rsidR="00141425" w:rsidRPr="00790A4A" w:rsidRDefault="00D72610">
            <w:pPr>
              <w:jc w:val="lowKashida"/>
              <w:rPr>
                <w:rFonts w:eastAsia="Times New Roman" w:cs="Times New Roman"/>
                <w:color w:val="000000" w:themeColor="text1"/>
                <w:sz w:val="20"/>
                <w:szCs w:val="20"/>
              </w:rPr>
            </w:pPr>
            <w:r w:rsidRPr="00790A4A">
              <w:rPr>
                <w:rFonts w:eastAsia="Times New Roman" w:cs="Times New Roman"/>
                <w:color w:val="000000" w:themeColor="text1"/>
                <w:sz w:val="20"/>
                <w:szCs w:val="20"/>
              </w:rPr>
              <w:t>K</w:t>
            </w:r>
            <w:r w:rsidR="00141425" w:rsidRPr="00790A4A">
              <w:rPr>
                <w:rFonts w:eastAsia="Times New Roman" w:cs="Times New Roman"/>
                <w:color w:val="000000" w:themeColor="text1"/>
                <w:sz w:val="20"/>
                <w:szCs w:val="20"/>
              </w:rPr>
              <w:t>nowledge culture</w:t>
            </w:r>
            <w:r w:rsidRPr="00790A4A">
              <w:rPr>
                <w:rFonts w:eastAsia="Times New Roman" w:cs="Times New Roman"/>
                <w:color w:val="000000" w:themeColor="text1"/>
                <w:sz w:val="20"/>
                <w:szCs w:val="20"/>
              </w:rPr>
              <w:t>,</w:t>
            </w:r>
            <w:r w:rsidR="00141425" w:rsidRPr="00790A4A">
              <w:rPr>
                <w:rFonts w:eastAsia="Times New Roman" w:cs="Times New Roman"/>
                <w:color w:val="000000" w:themeColor="text1"/>
                <w:sz w:val="20"/>
                <w:szCs w:val="20"/>
              </w:rPr>
              <w:t xml:space="preserve"> organizational structure, leadership, </w:t>
            </w:r>
            <w:r w:rsidR="00FC41EF" w:rsidRPr="00790A4A">
              <w:rPr>
                <w:rFonts w:eastAsia="Times New Roman" w:cs="Times New Roman"/>
                <w:color w:val="000000" w:themeColor="text1"/>
                <w:sz w:val="20"/>
                <w:szCs w:val="20"/>
              </w:rPr>
              <w:t>trust and time</w:t>
            </w:r>
            <w:r w:rsidR="00141425" w:rsidRPr="00790A4A">
              <w:rPr>
                <w:rFonts w:eastAsia="Times New Roman" w:cs="Times New Roman"/>
                <w:color w:val="000000" w:themeColor="text1"/>
                <w:sz w:val="20"/>
                <w:szCs w:val="20"/>
              </w:rPr>
              <w:t xml:space="preserve"> allocation</w:t>
            </w:r>
            <w:r w:rsidR="00E03CDB" w:rsidRPr="00790A4A">
              <w:rPr>
                <w:rFonts w:eastAsia="Times New Roman" w:cs="Times New Roman"/>
                <w:color w:val="000000" w:themeColor="text1"/>
                <w:sz w:val="20"/>
                <w:szCs w:val="20"/>
              </w:rPr>
              <w:t xml:space="preserve"> are barriers to knowledge sharing</w:t>
            </w:r>
            <w:r w:rsidR="00FC41EF" w:rsidRPr="00790A4A">
              <w:rPr>
                <w:rFonts w:eastAsia="Times New Roman" w:cs="Times New Roman"/>
                <w:color w:val="000000" w:themeColor="text1"/>
                <w:sz w:val="20"/>
                <w:szCs w:val="20"/>
              </w:rPr>
              <w:t>.</w:t>
            </w:r>
            <w:r w:rsidR="00141425" w:rsidRPr="00790A4A">
              <w:rPr>
                <w:rFonts w:eastAsia="Times New Roman" w:cs="Times New Roman"/>
                <w:color w:val="000000" w:themeColor="text1"/>
                <w:sz w:val="20"/>
                <w:szCs w:val="20"/>
              </w:rPr>
              <w:t xml:space="preserve"> </w:t>
            </w:r>
          </w:p>
        </w:tc>
        <w:tc>
          <w:tcPr>
            <w:tcW w:w="965" w:type="dxa"/>
          </w:tcPr>
          <w:p w14:paraId="30613501"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UAE</w:t>
            </w:r>
          </w:p>
        </w:tc>
      </w:tr>
      <w:tr w:rsidR="00141425" w:rsidRPr="002A7627" w14:paraId="75DC7583" w14:textId="77777777" w:rsidTr="00440923">
        <w:trPr>
          <w:trHeight w:val="1225"/>
        </w:trPr>
        <w:tc>
          <w:tcPr>
            <w:tcW w:w="1418" w:type="dxa"/>
          </w:tcPr>
          <w:p w14:paraId="270AC788" w14:textId="15DCFEFE"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lastRenderedPageBreak/>
              <w:t xml:space="preserve">Haak-Saheem and Darwish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{"citationItems":[{"id":"ITEM-1","itemData":{"DOI":"10.1108/MD-08-2013-0427","ISSN":"0025-1747","abstract":"Purpose – The purpose of this paper is to empirically investigate the role of knowledge management (KM) in creating a culture of learning and creativity in a non-western context. It further seeks to stimulate broader empirical and theoretical discussions on this topic. Design/methodology/approach – As little is known about KM approaches in the regional context, the qualitative approach was chosen as an appropriate method of studying this phenomenon. The openness of the qualitative method enables data collection that is not constrained by predetermined categories of analysis, and thus allows for a level of depth and detail that quantitative methods cannot provide. The empirical investigation is based on semi-structured interviews and conducted in the KM department of Dubai Municipality. Findings – Results indicate that the impact of KM on organisational learning (OL) is below expectations. Written official statements or policies are not sufficient to enforce learning and creativity. Notably, institutional ...","author":[{"dropping-particle":"","family":"Haak-Saheem","given":"Washika","non-dropping-particle":"","parse-names":false,"suffix":""},{"dropping-particle":"","family":"Darwish","given":"Tamer K.","non-dropping-particle":"","parse-names":false,"suffix":""}],"container-title":"Management Decision","editor":[{"dropping-particle":"","family":"C. Ickis","given":"John","non-dropping-particle":"","parse-names":false,"suffix":""},{"dropping-particle":"","family":"G. Woodside","given":"Arch","non-dropping-particle":"","parse-names":false,"suffix":""},{"dropping-particle":"","family":"Ogliastri","given":"Enrique","non-dropping-particle":"","parse-names":false,"suffix":""}],"id":"ITEM-1","issue":"9","issued":{"date-parts":[["2014","10","14"]]},"page":"1611-1629","publisher":"Emerald Group Publishing Limited","title":"The role of knowledge management in creating a culture of learning","type":"article-journal","volume":"52"},"suppress-author":1,"uris":["http://www.mendeley.com/documents/?uuid=795567e2-65fc-347e-842c-6bcf54d6480d"]}],"mendeley":{"formattedCitation":"(2014)","plainTextFormattedCitation":"(2014)","previouslyFormattedCitation":"(2014)"},"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(2014)</w:t>
            </w:r>
            <w:r w:rsidRPr="002A7627">
              <w:rPr>
                <w:rFonts w:eastAsia="Times New Roman" w:cs="Times New Roman"/>
                <w:sz w:val="20"/>
                <w:szCs w:val="20"/>
              </w:rPr>
              <w:fldChar w:fldCharType="end"/>
            </w:r>
          </w:p>
        </w:tc>
        <w:tc>
          <w:tcPr>
            <w:tcW w:w="2126" w:type="dxa"/>
          </w:tcPr>
          <w:p w14:paraId="63957682" w14:textId="5A164BE6" w:rsidR="00141425" w:rsidRPr="002A7627" w:rsidRDefault="00141425" w:rsidP="00141425">
            <w:pPr>
              <w:jc w:val="lowKashida"/>
              <w:rPr>
                <w:rFonts w:eastAsia="Times New Roman" w:cs="Times New Roman"/>
                <w:sz w:val="20"/>
                <w:szCs w:val="20"/>
              </w:rPr>
            </w:pPr>
            <w:r w:rsidRPr="001D77B1">
              <w:rPr>
                <w:rFonts w:eastAsia="Times New Roman" w:cs="Times New Roman"/>
                <w:color w:val="000000" w:themeColor="text1"/>
                <w:sz w:val="20"/>
                <w:szCs w:val="20"/>
              </w:rPr>
              <w:t xml:space="preserve">To </w:t>
            </w:r>
            <w:r w:rsidR="00FC41EF" w:rsidRPr="001D77B1">
              <w:rPr>
                <w:rFonts w:eastAsia="Times New Roman" w:cs="Times New Roman"/>
                <w:color w:val="000000" w:themeColor="text1"/>
                <w:sz w:val="20"/>
                <w:szCs w:val="20"/>
              </w:rPr>
              <w:t xml:space="preserve">examine </w:t>
            </w:r>
            <w:r w:rsidRPr="001D77B1">
              <w:rPr>
                <w:rFonts w:eastAsia="Times New Roman" w:cs="Times New Roman"/>
                <w:color w:val="000000" w:themeColor="text1"/>
                <w:sz w:val="20"/>
                <w:szCs w:val="20"/>
              </w:rPr>
              <w:t xml:space="preserve">the role of knowledge management in </w:t>
            </w:r>
            <w:r w:rsidR="009037A2" w:rsidRPr="001D77B1">
              <w:rPr>
                <w:rFonts w:eastAsia="Times New Roman" w:cs="Times New Roman"/>
                <w:color w:val="000000" w:themeColor="text1"/>
                <w:sz w:val="20"/>
                <w:szCs w:val="20"/>
              </w:rPr>
              <w:t xml:space="preserve">promoting creativity and </w:t>
            </w:r>
            <w:r w:rsidR="00E03CDB" w:rsidRPr="001D77B1">
              <w:rPr>
                <w:rFonts w:eastAsia="Times New Roman" w:cs="Times New Roman"/>
                <w:color w:val="000000" w:themeColor="text1"/>
                <w:sz w:val="20"/>
                <w:szCs w:val="20"/>
              </w:rPr>
              <w:t>a learning culture</w:t>
            </w:r>
            <w:r w:rsidRPr="001D77B1">
              <w:rPr>
                <w:rFonts w:eastAsia="Times New Roman" w:cs="Times New Roman"/>
                <w:color w:val="000000" w:themeColor="text1"/>
                <w:sz w:val="20"/>
                <w:szCs w:val="20"/>
              </w:rPr>
              <w:t xml:space="preserve"> in a non-western </w:t>
            </w:r>
            <w:r w:rsidR="009037A2" w:rsidRPr="001D77B1">
              <w:rPr>
                <w:rFonts w:eastAsia="Times New Roman" w:cs="Times New Roman"/>
                <w:color w:val="000000" w:themeColor="text1"/>
                <w:sz w:val="20"/>
                <w:szCs w:val="20"/>
              </w:rPr>
              <w:t>setting.</w:t>
            </w:r>
          </w:p>
        </w:tc>
        <w:tc>
          <w:tcPr>
            <w:tcW w:w="1418" w:type="dxa"/>
          </w:tcPr>
          <w:p w14:paraId="77F04BB7"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Qualitative (semi-structured interview)</w:t>
            </w:r>
          </w:p>
        </w:tc>
        <w:tc>
          <w:tcPr>
            <w:tcW w:w="2268" w:type="dxa"/>
          </w:tcPr>
          <w:p w14:paraId="58959A4C" w14:textId="246AADFE" w:rsidR="00141425" w:rsidRPr="002A7627" w:rsidRDefault="00141425" w:rsidP="00141425">
            <w:pPr>
              <w:jc w:val="lowKashida"/>
              <w:rPr>
                <w:rFonts w:eastAsia="Times New Roman" w:cs="Times New Roman"/>
                <w:sz w:val="20"/>
                <w:szCs w:val="20"/>
              </w:rPr>
            </w:pPr>
            <w:r w:rsidRPr="001D77B1">
              <w:rPr>
                <w:rFonts w:eastAsia="Times New Roman" w:cs="Times New Roman"/>
                <w:color w:val="000000" w:themeColor="text1"/>
                <w:sz w:val="20"/>
                <w:szCs w:val="20"/>
              </w:rPr>
              <w:t xml:space="preserve">The </w:t>
            </w:r>
            <w:r w:rsidR="00E03CDB" w:rsidRPr="001D77B1">
              <w:rPr>
                <w:rFonts w:eastAsia="Times New Roman" w:cs="Times New Roman"/>
                <w:color w:val="000000" w:themeColor="text1"/>
                <w:sz w:val="20"/>
                <w:szCs w:val="20"/>
              </w:rPr>
              <w:t xml:space="preserve">effect </w:t>
            </w:r>
            <w:r w:rsidRPr="001D77B1">
              <w:rPr>
                <w:rFonts w:eastAsia="Times New Roman" w:cs="Times New Roman"/>
                <w:color w:val="000000" w:themeColor="text1"/>
                <w:sz w:val="20"/>
                <w:szCs w:val="20"/>
              </w:rPr>
              <w:t xml:space="preserve">of knowledge management on organizational </w:t>
            </w:r>
            <w:r w:rsidRPr="002A7627">
              <w:rPr>
                <w:rFonts w:eastAsia="Times New Roman" w:cs="Times New Roman"/>
                <w:sz w:val="20"/>
                <w:szCs w:val="20"/>
              </w:rPr>
              <w:t xml:space="preserve">learning was below expectations. </w:t>
            </w:r>
          </w:p>
        </w:tc>
        <w:tc>
          <w:tcPr>
            <w:tcW w:w="965" w:type="dxa"/>
          </w:tcPr>
          <w:p w14:paraId="7E4D4852"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UAE</w:t>
            </w:r>
          </w:p>
        </w:tc>
      </w:tr>
      <w:tr w:rsidR="00141425" w:rsidRPr="002A7627" w14:paraId="1C2B2E7E" w14:textId="77777777" w:rsidTr="00440923">
        <w:trPr>
          <w:trHeight w:val="1143"/>
        </w:trPr>
        <w:tc>
          <w:tcPr>
            <w:tcW w:w="1418" w:type="dxa"/>
          </w:tcPr>
          <w:p w14:paraId="25950905" w14:textId="5A2F0DA5" w:rsidR="00141425" w:rsidRPr="002A7627" w:rsidRDefault="00141425" w:rsidP="00141425">
            <w:pPr>
              <w:jc w:val="lowKashida"/>
              <w:rPr>
                <w:rFonts w:eastAsia="Times New Roman" w:cs="Times New Roman"/>
                <w:sz w:val="20"/>
                <w:szCs w:val="20"/>
              </w:rPr>
            </w:pPr>
            <w:r w:rsidRPr="002A7627">
              <w:rPr>
                <w:rFonts w:eastAsia="Times New Roman" w:cs="Times New Roman"/>
                <w:noProof/>
                <w:sz w:val="20"/>
                <w:szCs w:val="20"/>
              </w:rPr>
              <w:t xml:space="preserve">Tzortzaki and Mihiotis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{"citationItems":[{"id":"ITEM-1","itemData":{"DOI":"10.1002/kpm.1429","ISSN":"10924604","author":[{"dropping-particle":"","family":"Tzortzaki","given":"Alexia Mary","non-dropping-particle":"","parse-names":false,"suffix":""},{"dropping-particle":"","family":"Mihiotis","given":"Athanassios","non-dropping-particle":"","parse-names":false,"suffix":""}],"container-title":"Knowledge and Process Management","id":"ITEM-1","issue":"1","issued":{"date-parts":[["2014","1","1"]]},"page":"29-41","publisher":"John Wiley &amp; Sons, Ltd","title":"review of knowledge management theory and future directions","type":"article-journal","volume":"21"},"suppress-author":1,"uris":["http://www.mendeley.com/documents/?uuid=e14545c9-d504-3b99-8171-efc6297248ab"]}],"mendeley":{"formattedCitation":"(2014)","plainTextFormattedCitation":"(2014)","previouslyFormattedCitation":"(2014)"},"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(2014)</w:t>
            </w:r>
            <w:r w:rsidRPr="002A7627">
              <w:rPr>
                <w:rFonts w:eastAsia="Times New Roman" w:cs="Times New Roman"/>
                <w:sz w:val="20"/>
                <w:szCs w:val="20"/>
              </w:rPr>
              <w:fldChar w:fldCharType="end"/>
            </w:r>
          </w:p>
        </w:tc>
        <w:tc>
          <w:tcPr>
            <w:tcW w:w="2126" w:type="dxa"/>
          </w:tcPr>
          <w:p w14:paraId="6187C3FB" w14:textId="127EFE0A"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To carry out an in-depth review of key theories and concepts in knowledge management and the future </w:t>
            </w:r>
            <w:r w:rsidR="007A512C">
              <w:rPr>
                <w:rFonts w:eastAsia="Times New Roman" w:cs="Times New Roman"/>
                <w:sz w:val="20"/>
                <w:szCs w:val="20"/>
              </w:rPr>
              <w:t>plans</w:t>
            </w:r>
            <w:r w:rsidR="007A512C" w:rsidRPr="002A7627">
              <w:rPr>
                <w:rFonts w:eastAsia="Times New Roman" w:cs="Times New Roman"/>
                <w:sz w:val="20"/>
                <w:szCs w:val="20"/>
              </w:rPr>
              <w:t xml:space="preserve"> </w:t>
            </w:r>
            <w:r w:rsidRPr="002A7627">
              <w:rPr>
                <w:rFonts w:eastAsia="Times New Roman" w:cs="Times New Roman"/>
                <w:sz w:val="20"/>
                <w:szCs w:val="20"/>
              </w:rPr>
              <w:t xml:space="preserve">of organizations. </w:t>
            </w:r>
          </w:p>
        </w:tc>
        <w:tc>
          <w:tcPr>
            <w:tcW w:w="1418" w:type="dxa"/>
          </w:tcPr>
          <w:p w14:paraId="307652BF"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Review of multiple studies and concepts</w:t>
            </w:r>
          </w:p>
        </w:tc>
        <w:tc>
          <w:tcPr>
            <w:tcW w:w="2268" w:type="dxa"/>
          </w:tcPr>
          <w:p w14:paraId="465125B4" w14:textId="6DD835F2" w:rsidR="00141425" w:rsidRPr="002A7627" w:rsidRDefault="00141425">
            <w:pPr>
              <w:jc w:val="lowKashida"/>
              <w:rPr>
                <w:rFonts w:eastAsia="Times New Roman" w:cs="Times New Roman"/>
                <w:sz w:val="20"/>
                <w:szCs w:val="20"/>
              </w:rPr>
            </w:pPr>
            <w:r w:rsidRPr="002A7627">
              <w:rPr>
                <w:rFonts w:eastAsia="Times New Roman" w:cs="Times New Roman"/>
                <w:sz w:val="20"/>
                <w:szCs w:val="20"/>
              </w:rPr>
              <w:t xml:space="preserve">Knowledge management is </w:t>
            </w:r>
            <w:r w:rsidRPr="001D77B1">
              <w:rPr>
                <w:rFonts w:eastAsia="Times New Roman" w:cs="Times New Roman"/>
                <w:color w:val="000000" w:themeColor="text1"/>
                <w:sz w:val="20"/>
                <w:szCs w:val="20"/>
              </w:rPr>
              <w:t xml:space="preserve">essential for organizations to </w:t>
            </w:r>
            <w:r w:rsidR="00E03CDB" w:rsidRPr="001D77B1">
              <w:rPr>
                <w:rFonts w:eastAsia="Times New Roman" w:cs="Times New Roman"/>
                <w:color w:val="000000" w:themeColor="text1"/>
                <w:sz w:val="20"/>
                <w:szCs w:val="20"/>
              </w:rPr>
              <w:t xml:space="preserve">sustain </w:t>
            </w:r>
            <w:r w:rsidR="00D72610" w:rsidRPr="001D77B1">
              <w:rPr>
                <w:rFonts w:eastAsia="Times New Roman" w:cs="Times New Roman"/>
                <w:color w:val="000000" w:themeColor="text1"/>
                <w:sz w:val="20"/>
                <w:szCs w:val="20"/>
              </w:rPr>
              <w:t xml:space="preserve">their </w:t>
            </w:r>
            <w:r w:rsidRPr="001D77B1">
              <w:rPr>
                <w:rFonts w:eastAsia="Times New Roman" w:cs="Times New Roman"/>
                <w:color w:val="000000" w:themeColor="text1"/>
                <w:sz w:val="20"/>
                <w:szCs w:val="20"/>
              </w:rPr>
              <w:t>competitive</w:t>
            </w:r>
            <w:r w:rsidR="00E03CDB" w:rsidRPr="001D77B1">
              <w:rPr>
                <w:rFonts w:eastAsia="Times New Roman" w:cs="Times New Roman"/>
                <w:color w:val="000000" w:themeColor="text1"/>
                <w:sz w:val="20"/>
                <w:szCs w:val="20"/>
              </w:rPr>
              <w:t>ness</w:t>
            </w:r>
            <w:r w:rsidRPr="001D77B1">
              <w:rPr>
                <w:rFonts w:eastAsia="Times New Roman" w:cs="Times New Roman"/>
                <w:color w:val="000000" w:themeColor="text1"/>
                <w:sz w:val="20"/>
                <w:szCs w:val="20"/>
              </w:rPr>
              <w:t xml:space="preserve"> </w:t>
            </w:r>
            <w:r w:rsidRPr="002A7627">
              <w:rPr>
                <w:rFonts w:eastAsia="Times New Roman" w:cs="Times New Roman"/>
                <w:sz w:val="20"/>
                <w:szCs w:val="20"/>
              </w:rPr>
              <w:t>in the contemporary business environment</w:t>
            </w:r>
          </w:p>
        </w:tc>
        <w:tc>
          <w:tcPr>
            <w:tcW w:w="965" w:type="dxa"/>
          </w:tcPr>
          <w:p w14:paraId="32204CB3"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NA</w:t>
            </w:r>
          </w:p>
        </w:tc>
      </w:tr>
      <w:tr w:rsidR="00141425" w:rsidRPr="002A7627" w14:paraId="1E0F4F8F" w14:textId="77777777" w:rsidTr="00440923">
        <w:trPr>
          <w:trHeight w:val="1681"/>
        </w:trPr>
        <w:tc>
          <w:tcPr>
            <w:tcW w:w="1418" w:type="dxa"/>
          </w:tcPr>
          <w:p w14:paraId="3FA36BD8" w14:textId="1A9A8186"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Todorović, Petrović, Mihić, Obradović, and Bushuyev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{"citationItems":[{"id":"ITEM-1","itemData":{"DOI":"10.1016/j.ijproman.2014.10.009","ISSN":"02637863","author":[{"dropping-particle":"","family":"Todorović","given":"Marija Lj.","non-dropping-particle":"","parse-names":false,"suffix":""},{"dropping-particle":"","family":"Petrović","given":"Dejan Č.","non-dropping-particle":"","parse-names":false,"suffix":""},{"dropping-particle":"","family":"Mihić","given":"Marko M.","non-dropping-particle":"","parse-names":false,"suffix":""},{"dropping-particle":"","family":"Obradović","given":"Vladimir Lj.","non-dropping-particle":"","parse-names":false,"suffix":""},{"dropping-particle":"","family":"Bushuyev","given":"Sergey D.","non-dropping-particle":"","parse-names":false,"suffix":""}],"container-title":"International Journal of Project Management","id":"ITEM-1","issue":"4","issued":{"date-parts":[["2015","5"]]},"page":"772-783","title":"Project success analysis framework: A knowledge-based approach in project management","type":"article-journal","volume":"33"},"suppress-author":1,"uris":["http://www.mendeley.com/documents/?uuid=7897ef5a-3e41-30a0-9bfd-0a807c1479a9"]}],"mendeley":{"formattedCitation":"(2015)","plainTextFormattedCitation":"(2015)","previouslyFormattedCitation":"(2015)"},"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(2015)</w:t>
            </w:r>
            <w:r w:rsidRPr="002A7627">
              <w:rPr>
                <w:rFonts w:eastAsia="Times New Roman" w:cs="Times New Roman"/>
                <w:sz w:val="20"/>
                <w:szCs w:val="20"/>
              </w:rPr>
              <w:fldChar w:fldCharType="end"/>
            </w:r>
            <w:r w:rsidRPr="002A7627">
              <w:rPr>
                <w:rFonts w:eastAsia="Times New Roman" w:cs="Times New Roman"/>
                <w:sz w:val="20"/>
                <w:szCs w:val="20"/>
              </w:rPr>
              <w:t xml:space="preserve"> </w:t>
            </w:r>
          </w:p>
        </w:tc>
        <w:tc>
          <w:tcPr>
            <w:tcW w:w="2126" w:type="dxa"/>
          </w:tcPr>
          <w:p w14:paraId="7B6D0FA9" w14:textId="73104C63"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To </w:t>
            </w:r>
            <w:r w:rsidR="009037A2">
              <w:rPr>
                <w:rFonts w:eastAsia="Times New Roman" w:cs="Times New Roman"/>
                <w:sz w:val="20"/>
                <w:szCs w:val="20"/>
              </w:rPr>
              <w:t>examine</w:t>
            </w:r>
            <w:r w:rsidR="009037A2" w:rsidRPr="002A7627">
              <w:rPr>
                <w:rFonts w:eastAsia="Times New Roman" w:cs="Times New Roman"/>
                <w:sz w:val="20"/>
                <w:szCs w:val="20"/>
              </w:rPr>
              <w:t xml:space="preserve"> </w:t>
            </w:r>
            <w:r w:rsidRPr="002A7627">
              <w:rPr>
                <w:rFonts w:eastAsia="Times New Roman" w:cs="Times New Roman"/>
                <w:sz w:val="20"/>
                <w:szCs w:val="20"/>
              </w:rPr>
              <w:t>the disconnect between failed projects and knowledge management</w:t>
            </w:r>
          </w:p>
        </w:tc>
        <w:tc>
          <w:tcPr>
            <w:tcW w:w="1418" w:type="dxa"/>
          </w:tcPr>
          <w:p w14:paraId="21FED091" w14:textId="1DFF10C3"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Quantitative (questionnaire</w:t>
            </w:r>
            <w:r w:rsidR="00AF41A6">
              <w:rPr>
                <w:rFonts w:eastAsia="Times New Roman" w:cs="Times New Roman"/>
                <w:sz w:val="20"/>
                <w:szCs w:val="20"/>
              </w:rPr>
              <w:t>survey</w:t>
            </w:r>
            <w:r w:rsidRPr="002A7627">
              <w:rPr>
                <w:rFonts w:eastAsia="Times New Roman" w:cs="Times New Roman"/>
                <w:sz w:val="20"/>
                <w:szCs w:val="20"/>
              </w:rPr>
              <w:t xml:space="preserve">) </w:t>
            </w:r>
          </w:p>
        </w:tc>
        <w:tc>
          <w:tcPr>
            <w:tcW w:w="2268" w:type="dxa"/>
          </w:tcPr>
          <w:p w14:paraId="4793FC0E" w14:textId="5D49872E"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Key metrics and performance indicators have a positive impact on knowledge acquisition, integration, and sharing in projects. </w:t>
            </w:r>
          </w:p>
        </w:tc>
        <w:tc>
          <w:tcPr>
            <w:tcW w:w="965" w:type="dxa"/>
          </w:tcPr>
          <w:p w14:paraId="13397377"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Serbia</w:t>
            </w:r>
          </w:p>
        </w:tc>
      </w:tr>
      <w:tr w:rsidR="00141425" w:rsidRPr="002A7627" w14:paraId="3AF4609D" w14:textId="77777777" w:rsidTr="00440923">
        <w:trPr>
          <w:trHeight w:val="922"/>
        </w:trPr>
        <w:tc>
          <w:tcPr>
            <w:tcW w:w="1418" w:type="dxa"/>
          </w:tcPr>
          <w:p w14:paraId="4C6BE4AF"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Yahyapour et al.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{"citationItems":[{"id":"ITEM-1","itemData":{"DOI":"10.1108/JKM-05-2015-0166","ISBN":"1220140538","ISSN":"1367-3270","abstract":"Purpose – The paper aims to foster a better understanding of knowledge management (KM) benefits by integrating the qualitative findings of prior research under a multilayer conceptual framework. Design/methodology/approach – A meta-synthesis approach was conducted by adopting “Noblit and Hare’s” seven-step method. Findings – A breakdown structure for KM benefits which encompasses 3 “macro benefits” at Level 1, 7 “benefits” at Level 2 and 44 “micro benefits” at Level 3. Research limitations/implications – The main limitation is that this research does not provide criteria and measures to assess the benefits of KM. Practical implications – Organizations which intend to invest in KM can obtain a better insight about outcomes and benefits of implementingKMinitiatives. This study will provide those organizations which have already invested in KM with some ideas to evaluate their KM efforts qualitatively. Originality/value – Based on available data, this study is the first of its kind that has identified the benefits ofKMin three layers. Also, the number ofKMbenefits identified in this study is greater than that of any previous research.","author":[{"dropping-particle":"","family":"Yahyapour","given":"Shiva","non-dropping-particle":"","parse-names":false,"suffix":""},{"dropping-particle":"","family":"Shamizanjani","given":"Mehdi","non-dropping-particle":"","parse-names":false,"suffix":""},{"dropping-particle":"","family":"Mosakhani","given":"Mohammad","non-dropping-particle":"","parse-names":false,"suffix":""}],"container-title":"Journal of Knowledge Management","id":"ITEM-1","issue":"6","issued":{"date-parts":[["2015","10","12"]]},"page":"1295-1309","title":"A conceptual breakdown structure for knowledge management benefits using meta-synthesis method","type":"article-journal","volume":"19"},"suppress-author":1,"uris":["http://www.mendeley.com/documents/?uuid=534d5029-a59c-4eb7-b595-6e3265aca0b8"]}],"mendeley":{"formattedCitation":"(2015)","plainTextFormattedCitation":"(2015)","previouslyFormattedCitation":"(2015)"},"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(2015)</w:t>
            </w:r>
            <w:r w:rsidRPr="002A7627">
              <w:rPr>
                <w:rFonts w:eastAsia="Times New Roman" w:cs="Times New Roman"/>
                <w:sz w:val="20"/>
                <w:szCs w:val="20"/>
              </w:rPr>
              <w:fldChar w:fldCharType="end"/>
            </w:r>
            <w:r w:rsidRPr="002A7627">
              <w:rPr>
                <w:rFonts w:eastAsia="Times New Roman" w:cs="Times New Roman"/>
                <w:sz w:val="20"/>
                <w:szCs w:val="20"/>
              </w:rPr>
              <w:t xml:space="preserve"> </w:t>
            </w:r>
          </w:p>
        </w:tc>
        <w:tc>
          <w:tcPr>
            <w:tcW w:w="2126" w:type="dxa"/>
          </w:tcPr>
          <w:p w14:paraId="6230EF34"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To investigate knowledge management benefits across three levels: macro, standard and micro</w:t>
            </w:r>
          </w:p>
        </w:tc>
        <w:tc>
          <w:tcPr>
            <w:tcW w:w="1418" w:type="dxa"/>
          </w:tcPr>
          <w:p w14:paraId="0A5591BC" w14:textId="68D3E845"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Qualitative (a meta-synthesis approach, with a seven-step method)</w:t>
            </w:r>
          </w:p>
        </w:tc>
        <w:tc>
          <w:tcPr>
            <w:tcW w:w="2268" w:type="dxa"/>
          </w:tcPr>
          <w:p w14:paraId="0FC485BC"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 Three “macro benefits” at Level 1, seven “benefits” at Level 2 and 44 “micro benefits” at Level 3</w:t>
            </w:r>
          </w:p>
        </w:tc>
        <w:tc>
          <w:tcPr>
            <w:tcW w:w="965" w:type="dxa"/>
          </w:tcPr>
          <w:p w14:paraId="014B25C3"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Iran</w:t>
            </w:r>
          </w:p>
        </w:tc>
      </w:tr>
      <w:tr w:rsidR="00141425" w:rsidRPr="002A7627" w14:paraId="6617895A" w14:textId="77777777" w:rsidTr="00440923">
        <w:trPr>
          <w:trHeight w:val="922"/>
        </w:trPr>
        <w:tc>
          <w:tcPr>
            <w:tcW w:w="1418" w:type="dxa"/>
          </w:tcPr>
          <w:p w14:paraId="4C2B3868" w14:textId="4B8376F0"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Hussain, Ajmal, Khan, and Saber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{"citationItems":[{"id":"ITEM-1","itemData":{"DOI":"10.1108/JMTM-03-2014-0020","ISBN":"0960452111115","ISSN":"1741-038X","abstract":" Purpose – The purpose of this paper is to identify attributes of knowledge management (KM) for large and small manufacturing companies in United Arab Emirates (UAE) and to propose a process to evaluate the competitive priorities of these companies. Design/methodology/approach – This research is designed by composing multi criteria decision making of KM attributes in order to identify competitive priorities of large and small manufacturing companies to achieve better customer focus. To deal with this complexity of multi criteria decision-making process, Analytical Hierarchical Process (AHP) method has been used in this research. Findings – Results show that large manufacturing companies are putting more emphasis on “Know-Why” knowledge attribute in all four competitive priorities for achieving customer focus. While, small size manufacturing companies put higher weight on “Know-What” knowledge attribute by focussing on two competitive priorities (flexibility and quality). Research limitations/implications – Results are derived from a limited number of empirical data only in one country, therefore these cannot be generalized. Future research with larger samples of small and large manufacturing firms from other countries is needed. Practical implications – To be competitive, manufacturing companies must reshuffle their production strategies to allow them to play a role in global knowledge-intensive market. Therefore, they must incorporate knowledge attributes as a way to achieve higher levels of performance. Originality/value – This study is among the first and most exhaustive ones carried out in the small and large size firms operating in the manufacturing sector of UAE. It provides a systematic approach to identify the operational competencies and knowledge attributes being followed by large and small manufacturing companies. ","author":[{"dropping-particle":"","family":"Hussain","given":"Matloub","non-dropping-particle":"","parse-names":false,"suffix":""},{"dropping-particle":"","family":"Ajmal","given":"Mian M","non-dropping-particle":"","parse-names":false,"suffix":""},{"dropping-particle":"","family":"Khan","given":"Mehmood","non-dropping-particle":"","parse-names":false,"suffix":""},{"dropping-particle":"","family":"Saber","given":"Hussein","non-dropping-particle":"","parse-names":false,"suffix":""}],"container-title":"Journal of Manufacturing Technology Management","id":"ITEM-1","issue":"6","issued":{"date-parts":[["2015"]]},"page":"791-806","title":"Competitive priorities and knowledge management: An empirical investigation of manufacturing companies in UAE","type":"article-journal","volume":"26"},"suppress-author":1,"uris":["http://www.mendeley.com/documents/?uuid=a927e9e5-8952-4282-99f7-e40c4a65e099"]}],"mendeley":{"formattedCitation":"(2015)","plainTextFormattedCitation":"(2015)","previouslyFormattedCitation":"(2015)"},"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(2015)</w:t>
            </w:r>
            <w:r w:rsidRPr="002A7627">
              <w:rPr>
                <w:rFonts w:eastAsia="Times New Roman" w:cs="Times New Roman"/>
                <w:sz w:val="20"/>
                <w:szCs w:val="20"/>
              </w:rPr>
              <w:fldChar w:fldCharType="end"/>
            </w:r>
          </w:p>
        </w:tc>
        <w:tc>
          <w:tcPr>
            <w:tcW w:w="2126" w:type="dxa"/>
          </w:tcPr>
          <w:p w14:paraId="311FDD20"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To identify attributes of knowledge management for large and small manufacturing companies and propose a process to evaluate manufacturing capabilities</w:t>
            </w:r>
          </w:p>
        </w:tc>
        <w:tc>
          <w:tcPr>
            <w:tcW w:w="1418" w:type="dxa"/>
          </w:tcPr>
          <w:p w14:paraId="2E72EB52"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Quantitative </w:t>
            </w:r>
          </w:p>
          <w:p w14:paraId="09BA6256"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(AHP)</w:t>
            </w:r>
          </w:p>
        </w:tc>
        <w:tc>
          <w:tcPr>
            <w:tcW w:w="2268" w:type="dxa"/>
          </w:tcPr>
          <w:p w14:paraId="4E5B43E6" w14:textId="3467A7DB" w:rsidR="00141425" w:rsidRPr="002A7627" w:rsidRDefault="00141425">
            <w:pPr>
              <w:jc w:val="lowKashida"/>
              <w:rPr>
                <w:rFonts w:eastAsia="Times New Roman" w:cs="Times New Roman"/>
                <w:sz w:val="20"/>
                <w:szCs w:val="20"/>
              </w:rPr>
            </w:pPr>
            <w:r w:rsidRPr="002A7627">
              <w:rPr>
                <w:rFonts w:eastAsia="Times New Roman" w:cs="Times New Roman"/>
                <w:sz w:val="20"/>
                <w:szCs w:val="20"/>
              </w:rPr>
              <w:t xml:space="preserve">“Know why” practices by large manufacturing companies </w:t>
            </w:r>
            <w:r w:rsidR="00D72610">
              <w:rPr>
                <w:rFonts w:eastAsia="Times New Roman" w:cs="Times New Roman"/>
                <w:sz w:val="20"/>
                <w:szCs w:val="20"/>
              </w:rPr>
              <w:t xml:space="preserve">were </w:t>
            </w:r>
            <w:r w:rsidRPr="002A7627">
              <w:rPr>
                <w:rFonts w:eastAsia="Times New Roman" w:cs="Times New Roman"/>
                <w:sz w:val="20"/>
                <w:szCs w:val="20"/>
              </w:rPr>
              <w:t>essential to achieve customer focus. Small manufacturing companies practice</w:t>
            </w:r>
            <w:r w:rsidR="00D72610">
              <w:rPr>
                <w:rFonts w:eastAsia="Times New Roman" w:cs="Times New Roman"/>
                <w:sz w:val="20"/>
                <w:szCs w:val="20"/>
              </w:rPr>
              <w:t>d</w:t>
            </w:r>
            <w:r w:rsidRPr="002A7627">
              <w:rPr>
                <w:rFonts w:eastAsia="Times New Roman" w:cs="Times New Roman"/>
                <w:sz w:val="20"/>
                <w:szCs w:val="20"/>
              </w:rPr>
              <w:t xml:space="preserve"> “</w:t>
            </w:r>
            <w:r w:rsidR="00D72610">
              <w:rPr>
                <w:rFonts w:eastAsia="Times New Roman" w:cs="Times New Roman"/>
                <w:sz w:val="20"/>
                <w:szCs w:val="20"/>
              </w:rPr>
              <w:t>k</w:t>
            </w:r>
            <w:r w:rsidRPr="002A7627">
              <w:rPr>
                <w:rFonts w:eastAsia="Times New Roman" w:cs="Times New Roman"/>
                <w:sz w:val="20"/>
                <w:szCs w:val="20"/>
              </w:rPr>
              <w:t>now-what” and focused on flexibility and quality</w:t>
            </w:r>
          </w:p>
        </w:tc>
        <w:tc>
          <w:tcPr>
            <w:tcW w:w="965" w:type="dxa"/>
          </w:tcPr>
          <w:p w14:paraId="1E48B369"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UAE</w:t>
            </w:r>
          </w:p>
        </w:tc>
      </w:tr>
      <w:tr w:rsidR="00141425" w:rsidRPr="002A7627" w14:paraId="3B5D7463" w14:textId="77777777" w:rsidTr="00440923">
        <w:trPr>
          <w:trHeight w:val="661"/>
        </w:trPr>
        <w:tc>
          <w:tcPr>
            <w:tcW w:w="1418" w:type="dxa"/>
          </w:tcPr>
          <w:p w14:paraId="2FFD231A"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Nowacki and Bachnik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{"citationItems":[{"id":"ITEM-1","itemData":{"DOI":"10.1016/J.JBUSRES.2015.10.020","ISSN":"0148-2963","abstract":"The research aims at studying the scope of innovative knowledge management. It uses the concept of eight processes of knowledge management and identifies three broad categories of knowledge management innovations in an organizational context. It tries to verify outcomes of these innovative efforts. The research considers four aspects of organizational effectiveness: enterprise competitiveness, revenues, buyers' satisfaction, and business partners' satisfaction. The analysis covers small, medium, and large companies in Poland. The main conclusion is that studied enterprises are little innovative in the area of knowledge management.","author":[{"dropping-particle":"","family":"Nowacki","given":"Robert","non-dropping-particle":"","parse-names":false,"suffix":""},{"dropping-particle":"","family":"Bachnik","given":"Katarzyna","non-dropping-particle":"","parse-names":false,"suffix":""}],"container-title":"Journal of Business Research","id":"ITEM-1","issue":"5","issued":{"date-parts":[["2016","5","1"]]},"page":"1577-1581","publisher":"Elsevier","title":"Innovations within knowledge management","type":"article-journal","volume":"69"},"suppress-author":1,"uris":["http://www.mendeley.com/documents/?uuid=a08a8dc9-0ebe-39c4-a7e7-f3ee6d2ecf5e"]}],"mendeley":{"formattedCitation":"(2016)","plainTextFormattedCitation":"(2016)","previouslyFormattedCitation":"(2016)"},"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(2016)</w:t>
            </w:r>
            <w:r w:rsidRPr="002A7627">
              <w:rPr>
                <w:rFonts w:eastAsia="Times New Roman" w:cs="Times New Roman"/>
                <w:sz w:val="20"/>
                <w:szCs w:val="20"/>
              </w:rPr>
              <w:fldChar w:fldCharType="end"/>
            </w:r>
            <w:r w:rsidRPr="002A7627">
              <w:rPr>
                <w:rFonts w:eastAsia="Times New Roman" w:cs="Times New Roman"/>
                <w:sz w:val="20"/>
                <w:szCs w:val="20"/>
              </w:rPr>
              <w:t xml:space="preserve"> </w:t>
            </w:r>
          </w:p>
        </w:tc>
        <w:tc>
          <w:tcPr>
            <w:tcW w:w="2126" w:type="dxa"/>
          </w:tcPr>
          <w:p w14:paraId="1D387B62" w14:textId="230FB5AB"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To </w:t>
            </w:r>
            <w:r w:rsidR="00E03CDB" w:rsidRPr="001D77B1">
              <w:rPr>
                <w:rFonts w:eastAsia="Times New Roman" w:cs="Times New Roman"/>
                <w:color w:val="000000" w:themeColor="text1"/>
                <w:sz w:val="20"/>
                <w:szCs w:val="20"/>
              </w:rPr>
              <w:t xml:space="preserve">examine </w:t>
            </w:r>
            <w:r w:rsidRPr="001D77B1">
              <w:rPr>
                <w:rFonts w:eastAsia="Times New Roman" w:cs="Times New Roman"/>
                <w:color w:val="000000" w:themeColor="text1"/>
                <w:sz w:val="20"/>
                <w:szCs w:val="20"/>
              </w:rPr>
              <w:t>the spectrum of innovative knowledge management</w:t>
            </w:r>
          </w:p>
        </w:tc>
        <w:tc>
          <w:tcPr>
            <w:tcW w:w="1418" w:type="dxa"/>
          </w:tcPr>
          <w:p w14:paraId="1AE21766"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Qualitative (one-to-one interview)</w:t>
            </w:r>
          </w:p>
        </w:tc>
        <w:tc>
          <w:tcPr>
            <w:tcW w:w="2268" w:type="dxa"/>
          </w:tcPr>
          <w:p w14:paraId="6EA871C1"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Innovation for knowledge management was not satisfactory </w:t>
            </w:r>
          </w:p>
        </w:tc>
        <w:tc>
          <w:tcPr>
            <w:tcW w:w="965" w:type="dxa"/>
          </w:tcPr>
          <w:p w14:paraId="4F20E0D0"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Poland</w:t>
            </w:r>
          </w:p>
        </w:tc>
      </w:tr>
      <w:tr w:rsidR="00141425" w:rsidRPr="002A7627" w14:paraId="45119E11" w14:textId="77777777" w:rsidTr="00440923">
        <w:trPr>
          <w:trHeight w:val="922"/>
        </w:trPr>
        <w:tc>
          <w:tcPr>
            <w:tcW w:w="1418" w:type="dxa"/>
          </w:tcPr>
          <w:p w14:paraId="0B46D83A" w14:textId="6110DC15"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lastRenderedPageBreak/>
              <w:t xml:space="preserve">Muthuveloo et al.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{"citationItems":[{"id":"ITEM-1","itemData":{"DOI":"10.1016/J.APMRV.2017.07.010","ISSN":"1029-3132","abstract":"This research paper intends to explore and determine if organizations have strategies for tacit knowledge management which is expected to influence their organizational performance both tangibly and intangibly. The tacit knowledge management is derived from the fundamental knowledge creation dimensions namely socialization, externalization, combination and internalization (SECI model). A quantitative empirical research via survey questionnaires was conducted to fulfil the purpose of this research. The feedback from the respondents were statistically analyzed for demographic profile of respondents, goodness of data measured, reliability of the instrument used and hypotheses testing in determining the correlation between organizational performance and tacit knowledge. The outcome of the statistical analysis showed that tacit knowledge management has significant influence on organizational performance. However, among the four dimensions namely socialization, internalization, externalization and combination, only socialization and internalization contribute towards the significant influences of tacit knowledge management on organization performance. This research findings confirm the importance of knowledge creation and management, especially those of tacit knowledge, to both academics and practitioners. This is particularly important for those from top management of any organization, who are seeking to prosper and enhance their organizational performance for a better business function operations and return on investment.","author":[{"dropping-particle":"","family":"Muthuveloo","given":"Rajendran","non-dropping-particle":"","parse-names":false,"suffix":""},{"dropping-particle":"","family":"Shanmugam","given":"Narendran","non-dropping-particle":"","parse-names":false,"suffix":""},{"dropping-particle":"","family":"Teoh","given":"Ai Ping","non-dropping-particle":"","parse-names":false,"suffix":""}],"container-title":"Asia Pacific Management Review","id":"ITEM-1","issue":"4","issued":{"date-parts":[["2017","12","1"]]},"page":"192-201","publisher":"Elsevier","title":"The impact of tacit knowledge management on organizational performance: Evidence from Malaysia","type":"article-journal","volume":"22"},"uris":["http://www.mendeley.com/documents/?uuid=ec46e89d-7112-3aa3-941b-b3f91a3da0f8"]}],"mendeley":{"formattedCitation":"(Muthuveloo et al., 2017)","manualFormatting":"(2017)","plainTextFormattedCitation":"(Muthuveloo et al., 2017)","previouslyFormattedCitation":"(Muthuveloo et al., 2017)"},"properties":{"noteIndex":0},"schema":"https://github.com/citation-style-language/schema/raw/master/csl-citation.json"}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(2017)</w:t>
            </w:r>
            <w:r w:rsidRPr="002A7627">
              <w:rPr>
                <w:rFonts w:eastAsia="Times New Roman" w:cs="Times New Roman"/>
                <w:sz w:val="20"/>
                <w:szCs w:val="20"/>
              </w:rPr>
              <w:fldChar w:fldCharType="end"/>
            </w:r>
            <w:r w:rsidRPr="002A7627">
              <w:rPr>
                <w:rFonts w:eastAsia="Times New Roman" w:cs="Times New Roman"/>
                <w:sz w:val="20"/>
                <w:szCs w:val="20"/>
              </w:rPr>
              <w:t xml:space="preserve"> </w:t>
            </w:r>
          </w:p>
        </w:tc>
        <w:tc>
          <w:tcPr>
            <w:tcW w:w="2126" w:type="dxa"/>
          </w:tcPr>
          <w:p w14:paraId="37E1EFE1" w14:textId="710E50F9"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To investigate whether organizations had the </w:t>
            </w:r>
            <w:r w:rsidR="007A512C" w:rsidRPr="002A7627">
              <w:rPr>
                <w:rFonts w:eastAsia="Times New Roman" w:cs="Times New Roman"/>
                <w:sz w:val="20"/>
                <w:szCs w:val="20"/>
              </w:rPr>
              <w:t>essential</w:t>
            </w:r>
            <w:r w:rsidRPr="002A7627">
              <w:rPr>
                <w:rFonts w:eastAsia="Times New Roman" w:cs="Times New Roman"/>
                <w:sz w:val="20"/>
                <w:szCs w:val="20"/>
              </w:rPr>
              <w:t xml:space="preserve"> strategies of knowledge management to improve organizational performance</w:t>
            </w:r>
          </w:p>
        </w:tc>
        <w:tc>
          <w:tcPr>
            <w:tcW w:w="1418" w:type="dxa"/>
          </w:tcPr>
          <w:p w14:paraId="71BC572A"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Quantitative (survey using questionnaires, partial least squares structural equation modeling) </w:t>
            </w:r>
          </w:p>
        </w:tc>
        <w:tc>
          <w:tcPr>
            <w:tcW w:w="2268" w:type="dxa"/>
          </w:tcPr>
          <w:p w14:paraId="6168CA96" w14:textId="27511903"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Tacit </w:t>
            </w:r>
            <w:r w:rsidRPr="001D77B1">
              <w:rPr>
                <w:rFonts w:eastAsia="Times New Roman" w:cs="Times New Roman"/>
                <w:color w:val="000000" w:themeColor="text1"/>
                <w:sz w:val="20"/>
                <w:szCs w:val="20"/>
              </w:rPr>
              <w:t xml:space="preserve">knowledge had a positive </w:t>
            </w:r>
            <w:r w:rsidR="00E03CDB" w:rsidRPr="001D77B1">
              <w:rPr>
                <w:rFonts w:eastAsia="Times New Roman" w:cs="Times New Roman"/>
                <w:color w:val="000000" w:themeColor="text1"/>
                <w:sz w:val="20"/>
                <w:szCs w:val="20"/>
              </w:rPr>
              <w:t xml:space="preserve">impact </w:t>
            </w:r>
            <w:r w:rsidRPr="002A7627">
              <w:rPr>
                <w:rFonts w:eastAsia="Times New Roman" w:cs="Times New Roman"/>
                <w:sz w:val="20"/>
                <w:szCs w:val="20"/>
              </w:rPr>
              <w:t xml:space="preserve">on organizational performance. However, only socialization and internalization positively </w:t>
            </w:r>
            <w:r w:rsidRPr="001D77B1">
              <w:rPr>
                <w:rFonts w:eastAsia="Times New Roman" w:cs="Times New Roman"/>
                <w:color w:val="000000" w:themeColor="text1"/>
                <w:sz w:val="20"/>
                <w:szCs w:val="20"/>
              </w:rPr>
              <w:t xml:space="preserve">contributed to the </w:t>
            </w:r>
            <w:r w:rsidR="00E03CDB" w:rsidRPr="001D77B1">
              <w:rPr>
                <w:rFonts w:eastAsia="Times New Roman" w:cs="Times New Roman"/>
                <w:color w:val="000000" w:themeColor="text1"/>
                <w:sz w:val="20"/>
                <w:szCs w:val="20"/>
              </w:rPr>
              <w:t xml:space="preserve">impact </w:t>
            </w:r>
            <w:r w:rsidRPr="002A7627">
              <w:rPr>
                <w:rFonts w:eastAsia="Times New Roman" w:cs="Times New Roman"/>
                <w:sz w:val="20"/>
                <w:szCs w:val="20"/>
              </w:rPr>
              <w:t>of tacit knowledge management on organizational performance</w:t>
            </w:r>
          </w:p>
        </w:tc>
        <w:tc>
          <w:tcPr>
            <w:tcW w:w="965" w:type="dxa"/>
          </w:tcPr>
          <w:p w14:paraId="0C30BEBA"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Malaysia</w:t>
            </w:r>
          </w:p>
        </w:tc>
      </w:tr>
      <w:tr w:rsidR="00976800" w:rsidRPr="002A7627" w14:paraId="6A751E3E" w14:textId="77777777" w:rsidTr="00440923">
        <w:trPr>
          <w:trHeight w:val="312"/>
        </w:trPr>
        <w:tc>
          <w:tcPr>
            <w:tcW w:w="1418" w:type="dxa"/>
          </w:tcPr>
          <w:p w14:paraId="2C530D08" w14:textId="2E476A35" w:rsidR="00976800" w:rsidRPr="002A7627" w:rsidRDefault="00976800" w:rsidP="00141425">
            <w:pPr>
              <w:jc w:val="lowKashida"/>
              <w:rPr>
                <w:rFonts w:eastAsia="Times New Roman" w:cs="Times New Roman"/>
                <w:sz w:val="20"/>
                <w:szCs w:val="20"/>
              </w:rPr>
            </w:pPr>
            <w:r w:rsidRPr="00976800">
              <w:rPr>
                <w:rFonts w:eastAsia="Times New Roman" w:cs="Times New Roman"/>
                <w:sz w:val="20"/>
                <w:szCs w:val="20"/>
              </w:rPr>
              <w:t>Alshamsi</w:t>
            </w:r>
            <w:r>
              <w:rPr>
                <w:rFonts w:eastAsia="Times New Roman" w:cs="Times New Roman"/>
                <w:sz w:val="20"/>
                <w:szCs w:val="20"/>
              </w:rPr>
              <w:t xml:space="preserve">, </w:t>
            </w:r>
            <w:r w:rsidRPr="002A7627">
              <w:rPr>
                <w:rFonts w:eastAsia="Times New Roman" w:cs="Times New Roman"/>
                <w:sz w:val="20"/>
                <w:szCs w:val="20"/>
              </w:rPr>
              <w:t>Khan</w:t>
            </w:r>
            <w:r>
              <w:rPr>
                <w:rFonts w:eastAsia="Times New Roman" w:cs="Times New Roman"/>
                <w:sz w:val="20"/>
                <w:szCs w:val="20"/>
              </w:rPr>
              <w:t xml:space="preserve"> and Ajmal</w:t>
            </w:r>
            <w:r w:rsidRPr="002A7627">
              <w:rPr>
                <w:rFonts w:eastAsia="Times New Roman" w:cs="Times New Roman"/>
                <w:sz w:val="20"/>
                <w:szCs w:val="20"/>
              </w:rPr>
              <w:t xml:space="preserve">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{"citationItems":[{"id":"ITEM-1","itemData":{"DOI":"10.1504/IJKMS.2018.091249","ISSN":"1743-8268","author":[{"dropping-particle":"Al","family":"Mansouri","given":"Amna Ali","non-dropping-particle":"","parse-names":false,"suffix":""},{"dropping-particle":"","family":"Singh","given":"Sanjay Kumar","non-dropping-particle":"","parse-names":false,"suffix":""},{"dropping-particle":"","family":"Khan","given":"Mehmood","non-dropping-particle":"","parse-names":false,"suffix":""}],"container-title":"International Journal of Knowledge Management Studies","id":"ITEM-1","issue":"2","issued":{"date-parts":[["2018"]]},"page":"129","title":"Role of organisational culture, leadership and organisational citizenship behaviour on knowledge management","type":"article-journal","volume":"9"},"suppress-author":1,"uris":["http://www.mendeley.com/documents/?uuid=6afaa9cf-cd6c-3d9b-872b-5e03d6fa0078"]}],"mendeley":{"formattedCitation":"(2018)","plainTextFormattedCitation":"(2018)","previouslyFormattedCitation":"(2018)"},"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w:t>
            </w:r>
            <w:r>
              <w:rPr>
                <w:rFonts w:eastAsia="Times New Roman" w:cs="Times New Roman"/>
                <w:noProof/>
                <w:sz w:val="20"/>
                <w:szCs w:val="20"/>
              </w:rPr>
              <w:t>7</w:t>
            </w:r>
            <w:r w:rsidRPr="002A7627">
              <w:rPr>
                <w:rFonts w:eastAsia="Times New Roman" w:cs="Times New Roman"/>
                <w:noProof/>
                <w:sz w:val="20"/>
                <w:szCs w:val="20"/>
              </w:rPr>
              <w:t>)</w:t>
            </w:r>
            <w:r w:rsidRPr="002A7627">
              <w:rPr>
                <w:rFonts w:eastAsia="Times New Roman" w:cs="Times New Roman"/>
                <w:sz w:val="20"/>
                <w:szCs w:val="20"/>
              </w:rPr>
              <w:fldChar w:fldCharType="end"/>
            </w:r>
          </w:p>
        </w:tc>
        <w:tc>
          <w:tcPr>
            <w:tcW w:w="2126" w:type="dxa"/>
          </w:tcPr>
          <w:p w14:paraId="0927BC88" w14:textId="3F69F811" w:rsidR="00976800" w:rsidRPr="001D77B1" w:rsidRDefault="00976800" w:rsidP="00141425">
            <w:pPr>
              <w:jc w:val="lowKashida"/>
              <w:rPr>
                <w:rFonts w:eastAsia="Times New Roman" w:cs="Times New Roman"/>
                <w:color w:val="000000" w:themeColor="text1"/>
                <w:sz w:val="20"/>
                <w:szCs w:val="20"/>
              </w:rPr>
            </w:pPr>
            <w:r w:rsidRPr="002A7627">
              <w:rPr>
                <w:rFonts w:eastAsia="Times New Roman" w:cs="Times New Roman"/>
                <w:sz w:val="20"/>
                <w:szCs w:val="20"/>
              </w:rPr>
              <w:t xml:space="preserve">To </w:t>
            </w:r>
            <w:r>
              <w:rPr>
                <w:rFonts w:eastAsia="Times New Roman" w:cs="Times New Roman"/>
                <w:sz w:val="20"/>
                <w:szCs w:val="20"/>
              </w:rPr>
              <w:t>investigate</w:t>
            </w:r>
            <w:r w:rsidRPr="002A7627">
              <w:rPr>
                <w:rFonts w:eastAsia="Times New Roman" w:cs="Times New Roman"/>
                <w:sz w:val="20"/>
                <w:szCs w:val="20"/>
              </w:rPr>
              <w:t xml:space="preserve"> the relationship between organizational practices and knowledge sharing among employees</w:t>
            </w:r>
          </w:p>
        </w:tc>
        <w:tc>
          <w:tcPr>
            <w:tcW w:w="1418" w:type="dxa"/>
          </w:tcPr>
          <w:p w14:paraId="547871F7" w14:textId="6C2ED813" w:rsidR="00976800" w:rsidRPr="002A7627" w:rsidRDefault="00976800" w:rsidP="00141425">
            <w:pPr>
              <w:jc w:val="lowKashida"/>
              <w:rPr>
                <w:rFonts w:eastAsia="Times New Roman" w:cs="Times New Roman"/>
                <w:sz w:val="20"/>
                <w:szCs w:val="20"/>
              </w:rPr>
            </w:pPr>
            <w:r w:rsidRPr="002A7627">
              <w:rPr>
                <w:rFonts w:eastAsia="Times New Roman" w:cs="Times New Roman"/>
                <w:sz w:val="20"/>
                <w:szCs w:val="20"/>
              </w:rPr>
              <w:t>Quantitative (survey, exploratory factor analysis, and confirmatory factor analysis</w:t>
            </w:r>
          </w:p>
        </w:tc>
        <w:tc>
          <w:tcPr>
            <w:tcW w:w="2268" w:type="dxa"/>
          </w:tcPr>
          <w:p w14:paraId="2BB8F24A" w14:textId="5FC8CFAE" w:rsidR="00976800" w:rsidRPr="002A7627" w:rsidRDefault="00976800">
            <w:pPr>
              <w:jc w:val="lowKashida"/>
              <w:rPr>
                <w:rFonts w:eastAsia="Times New Roman" w:cs="Times New Roman"/>
                <w:sz w:val="20"/>
                <w:szCs w:val="20"/>
              </w:rPr>
            </w:pPr>
            <w:r w:rsidRPr="002A7627">
              <w:rPr>
                <w:rFonts w:eastAsia="Times New Roman" w:cs="Times New Roman"/>
                <w:sz w:val="20"/>
                <w:szCs w:val="20"/>
              </w:rPr>
              <w:t>Organizational practices, such as collaboration and learning cultures significantly affect knowledge sharing among employees.</w:t>
            </w:r>
          </w:p>
        </w:tc>
        <w:tc>
          <w:tcPr>
            <w:tcW w:w="965" w:type="dxa"/>
          </w:tcPr>
          <w:p w14:paraId="7133C763" w14:textId="124F0E74" w:rsidR="00976800" w:rsidRPr="002A7627" w:rsidRDefault="00976800" w:rsidP="00141425">
            <w:pPr>
              <w:jc w:val="lowKashida"/>
              <w:rPr>
                <w:rFonts w:eastAsia="Times New Roman" w:cs="Times New Roman"/>
                <w:sz w:val="20"/>
                <w:szCs w:val="20"/>
              </w:rPr>
            </w:pPr>
            <w:r w:rsidRPr="002A7627">
              <w:rPr>
                <w:rFonts w:eastAsia="Times New Roman" w:cs="Times New Roman"/>
                <w:sz w:val="20"/>
                <w:szCs w:val="20"/>
              </w:rPr>
              <w:t>UAE</w:t>
            </w:r>
          </w:p>
        </w:tc>
      </w:tr>
      <w:tr w:rsidR="00141425" w:rsidRPr="002A7627" w14:paraId="008F1046" w14:textId="77777777" w:rsidTr="00440923">
        <w:trPr>
          <w:trHeight w:val="312"/>
        </w:trPr>
        <w:tc>
          <w:tcPr>
            <w:tcW w:w="1418" w:type="dxa"/>
          </w:tcPr>
          <w:p w14:paraId="4FE9CA5E" w14:textId="0D76B6E6"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Mardani, Nikoosokhan, Moradi, and Doustar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{"citationItems":[{"id":"ITEM-1","itemData":{"DOI":"10.1016/j.hitech.2018.04.002","ISSN":"10478310","abstract":"This study examines the quantitative relationship between knowledge management, innovation, and performance. We aim to shed some light on the consequences of Knowledge Management (KM) activities on firm's innovation and performance. Organizations are unaware of real implications of KM. According to the literature review, we develop a research model showing a positive relationship between knowledge management, and performance as well as its impact on innovation, which in turn contributes to the firm's performance. Using data from 120 firms that are members of the Iranian Power Syndicate, this model was tested empirically. Based on the Structural Equation Model (SEM) results by Partial Least Square (PLS) method, research hypotheses were supported. Results show that KM activities impact innovation and organizational performance directly, and indirectly through an increase in innovation capability. It is found that knowledge creation, knowledge integration, and knowledge application facilitate innovation and performance. Knowledge creation has more significant effects on innovation speed, innovation quality, and innovation quantity, whereas innovation quality, knowledge creation, and knowledge integration has more significant effects on performance. Findings presented in this paper may help academics and managers in designing KM programs to achieve higher innovation, effectiveness, efficiency, and profitability.","author":[{"dropping-particle":"","family":"Mardani","given":"Amirhosein","non-dropping-particle":"","parse-names":false,"suffix":""},{"dropping-particle":"","family":"Nikoosokhan","given":"Saghi","non-dropping-particle":"","parse-names":false,"suffix":""},{"dropping-particle":"","family":"Moradi","given":"Mahmoud","non-dropping-particle":"","parse-names":false,"suffix":""},{"dropping-particle":"","family":"Doustar","given":"Mohammad","non-dropping-particle":"","parse-names":false,"suffix":""}],"container-title":"Journal of High Technology Management Research","id":"ITEM-1","issue":"1","issued":{"date-parts":[["2018"]]},"page":"12-26","title":"The relationship between knowledge management and innovation performance","type":"article-journal","volume":"29"},"suppress-author":1,"uris":["http://www.mendeley.com/documents/?uuid=1a00d3e9-6da8-449a-a4b0-80a0cc9ab889"]}],"mendeley":{"formattedCitation":"(2018)","plainTextFormattedCitation":"(2018)","previouslyFormattedCitation":"(2018)"},"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(2018)</w:t>
            </w:r>
            <w:r w:rsidRPr="002A7627">
              <w:rPr>
                <w:rFonts w:eastAsia="Times New Roman" w:cs="Times New Roman"/>
                <w:sz w:val="20"/>
                <w:szCs w:val="20"/>
              </w:rPr>
              <w:fldChar w:fldCharType="end"/>
            </w:r>
          </w:p>
        </w:tc>
        <w:tc>
          <w:tcPr>
            <w:tcW w:w="2126" w:type="dxa"/>
          </w:tcPr>
          <w:p w14:paraId="570549F8" w14:textId="4AF93574" w:rsidR="00141425" w:rsidRPr="002A7627" w:rsidRDefault="00141425" w:rsidP="00141425">
            <w:pPr>
              <w:jc w:val="lowKashida"/>
              <w:rPr>
                <w:rFonts w:eastAsia="Times New Roman" w:cs="Times New Roman"/>
                <w:sz w:val="20"/>
                <w:szCs w:val="20"/>
              </w:rPr>
            </w:pPr>
            <w:r w:rsidRPr="001D77B1">
              <w:rPr>
                <w:rFonts w:eastAsia="Times New Roman" w:cs="Times New Roman"/>
                <w:color w:val="000000" w:themeColor="text1"/>
                <w:sz w:val="20"/>
                <w:szCs w:val="20"/>
              </w:rPr>
              <w:t xml:space="preserve">To </w:t>
            </w:r>
            <w:r w:rsidR="00E03CDB" w:rsidRPr="001D77B1">
              <w:rPr>
                <w:rFonts w:eastAsia="Times New Roman" w:cs="Times New Roman"/>
                <w:color w:val="000000" w:themeColor="text1"/>
                <w:sz w:val="20"/>
                <w:szCs w:val="20"/>
              </w:rPr>
              <w:t xml:space="preserve">investigate </w:t>
            </w:r>
            <w:r w:rsidRPr="002A7627">
              <w:rPr>
                <w:rFonts w:eastAsia="Times New Roman" w:cs="Times New Roman"/>
                <w:sz w:val="20"/>
                <w:szCs w:val="20"/>
              </w:rPr>
              <w:t xml:space="preserve">the relationship between knowledge management, performance, and innovation </w:t>
            </w:r>
          </w:p>
        </w:tc>
        <w:tc>
          <w:tcPr>
            <w:tcW w:w="1418" w:type="dxa"/>
          </w:tcPr>
          <w:p w14:paraId="00F3966D"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Quantitative (survey, partial least squares structural equation modeling) </w:t>
            </w:r>
          </w:p>
        </w:tc>
        <w:tc>
          <w:tcPr>
            <w:tcW w:w="2268" w:type="dxa"/>
          </w:tcPr>
          <w:p w14:paraId="1BDE7338" w14:textId="02E2A559" w:rsidR="00141425" w:rsidRPr="002A7627" w:rsidRDefault="00141425">
            <w:pPr>
              <w:jc w:val="lowKashida"/>
              <w:rPr>
                <w:rFonts w:eastAsia="Times New Roman" w:cs="Times New Roman"/>
                <w:sz w:val="20"/>
                <w:szCs w:val="20"/>
              </w:rPr>
            </w:pPr>
            <w:r w:rsidRPr="002A7627">
              <w:rPr>
                <w:rFonts w:eastAsia="Times New Roman" w:cs="Times New Roman"/>
                <w:sz w:val="20"/>
                <w:szCs w:val="20"/>
              </w:rPr>
              <w:t>Knowledge management activities directly and indirectly affected organizational performance through innovativeness</w:t>
            </w:r>
          </w:p>
        </w:tc>
        <w:tc>
          <w:tcPr>
            <w:tcW w:w="965" w:type="dxa"/>
          </w:tcPr>
          <w:p w14:paraId="3FF6F7D9"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Iran</w:t>
            </w:r>
          </w:p>
        </w:tc>
      </w:tr>
      <w:tr w:rsidR="00141425" w:rsidRPr="002A7627" w14:paraId="6D43D762" w14:textId="77777777" w:rsidTr="00440923">
        <w:trPr>
          <w:trHeight w:val="1166"/>
        </w:trPr>
        <w:tc>
          <w:tcPr>
            <w:tcW w:w="1418" w:type="dxa"/>
          </w:tcPr>
          <w:p w14:paraId="0B6FED5A" w14:textId="2AE94929"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Vorobyova and Raju </w:t>
            </w: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author":[{"dropping-particle":"","family":"Vorobyova","given":"K.","non-dropping-particle":"","parse-names":false,"suffix":""},{"dropping-particle":"","family":"Raju","given":"V.","non-dropping-particle":"","parse-names":false,"suffix":""}],"container-title":"PEOPLE: International Journal of Social Sciences","id":"ITEM-1","issue":"3","issued":{"date-parts":[["2018"]]},"page":"396-404","title":"Knowledge management and organizational effectiveness as a successful path to globalization for small and medium enterprises","type":"article-journal","volume":"4"},"suppress-author":1,"uris":["http://www.mendeley.com/documents/?uuid=218429ff-ac82-39ee-af9d-7958bfcfc9f3"]}],"mendeley":{"formattedCitation":"(2018)","plainTextFormattedCitation":"(2018)","previouslyFormattedCitation":"(2018)"},"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(2018)</w:t>
            </w:r>
            <w:r w:rsidRPr="002A7627">
              <w:rPr>
                <w:rFonts w:eastAsia="Times New Roman" w:cs="Times New Roman"/>
                <w:sz w:val="20"/>
                <w:szCs w:val="20"/>
              </w:rPr>
              <w:fldChar w:fldCharType="end"/>
            </w:r>
          </w:p>
        </w:tc>
        <w:tc>
          <w:tcPr>
            <w:tcW w:w="2126" w:type="dxa"/>
          </w:tcPr>
          <w:p w14:paraId="5FF157B5" w14:textId="6C5E5183"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To </w:t>
            </w:r>
            <w:r w:rsidR="009037A2" w:rsidRPr="002A7627">
              <w:rPr>
                <w:rFonts w:eastAsia="Times New Roman" w:cs="Times New Roman"/>
                <w:sz w:val="20"/>
                <w:szCs w:val="20"/>
              </w:rPr>
              <w:t>explore</w:t>
            </w:r>
            <w:r w:rsidRPr="002A7627">
              <w:rPr>
                <w:rFonts w:eastAsia="Times New Roman" w:cs="Times New Roman"/>
                <w:sz w:val="20"/>
                <w:szCs w:val="20"/>
              </w:rPr>
              <w:t xml:space="preserve"> the impact of knowledge management on organizational effectiveness</w:t>
            </w:r>
          </w:p>
        </w:tc>
        <w:tc>
          <w:tcPr>
            <w:tcW w:w="1418" w:type="dxa"/>
          </w:tcPr>
          <w:p w14:paraId="48BEA111"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 xml:space="preserve">Literature review </w:t>
            </w:r>
          </w:p>
        </w:tc>
        <w:tc>
          <w:tcPr>
            <w:tcW w:w="2268" w:type="dxa"/>
          </w:tcPr>
          <w:p w14:paraId="5435F752" w14:textId="040385A5" w:rsidR="00141425" w:rsidRPr="002A7627" w:rsidRDefault="00141425">
            <w:pPr>
              <w:jc w:val="lowKashida"/>
              <w:rPr>
                <w:rFonts w:eastAsia="Times New Roman" w:cs="Times New Roman"/>
                <w:sz w:val="20"/>
                <w:szCs w:val="20"/>
              </w:rPr>
            </w:pPr>
            <w:r w:rsidRPr="002A7627">
              <w:rPr>
                <w:rFonts w:eastAsia="Times New Roman" w:cs="Times New Roman"/>
                <w:sz w:val="20"/>
                <w:szCs w:val="20"/>
              </w:rPr>
              <w:t xml:space="preserve">Knowledge management </w:t>
            </w:r>
            <w:r w:rsidRPr="001D77B1">
              <w:rPr>
                <w:rFonts w:eastAsia="Times New Roman" w:cs="Times New Roman"/>
                <w:color w:val="000000" w:themeColor="text1"/>
                <w:sz w:val="20"/>
                <w:szCs w:val="20"/>
              </w:rPr>
              <w:t xml:space="preserve">was important in </w:t>
            </w:r>
            <w:r w:rsidR="00E03CDB" w:rsidRPr="001D77B1">
              <w:rPr>
                <w:rFonts w:eastAsia="Times New Roman" w:cs="Times New Roman"/>
                <w:color w:val="000000" w:themeColor="text1"/>
                <w:sz w:val="20"/>
                <w:szCs w:val="20"/>
              </w:rPr>
              <w:t xml:space="preserve">enhancing </w:t>
            </w:r>
            <w:r w:rsidRPr="001D77B1">
              <w:rPr>
                <w:rFonts w:eastAsia="Times New Roman" w:cs="Times New Roman"/>
                <w:color w:val="000000" w:themeColor="text1"/>
                <w:sz w:val="20"/>
                <w:szCs w:val="20"/>
              </w:rPr>
              <w:t>performance</w:t>
            </w:r>
            <w:r w:rsidRPr="002A7627">
              <w:rPr>
                <w:rFonts w:eastAsia="Times New Roman" w:cs="Times New Roman"/>
                <w:sz w:val="20"/>
                <w:szCs w:val="20"/>
              </w:rPr>
              <w:t>, and this enabled companies to embrace globalization</w:t>
            </w:r>
          </w:p>
        </w:tc>
        <w:tc>
          <w:tcPr>
            <w:tcW w:w="965" w:type="dxa"/>
          </w:tcPr>
          <w:p w14:paraId="355DDF14" w14:textId="77777777" w:rsidR="00141425" w:rsidRPr="002A7627" w:rsidRDefault="00141425" w:rsidP="00141425">
            <w:pPr>
              <w:jc w:val="lowKashida"/>
              <w:rPr>
                <w:rFonts w:eastAsia="Times New Roman" w:cs="Times New Roman"/>
                <w:sz w:val="20"/>
                <w:szCs w:val="20"/>
              </w:rPr>
            </w:pPr>
            <w:r w:rsidRPr="002A7627">
              <w:rPr>
                <w:rFonts w:eastAsia="Times New Roman" w:cs="Times New Roman"/>
                <w:sz w:val="20"/>
                <w:szCs w:val="20"/>
              </w:rPr>
              <w:t>Malaysia</w:t>
            </w:r>
          </w:p>
        </w:tc>
      </w:tr>
    </w:tbl>
    <w:p w14:paraId="7178455F" w14:textId="77777777" w:rsidR="00EE00BF" w:rsidRPr="002A7627" w:rsidRDefault="00EE00BF" w:rsidP="00EE00BF">
      <w:pPr>
        <w:spacing w:line="480" w:lineRule="auto"/>
        <w:rPr>
          <w:rFonts w:cs="Times New Roman"/>
          <w:sz w:val="20"/>
          <w:szCs w:val="20"/>
        </w:rPr>
      </w:pPr>
    </w:p>
    <w:p w14:paraId="2E0A434D" w14:textId="7603442E" w:rsidR="00EE00BF" w:rsidRPr="002A7627" w:rsidRDefault="00EE00BF" w:rsidP="00141425">
      <w:pPr>
        <w:pStyle w:val="AAAAAAA"/>
      </w:pPr>
      <w:r w:rsidRPr="002A7627">
        <w:t xml:space="preserve">Tables </w:t>
      </w:r>
      <w:r w:rsidR="00141425">
        <w:t>2</w:t>
      </w:r>
      <w:r w:rsidRPr="002A7627">
        <w:t xml:space="preserve"> and </w:t>
      </w:r>
      <w:r w:rsidR="00141425">
        <w:t>3</w:t>
      </w:r>
      <w:r w:rsidRPr="002A7627">
        <w:t xml:space="preserve"> show that researchers have examined different aspects of knowledge management over the past ten years. Overall, they have investigated knowledge sharing, knowledge capabilities and barriers to knowledge sharing in both developed and developed countries </w:t>
      </w:r>
      <w:r w:rsidR="00E24626" w:rsidRPr="002A7627">
        <w:rPr>
          <w:noProof/>
        </w:rPr>
        <w:t>(Alshamsi, Khan, &amp; Ajmal, 2017; Chuang, 2004; Seba et al., 2012)</w:t>
      </w:r>
      <w:r w:rsidRPr="002A7627">
        <w:t xml:space="preserve">. </w:t>
      </w:r>
    </w:p>
    <w:p w14:paraId="5AC4A921" w14:textId="38AEB585" w:rsidR="00EE00BF" w:rsidRPr="00482405" w:rsidRDefault="00EE00BF" w:rsidP="00482405">
      <w:pPr>
        <w:pStyle w:val="AAAAAAA"/>
        <w:rPr>
          <w:color w:val="000000" w:themeColor="text1"/>
        </w:rPr>
      </w:pPr>
      <w:r w:rsidRPr="002A7627">
        <w:lastRenderedPageBreak/>
        <w:t xml:space="preserve">Zack et al. </w:t>
      </w:r>
      <w:r w:rsidRPr="002A7627">
        <w:fldChar w:fldCharType="begin" w:fldLock="1"/>
      </w:r>
      <w:r w:rsidR="00E24626" w:rsidRPr="002A7627">
        <w:instrText>ADDIN CSL_CITATION {"citationItems":[{"id":"ITEM-1","itemData":{"DOI":"10.1108/13673270910997088","ISSN":"1367-3270","abstract":"Purpose – The purpose of this paper is to report the results of an exploratory investigation of the organizational impact of knowledge management (KM).Design/methodology/approach – A search of the literature revealed 12 KM practices whose performance impact was assessed via a survey of business organizations.Findings – KM practices were found to be directly related to organizational performance which, in turn, was directly related to financial performance. There was no direct relationship found between KM practices and financial performance. A different set of KM practices was associated with each value discipline (i.e. customer intimacy, product development and operational excellence). A gap exists between the KM practices that firms believe to be important and those that were directly related to organizational performance.Research limitations/implications – The majority of the research constructs were formative, thus improving the measurement of KM practices will prove vital for validating and extending...","author":[{"dropping-particle":"","family":"Zack","given":"Michael H.","non-dropping-particle":"","parse-names":false,"suffix":""},{"dropping-particle":"","family":"McKeen","given":"James","non-dropping-particle":"","parse-names":false,"suffix":""},{"dropping-particle":"","family":"Singh","given":"Satyendra","non-dropping-particle":"","parse-names":false,"suffix":""}],"container-title":"Journal of Knowledge Management","id":"ITEM-1","issue":"6","issued":{"date-parts":[["2009","10","23"]]},"page":"392-409","publisher":"Emerald Group Publishing Limited","title":"Knowledge management and organizational performance: An exploratory analysis","type":"article-journal","volume":"13"},"suppress-author":1,"uris":["http://www.mendeley.com/documents/?uuid=dc7dcbdd-0da7-3bc8-8590-8593ae317e9d"]}],"mendeley":{"formattedCitation":"(2009)","plainTextFormattedCitation":"(2009)","previouslyFormattedCitation":"(2009)"},"properties":{"noteIndex":0},"schema":"https://github.com/citation-style-language/schema/raw/master/csl-citation.json"}</w:instrText>
      </w:r>
      <w:r w:rsidRPr="002A7627">
        <w:fldChar w:fldCharType="separate"/>
      </w:r>
      <w:r w:rsidRPr="002A7627">
        <w:rPr>
          <w:noProof/>
        </w:rPr>
        <w:t>(2009)</w:t>
      </w:r>
      <w:r w:rsidRPr="002A7627">
        <w:fldChar w:fldCharType="end"/>
      </w:r>
      <w:r w:rsidRPr="002A7627">
        <w:t xml:space="preserve"> investigated </w:t>
      </w:r>
      <w:r w:rsidR="009C67A3" w:rsidRPr="00976800">
        <w:rPr>
          <w:color w:val="000000" w:themeColor="text1"/>
        </w:rPr>
        <w:t>the impact of</w:t>
      </w:r>
      <w:r w:rsidRPr="00976800">
        <w:rPr>
          <w:color w:val="000000" w:themeColor="text1"/>
        </w:rPr>
        <w:t xml:space="preserve"> knowledge management practices </w:t>
      </w:r>
      <w:r w:rsidR="009C67A3" w:rsidRPr="00976800">
        <w:rPr>
          <w:color w:val="000000" w:themeColor="text1"/>
        </w:rPr>
        <w:t xml:space="preserve">on </w:t>
      </w:r>
      <w:r w:rsidRPr="00976800">
        <w:rPr>
          <w:color w:val="000000" w:themeColor="text1"/>
        </w:rPr>
        <w:t xml:space="preserve">knowledge outcomes in North America and Australia. </w:t>
      </w:r>
      <w:r w:rsidRPr="002A7627">
        <w:t xml:space="preserve">They found a direct relationship between knowledge management practices and organizational financial performance. However, there </w:t>
      </w:r>
      <w:r w:rsidR="00D72610">
        <w:t>is little</w:t>
      </w:r>
      <w:r w:rsidRPr="002A7627">
        <w:t xml:space="preserve"> information about </w:t>
      </w:r>
      <w:r w:rsidRPr="00976800">
        <w:rPr>
          <w:color w:val="000000" w:themeColor="text1"/>
        </w:rPr>
        <w:t xml:space="preserve">the </w:t>
      </w:r>
      <w:r w:rsidR="009C67A3" w:rsidRPr="00976800">
        <w:rPr>
          <w:color w:val="000000" w:themeColor="text1"/>
        </w:rPr>
        <w:t>influence</w:t>
      </w:r>
      <w:r w:rsidRPr="00976800">
        <w:rPr>
          <w:color w:val="000000" w:themeColor="text1"/>
        </w:rPr>
        <w:t xml:space="preserve"> of </w:t>
      </w:r>
      <w:r w:rsidRPr="002A7627">
        <w:t>knowledge management practices on intangible performance. Zyngier</w:t>
      </w:r>
      <w:r w:rsidR="00ED27F3">
        <w:t xml:space="preserve"> and Burstein</w:t>
      </w:r>
      <w:r w:rsidRPr="002A7627">
        <w:t xml:space="preserve"> </w:t>
      </w:r>
      <w:r w:rsidRPr="002A7627">
        <w:fldChar w:fldCharType="begin" w:fldLock="1"/>
      </w:r>
      <w:r w:rsidRPr="002A7627">
        <w:instrText>ADDIN CSL_CITATION {"citationItems":[{"id":"ITEM-1","itemData":{"DOI":"10.1057/jit.2011.31","ISBN":"0268-3962","ISSN":"02683962","abstract":"Investment in knowledge management (KM) programmes is often contentious due to the challenge of meeting the need for continuous and sustainable benefits realization. In KM, the word 'sustainable' describes how programmes of strategies to leverage organizational knowledge remain productive over time: that they deliver strategic value to the organization. The focus of this paper falls on the constructs of the governance of KM and on its leadership, in KM strategy development and implementation, including risk management, financial controls and transparent evaluation mechanisms for continuous benefits realization. This paper presents a KM governance model and explores its recent validation through six case studies of large, distributed, multinational organizations, and through these introduces the granular constructs of KM governance. Exploration of the impact of KM governance on developing and implementing KM programmes in each case study organization demonstrates that there is a clear nexus between strategic KM governance and benefits realized from those programmes. [PUBLICATION ABSTRACT]","author":[{"dropping-particle":"","family":"Zyngier","given":"Suzanne","non-dropping-particle":"","parse-names":false,"suffix":""},{"dropping-particle":"","family":"Burstein","given":"Frada","non-dropping-particle":"","parse-names":false,"suffix":""}],"container-title":"Journal of Information Technology","id":"ITEM-1","issue":"2","issued":{"date-parts":[["2012"]]},"page":"140-155","title":"Knowledge management governance: The road to continuous benefits realization","type":"article-journal","volume":"27"},"suppress-author":1,"uris":["http://www.mendeley.com/documents/?uuid=2679b736-d219-4c9b-b630-f9718880028c"]}],"mendeley":{"formattedCitation":"(2012)","plainTextFormattedCitation":"(2012)","previouslyFormattedCitation":"(2012)"},"properties":{"noteIndex":0},"schema":"https://github.com/citation-style-language/schema/raw/master/csl-citation.json"}</w:instrText>
      </w:r>
      <w:r w:rsidRPr="002A7627">
        <w:fldChar w:fldCharType="separate"/>
      </w:r>
      <w:r w:rsidRPr="002A7627">
        <w:rPr>
          <w:noProof/>
        </w:rPr>
        <w:t>(2012)</w:t>
      </w:r>
      <w:r w:rsidRPr="002A7627">
        <w:fldChar w:fldCharType="end"/>
      </w:r>
      <w:r w:rsidRPr="002A7627">
        <w:t xml:space="preserve"> studied knowledge governance as a structural mechanism to embed knowledge management into organizational initiatives in Australia. He found that knowledge governance contributed to knowledge management success. More mature knowledge management initiatives also gave greater benefits. This may be the result of enhancing knowledge by aligning knowledge outcomes with business strategies. </w:t>
      </w:r>
      <w:bookmarkStart w:id="99" w:name="_Hlk26956111"/>
      <w:r w:rsidR="00482405" w:rsidRPr="0066240C">
        <w:rPr>
          <w:color w:val="000000" w:themeColor="text1"/>
        </w:rPr>
        <w:t xml:space="preserve">Ihring and Macmillan (2015) </w:t>
      </w:r>
      <w:r w:rsidR="00482405">
        <w:rPr>
          <w:color w:val="000000" w:themeColor="text1"/>
        </w:rPr>
        <w:t>studied</w:t>
      </w:r>
      <w:r w:rsidR="00482405" w:rsidRPr="0066240C">
        <w:rPr>
          <w:color w:val="000000" w:themeColor="text1"/>
        </w:rPr>
        <w:t xml:space="preserve"> </w:t>
      </w:r>
      <w:r w:rsidR="00482405">
        <w:rPr>
          <w:color w:val="000000" w:themeColor="text1"/>
        </w:rPr>
        <w:t xml:space="preserve">aerospace </w:t>
      </w:r>
      <w:r w:rsidR="00482405" w:rsidRPr="0066240C">
        <w:rPr>
          <w:color w:val="000000" w:themeColor="text1"/>
        </w:rPr>
        <w:t>organizations</w:t>
      </w:r>
      <w:r w:rsidR="00482405">
        <w:rPr>
          <w:color w:val="000000" w:themeColor="text1"/>
        </w:rPr>
        <w:t>,</w:t>
      </w:r>
      <w:r w:rsidR="00482405" w:rsidRPr="0066240C">
        <w:rPr>
          <w:color w:val="000000" w:themeColor="text1"/>
        </w:rPr>
        <w:t xml:space="preserve"> </w:t>
      </w:r>
      <w:r w:rsidR="00482405">
        <w:rPr>
          <w:color w:val="000000" w:themeColor="text1"/>
        </w:rPr>
        <w:t xml:space="preserve">and suggested that they </w:t>
      </w:r>
      <w:r w:rsidR="00482405" w:rsidRPr="0066240C">
        <w:rPr>
          <w:color w:val="000000" w:themeColor="text1"/>
        </w:rPr>
        <w:t>should focus</w:t>
      </w:r>
      <w:r w:rsidR="00482405">
        <w:rPr>
          <w:color w:val="000000" w:themeColor="text1"/>
        </w:rPr>
        <w:t xml:space="preserve"> their</w:t>
      </w:r>
      <w:r w:rsidR="00482405" w:rsidRPr="0066240C">
        <w:rPr>
          <w:color w:val="000000" w:themeColor="text1"/>
        </w:rPr>
        <w:t xml:space="preserve"> energy and resources on managing </w:t>
      </w:r>
      <w:r w:rsidR="00482405">
        <w:rPr>
          <w:color w:val="000000" w:themeColor="text1"/>
        </w:rPr>
        <w:t>“</w:t>
      </w:r>
      <w:r w:rsidR="00482405" w:rsidRPr="0066240C">
        <w:rPr>
          <w:color w:val="000000" w:themeColor="text1"/>
        </w:rPr>
        <w:t>mission</w:t>
      </w:r>
      <w:r w:rsidR="00482405">
        <w:rPr>
          <w:color w:val="000000" w:themeColor="text1"/>
        </w:rPr>
        <w:t>-</w:t>
      </w:r>
      <w:r w:rsidR="00482405" w:rsidRPr="0066240C">
        <w:rPr>
          <w:color w:val="000000" w:themeColor="text1"/>
        </w:rPr>
        <w:t>critical</w:t>
      </w:r>
      <w:r w:rsidR="00482405">
        <w:rPr>
          <w:color w:val="000000" w:themeColor="text1"/>
        </w:rPr>
        <w:t>”</w:t>
      </w:r>
      <w:r w:rsidR="00482405" w:rsidRPr="0066240C">
        <w:rPr>
          <w:color w:val="000000" w:themeColor="text1"/>
        </w:rPr>
        <w:t xml:space="preserve"> knowledge</w:t>
      </w:r>
      <w:r w:rsidR="00482405">
        <w:rPr>
          <w:color w:val="000000" w:themeColor="text1"/>
        </w:rPr>
        <w:t>, as a way to</w:t>
      </w:r>
      <w:r w:rsidR="00482405" w:rsidRPr="0066240C">
        <w:rPr>
          <w:color w:val="000000" w:themeColor="text1"/>
        </w:rPr>
        <w:t xml:space="preserve"> sav</w:t>
      </w:r>
      <w:r w:rsidR="00482405">
        <w:rPr>
          <w:color w:val="000000" w:themeColor="text1"/>
        </w:rPr>
        <w:t>e</w:t>
      </w:r>
      <w:r w:rsidR="00482405" w:rsidRPr="0066240C">
        <w:rPr>
          <w:color w:val="000000" w:themeColor="text1"/>
        </w:rPr>
        <w:t xml:space="preserve"> </w:t>
      </w:r>
      <w:r w:rsidR="00482405">
        <w:rPr>
          <w:color w:val="000000" w:themeColor="text1"/>
        </w:rPr>
        <w:t xml:space="preserve">both </w:t>
      </w:r>
      <w:r w:rsidR="00482405" w:rsidRPr="0066240C">
        <w:rPr>
          <w:color w:val="000000" w:themeColor="text1"/>
        </w:rPr>
        <w:t>time and resources.</w:t>
      </w:r>
    </w:p>
    <w:bookmarkEnd w:id="99"/>
    <w:p w14:paraId="45992DC1" w14:textId="16D37EFC" w:rsidR="00EE00BF" w:rsidRPr="002A7627" w:rsidRDefault="00DB276C" w:rsidP="002C4A1A">
      <w:pPr>
        <w:pStyle w:val="AAAAAAA"/>
      </w:pPr>
      <w:r w:rsidRPr="00976800">
        <w:rPr>
          <w:color w:val="000000" w:themeColor="text1"/>
        </w:rPr>
        <w:t>There have been a number of s</w:t>
      </w:r>
      <w:r w:rsidR="009C67A3" w:rsidRPr="00976800">
        <w:rPr>
          <w:color w:val="000000" w:themeColor="text1"/>
        </w:rPr>
        <w:t>tudies on knowledge management in the UAE</w:t>
      </w:r>
      <w:r w:rsidR="00EE00BF" w:rsidRPr="00976800">
        <w:rPr>
          <w:color w:val="000000" w:themeColor="text1"/>
        </w:rPr>
        <w:t>, bu</w:t>
      </w:r>
      <w:r w:rsidR="00EE00BF" w:rsidRPr="002A7627">
        <w:t xml:space="preserve">t only one has examined knowledge management benefits (Siddique, </w:t>
      </w:r>
      <w:r w:rsidR="00EE00BF" w:rsidRPr="002A7627">
        <w:fldChar w:fldCharType="begin" w:fldLock="1"/>
      </w:r>
      <w:r w:rsidR="00E24626" w:rsidRPr="002A7627">
        <w:instrText>ADDIN CSL_CITATION {"citationItems":[{"id":"ITEM-1","itemData":{"DOI":"10.1108/13673271211262763","ISBN":"1367327121","ISSN":"1367-3270","author":[{"dropping-particle":"","family":"Siddique","given":"C. Muhammed","non-dropping-particle":"","parse-names":false,"suffix":""}],"container-title":"Journal of Knowledge Management","id":"ITEM-1","issue":"5","issued":{"date-parts":[["2012","9","7"]]},"page":"702-723","title":"Knowledge management initiatives in the United Arab Emirates: A baseline study","type":"article-journal","volume":"16"},"suppress-author":1,"uris":["http://www.mendeley.com/documents/?uuid=4416d806-e6e9-49fa-a6ff-2917a0c3d074"]}],"mendeley":{"formattedCitation":"(2012)","manualFormatting":"2012)","plainTextFormattedCitation":"(2012)","previouslyFormattedCitation":"(2012)"},"properties":{"noteIndex":0},"schema":"https://github.com/citation-style-language/schema/raw/master/csl-citation.json"}</w:instrText>
      </w:r>
      <w:r w:rsidR="00EE00BF" w:rsidRPr="002A7627">
        <w:fldChar w:fldCharType="separate"/>
      </w:r>
      <w:r w:rsidR="00EE00BF" w:rsidRPr="002A7627">
        <w:rPr>
          <w:noProof/>
        </w:rPr>
        <w:t>2012)</w:t>
      </w:r>
      <w:r w:rsidR="00EE00BF" w:rsidRPr="002A7627">
        <w:fldChar w:fldCharType="end"/>
      </w:r>
      <w:r w:rsidR="00EE00BF" w:rsidRPr="002A7627">
        <w:t>. That study found a positive relationship between knowledge management strategy, top management commitment, human resource management policies, supporting culture</w:t>
      </w:r>
      <w:r w:rsidR="00193A9C" w:rsidRPr="002A7627">
        <w:t>,</w:t>
      </w:r>
      <w:r w:rsidR="00EE00BF" w:rsidRPr="002A7627">
        <w:t xml:space="preserve"> and knowledge management practices. The findings showed that most initiatives on knowledge management focus on explicit knowledge, and that business w</w:t>
      </w:r>
      <w:r w:rsidR="00193A9C" w:rsidRPr="002A7627">
        <w:t>as</w:t>
      </w:r>
      <w:r w:rsidR="00EE00BF" w:rsidRPr="002A7627">
        <w:t xml:space="preserve"> investing in IT infrastructure to leverage the knowledge management benefits. </w:t>
      </w:r>
    </w:p>
    <w:p w14:paraId="207D2BFE" w14:textId="410111E8" w:rsidR="00EE00BF" w:rsidRPr="002A7627" w:rsidRDefault="00EE00BF" w:rsidP="002C4A1A">
      <w:pPr>
        <w:pStyle w:val="AAAAAAA"/>
      </w:pPr>
      <w:r w:rsidRPr="002A7627">
        <w:t xml:space="preserve">A few studies have looked at multiple benefits of knowledge management, </w:t>
      </w:r>
      <w:r w:rsidRPr="002A7627">
        <w:lastRenderedPageBreak/>
        <w:t xml:space="preserve">including Anantatmula and Kanungo </w:t>
      </w:r>
      <w:r w:rsidRPr="002A7627">
        <w:fldChar w:fldCharType="begin" w:fldLock="1"/>
      </w:r>
      <w:r w:rsidRPr="002A7627">
        <w:instrText>ADDIN CSL_CITATION {"citationItems":[{"id":"ITEM-1","itemData":{"DOI":"10.1108/13673270610679345","ISBN":"1367-3270","ISSN":"1367-3270","PMID":"230309068","abstract":"Purpose - This study aims to identify a set of criteria to assess the effectiveness of knowledge management (KM) and to understand how these criteria inter-relate with one another. From a research and practitioner's perspective, the study seeks to study how to expand these criteria to develop measures. Design/methodology/approach - The research methodology is based on literature review to determine a list of KM outcomes followed by the Delphi technique and survey questionnaire methods. The findings of the Delphi were used to supplement literature review findings. Both these results were used to develop the survey questionnaire. Survey-based research, which used a questionnaire targeting knowledge management professionals as respondents, was aimed at establishing criteria for assessing knowledge management success. Findings - Using the criteria based on survey results, a computer-assisted model is used to understand the shared underlying organizational framework in which KM operates and to identify how these criteria were linked. These relations should be explored and utilized to improve organizational performance. Research limitations/implications - Some of the limitations of this original research are limited number of experts participating in the study. Also, about 48 percent of the survey respondents represent for-profit organizations and thus, research results may be biased towards for-profit organizations. Future research should focus on translating the soft measures of knowledge management into detailed metrics. Originality/value - This is an academic research paper providing information on the underlying relations among KM outcomes. [PUBLICATION ABSTRACT]","author":[{"dropping-particle":"","family":"Anantatmula","given":"Vittal S.","non-dropping-particle":"","parse-names":false,"suffix":""},{"dropping-particle":"","family":"Kanungo","given":"Shivraj","non-dropping-particle":"","parse-names":false,"suffix":""}],"container-title":"Journal of Knowledge Management","id":"ITEM-1","issue":"4","issued":{"date-parts":[["2006"]]},"page":"25-42","title":"Structuring the underlying relations among the knowledge management outcomes","type":"article-journal","volume":"10"},"suppress-author":1,"uris":["http://www.mendeley.com/documents/?uuid=050c029e-4cdc-43be-a3db-8042aea2fc27"]}],"mendeley":{"formattedCitation":"(2006)","plainTextFormattedCitation":"(2006)","previouslyFormattedCitation":"(2006)"},"properties":{"noteIndex":0},"schema":"https://github.com/citation-style-language/schema/raw/master/csl-citation.json"}</w:instrText>
      </w:r>
      <w:r w:rsidRPr="002A7627">
        <w:fldChar w:fldCharType="separate"/>
      </w:r>
      <w:r w:rsidRPr="002A7627">
        <w:rPr>
          <w:noProof/>
        </w:rPr>
        <w:t>(2006)</w:t>
      </w:r>
      <w:r w:rsidRPr="002A7627">
        <w:fldChar w:fldCharType="end"/>
      </w:r>
      <w:r w:rsidR="00905783">
        <w:t>,</w:t>
      </w:r>
      <w:r w:rsidRPr="002A7627">
        <w:t xml:space="preserve"> who found 26 benefits, and Choy et al. </w:t>
      </w:r>
      <w:r w:rsidR="007C79F2" w:rsidRPr="002A7627">
        <w:rPr>
          <w:noProof/>
        </w:rPr>
        <w:t>(2006)</w:t>
      </w:r>
      <w:r w:rsidR="00905783">
        <w:rPr>
          <w:noProof/>
        </w:rPr>
        <w:t>,</w:t>
      </w:r>
      <w:r w:rsidRPr="002A7627">
        <w:t xml:space="preserve"> who identified 38 benefits. However, most other studies have focused on a single benefit of knowledge management, such as improving performance, innovation or organizational effectiveness </w:t>
      </w:r>
      <w:r w:rsidRPr="002A7627">
        <w:fldChar w:fldCharType="begin" w:fldLock="1"/>
      </w:r>
      <w:r w:rsidR="004C27D4" w:rsidRPr="002A7627">
        <w:instrText>ADDIN CSL_CITATION {"citationItems":[{"id":"ITEM-1","itemData":{"DOI":"10.1016/J.APMRV.2017.07.010","ISSN":"1029-3132","abstract":"This research paper intends to explore and determine if organizations have strategies for tacit knowledge management which is expected to influence their organizational performance both tangibly and intangibly. The tacit knowledge management is derived from the fundamental knowledge creation dimensions namely socialization, externalization, combination and internalization (SECI model). A quantitative empirical research via survey questionnaires was conducted to fulfil the purpose of this research. The feedback from the respondents were statistically analyzed for demographic profile of respondents, goodness of data measured, reliability of the instrument used and hypotheses testing in determining the correlation between organizational performance and tacit knowledge. The outcome of the statistical analysis showed that tacit knowledge management has significant influence on organizational performance. However, among the four dimensions namely socialization, internalization, externalization and combination, only socialization and internalization contribute towards the significant influences of tacit knowledge management on organization performance. This research findings confirm the importance of knowledge creation and management, especially those of tacit knowledge, to both academics and practitioners. This is particularly important for those from top management of any organization, who are seeking to prosper and enhance their organizational performance for a better business function operations and return on investment.","author":[{"dropping-particle":"","family":"Muthuveloo","given":"Rajendran","non-dropping-particle":"","parse-names":false,"suffix":""},{"dropping-particle":"","family":"Shanmugam","given":"Narendran","non-dropping-particle":"","parse-names":false,"suffix":""},{"dropping-particle":"","family":"Teoh","given":"Ai Ping","non-dropping-particle":"","parse-names":false,"suffix":""}],"container-title":"Asia Pacific Management Review","id":"ITEM-1","issue":"4","issued":{"date-parts":[["2017","12","1"]]},"page":"192-201","publisher":"Elsevier","title":"The impact of tacit knowledge management on organizational performance: Evidence from Malaysia","type":"article-journal","volume":"22"},"uris":["http://www.mendeley.com/documents/?uuid=ec46e89d-7112-3aa3-941b-b3f91a3da0f8"]},{"id":"ITEM-2","itemData":{"DOI":"10.1108/JKM-12-2015-0521","ISBN":"1367-3270","ISSN":"1367-3270","PMID":"118869012","abstract":"Purpose This paper aims to examine the views of the global knowledge management (KM) community on the research area of KM and business performance and identify key future research themes. Design/methodology/approach An interview study spanning 222 informants in 38 countries was launched to collect data on KM expert views concerning the future research needs of the KM field. Findings The value contribution of KM requires more research despite experts agreeing on the complexities involved in solving this challenge. Further research areas identified were related to the influence of KM to support business strategy, intellectual capital, decision-making, knowledge sharing, organizational learning, innovation performance, productivity and competitive advantage. Research limitations/implications The sample is dominated by European-based KM experts and the self-selecting sampling approach that was used by relying on the networks of each partner could have biased the structure of this sample. Practical implications The recognition of the complexity to demonstrate the value contribution of KM could prevent practitioners from using over-simplified approaches and encourage them to use more advanced measurement approaches. Originality/value The paper is unique, in that it reports on the views of 222 KM experts from 38 countries representing both academia and practice, on the issue of future research needs in terms of KM and business outcomes. As such it provides valuable guidance for future studies in the KM field and related subjects.","author":[{"dropping-particle":"","family":"Heisig","given":"Peter","non-dropping-particle":"","parse-names":false,"suffix":""},{"dropping-particle":"","family":"Suraj","given":"Olunifesi Adekunle","non-dropping-particle":"","parse-names":false,"suffix":""},{"dropping-particle":"","family":"Kianto","given":"Aino","non-dropping-particle":"","parse-names":false,"suffix":""},{"dropping-particle":"","family":"Kemboi","given":"Cosmas","non-dropping-particle":"","parse-names":false,"suffix":""},{"dropping-particle":"","family":"Perez Arrau","given":"Gregorio","non-dropping-particle":"","parse-names":false,"suffix":""},{"dropping-particle":"","family":"Fathi Easa","given":"Nasser","non-dropping-particle":"","parse-names":false,"suffix":""}],"container-title":"Journal of Knowledge Management","id":"ITEM-2","issue":"6","issued":{"date-parts":[["2016"]]},"page":"1169-1198","title":"Knowledge management and business performance: Global experts’ views on future research needs","type":"article-journal","volume":"20"},"uris":["http://www.mendeley.com/documents/?uuid=08438de8-d160-40ed-b343-4eac4e45f4b9"]},{"id":"ITEM-3","itemData":{"DOI":"10.1016/j.giq.2015.06.002","ISSN":"0740624X","abstract":"In public administration, knowledge management (KM) is increasingly advocated for improving novelty and agility in policy development and service delivery. This study identifies factors influencing KM, theorizes their interaction effects based on the resource-based view, and assesses the impact of KM on organizational effectiveness. Physical resources invested specifically to promote KM (e.g., KM technology) are hypothesized to interact with organizational and human resources to influence public organizations' KM capability in capturing, sharing, applying, and creating knowledge. Data collected from 101 public organizations indicate that senior management championship, social capital, and employees' job expertise enhance the effectiveness of physical KM resources while organizational structure has a suppressing effect. Among them, senior management championship has the strongest enhancing effect. The findings also support the general expectation that developing a strong KM capability improves organizational effectiveness. Clarifying the interaction effects has important implications for the theoretical understanding of KM in public administration, while providing empirical evidence for the performance impact of KM informs public management.","author":[{"dropping-particle":"","family":"Pee","given":"L.G.","non-dropping-particle":"","parse-names":false,"suffix":""},{"dropping-particle":"","family":"Kankanhalli","given":"A.","non-dropping-particle":"","parse-names":false,"suffix":""}],"container-title":"Government Information Quarterly","id":"ITEM-3","issue":"1","issued":{"date-parts":[["2016","1","1"]]},"note":"findings also support the general expectation that developing a strong KM capability improves organizational effectiveness.","page":"188-199","title":"Interactions among factors influencing knowledge management in public-sector organizations: A resource-based view","type":"article-journal","volume":"33"},"uris":["http://www.mendeley.com/documents/?uuid=348a46f3-da8a-335d-b3f5-977129ba8f03"]}],"mendeley":{"formattedCitation":"(Heisig et al., 2016; Muthuveloo et al., 2017; Pee &amp; Kankanhalli, 2016)","plainTextFormattedCitation":"(Heisig et al., 2016; Muthuveloo et al., 2017; Pee &amp; Kankanhalli, 2016)","previouslyFormattedCitation":"(Heisig et al., 2016; Muthuveloo et al., 2017; Pee &amp; Kankanhalli, 2016)"},"properties":{"noteIndex":0},"schema":"https://github.com/citation-style-language/schema/raw/master/csl-citation.json"}</w:instrText>
      </w:r>
      <w:r w:rsidRPr="002A7627">
        <w:fldChar w:fldCharType="separate"/>
      </w:r>
      <w:r w:rsidR="00E24626" w:rsidRPr="002A7627">
        <w:rPr>
          <w:noProof/>
        </w:rPr>
        <w:t>(Heisig et al., 2016; Muthuveloo et al., 2017; Pee &amp; Kankanhalli, 2016)</w:t>
      </w:r>
      <w:r w:rsidRPr="002A7627">
        <w:fldChar w:fldCharType="end"/>
      </w:r>
      <w:r w:rsidRPr="002A7627">
        <w:t xml:space="preserve">. No studies have provided a comprehensive framework for knowledge management benefits that includes knowledge management initiatives or enablers and their impact on organizational learning and intangible knowledge management benefits or outcomes. Additionally, although a few studies have investigated a detailed knowledge management benefit, most used a </w:t>
      </w:r>
      <w:r w:rsidRPr="002A7627">
        <w:rPr>
          <w:rFonts w:eastAsia="Times New Roman"/>
        </w:rPr>
        <w:t xml:space="preserve">qualitative approach such as meta-synthesis </w:t>
      </w:r>
      <w:r w:rsidRPr="002A7627">
        <w:rPr>
          <w:rFonts w:eastAsia="Times New Roman"/>
        </w:rPr>
        <w:fldChar w:fldCharType="begin" w:fldLock="1"/>
      </w:r>
      <w:r w:rsidRPr="002A7627">
        <w:rPr>
          <w:rFonts w:eastAsia="Times New Roman"/>
        </w:rPr>
        <w:instrText>ADDIN CSL_CITATION {"citationItems":[{"id":"ITEM-1","itemData":{"DOI":"10.1108/JKM-05-2015-0166","ISBN":"1220140538","ISSN":"1367-3270","abstract":"Purpose – The paper aims to foster a better understanding of knowledge management (KM) benefits by integrating the qualitative findings of prior research under a multilayer conceptual framework. Design/methodology/approach – A meta-synthesis approach was conducted by adopting “Noblit and Hare’s” seven-step method. Findings – A breakdown structure for KM benefits which encompasses 3 “macro benefits” at Level 1, 7 “benefits” at Level 2 and 44 “micro benefits” at Level 3. Research limitations/implications – The main limitation is that this research does not provide criteria and measures to assess the benefits of KM. Practical implications – Organizations which intend to invest in KM can obtain a better insight about outcomes and benefits of implementingKMinitiatives. This study will provide those organizations which have already invested in KM with some ideas to evaluate their KM efforts qualitatively. Originality/value – Based on available data, this study is the first of its kind that has identified the benefits ofKMin three layers. Also, the number ofKMbenefits identified in this study is greater than that of any previous research.","author":[{"dropping-particle":"","family":"Yahyapour","given":"Shiva","non-dropping-particle":"","parse-names":false,"suffix":""},{"dropping-particle":"","family":"Shamizanjani","given":"Mehdi","non-dropping-particle":"","parse-names":false,"suffix":""},{"dropping-particle":"","family":"Mosakhani","given":"Mohammad","non-dropping-particle":"","parse-names":false,"suffix":""}],"container-title":"Journal of Knowledge Management","id":"ITEM-1","issue":"6","issued":{"date-parts":[["2015","10","12"]]},"page":"1295-1309","title":"A conceptual breakdown structure for knowledge management benefits using meta-synthesis method","type":"article-journal","volume":"19"},"uris":["http://www.mendeley.com/documents/?uuid=534d5029-a59c-4eb7-b595-6e3265aca0b8"]}],"mendeley":{"formattedCitation":"(Yahyapour et al., 2015)","plainTextFormattedCitation":"(Yahyapour et al., 2015)","previouslyFormattedCitation":"(Yahyapour et al., 2015)"},"properties":{"noteIndex":0},"schema":"https://github.com/citation-style-language/schema/raw/master/csl-citation.json"}</w:instrText>
      </w:r>
      <w:r w:rsidRPr="002A7627">
        <w:rPr>
          <w:rFonts w:eastAsia="Times New Roman"/>
        </w:rPr>
        <w:fldChar w:fldCharType="separate"/>
      </w:r>
      <w:r w:rsidRPr="002A7627">
        <w:rPr>
          <w:rFonts w:eastAsia="Times New Roman"/>
          <w:noProof/>
        </w:rPr>
        <w:t>(Yahyapour et al., 2015)</w:t>
      </w:r>
      <w:r w:rsidRPr="002A7627">
        <w:rPr>
          <w:rFonts w:eastAsia="Times New Roman"/>
        </w:rPr>
        <w:fldChar w:fldCharType="end"/>
      </w:r>
      <w:r w:rsidRPr="002A7627">
        <w:rPr>
          <w:rFonts w:eastAsia="Times New Roman"/>
        </w:rPr>
        <w:t>. This research</w:t>
      </w:r>
      <w:r w:rsidR="00054373" w:rsidRPr="002A7627">
        <w:rPr>
          <w:rFonts w:eastAsia="Times New Roman"/>
        </w:rPr>
        <w:t xml:space="preserve"> therefore </w:t>
      </w:r>
      <w:r w:rsidRPr="002A7627">
        <w:rPr>
          <w:rFonts w:eastAsia="Times New Roman"/>
        </w:rPr>
        <w:t xml:space="preserve">investigates a broader range of knowledge management benefits using a more quantitative method </w:t>
      </w:r>
      <w:r w:rsidRPr="002A7627">
        <w:rPr>
          <w:rFonts w:eastAsia="Times New Roman"/>
        </w:rPr>
        <w:fldChar w:fldCharType="begin" w:fldLock="1"/>
      </w:r>
      <w:r w:rsidR="00CB0956" w:rsidRPr="002A7627">
        <w:rPr>
          <w:rFonts w:eastAsia="Times New Roman"/>
        </w:rPr>
        <w:instrText>ADDIN CSL_CITATION {"citationItems":[{"id":"ITEM-1","itemData":{"DOI":"10.1108/JKM-11-2014-0466","ISBN":"1367-3270","ISSN":"17587484","PMID":"225424609","abstract":"Purpose ? This paper aims to review and critique the public sector knowledge management (KM) literature, offers an overview of the state of public sector KM research and outlines a future research agenda. Design/methodology/approach ? Articles published in KM journals are analyzed using a structured literature review methodology. The paper analyzes 180 papers published within ten journals specializing in the field of KM. Findings ? Public sector KM is a research area of growing importance. Findings show that few authors specialize in the field and there are several obstacles to developing a cohesive body of literature. Low levels of international cooperation among authors and international comparisons mean that the literature is fragmented. Some research topics and some geographical areas within the public sector theme are over-analyzed, while others are under-investigated. Additionally, academic researchers should re-think their methodological approach if they wish to make significant contributions to the literature and work toward developing research which impacts practice in conjunction with practitioners. Originality/value ? The paper presents a comprehensive structured literature review of the articles published in KM journals. The paper?s findings can offer insights into future research needs.","author":[{"dropping-particle":"","family":"Massaro","given":"Maurizio","non-dropping-particle":"","parse-names":false,"suffix":""},{"dropping-particle":"","family":"Dumay","given":"John","non-dropping-particle":"","parse-names":false,"suffix":""},{"dropping-particle":"","family":"Garlatti","given":"Andrea","non-dropping-particle":"","parse-names":false,"suffix":""}],"container-title":"Journal of Knowledge Management","id":"ITEM-1","issue":"3","issued":{"date-parts":[["2015"]]},"page":"530-558","title":"Public sector knowledge management: A structured literature review","type":"article-journal","volume":"19"},"uris":["http://www.mendeley.com/documents/?uuid=f81c58f4-a3a0-4d4a-b1be-7e678e94d759"]}],"mendeley":{"formattedCitation":"(Massaro et al., 2015)","manualFormatting":"(Massaro et al., 2015)","plainTextFormattedCitation":"(Massaro et al., 2015)","previouslyFormattedCitation":"(Massaro et al., 2015)"},"properties":{"noteIndex":0},"schema":"https://github.com/citation-style-language/schema/raw/master/csl-citation.json"}</w:instrText>
      </w:r>
      <w:r w:rsidRPr="002A7627">
        <w:rPr>
          <w:rFonts w:eastAsia="Times New Roman"/>
        </w:rPr>
        <w:fldChar w:fldCharType="separate"/>
      </w:r>
      <w:r w:rsidRPr="002A7627">
        <w:rPr>
          <w:rFonts w:eastAsia="Times New Roman"/>
          <w:noProof/>
        </w:rPr>
        <w:t>(Massaro et al., 2015)</w:t>
      </w:r>
      <w:r w:rsidRPr="002A7627">
        <w:rPr>
          <w:rFonts w:eastAsia="Times New Roman"/>
        </w:rPr>
        <w:fldChar w:fldCharType="end"/>
      </w:r>
      <w:r w:rsidRPr="002A7627">
        <w:rPr>
          <w:rFonts w:eastAsia="Times New Roman"/>
        </w:rPr>
        <w:t xml:space="preserve">. </w:t>
      </w:r>
    </w:p>
    <w:p w14:paraId="7D0D71CE" w14:textId="107FC710" w:rsidR="00EE00BF" w:rsidRPr="002A7627" w:rsidRDefault="00EE00BF" w:rsidP="002C4A1A">
      <w:pPr>
        <w:pStyle w:val="AAAAAAA"/>
      </w:pPr>
      <w:r w:rsidRPr="002A7627">
        <w:t xml:space="preserve">Many researchers have examined knowledge management drawing on their own backgrounds and areas of expertise. Few studies have </w:t>
      </w:r>
      <w:r w:rsidRPr="00976800">
        <w:rPr>
          <w:color w:val="000000" w:themeColor="text1"/>
        </w:rPr>
        <w:t xml:space="preserve">attempted to </w:t>
      </w:r>
      <w:r w:rsidR="009C67A3" w:rsidRPr="00976800">
        <w:rPr>
          <w:color w:val="000000" w:themeColor="text1"/>
        </w:rPr>
        <w:t>explore</w:t>
      </w:r>
      <w:r w:rsidRPr="00976800">
        <w:rPr>
          <w:color w:val="000000" w:themeColor="text1"/>
        </w:rPr>
        <w:t xml:space="preserve"> </w:t>
      </w:r>
      <w:r w:rsidRPr="002A7627">
        <w:t>the impact of all knowledge management benefits in a unified</w:t>
      </w:r>
      <w:r w:rsidR="00193A9C" w:rsidRPr="002A7627">
        <w:t>,</w:t>
      </w:r>
      <w:r w:rsidRPr="002A7627">
        <w:t xml:space="preserve"> comprehensive framework </w:t>
      </w:r>
      <w:r w:rsidRPr="002A7627">
        <w:fldChar w:fldCharType="begin" w:fldLock="1"/>
      </w:r>
      <w:r w:rsidRPr="002A7627">
        <w:instrText>ADDIN CSL_CITATION {"citationItems":[{"id":"ITEM-1","itemData":{"DOI":"10.1108/JKM-05-2015-0166","ISBN":"1220140538","ISSN":"1367-3270","abstract":"Purpose – The paper aims to foster a better understanding of knowledge management (KM) benefits by integrating the qualitative findings of prior research under a multilayer conceptual framework. Design/methodology/approach – A meta-synthesis approach was conducted by adopting “Noblit and Hare’s” seven-step method. Findings – A breakdown structure for KM benefits which encompasses 3 “macro benefits” at Level 1, 7 “benefits” at Level 2 and 44 “micro benefits” at Level 3. Research limitations/implications – The main limitation is that this research does not provide criteria and measures to assess the benefits of KM. Practical implications – Organizations which intend to invest in KM can obtain a better insight about outcomes and benefits of implementingKMinitiatives. This study will provide those organizations which have already invested in KM with some ideas to evaluate their KM efforts qualitatively. Originality/value – Based on available data, this study is the first of its kind that has identified the benefits ofKMin three layers. Also, the number ofKMbenefits identified in this study is greater than that of any previous research.","author":[{"dropping-particle":"","family":"Yahyapour","given":"Shiva","non-dropping-particle":"","parse-names":false,"suffix":""},{"dropping-particle":"","family":"Shamizanjani","given":"Mehdi","non-dropping-particle":"","parse-names":false,"suffix":""},{"dropping-particle":"","family":"Mosakhani","given":"Mohammad","non-dropping-particle":"","parse-names":false,"suffix":""}],"container-title":"Journal of Knowledge Management","id":"ITEM-1","issue":"6","issued":{"date-parts":[["2015","10","12"]]},"page":"1295-1309","title":"A conceptual breakdown structure for knowledge management benefits using meta-synthesis method","type":"article-journal","volume":"19"},"uris":["http://www.mendeley.com/documents/?uuid=534d5029-a59c-4eb7-b595-6e3265aca0b8"]}],"mendeley":{"formattedCitation":"(Yahyapour et al., 2015)","plainTextFormattedCitation":"(Yahyapour et al., 2015)","previouslyFormattedCitation":"(Yahyapour et al., 2015)"},"properties":{"noteIndex":0},"schema":"https://github.com/citation-style-language/schema/raw/master/csl-citation.json"}</w:instrText>
      </w:r>
      <w:r w:rsidRPr="002A7627">
        <w:fldChar w:fldCharType="separate"/>
      </w:r>
      <w:r w:rsidRPr="002A7627">
        <w:rPr>
          <w:noProof/>
        </w:rPr>
        <w:t>(Yahyapour et al., 2015)</w:t>
      </w:r>
      <w:r w:rsidRPr="002A7627">
        <w:fldChar w:fldCharType="end"/>
      </w:r>
      <w:r w:rsidRPr="002A7627">
        <w:t xml:space="preserve">. Little research has been done to measure knowledge management benefits, particularly non-financial benefits </w:t>
      </w:r>
      <w:r w:rsidRPr="002A7627">
        <w:fldChar w:fldCharType="begin" w:fldLock="1"/>
      </w:r>
      <w:r w:rsidR="00C41F2A" w:rsidRPr="002A7627">
        <w:instrText>ADDIN CSL_CITATION {"citationItems":[{"id":"ITEM-1","itemData":{"DOI":"10.1108/13673271211246185","ISBN":"1367327121","ISSN":"1367-3270","PMID":"1023897605","abstract":"Structured Abstract: Purpose – While nowadays an extensive literature promoting knowledge management (KM) exists, there is a worrying shortage of empirical studies demonstrating an actual connection between KM activities and organizational outcomes. To bridge this gap, we examine the link between KM practices, firm competitiveness and economic performance. Design/methodology/approach – This paper proposes a framework of KM practices consisting of HRM and ICT. These both are hypothesised to impact competitiveness and economic performance of the firm. Hypotheses are then tested with structural equation modelling by using a survey dataset of 234 companies. Findings – The results show that HRM and ICT practices for managing knowledge are quite strongly correlated and have a statistically significant influence on both financial performance and competitiveness of the firm. The findings also indicate that ICT practices improve financial performance only when they are coupled with HRM practices. Research limitations – The data is limited to companies from Finland, Russia and China. Originality/value – This paper contributes to the literature on knowledge-based organizing by empirically analyzing the performance impact of various areas of KM. It thereby tests the proposition put forth in many previous theoretical and case-based studies that KM promotes high 'This article is © Emerald Group Publishing and permission has been granted for this version to appear here Practical implications – The paper contributes to managerial practice by pointing out the importance of utilizing a combination of both social and technical means for KM and illustrating that they do matter for the company bottom line.","author":[{"dropping-particle":"","family":"Andreeva","given":"Tatiana","non-dropping-particle":"","parse-names":false,"suffix":""},{"dropping-particle":"","family":"Kianto","given":"Aino","non-dropping-particle":"","parse-names":false,"suffix":""}],"container-title":"Journal of Knowledge Management","editor":[{"dropping-particle":"","family":"Schiuma","given":"Giovanni","non-dropping-particle":"","parse-names":false,"suffix":""}],"id":"ITEM-1","issue":"4","issued":{"date-parts":[["2012","7","13"]]},"page":"617-636","title":"Does knowledge management really matter? Linking knowledge management practices, competitiveness and economic performance","type":"article-journal","volume":"16"},"uris":["http://www.mendeley.com/documents/?uuid=957e032d-4a89-4923-906c-ac8173c1f799"]}],"mendeley":{"formattedCitation":"(Andreeva &amp; Kianto, 2012)","manualFormatting":"(Andreeva &amp; Kianto, 2012; Durham &amp; Kennedy, 1997; Marr et al., 2004)","plainTextFormattedCitation":"(Andreeva &amp; Kianto, 2012)","previouslyFormattedCitation":"(Andreeva &amp; Kianto, 2012)"},"properties":{"noteIndex":0},"schema":"https://github.com/citation-style-language/schema/raw/master/csl-citation.json"}</w:instrText>
      </w:r>
      <w:r w:rsidRPr="002A7627">
        <w:fldChar w:fldCharType="separate"/>
      </w:r>
      <w:r w:rsidRPr="002A7627">
        <w:rPr>
          <w:noProof/>
        </w:rPr>
        <w:t>(Andreeva &amp; Kianto, 2012</w:t>
      </w:r>
      <w:r w:rsidRPr="002A7627">
        <w:rPr>
          <w:noProof/>
        </w:rPr>
        <w:fldChar w:fldCharType="begin" w:fldLock="1"/>
      </w:r>
      <w:r w:rsidR="00A200C2" w:rsidRPr="002A7627">
        <w:rPr>
          <w:noProof/>
        </w:rPr>
        <w:instrText>ADDIN CSL_CITATION {"citationItems":[{"id":"ITEM-1","itemData":{"DOI":"10.1108/14637150410559225","ISBN":"1463715041055","ISSN":"1463-7154","abstract":"Measuring intellectual capital is on the agenda of most 21st century organisations. This paper takes a knowledge-based view of the firm and discusses the importance of measuring organizational knowledge assets. Knowledge assets underpin capabilities and core competencies of any organisation. Therefore, they play a key strategic role and need to be measured. This paper reviews the existing approaches for measuring knowledge based assets and then introduces the knowledge asset map which integrates existing approaches in order to achieve comprehensiveness. The paper then introduces the knowledge asset dashboard to clarify the important actor/infrastructure relationship, which elucidates the dynamic nature of these assets. Finally, the paper suggests to visualise the value pathways of knowledge assets before designing strategic key performance indicators which can then be used to test the assumed causal relationships. This will enable organisations to manage and report these key value drivers in today's economy. [PUBLICATION ABSTRACT]","author":[{"dropping-particle":"","family":"Marr","given":"Bernard","non-dropping-particle":"","parse-names":false,"suffix":""},{"dropping-particle":"","family":"Schiuma","given":"Gianni","non-dropping-particle":"","parse-names":false,"suffix":""},{"dropping-particle":"","family":"Neely","given":"Andy","non-dropping-particle":"","parse-names":false,"suffix":""}],"container-title":"Business Process Management Journal","id":"ITEM-1","issue":"5","issued":{"date-parts":[["2004","10"]]},"page":"551-569","title":"Intellectual capital – defining key performance indicators for organizational knowledge assets","type":"article-journal","volume":"10"},"uris":["http://www.mendeley.com/documents/?uuid=4e4b7c7d-f72c-48d0-978d-ec9dfca27294"]},{"id":"ITEM-2","itemData":{"DOI":"0887308414","ISBN":"0887308414","ISSN":"09574174","PMID":"4473606","abstract":"One of the greatest challenges facing any business today is the gap between its balance sheet and its market valuation. This gap, representing the bulk of a company's true value, consists of indirect assets -- organizational knowledge, customer satisfaction, product innovation, employee morale, patents, and trademarks -- that never appear in its financial reports.Only in the last few years have companies and academics around the world tackled the challenge of measuring this \"Intellectual Capital.\" And no company has taken IC measurement as far as the Swedish financial services company Skandia, which in 1995 published the world's first IC annual report. The executive who led the team, the first-ever director of Intellectual Capital, was Leif Edvinsson.Now Edvinsson has teamed up with noted business author Michael S. Malone to write the first book that explains the workings of IC measurement and its usefulness to the modern corporation. Intellectual Capital is also the first book ever to present a universal IC measurement and reporting system.And that's only the beginning. The authors also show how IC measurement can be used in any organization, including government agencies and nonprofit institutions; they present a simple new measure as a yardstick to compare the IC value and efficiency of different organizations; and finally, they propose a new kind of IC \"stock market\" exchange.Intellectual Capital will transform the nature of doing business by establishing the real value of enterprises for those who manage them, work in them, and invest in them. The result will be a revolutionary transformation of the modern economy.Highly readable and engaging, Intellectual Capital will prove to be one of the landmark business books of this decade.","author":[{"dropping-particle":"","family":"Durham","given":"Kenneth","non-dropping-particle":"","parse-names":false,"suffix":""},{"dropping-particle":"","family":"Kennedy","given":"Bruce","non-dropping-particle":"","parse-names":false,"suffix":""}],"container-title":"Reaseacrh Technology Management","id":"ITEM-2","issue":"5","issued":{"date-parts":[["1997"]]},"page":"59","title":"Intellectual capital : Realizing your company's true value by finding its hidden brainpower","type":"article-journal","volume":"40"},"uris":["http://www.mendeley.com/documents/?uuid=69b4ad11-8fb0-4308-ad9e-17a2d790d66b"]}],"mendeley":{"formattedCitation":"(Durham &amp; Kennedy, 1997; Marr et al., 2004)","manualFormatting":"; Durham &amp; Kennedy, 1997; Marr et al., 2004","plainTextFormattedCitation":"(Durham &amp; Kennedy, 1997; Marr et al., 2004)","previouslyFormattedCitation":"(Durham &amp; Kennedy, 1997; Marr et al., 2004)"},"properties":{"noteIndex":0},"schema":"https://github.com/citation-style-language/schema/raw/master/csl-citation.json"}</w:instrText>
      </w:r>
      <w:r w:rsidRPr="002A7627">
        <w:rPr>
          <w:noProof/>
        </w:rPr>
        <w:fldChar w:fldCharType="separate"/>
      </w:r>
      <w:r w:rsidRPr="002A7627">
        <w:rPr>
          <w:noProof/>
        </w:rPr>
        <w:t>; Durham &amp; Kennedy, 1997; Marr</w:t>
      </w:r>
      <w:r w:rsidR="00A200C2" w:rsidRPr="002A7627">
        <w:rPr>
          <w:noProof/>
        </w:rPr>
        <w:t xml:space="preserve"> </w:t>
      </w:r>
      <w:r w:rsidR="00A200C2" w:rsidRPr="002A7627">
        <w:rPr>
          <w:noProof/>
          <w:lang w:bidi="fa-IR"/>
        </w:rPr>
        <w:t>et al.</w:t>
      </w:r>
      <w:r w:rsidRPr="002A7627">
        <w:rPr>
          <w:noProof/>
        </w:rPr>
        <w:t>, 2004</w:t>
      </w:r>
      <w:r w:rsidRPr="002A7627">
        <w:rPr>
          <w:noProof/>
        </w:rPr>
        <w:fldChar w:fldCharType="end"/>
      </w:r>
      <w:r w:rsidRPr="002A7627">
        <w:rPr>
          <w:noProof/>
        </w:rPr>
        <w:t>)</w:t>
      </w:r>
      <w:r w:rsidRPr="002A7627">
        <w:fldChar w:fldCharType="end"/>
      </w:r>
      <w:r w:rsidRPr="002A7627">
        <w:t xml:space="preserve"> such as learning, introducing new products, solving problems and creativity. In a knowledge-based economy, it is important to consider </w:t>
      </w:r>
      <w:r w:rsidRPr="00976800">
        <w:rPr>
          <w:color w:val="000000" w:themeColor="text1"/>
        </w:rPr>
        <w:t>both financial and non-financial performance</w:t>
      </w:r>
      <w:r w:rsidRPr="002A7627">
        <w:t xml:space="preserve">, because financial measures alone cannot assess intellectual capital or the contribution of human resources, which are an important part of organizational </w:t>
      </w:r>
      <w:r w:rsidRPr="002A7627">
        <w:lastRenderedPageBreak/>
        <w:t xml:space="preserve">value </w:t>
      </w:r>
      <w:r w:rsidR="00E24626" w:rsidRPr="002A7627">
        <w:rPr>
          <w:noProof/>
        </w:rPr>
        <w:t xml:space="preserve">(Choy &amp; </w:t>
      </w:r>
      <w:r w:rsidR="0059614D">
        <w:rPr>
          <w:noProof/>
        </w:rPr>
        <w:t>Suk</w:t>
      </w:r>
      <w:r w:rsidR="00E24626" w:rsidRPr="002A7627">
        <w:rPr>
          <w:noProof/>
        </w:rPr>
        <w:t>, 2005)</w:t>
      </w:r>
      <w:r w:rsidRPr="002A7627">
        <w:t xml:space="preserve">. Most knowledge management research has also </w:t>
      </w:r>
      <w:r w:rsidR="00905783">
        <w:t>focused on</w:t>
      </w:r>
      <w:r w:rsidRPr="002A7627">
        <w:t xml:space="preserve"> the private sector </w:t>
      </w:r>
      <w:r w:rsidRPr="002A7627">
        <w:fldChar w:fldCharType="begin" w:fldLock="1"/>
      </w:r>
      <w:r w:rsidR="007C79F2" w:rsidRPr="002A7627">
        <w:instrText>ADDIN CSL_CITATION {"citationItems":[{"id":"ITEM-1","itemData":{"DOI":"10.1108/13673270610679345","ISBN":"1367-3270","ISSN":"1367-3270","PMID":"230309068","abstract":"Purpose - This study aims to identify a set of criteria to assess the effectiveness of knowledge management (KM) and to understand how these criteria inter-relate with one another. From a research and practitioner's perspective, the study seeks to study how to expand these criteria to develop measures. Design/methodology/approach - The research methodology is based on literature review to determine a list of KM outcomes followed by the Delphi technique and survey questionnaire methods. The findings of the Delphi were used to supplement literature review findings. Both these results were used to develop the survey questionnaire. Survey-based research, which used a questionnaire targeting knowledge management professionals as respondents, was aimed at establishing criteria for assessing knowledge management success. Findings - Using the criteria based on survey results, a computer-assisted model is used to understand the shared underlying organizational framework in which KM operates and to identify how these criteria were linked. These relations should be explored and utilized to improve organizational performance. Research limitations/implications - Some of the limitations of this original research are limited number of experts participating in the study. Also, about 48 percent of the survey respondents represent for-profit organizations and thus, research results may be biased towards for-profit organizations. Future research should focus on translating the soft measures of knowledge management into detailed metrics. Originality/value - This is an academic research paper providing information on the underlying relations among KM outcomes. [PUBLICATION ABSTRACT]","author":[{"dropping-particle":"","family":"Anantatmula","given":"Vittal S.","non-dropping-particle":"","parse-names":false,"suffix":""},{"dropping-particle":"","family":"Kanungo","given":"Shivraj","non-dropping-particle":"","parse-names":false,"suffix":""}],"container-title":"Journal of Knowledge Management","id":"ITEM-1","issue":"4","issued":{"date-parts":[["2006"]]},"page":"25-42","title":"Structuring the underlying relations among the knowledge management outcomes","type":"article-journal","volume":"10"},"uris":["http://www.mendeley.com/documents/?uuid=050c029e-4cdc-43be-a3db-8042aea2fc27"]},{"id":"ITEM-2","itemData":{"DOI":"10.1108/02635570610688850","ISSN":"0263-5577","abstract":"Criteria for measuring KM performance outcomes in organisations","author":[{"dropping-particle":"","family":"Choy","given":"Chong Siong","non-dropping-particle":"","parse-names":false,"suffix":""},{"dropping-particle":"","family":"Yew","given":"Wong Kuan","non-dropping-particle":"","parse-names":false,"suffix":""},{"dropping-particle":"","family":"Lin","given":"Binshan","non-dropping-particle":"","parse-names":false,"suffix":""}],"container-title":"Industrial Management and Data Systems","id":"ITEM-2","issue":"7","issued":{"date-parts":[["2006","8"]]},"page":"917-936","title":"Criteria for measuring KM performance outcomes in organisations","type":"article-journal","volume":"106"},"uris":["http://www.mendeley.com/documents/?uuid=7e3cc852-ba42-42df-973e-99abed53d35f"]},{"id":"ITEM-3","itemData":{"DOI":"10.1108/13673271211262763","ISBN":"1367327121","ISSN":"1367-3270","author":[{"dropping-particle":"","family":"Siddique","given":"C. Muhammed","non-dropping-particle":"","parse-names":false,"suffix":""}],"container-title":"Journal of Knowledge Management","id":"ITEM-3","issue":"5","issued":{"date-parts":[["2012","9","7"]]},"page":"702-723","title":"Knowledge management initiatives in the United Arab Emirates: A baseline study","type":"article-journal","volume":"16"},"uris":["http://www.mendeley.com/documents/?uuid=4416d806-e6e9-49fa-a6ff-2917a0c3d074"]},{"id":"ITEM-4","itemData":{"DOI":"10.1108/13673271211246185","ISBN":"1367327121","ISSN":"1367-3270","PMID":"1023897605","abstract":"Structured Abstract: Purpose – While nowadays an extensive literature promoting knowledge management (KM) exists, there is a worrying shortage of empirical studies demonstrating an actual connection between KM activities and organizational outcomes. To bridge this gap, we examine the link between KM practices, firm competitiveness and economic performance. Design/methodology/approach – This paper proposes a framework of KM practices consisting of HRM and ICT. These both are hypothesised to impact competitiveness and economic performance of the firm. Hypotheses are then tested with structural equation modelling by using a survey dataset of 234 companies. Findings – The results show that HRM and ICT practices for managing knowledge are quite strongly correlated and have a statistically significant influence on both financial performance and competitiveness of the firm. The findings also indicate that ICT practices improve financial performance only when they are coupled with HRM practices. Research limitations – The data is limited to companies from Finland, Russia and China. Originality/value – This paper contributes to the literature on knowledge-based organizing by empirically analyzing the performance impact of various areas of KM. It thereby tests the proposition put forth in many previous theoretical and case-based studies that KM promotes high 'This article is © Emerald Group Publishing and permission has been granted for this version to appear here Practical implications – The paper contributes to managerial practice by pointing out the importance of utilizing a combination of both social and technical means for KM and illustrating that they do matter for the company bottom line.","author":[{"dropping-particle":"","family":"Andreeva","given":"Tatiana","non-dropping-particle":"","parse-names":false,"suffix":""},{"dropping-particle":"","family":"Kianto","given":"Aino","non-dropping-particle":"","parse-names":false,"suffix":""}],"container-title":"Journal of Knowledge Management","editor":[{"dropping-particle":"","family":"Schiuma","given":"Giovanni","non-dropping-particle":"","parse-names":false,"suffix":""}],"id":"ITEM-4","issue":"4","issued":{"date-parts":[["2012","7","13"]]},"page":"617-636","title":"Does knowledge management really matter? Linking knowledge management practices, competitiveness and economic performance","type":"article-journal","volume":"16"},"uris":["http://www.mendeley.com/documents/?uuid=957e032d-4a89-4923-906c-ac8173c1f799"]},{"id":"ITEM-5","itemData":{"DOI":"10.1016/j.ijpe.2014.04.009","ISSN":"09255273","abstract":"Nowadays, the business environment has become more turbulent and more competitive; hence, supplier relationships have become strategic assets for firm survival. Furthermore, this relationship has become an important issue for understanding how firms apply knowledge management capabilities (KMC) to initiate, enhance, and maintain supplier relationships, as well as enhance corporate performance. However, few attempts have been made to explore the relation between KMC, supplier relationship management (SRM) and corporate performance. To address this lack of knowledge, the present study employed a questionnaire and statistical analytical techniques to explore the impact of KMC and SRM on corporate performance. Results indicate that KMC has a positive influence on corporate performance, while SRM is the partial intervening variable between KMC and corporate performance. This approach provides valuable suggestions that allow firms to better their KMC and enhance their supplier relationships and corporate performance. © 2014 Elsevier B.V.","author":[{"dropping-particle":"","family":"Tseng","given":"Shu-Mei","non-dropping-particle":"","parse-names":false,"suffix":""}],"container-title":"International Journal of Production Economics","id":"ITEM-5","issued":{"date-parts":[["2014","8"]]},"page":"39-47","title":"The impact of knowledge management capabilities and supplier relationship management on corporate performance","type":"article-journal","volume":"154"},"uris":["http://www.mendeley.com/documents/?uuid=28a3d79f-6186-44a7-b599-1c2d55a90b16"]},{"id":"ITEM-6","itemData":{"DOI":"10.1108/JKM-05-2015-0166","ISBN":"1220140538","ISSN":"1367-3270","abstract":"Purpose – The paper aims to foster a better understanding of knowledge management (KM) benefits by integrating the qualitative findings of prior research under a multilayer conceptual framework. Design/methodology/approach – A meta-synthesis approach was conducted by adopting “Noblit and Hare’s” seven-step method. Findings – A breakdown structure for KM benefits which encompasses 3 “macro benefits” at Level 1, 7 “benefits” at Level 2 and 44 “micro benefits” at Level 3. Research limitations/implications – The main limitation is that this research does not provide criteria and measures to assess the benefits of KM. Practical implications – Organizations which intend to invest in KM can obtain a better insight about outcomes and benefits of implementingKMinitiatives. This study will provide those organizations which have already invested in KM with some ideas to evaluate their KM efforts qualitatively. Originality/value – Based on available data, this study is the first of its kind that has identified the benefits ofKMin three layers. Also, the number ofKMbenefits identified in this study is greater than that of any previous research.","author":[{"dropping-particle":"","family":"Yahyapour","given":"Shiva","non-dropping-particle":"","parse-names":false,"suffix":""},{"dropping-particle":"","family":"Shamizanjani","given":"Mehdi","non-dropping-particle":"","parse-names":false,"suffix":""},{"dropping-particle":"","family":"Mosakhani","given":"Mohammad","non-dropping-particle":"","parse-names":false,"suffix":""}],"container-title":"Journal of Knowledge Management","id":"ITEM-6","issue":"6","issued":{"date-parts":[["2015","10","12"]]},"page":"1295-1309","title":"A conceptual breakdown structure for knowledge management benefits using meta-synthesis method","type":"article-journal","volume":"19"},"uris":["http://www.mendeley.com/documents/?uuid=534d5029-a59c-4eb7-b595-6e3265aca0b8"]},{"id":"ITEM-7","itemData":{"DOI":"10.1108/JKM-12-2015-0521","ISBN":"1367-3270","ISSN":"1367-3270","PMID":"118869012","abstract":"Purpose This paper aims to examine the views of the global knowledge management (KM) community on the research area of KM and business performance and identify key future research themes. Design/methodology/approach An interview study spanning 222 informants in 38 countries was launched to collect data on KM expert views concerning the future research needs of the KM field. Findings The value contribution of KM requires more research despite experts agreeing on the complexities involved in solving this challenge. Further research areas identified were related to the influence of KM to support business strategy, intellectual capital, decision-making, knowledge sharing, organizational learning, innovation performance, productivity and competitive advantage. Research limitations/implications The sample is dominated by European-based KM experts and the self-selecting sampling approach that was used by relying on the networks of each partner could have biased the structure of this sample. Practical implications The recognition of the complexity to demonstrate the value contribution of KM could prevent practitioners from using over-simplified approaches and encourage them to use more advanced measurement approaches. Originality/value The paper is unique, in that it reports on the views of 222 KM experts from 38 countries representing both academia and practice, on the issue of future research needs in terms of KM and business outcomes. As such it provides valuable guidance for future studies in the KM field and related subjects.","author":[{"dropping-particle":"","family":"Heisig","given":"Peter","non-dropping-particle":"","parse-names":false,"suffix":""},{"dropping-particle":"","family":"Suraj","given":"Olunifesi Adekunle","non-dropping-particle":"","parse-names":false,"suffix":""},{"dropping-particle":"","family":"Kianto","given":"Aino","non-dropping-particle":"","parse-names":false,"suffix":""},{"dropping-particle":"","family":"Kemboi","given":"Cosmas","non-dropping-particle":"","parse-names":false,"suffix":""},{"dropping-particle":"","family":"Perez Arrau","given":"Gregorio","non-dropping-particle":"","parse-names":false,"suffix":""},{"dropping-particle":"","family":"Fathi Easa","given":"Nasser","non-dropping-particle":"","parse-names":false,"suffix":""}],"container-title":"Journal of Knowledge Management","id":"ITEM-7","issue":"6","issued":{"date-parts":[["2016"]]},"page":"1169-1198","title":"Knowledge management and business performance: Global experts’ views on future research needs","type":"article-journal","volume":"20"},"uris":["http://www.mendeley.com/documents/?uuid=08438de8-d160-40ed-b343-4eac4e45f4b9"]},{"id":"ITEM-8","itemData":{"DOI":"10.1016/J.APMRV.2017.07.010","ISSN":"1029-3132","abstract":"This research paper intends to explore and determine if organizations have strategies for tacit knowledge management which is expected to influence their organizational performance both tangibly and intangibly. The tacit knowledge management is derived from the fundamental knowledge creation dimensions namely socialization, externalization, combination and internalization (SECI model). A quantitative empirical research via survey questionnaires was conducted to fulfil the purpose of this research. The feedback from the respondents were statistically analyzed for demographic profile of respondents, goodness of data measured, reliability of the instrument used and hypotheses testing in determining the correlation between organizational performance and tacit knowledge. The outcome of the statistical analysis showed that tacit knowledge management has significant influence on organizational performance. However, among the four dimensions namely socialization, internalization, externalization and combination, only socialization and internalization contribute towards the significant influences of tacit knowledge management on organization performance. This research findings confirm the importance of knowledge creation and management, especially those of tacit knowledge, to both academics and practitioners. This is particularly important for those from top management of any organization, who are seeking to prosper and enhance their organizational performance for a better business function operations and return on investment.","author":[{"dropping-particle":"","family":"Muthuveloo","given":"Rajendran","non-dropping-particle":"","parse-names":false,"suffix":""},{"dropping-particle":"","family":"Shanmugam","given":"Narendran","non-dropping-particle":"","parse-names":false,"suffix":""},{"dropping-particle":"","family":"Teoh","given":"Ai Ping","non-dropping-particle":"","parse-names":false,"suffix":""}],"container-title":"Asia Pacific Management Review","id":"ITEM-8","issue":"4","issued":{"date-parts":[["2017","12","1"]]},"page":"192-201","publisher":"Elsevier","title":"The impact of tacit knowledge management on organizational performance: Evidence from Malaysia","type":"article-journal","volume":"22"},"uris":["http://www.mendeley.com/documents/?uuid=ec46e89d-7112-3aa3-941b-b3f91a3da0f8"]},{"id":"ITEM-9","itemData":{"author":[{"dropping-particle":"","family":"Vorobyova","given":"K.","non-dropping-particle":"","parse-names":false,"suffix":""},{"dropping-particle":"","family":"Raju","given":"V.","non-dropping-particle":"","parse-names":false,"suffix":""}],"container-title":"PEOPLE: International Journal of Social Sciences","id":"ITEM-9","issue":"3","issued":{"date-parts":[["2018"]]},"page":"396-404","title":"Knowledge management and organizational effectiveness as a successful path to globalization for small and medium enterprises","type":"article-journal","volume":"4"},"uris":["http://www.mendeley.com/documents/?uuid=218429ff-ac82-39ee-af9d-7958bfcfc9f3"]}],"mendeley":{"formattedCitation":"(Anantatmula &amp; Kanungo, 2006; Andreeva &amp; Kianto, 2012; Choy et al., 2006; Heisig et al., 2016; Muthuveloo et al., 2017; Siddique, 2012; Tseng, 2014; Vorobyova &amp; Raju, 2018; Yahyapour et al., 2015)","plainTextFormattedCitation":"(Anantatmula &amp; Kanungo, 2006; Andreeva &amp; Kianto, 2012; Choy et al., 2006; Heisig et al., 2016; Muthuveloo et al., 2017; Siddique, 2012; Tseng, 2014; Vorobyova &amp; Raju, 2018; Yahyapour et al., 2015)","previouslyFormattedCitation":"(Anantatmula &amp; Kanungo, 2006; Andreeva &amp; Kianto, 2012; Choy et al., 2006; Heisig et al., 2016; Muthuveloo et al., 2017; Siddique, 2012; Tseng, 2014; Vorobyova &amp; Raju, 2018; Yahyapour et al., 2015)"},"properties":{"noteIndex":0},"schema":"https://github.com/citation-style-language/schema/raw/master/csl-citation.json"}</w:instrText>
      </w:r>
      <w:r w:rsidRPr="002A7627">
        <w:fldChar w:fldCharType="separate"/>
      </w:r>
      <w:r w:rsidR="004C27D4" w:rsidRPr="002A7627">
        <w:rPr>
          <w:noProof/>
        </w:rPr>
        <w:t>(Anantatmula &amp; Kanungo, 2006; Andreeva &amp; Kianto, 2012; Choy et al., 2006; Heisig et al., 2016; Muthuveloo et al., 2017; Siddique, 2012; Tseng, 2014; Vorobyova &amp; Raju, 2018; Yahyapour et al., 2015)</w:t>
      </w:r>
      <w:r w:rsidRPr="002A7627">
        <w:fldChar w:fldCharType="end"/>
      </w:r>
      <w:r w:rsidRPr="002A7627">
        <w:t>. It is</w:t>
      </w:r>
      <w:r w:rsidR="00054373" w:rsidRPr="002A7627">
        <w:t xml:space="preserve"> therefore </w:t>
      </w:r>
      <w:r w:rsidRPr="002A7627">
        <w:t xml:space="preserve">important to investigate knowledge management benefits in public and service-focused sectors and propose suitable indicators to measure knowledge management benefits. </w:t>
      </w:r>
    </w:p>
    <w:p w14:paraId="07D3F76E" w14:textId="4259D7C4" w:rsidR="00EE00BF" w:rsidRPr="002A7627" w:rsidRDefault="00D45FE9" w:rsidP="0017121F">
      <w:pPr>
        <w:pStyle w:val="Heading1"/>
        <w:rPr>
          <w:color w:val="000000"/>
        </w:rPr>
      </w:pPr>
      <w:bookmarkStart w:id="100" w:name="_Toc13959623"/>
      <w:bookmarkStart w:id="101" w:name="_Toc22331656"/>
      <w:r>
        <w:rPr>
          <w:color w:val="000000"/>
        </w:rPr>
        <w:t xml:space="preserve">2.5. </w:t>
      </w:r>
      <w:r w:rsidR="00EE00BF" w:rsidRPr="002A7627">
        <w:rPr>
          <w:color w:val="000000"/>
        </w:rPr>
        <w:t xml:space="preserve">Organizational </w:t>
      </w:r>
      <w:r w:rsidR="0084184C" w:rsidRPr="002A7627">
        <w:rPr>
          <w:color w:val="000000"/>
        </w:rPr>
        <w:t>Learning</w:t>
      </w:r>
      <w:bookmarkEnd w:id="100"/>
      <w:bookmarkEnd w:id="101"/>
      <w:r w:rsidR="0084184C" w:rsidRPr="002A7627">
        <w:rPr>
          <w:color w:val="000000"/>
        </w:rPr>
        <w:t xml:space="preserve"> </w:t>
      </w:r>
    </w:p>
    <w:p w14:paraId="69C7F9B8" w14:textId="14222FBD" w:rsidR="00EE00BF" w:rsidRPr="002A7627" w:rsidRDefault="00EE00BF" w:rsidP="002C4A1A">
      <w:pPr>
        <w:pStyle w:val="AAAAAAA"/>
        <w:rPr>
          <w:rFonts w:eastAsiaTheme="minorEastAsia"/>
        </w:rPr>
      </w:pPr>
      <w:r w:rsidRPr="002A7627">
        <w:t xml:space="preserve">Knowledge management aims to establish a learning environment that promotes knowledge sharing </w:t>
      </w:r>
      <w:r w:rsidRPr="002A7627">
        <w:fldChar w:fldCharType="begin" w:fldLock="1"/>
      </w:r>
      <w:r w:rsidRPr="002A7627">
        <w:instrText>ADDIN CSL_CITATION {"citationItems":[{"id":"ITEM-1","itemData":{"author":[{"dropping-particle":"","family":"Dalkir","given":"K.","non-dropping-particle":"","parse-names":false,"suffix":""}],"id":"ITEM-1","issued":{"date-parts":[["2017"]]},"publisher":"Massachusetts Institute of Technology","publisher-place":"Cambridge, MA","title":"Knowledge management in theory and practice","type":"book"},"uris":["http://www.mendeley.com/documents/?uuid=7919d89b-6c2d-467b-b622-402430e489b6"]}],"mendeley":{"formattedCitation":"(Dalkir, 2017)","plainTextFormattedCitation":"(Dalkir, 2017)","previouslyFormattedCitation":"(Dalkir, 2017)"},"properties":{"noteIndex":0},"schema":"https://github.com/citation-style-language/schema/raw/master/csl-citation.json"}</w:instrText>
      </w:r>
      <w:r w:rsidRPr="002A7627">
        <w:fldChar w:fldCharType="separate"/>
      </w:r>
      <w:r w:rsidRPr="002A7627">
        <w:rPr>
          <w:noProof/>
        </w:rPr>
        <w:t>(Dalkir, 2017)</w:t>
      </w:r>
      <w:r w:rsidRPr="002A7627">
        <w:fldChar w:fldCharType="end"/>
      </w:r>
      <w:r w:rsidRPr="002A7627">
        <w:t xml:space="preserve">. Learning can occur at both individual and organizational levels </w:t>
      </w:r>
      <w:r w:rsidRPr="002A7627">
        <w:fldChar w:fldCharType="begin" w:fldLock="1"/>
      </w:r>
      <w:r w:rsidRPr="002A7627">
        <w:instrText>ADDIN CSL_CITATION {"citationItems":[{"id":"ITEM-1","itemData":{"DOI":"10.1002/pfi.4170300510","ISBN":"978-0-385-51725-6 978-0-385-51782-9","ISSN":"08841985","PMID":"2468118","abstract":"An MIT Professor's pathbreaking book on building \"learning organizations\" - corporations that overcome inherent obstacles to learning and develop dynamic ways to pinpoint the threats that face them and to recognize new opportunities. Not only is the learning organization a new source of competitive advantage, it also offers a marvelously empowering approach to work, one which promises that, as Archimedes put it, \"with a lever long enough... single-handed I can move the world.\"","author":[{"dropping-particle":"","family":"Senge","given":"Peter M.","non-dropping-particle":"","parse-names":false,"suffix":""}],"container-title":"Performance + Instruction","id":"ITEM-1","issued":{"date-parts":[["2007"]]},"title":"The fifth discipline, the art and practice of the learning organization","type":"article-journal"},"uris":["http://www.mendeley.com/documents/?uuid=b91148b2-5581-4973-aa56-ead51a286dbe"]}],"mendeley":{"formattedCitation":"(Senge, 2007)","plainTextFormattedCitation":"(Senge, 2007)","previouslyFormattedCitation":"(Senge, 2007)"},"properties":{"noteIndex":0},"schema":"https://github.com/citation-style-language/schema/raw/master/csl-citation.json"}</w:instrText>
      </w:r>
      <w:r w:rsidRPr="002A7627">
        <w:fldChar w:fldCharType="separate"/>
      </w:r>
      <w:r w:rsidRPr="002A7627">
        <w:rPr>
          <w:noProof/>
        </w:rPr>
        <w:t>(Senge, 2007)</w:t>
      </w:r>
      <w:r w:rsidRPr="002A7627">
        <w:fldChar w:fldCharType="end"/>
      </w:r>
      <w:r w:rsidRPr="002A7627">
        <w:t xml:space="preserve">. Organizational learning is a key area in management research </w:t>
      </w:r>
      <w:r w:rsidRPr="002A7627">
        <w:fldChar w:fldCharType="begin" w:fldLock="1"/>
      </w:r>
      <w:r w:rsidRPr="002A7627">
        <w:instrText>ADDIN CSL_CITATION {"citationItems":[{"id":"ITEM-1","itemData":{"DOI":"10.1177/1350507604048270","ISSN":"1350-5076","abstract":"Prior reviews of organizational learning (OL) have noted an exponential growth in the literature through the 1990s and have expressed concerns about the lack of empirical research. In this paper, we review the literature published during the period 1990–2002 and take stock of the state of empirical research in OL. Based on the 123 articles reviewed, we note a phenomenal growth in empirical research and the emergence of a learning perspective. We discuss key research findings pertaining to internal and external learning, and the facilitators of organizational learning. We discuss the implications of the empirical research and suggest directions for future research.","author":[{"dropping-particle":"","family":"Bapuji","given":"Hari","non-dropping-particle":"","parse-names":false,"suffix":""},{"dropping-particle":"","family":"Crossan","given":"Mary","non-dropping-particle":"","parse-names":false,"suffix":""}],"container-title":"Management Learning","id":"ITEM-1","issue":"4","issued":{"date-parts":[["2004","12","19"]]},"page":"397-417","title":"From questions to answers: Reviewing organizational learning research","type":"article-journal","volume":"35"},"uris":["http://www.mendeley.com/documents/?uuid=c76e255f-8b4c-46de-b337-5e4b717e2558"]}],"mendeley":{"formattedCitation":"(Bapuji &amp; Crossan, 2004)","plainTextFormattedCitation":"(Bapuji &amp; Crossan, 2004)","previouslyFormattedCitation":"(Bapuji &amp; Crossan, 2004)"},"properties":{"noteIndex":0},"schema":"https://github.com/citation-style-language/schema/raw/master/csl-citation.json"}</w:instrText>
      </w:r>
      <w:r w:rsidRPr="002A7627">
        <w:fldChar w:fldCharType="separate"/>
      </w:r>
      <w:r w:rsidRPr="002A7627">
        <w:rPr>
          <w:noProof/>
        </w:rPr>
        <w:t>(Bapuji &amp; Crossan, 2004)</w:t>
      </w:r>
      <w:r w:rsidRPr="002A7627">
        <w:fldChar w:fldCharType="end"/>
      </w:r>
      <w:r w:rsidRPr="002A7627">
        <w:t xml:space="preserve">. It can be defined as the integration of knowledge acquisition and organizational change based on action </w:t>
      </w:r>
      <w:r w:rsidRPr="002A7627">
        <w:fldChar w:fldCharType="begin" w:fldLock="1"/>
      </w:r>
      <w:r w:rsidR="00811A3B" w:rsidRPr="002A7627">
        <w:instrText>ADDIN CSL_CITATION {"citationItems":[{"id":"ITEM-1","itemData":{"DOI":"10.1108/JKM-01-2017-0041","ISSN":"1367-3270","abstract":"Purpose – This paper aims to focus on research regarding organizational learning (OL) and knowledge management (KM), and to specifically investigate whether OL has been conceptually absorbed by KM. Design/methodology/approach – This study is based on 16,185 articles from the Scopus and ISI Web of Science databases, using VantagePoint 10.0 software. The method used in this study is a systematic literature review covering KM and OL publications from the 1970s, when the OL field started to grow, up to 2016. Findings – Nuclear processes of OL, creation and acquisition of knowledge, have been conceptually absorbed by KM literature in the past years. Research limitations/implications – Only two databases have been considered, Scopus and ISI Web of Science, because of their academic prestige. However, these databases include a large number of articles on KM and OL. Search terms used could exclude some relevant terms, although all major descriptive terms have been included. Practical implications – This paper identifies thematic clusters in KM and OL, evolution of both fields, most cited authors and representative journals by topic. Originality/value – This is the first paper to jointly analyse the evolution of KM and OL. This paper showsa conceptual absorption of OL into KM, which may enrich academic discussion and also provide some clarity to the conceptualization of these two fields.","author":[{"dropping-particle":"","family":"Castaneda","given":"Delio Ignacio","non-dropping-particle":"","parse-names":false,"suffix":""},{"dropping-particle":"","family":"Manrique","given":"Luisa Fernanda","non-dropping-particle":"","parse-names":false,"suffix":""},{"dropping-particle":"","family":"Cuellar","given":"Sergio","non-dropping-particle":"","parse-names":false,"suffix":""}],"container-title":"Journal of Knowledge Management","id":"ITEM-1","issue":"2","issued":{"date-parts":[["2018","3","12"]]},"page":"299-325","title":"Is organizational learning being absorbed by knowledge management? A systematic review","type":"article-journal","volume":"22"},"uris":["http://www.mendeley.com/documents/?uuid=b50daaa9-cc4a-4883-b2ee-eca446dd0d9d"]}],"mendeley":{"formattedCitation":"(Castaneda et al., 2018)","plainTextFormattedCitation":"(Castaneda et al., 2018)","previouslyFormattedCitation":"(Castaneda et al., 2018)"},"properties":{"noteIndex":0},"schema":"https://github.com/citation-style-language/schema/raw/master/csl-citation.json"}</w:instrText>
      </w:r>
      <w:r w:rsidRPr="002A7627">
        <w:fldChar w:fldCharType="separate"/>
      </w:r>
      <w:r w:rsidR="00F31753" w:rsidRPr="002A7627">
        <w:rPr>
          <w:noProof/>
        </w:rPr>
        <w:t>(Castaneda et al., 2018)</w:t>
      </w:r>
      <w:r w:rsidRPr="002A7627">
        <w:fldChar w:fldCharType="end"/>
      </w:r>
      <w:r w:rsidRPr="002A7627">
        <w:t xml:space="preserve">. </w:t>
      </w:r>
      <w:r w:rsidRPr="002A7627">
        <w:rPr>
          <w:rFonts w:eastAsiaTheme="minorEastAsia"/>
          <w:noProof/>
        </w:rPr>
        <w:t>Vera et al. (2015)</w:t>
      </w:r>
      <w:r w:rsidRPr="002A7627">
        <w:rPr>
          <w:rFonts w:eastAsiaTheme="minorEastAsia"/>
        </w:rPr>
        <w:t xml:space="preserve"> found a strong link between knowledge, knowing</w:t>
      </w:r>
      <w:r w:rsidR="00193A9C" w:rsidRPr="002A7627">
        <w:rPr>
          <w:rFonts w:eastAsiaTheme="minorEastAsia"/>
        </w:rPr>
        <w:t>,</w:t>
      </w:r>
      <w:r w:rsidRPr="002A7627">
        <w:rPr>
          <w:rFonts w:eastAsiaTheme="minorEastAsia"/>
        </w:rPr>
        <w:t xml:space="preserve"> and learning. They suggested that knowledge can be obtained and stored in the mind. It can also be gained by reflection or by doing.</w:t>
      </w:r>
    </w:p>
    <w:p w14:paraId="6E0FF5C7" w14:textId="6651E15C" w:rsidR="00141425" w:rsidRPr="00E40C46" w:rsidRDefault="00EE00BF" w:rsidP="00677985">
      <w:pPr>
        <w:pStyle w:val="AAAAAAA"/>
        <w:rPr>
          <w:color w:val="000000" w:themeColor="text1"/>
        </w:rPr>
      </w:pPr>
      <w:r w:rsidRPr="002A7627">
        <w:t xml:space="preserve">Organizational learning is </w:t>
      </w:r>
      <w:r w:rsidR="002A4F3C" w:rsidRPr="00E40C46">
        <w:rPr>
          <w:color w:val="000000" w:themeColor="text1"/>
        </w:rPr>
        <w:t>a two</w:t>
      </w:r>
      <w:r w:rsidR="00FD7705" w:rsidRPr="00E40C46">
        <w:rPr>
          <w:color w:val="000000" w:themeColor="text1"/>
        </w:rPr>
        <w:t xml:space="preserve">-part </w:t>
      </w:r>
      <w:r w:rsidRPr="00E40C46">
        <w:rPr>
          <w:color w:val="000000" w:themeColor="text1"/>
        </w:rPr>
        <w:t>process</w:t>
      </w:r>
      <w:r w:rsidR="00FD7705" w:rsidRPr="00E40C46">
        <w:rPr>
          <w:color w:val="000000" w:themeColor="text1"/>
        </w:rPr>
        <w:t>:</w:t>
      </w:r>
      <w:r w:rsidR="002A4F3C" w:rsidRPr="00E40C46">
        <w:rPr>
          <w:color w:val="000000" w:themeColor="text1"/>
        </w:rPr>
        <w:t xml:space="preserve"> </w:t>
      </w:r>
      <w:r w:rsidR="00FD7705" w:rsidRPr="00E40C46">
        <w:rPr>
          <w:color w:val="000000" w:themeColor="text1"/>
        </w:rPr>
        <w:t>f</w:t>
      </w:r>
      <w:r w:rsidR="002A4F3C" w:rsidRPr="00E40C46">
        <w:rPr>
          <w:color w:val="000000" w:themeColor="text1"/>
        </w:rPr>
        <w:t>irst,</w:t>
      </w:r>
      <w:r w:rsidRPr="00E40C46">
        <w:rPr>
          <w:color w:val="000000" w:themeColor="text1"/>
        </w:rPr>
        <w:t xml:space="preserve"> detecting</w:t>
      </w:r>
      <w:r w:rsidR="002A4F3C" w:rsidRPr="00E40C46">
        <w:rPr>
          <w:color w:val="000000" w:themeColor="text1"/>
        </w:rPr>
        <w:t xml:space="preserve"> errors and then </w:t>
      </w:r>
      <w:r w:rsidRPr="00E40C46">
        <w:rPr>
          <w:color w:val="000000" w:themeColor="text1"/>
        </w:rPr>
        <w:t xml:space="preserve">correcting </w:t>
      </w:r>
      <w:r w:rsidR="002A4F3C" w:rsidRPr="00E40C46">
        <w:rPr>
          <w:color w:val="000000" w:themeColor="text1"/>
        </w:rPr>
        <w:t xml:space="preserve">them </w:t>
      </w:r>
      <w:r w:rsidR="00AA406D" w:rsidRPr="002A7627">
        <w:fldChar w:fldCharType="begin" w:fldLock="1"/>
      </w:r>
      <w:r w:rsidR="005A37E4" w:rsidRPr="002A7627">
        <w:instrText>ADDIN CSL_CITATION {"citationItems":[{"id":"ITEM-1","itemData":{"abstract":"The work of Chris Argyris (1923‐) has influenced thinking about the relationship of people and organizations, organizational learning and action research. contents: introduction • life • theories of action: theory in use and espoused theory • single‐loop and double‐loop learning • model I and model II • organizational learning • conclusion • further reading and references • links • cite Chris Argyris has made a significant contribution to the development of our appreciation of organizational learning, and, almost in passing, deepened our understanding of experiential learning. On this page we examine the significance of the models he developed with Donald Schön of single‐ loop and double‐loop learning, and how these translate into contrasting models of organizational learning systems. Life","author":[{"dropping-particle":"","family":"Argyris","given":"Chris","non-dropping-particle":"","parse-names":false,"suffix":""},{"dropping-particle":"","family":"Schon","given":"Donald","non-dropping-particle":"","parse-names":false,"suffix":""}],"id":"ITEM-1","issued":{"date-parts":[["1978"]]},"number-of-pages":"344","publisher":"Wiley","publisher-place":"New York, NY","title":"Organizational learning: A theory of action approach","type":"book"},"uris":["http://www.mendeley.com/documents/?uuid=c1a351ed-399b-4863-8845-7c2f5642493a"]}],"mendeley":{"formattedCitation":"(Argyris &amp; Schon, 1978)","plainTextFormattedCitation":"(Argyris &amp; Schon, 1978)","previouslyFormattedCitation":"(Argyris &amp; Schon, 1978)"},"properties":{"noteIndex":0},"schema":"https://github.com/citation-style-language/schema/raw/master/csl-citation.json"}</w:instrText>
      </w:r>
      <w:r w:rsidR="00AA406D" w:rsidRPr="002A7627">
        <w:fldChar w:fldCharType="separate"/>
      </w:r>
      <w:r w:rsidR="00CB0956" w:rsidRPr="002A7627">
        <w:rPr>
          <w:noProof/>
        </w:rPr>
        <w:t>(Argyris &amp; Schon, 1978)</w:t>
      </w:r>
      <w:r w:rsidR="00AA406D" w:rsidRPr="002A7627">
        <w:fldChar w:fldCharType="end"/>
      </w:r>
      <w:r w:rsidR="00FD7705">
        <w:t>.</w:t>
      </w:r>
      <w:r w:rsidRPr="002A7627">
        <w:t xml:space="preserve"> </w:t>
      </w:r>
      <w:r w:rsidR="00FD7705">
        <w:t>I</w:t>
      </w:r>
      <w:r w:rsidRPr="002A7627">
        <w:t xml:space="preserve">f not corrected, errors inhibit learning and may affect any aspect of knowledge </w:t>
      </w:r>
      <w:r w:rsidRPr="002A7627">
        <w:fldChar w:fldCharType="begin" w:fldLock="1"/>
      </w:r>
      <w:r w:rsidR="005A37E4" w:rsidRPr="002A7627">
        <w:instrText>ADDIN CSL_CITATION {"citationItems":[{"id":"ITEM-1","itemData":{"ISBN":"978-1-349-51065-8","abstract":"Knowledge has only recently been widely recognized as an organizational asset, the effective management of which can afford a firm competitive advantage. This book takes an interdisciplinary approach to knowledge management relating it to business strategy, dynamic capabilities and firm performance. Some of the most eminent scholars in management have contributed to this timely book, including John Seely Brown, Chris Argyris, Georg von Krogh, Soumitra Dutta, Howard Thomas and John McGee, Arie Lewin and Silvia Massini. The book offers practitioners and students alike state of the art research in the field of organizational knowledge and management. © Haridimos Tsoukas and Nikolaos Mylonopoulos 2004.","editor":[{"dropping-particle":"","family":"Tsoukas","given":"Haridimos","non-dropping-particle":"","parse-names":false,"suffix":""},{"dropping-particle":"","family":"Mylonopoulos","given":"Nikolaos","non-dropping-particle":"","parse-names":false,"suffix":""}],"id":"ITEM-1","issued":{"date-parts":[["2004"]]},"publisher":"Palgrave Macmillan UK","publisher-place":"London, UK","title":"Organizations as Knowledge Systems","type":"book"},"uris":["http://www.mendeley.com/documents/?uuid=c7cb2ce3-9457-4dd0-ab14-962287bbb480"]},{"id":"ITEM-2","itemData":{"abstract":"The work of Chris Argyris (1923‐) has influenced thinking about the relationship of people and organizations, organizational learning and action research. contents: introduction • life • theories of action: theory in use and espoused theory • single‐loop and double‐loop learning • model I and model II • organizational learning • conclusion • further reading and references • links • cite Chris Argyris has made a significant contribution to the development of our appreciation of organizational learning, and, almost in passing, deepened our understanding of experiential learning. On this page we examine the significance of the models he developed with Donald Schön of single‐ loop and double‐loop learning, and how these translate into contrasting models of organizational learning systems. Life","author":[{"dropping-particle":"","family":"Argyris","given":"Chris","non-dropping-particle":"","parse-names":false,"suffix":""},{"dropping-particle":"","family":"Schon","given":"Donald","non-dropping-particle":"","parse-names":false,"suffix":""}],"id":"ITEM-2","issued":{"date-parts":[["1978"]]},"number-of-pages":"344","publisher":"Wiley","publisher-place":"New York, NY","title":"Organizational learning: A theory of action approach","type":"book"},"uris":["http://www.mendeley.com/documents/?uuid=c1a351ed-399b-4863-8845-7c2f5642493a"]}],"mendeley":{"formattedCitation":"(Argyris &amp; Schon, 1978; Tsoukas &amp; Mylonopoulos, 2004b)","plainTextFormattedCitation":"(Argyris &amp; Schon, 1978; Tsoukas &amp; Mylonopoulos, 2004b)","previouslyFormattedCitation":"(Argyris &amp; Schon, 1978; Tsoukas &amp; Mylonopoulos, 2004b)"},"properties":{"noteIndex":0},"schema":"https://github.com/citation-style-language/schema/raw/master/csl-citation.json"}</w:instrText>
      </w:r>
      <w:r w:rsidRPr="002A7627">
        <w:fldChar w:fldCharType="separate"/>
      </w:r>
      <w:r w:rsidR="00CB0956" w:rsidRPr="002A7627">
        <w:rPr>
          <w:noProof/>
        </w:rPr>
        <w:t>(Argyris &amp; Schon, 1978; Tsoukas &amp; Mylonopoulos, 2004b)</w:t>
      </w:r>
      <w:r w:rsidRPr="002A7627">
        <w:fldChar w:fldCharType="end"/>
      </w:r>
      <w:r w:rsidRPr="002A7627">
        <w:t xml:space="preserve">. Knowledge management and organizational learning have recently been seen as overlapping fields of research </w:t>
      </w:r>
      <w:r w:rsidRPr="002A7627">
        <w:fldChar w:fldCharType="begin" w:fldLock="1"/>
      </w:r>
      <w:r w:rsidR="007C79F2" w:rsidRPr="002A7627">
        <w:instrText>ADDIN CSL_CITATION {"citationItems":[{"id":"ITEM-1","itemData":{"abstract":"Chapter 1","author":[{"dropping-particle":"","family":"Easterby-Smith","given":"Mark","non-dropping-particle":"","parse-names":false,"suffix":""},{"dropping-particle":"","family":"Lyles","given":"Marjorie A.","non-dropping-particle":"","parse-names":false,"suffix":""}],"container-title":"Handbook of organizational learning and knowledge management","editor":[{"dropping-particle":"","family":"Easterby-Smith","given":"Mark","non-dropping-particle":"","parse-names":false,"suffix":""}],"id":"ITEM-1","issued":{"date-parts":[["2015","9","12"]]},"page":"1-20","publisher":"John Wiley &amp; Sons","publisher-place":"Hoboken, NJ","title":"The evolving field of organizational learning and knowledge management","type":"chapter"},"uris":["http://www.mendeley.com/documents/?uuid=ec6b5e09-a661-4cc0-a19d-af7b42527b79"]}],"mendeley":{"formattedCitation":"(Easterby-Smith &amp; Lyles, 2015)","plainTextFormattedCitation":"(Easterby-Smith &amp; Lyles, 2015)","previouslyFormattedCitation":"(Easterby-Smith &amp; Lyles, 2015)"},"properties":{"noteIndex":0},"schema":"https://github.com/citation-style-language/schema/raw/master/csl-citation.json"}</w:instrText>
      </w:r>
      <w:r w:rsidRPr="002A7627">
        <w:fldChar w:fldCharType="separate"/>
      </w:r>
      <w:r w:rsidR="0083144E" w:rsidRPr="002A7627">
        <w:rPr>
          <w:noProof/>
        </w:rPr>
        <w:t>(Easterby-Smith &amp; Lyles, 2015)</w:t>
      </w:r>
      <w:r w:rsidRPr="002A7627">
        <w:fldChar w:fldCharType="end"/>
      </w:r>
      <w:r w:rsidRPr="002A7627">
        <w:t xml:space="preserve">. Organizational learning has </w:t>
      </w:r>
      <w:r w:rsidRPr="00E40C46">
        <w:rPr>
          <w:color w:val="000000" w:themeColor="text1"/>
        </w:rPr>
        <w:t>been defined as a dynamic process for creati</w:t>
      </w:r>
      <w:r w:rsidR="00FD7705" w:rsidRPr="00E40C46">
        <w:rPr>
          <w:color w:val="000000" w:themeColor="text1"/>
        </w:rPr>
        <w:t>ng</w:t>
      </w:r>
      <w:r w:rsidRPr="00E40C46">
        <w:rPr>
          <w:color w:val="000000" w:themeColor="text1"/>
        </w:rPr>
        <w:t xml:space="preserve">, </w:t>
      </w:r>
      <w:r w:rsidRPr="00E40C46">
        <w:rPr>
          <w:color w:val="000000" w:themeColor="text1"/>
        </w:rPr>
        <w:lastRenderedPageBreak/>
        <w:t>acqui</w:t>
      </w:r>
      <w:r w:rsidR="00965C69" w:rsidRPr="00E40C46">
        <w:rPr>
          <w:color w:val="000000" w:themeColor="text1"/>
        </w:rPr>
        <w:t>ring</w:t>
      </w:r>
      <w:r w:rsidR="00193A9C" w:rsidRPr="00E40C46">
        <w:rPr>
          <w:color w:val="000000" w:themeColor="text1"/>
        </w:rPr>
        <w:t>,</w:t>
      </w:r>
      <w:r w:rsidRPr="00E40C46">
        <w:rPr>
          <w:color w:val="000000" w:themeColor="text1"/>
        </w:rPr>
        <w:t xml:space="preserve"> and integrati</w:t>
      </w:r>
      <w:r w:rsidR="00965C69" w:rsidRPr="00E40C46">
        <w:rPr>
          <w:color w:val="000000" w:themeColor="text1"/>
        </w:rPr>
        <w:t>ng</w:t>
      </w:r>
      <w:r w:rsidRPr="00E40C46">
        <w:rPr>
          <w:color w:val="000000" w:themeColor="text1"/>
        </w:rPr>
        <w:t xml:space="preserve"> knowledge to </w:t>
      </w:r>
      <w:r w:rsidRPr="002A7627">
        <w:t xml:space="preserve">develop capabilities to improve performance </w:t>
      </w:r>
      <w:r w:rsidRPr="002A7627">
        <w:fldChar w:fldCharType="begin" w:fldLock="1"/>
      </w:r>
      <w:r w:rsidRPr="002A7627">
        <w:instrText>ADDIN CSL_CITATION {"citationItems":[{"id":"ITEM-1","itemData":{"ISSN":"1350-5076","author":[{"dropping-particle":"","family":"López","given":"Susana Pérez","non-dropping-particle":"","parse-names":false,"suffix":""},{"dropping-particle":"","family":"Peón","given":"José Manuel Montes","non-dropping-particle":"","parse-names":false,"suffix":""},{"dropping-particle":"","family":"Ordás","given":"Camilo José Vazquez","non-dropping-particle":"","parse-names":false,"suffix":""}],"container-title":"Management Learning","id":"ITEM-1","issue":"2","issued":{"date-parts":[["2006"]]},"page":"215-239","publisher":"Sage Publications Sage CA: Thousand Oaks, CA","title":"Human resource management as a determining factor in organizational learning","type":"article-journal","volume":"37"},"uris":["http://www.mendeley.com/documents/?uuid=4078cb80-2a32-4a43-953a-a02fe353b7f1"]}],"mendeley":{"formattedCitation":"(López, Peón, &amp; Ordás, 2006)","plainTextFormattedCitation":"(López, Peón, &amp; Ordás, 2006)","previouslyFormattedCitation":"(López, Peón, &amp; Ordás, 2006)"},"properties":{"noteIndex":0},"schema":"https://github.com/citation-style-language/schema/raw/master/csl-citation.json"}</w:instrText>
      </w:r>
      <w:r w:rsidRPr="002A7627">
        <w:fldChar w:fldCharType="separate"/>
      </w:r>
      <w:r w:rsidRPr="002A7627">
        <w:rPr>
          <w:noProof/>
        </w:rPr>
        <w:t>(López, Peón, &amp; Ordás, 2006)</w:t>
      </w:r>
      <w:r w:rsidRPr="002A7627">
        <w:fldChar w:fldCharType="end"/>
      </w:r>
      <w:r w:rsidRPr="002A7627">
        <w:t xml:space="preserve">. These definitions suggest that organizational learning links resources to knowledge management and organizational performance. </w:t>
      </w:r>
      <w:r w:rsidR="002A4F3C" w:rsidRPr="00E40C46">
        <w:rPr>
          <w:color w:val="000000" w:themeColor="text1"/>
        </w:rPr>
        <w:t xml:space="preserve">Comparing </w:t>
      </w:r>
      <w:r w:rsidR="00965C69" w:rsidRPr="00E40C46">
        <w:rPr>
          <w:color w:val="000000" w:themeColor="text1"/>
        </w:rPr>
        <w:t>c</w:t>
      </w:r>
      <w:r w:rsidRPr="00E40C46">
        <w:rPr>
          <w:color w:val="000000" w:themeColor="text1"/>
        </w:rPr>
        <w:t xml:space="preserve">ontinuous organizational learning </w:t>
      </w:r>
      <w:r w:rsidR="002A4F3C" w:rsidRPr="00E40C46">
        <w:rPr>
          <w:color w:val="000000" w:themeColor="text1"/>
        </w:rPr>
        <w:t xml:space="preserve">with a single instance of organizational learning, continuous learning </w:t>
      </w:r>
      <w:r w:rsidRPr="00E40C46">
        <w:rPr>
          <w:color w:val="000000" w:themeColor="text1"/>
        </w:rPr>
        <w:t xml:space="preserve">has </w:t>
      </w:r>
      <w:r w:rsidR="00EC5D9B" w:rsidRPr="00E40C46">
        <w:rPr>
          <w:color w:val="000000" w:themeColor="text1"/>
        </w:rPr>
        <w:t xml:space="preserve">ongoing and growing </w:t>
      </w:r>
      <w:r w:rsidRPr="00E40C46">
        <w:rPr>
          <w:color w:val="000000" w:themeColor="text1"/>
        </w:rPr>
        <w:t xml:space="preserve">effects and is </w:t>
      </w:r>
      <w:r w:rsidR="002A4F3C" w:rsidRPr="00E40C46">
        <w:rPr>
          <w:color w:val="000000" w:themeColor="text1"/>
        </w:rPr>
        <w:t>harder</w:t>
      </w:r>
      <w:r w:rsidRPr="00E40C46">
        <w:rPr>
          <w:color w:val="000000" w:themeColor="text1"/>
        </w:rPr>
        <w:t xml:space="preserve"> to copy </w:t>
      </w:r>
      <w:r w:rsidRPr="00E40C46">
        <w:rPr>
          <w:color w:val="000000" w:themeColor="text1"/>
        </w:rPr>
        <w:fldChar w:fldCharType="begin" w:fldLock="1"/>
      </w:r>
      <w:r w:rsidR="00E24626" w:rsidRPr="00E40C46">
        <w:rPr>
          <w:color w:val="000000" w:themeColor="text1"/>
        </w:rPr>
        <w:instrText>ADDIN CSL_CITATION {"citationItems":[{"id":"ITEM-1","itemData":{"ISBN":"9780787971304","abstract":"This eighteenth volume in the Jossey-Bass Organizational Frontiers Series provides an in-depth examination of how I/O psychologists can help find, recruit, and manage knowledge. The authors explain the nature of different types of knowledge, how knowledge-based competition is affecting organizations, and how these ideas relate to innovation and learning in organizations. TS - WorldCat T4 - Designing strategies for effective human resource management M4 - Citavi","editor":[{"dropping-particle":"","family":"Jackson","given":"Susan E","non-dropping-particle":"","parse-names":false,"suffix":""},{"dropping-particle":"","family":"Hitt","given":"Michael A","non-dropping-particle":"","parse-names":false,"suffix":""},{"dropping-particle":"","family":"DeNisi","given":"Angelo S","non-dropping-particle":"","parse-names":false,"suffix":""}],"id":"ITEM-1","issued":{"date-parts":[["2003"]]},"publisher":"John Wiley &amp; Sons","publisher-place":"New York, NY","title":"Managing knowledge for sustained competitive advantage: Designing strategies for effective human resource management","type":"book"},"uris":["http://www.mendeley.com/documents/?uuid=95328c7c-d0fd-47d0-8a2f-ed3204b0513e"]}],"mendeley":{"formattedCitation":"(Jackson, Hitt, &amp; DeNisi, 2003)","plainTextFormattedCitation":"(Jackson, Hitt, &amp; DeNisi, 2003)","previouslyFormattedCitation":"(Jackson, Hitt, &amp; DeNisi, 2003)"},"properties":{"noteIndex":0},"schema":"https://github.com/citation-style-language/schema/raw/master/csl-citation.json"}</w:instrText>
      </w:r>
      <w:r w:rsidRPr="00E40C46">
        <w:rPr>
          <w:color w:val="000000" w:themeColor="text1"/>
        </w:rPr>
        <w:fldChar w:fldCharType="separate"/>
      </w:r>
      <w:r w:rsidRPr="00E40C46">
        <w:rPr>
          <w:noProof/>
          <w:color w:val="000000" w:themeColor="text1"/>
        </w:rPr>
        <w:t>(Jackson, Hitt, &amp; DeNisi, 2003)</w:t>
      </w:r>
      <w:r w:rsidRPr="00E40C46">
        <w:rPr>
          <w:color w:val="000000" w:themeColor="text1"/>
        </w:rPr>
        <w:fldChar w:fldCharType="end"/>
      </w:r>
      <w:r w:rsidRPr="00E40C46">
        <w:rPr>
          <w:color w:val="000000" w:themeColor="text1"/>
        </w:rPr>
        <w:t>. It can</w:t>
      </w:r>
      <w:r w:rsidR="00054373" w:rsidRPr="00E40C46">
        <w:rPr>
          <w:color w:val="000000" w:themeColor="text1"/>
        </w:rPr>
        <w:t xml:space="preserve">, therefore, </w:t>
      </w:r>
      <w:r w:rsidRPr="00E40C46">
        <w:rPr>
          <w:color w:val="000000" w:themeColor="text1"/>
        </w:rPr>
        <w:t xml:space="preserve">be argued that organizational learning processes should be used to develop knowledge resources and capabilities on an ongoing basis, to help organizations to achieve </w:t>
      </w:r>
      <w:r w:rsidR="00EC5D9B" w:rsidRPr="00E40C46">
        <w:rPr>
          <w:color w:val="000000" w:themeColor="text1"/>
        </w:rPr>
        <w:t xml:space="preserve">a </w:t>
      </w:r>
      <w:r w:rsidRPr="00E40C46">
        <w:rPr>
          <w:color w:val="000000" w:themeColor="text1"/>
        </w:rPr>
        <w:t xml:space="preserve">sustainable competitive advantage </w:t>
      </w:r>
      <w:r w:rsidRPr="00E40C46">
        <w:rPr>
          <w:color w:val="000000" w:themeColor="text1"/>
        </w:rPr>
        <w:fldChar w:fldCharType="begin" w:fldLock="1"/>
      </w:r>
      <w:r w:rsidR="00E24626" w:rsidRPr="00E40C46">
        <w:rPr>
          <w:color w:val="000000" w:themeColor="text1"/>
        </w:rPr>
        <w:instrText>ADDIN CSL_CITATION {"citationItems":[{"id":"ITEM-1","itemData":{"ISSN":"2071-2162","abstract":"Organizational learning is increasingly being considered as one of the fundamental sources of competitive advantage within the context of strategic management. However, most literature has not clearly linked organizational learning with sustainable competitive advantage. This paper, therefore, explores and discusses the role of organizational learning in helping business firms to achieve sustainable competitive advantage. Specifically, it deals with how organizational learning process can be used to develop knowledge resources and capabilities that lead to sustainable competitive advantage. The main method used is analysis and integration of theories to develop a conceptual model. This paper proposes that, through organizational learning a firm can develop hard to imitate knowledge resources and capabilities (human capital as well as organizational capital) that create value which in turn lead to superior performance.","author":[{"dropping-particle":"","family":"Njuguna","given":"JI","non-dropping-particle":"","parse-names":false,"suffix":""}],"container-title":"KCA Journal of Business Management","id":"ITEM-1","issue":"1","issued":{"date-parts":[["2009","7","17"]]},"page":"1-15","title":"Strategic positioning for sustainable competitive advantage: An organizational learning approach","type":"article-journal","volume":"2"},"uris":["http://www.mendeley.com/documents/?uuid=5bce1512-e6c1-48bd-83d5-65cb0c5b878a"]}],"mendeley":{"formattedCitation":"(Njuguna, 2009)","plainTextFormattedCitation":"(Njuguna, 2009)","previouslyFormattedCitation":"(Njuguna, 2009)"},"properties":{"noteIndex":0},"schema":"https://github.com/citation-style-language/schema/raw/master/csl-citation.json"}</w:instrText>
      </w:r>
      <w:r w:rsidRPr="00E40C46">
        <w:rPr>
          <w:color w:val="000000" w:themeColor="text1"/>
        </w:rPr>
        <w:fldChar w:fldCharType="separate"/>
      </w:r>
      <w:r w:rsidRPr="00E40C46">
        <w:rPr>
          <w:noProof/>
          <w:color w:val="000000" w:themeColor="text1"/>
        </w:rPr>
        <w:t>(Njuguna, 2009)</w:t>
      </w:r>
      <w:r w:rsidRPr="00E40C46">
        <w:rPr>
          <w:color w:val="000000" w:themeColor="text1"/>
        </w:rPr>
        <w:fldChar w:fldCharType="end"/>
      </w:r>
      <w:r w:rsidRPr="00E40C46">
        <w:rPr>
          <w:color w:val="000000" w:themeColor="text1"/>
        </w:rPr>
        <w:t>.</w:t>
      </w:r>
    </w:p>
    <w:p w14:paraId="315C3927" w14:textId="07DD7B43" w:rsidR="00EE00BF" w:rsidRPr="002A7627" w:rsidRDefault="00D45FE9" w:rsidP="002C4A1A">
      <w:pPr>
        <w:pStyle w:val="AAAAAAA"/>
        <w:rPr>
          <w:rFonts w:eastAsiaTheme="minorEastAsia"/>
        </w:rPr>
      </w:pPr>
      <w:bookmarkStart w:id="102" w:name="_Toc13959624"/>
      <w:bookmarkStart w:id="103" w:name="_Toc22331657"/>
      <w:r>
        <w:rPr>
          <w:rStyle w:val="Heading2Char"/>
          <w:color w:val="000000"/>
          <w:u w:val="none"/>
        </w:rPr>
        <w:t xml:space="preserve">2.5.1. </w:t>
      </w:r>
      <w:r w:rsidR="00EE00BF" w:rsidRPr="002A7627">
        <w:rPr>
          <w:rStyle w:val="Heading2Char"/>
          <w:color w:val="000000"/>
          <w:u w:val="none"/>
        </w:rPr>
        <w:t>Organizational learning characteristics</w:t>
      </w:r>
      <w:bookmarkEnd w:id="102"/>
      <w:r w:rsidR="002C4A1A" w:rsidRPr="002A7627">
        <w:rPr>
          <w:rStyle w:val="Heading2Char"/>
          <w:color w:val="000000"/>
          <w:u w:val="none"/>
        </w:rPr>
        <w:t>.</w:t>
      </w:r>
      <w:bookmarkEnd w:id="103"/>
      <w:r w:rsidR="00EE00BF" w:rsidRPr="002A7627">
        <w:t xml:space="preserve"> Organizational learning was first proposed as a concept in the 1960s by </w:t>
      </w:r>
      <w:r w:rsidR="00AA406D" w:rsidRPr="002A7627">
        <w:fldChar w:fldCharType="begin" w:fldLock="1"/>
      </w:r>
      <w:r w:rsidR="00E24626" w:rsidRPr="002A7627">
        <w:instrText>ADDIN CSL_CITATION {"citationItems":[{"id":"ITEM-1","itemData":{"abstract":"A Behavioral Theory of the Firm attempts to integrate the theory of the firm and organization theory. It relates internal factors such as organizational structure and decision-making processes to economic actions such as pricing. The theory also emphasizes such factors as organizational learning and organizational slack to the economic decisions of the firm. The Science Citation Index (SCI) and the Social Sciences Citation Index (SSCITM) indicate that this book has been cited over 770 times since 1963.","author":[{"dropping-particle":"","family":"Cyert","given":"Richard M.","non-dropping-particle":"","parse-names":false,"suffix":""},{"dropping-particle":"","family":"March","given":"James G.","non-dropping-particle":"","parse-names":false,"suffix":""}],"container-title":"A behavioral theory of the firm","id":"ITEM-1","issued":{"date-parts":[["1963"]]},"publisher":"Prentice-Hall","publisher-place":"Englewood Cliffs, NJ","title":"A summary of basic concepts in the behavioral theory of the firm","type":"chapter"},"uris":["http://www.mendeley.com/documents/?uuid=46b9b3ac-4449-46ca-bab6-c95ab5e67e88"]}],"mendeley":{"formattedCitation":"(Cyert &amp; March, 1963)","manualFormatting":"Cyert and March (1963)","plainTextFormattedCitation":"(Cyert &amp; March, 1963)","previouslyFormattedCitation":"(Cyert &amp; March, 1963)"},"properties":{"noteIndex":0},"schema":"https://github.com/citation-style-language/schema/raw/master/csl-citation.json"}</w:instrText>
      </w:r>
      <w:r w:rsidR="00AA406D" w:rsidRPr="002A7627">
        <w:fldChar w:fldCharType="separate"/>
      </w:r>
      <w:r w:rsidR="00AA406D" w:rsidRPr="002A7627">
        <w:rPr>
          <w:noProof/>
        </w:rPr>
        <w:t>Cyert and March (1963)</w:t>
      </w:r>
      <w:r w:rsidR="00AA406D" w:rsidRPr="002A7627">
        <w:fldChar w:fldCharType="end"/>
      </w:r>
      <w:r w:rsidR="00EE00BF" w:rsidRPr="002A7627">
        <w:t xml:space="preserve">, who investigated its impact in the </w:t>
      </w:r>
      <w:r w:rsidR="002A4F3C" w:rsidRPr="007B0F8B">
        <w:rPr>
          <w:color w:val="000000" w:themeColor="text1"/>
        </w:rPr>
        <w:t xml:space="preserve">light </w:t>
      </w:r>
      <w:r w:rsidR="00EE00BF" w:rsidRPr="002A7627">
        <w:t xml:space="preserve">of a decision-making model. The field of organizational learning started to expand after </w:t>
      </w:r>
      <w:r w:rsidR="00AA406D" w:rsidRPr="002A7627">
        <w:fldChar w:fldCharType="begin" w:fldLock="1"/>
      </w:r>
      <w:r w:rsidR="005A37E4" w:rsidRPr="002A7627">
        <w:instrText>ADDIN CSL_CITATION {"citationItems":[{"id":"ITEM-1","itemData":{"abstract":"The work of Chris Argyris (1923‐) has influenced thinking about the relationship of people and organizations, organizational learning and action research. contents: introduction • life • theories of action: theory in use and espoused theory • single‐loop and double‐loop learning • model I and model II • organizational learning • conclusion • further reading and references • links • cite Chris Argyris has made a significant contribution to the development of our appreciation of organizational learning, and, almost in passing, deepened our understanding of experiential learning. On this page we examine the significance of the models he developed with Donald Schön of single‐ loop and double‐loop learning, and how these translate into contrasting models of organizational learning systems. Life","author":[{"dropping-particle":"","family":"Argyris","given":"Chris","non-dropping-particle":"","parse-names":false,"suffix":""},{"dropping-particle":"","family":"Schon","given":"Donald","non-dropping-particle":"","parse-names":false,"suffix":""}],"id":"ITEM-1","issued":{"date-parts":[["1978"]]},"number-of-pages":"344","publisher":"Wiley","publisher-place":"New York, NY","title":"Organizational learning: A theory of action approach","type":"book"},"uris":["http://www.mendeley.com/documents/?uuid=c1a351ed-399b-4863-8845-7c2f5642493a"]}],"mendeley":{"formattedCitation":"(Argyris &amp; Schon, 1978)","manualFormatting":"Argyris and Schon (1978)","plainTextFormattedCitation":"(Argyris &amp; Schon, 1978)","previouslyFormattedCitation":"(Argyris &amp; Schon, 1978)"},"properties":{"noteIndex":0},"schema":"https://github.com/citation-style-language/schema/raw/master/csl-citation.json"}</w:instrText>
      </w:r>
      <w:r w:rsidR="00AA406D" w:rsidRPr="002A7627">
        <w:fldChar w:fldCharType="separate"/>
      </w:r>
      <w:r w:rsidR="00AA406D" w:rsidRPr="002A7627">
        <w:rPr>
          <w:noProof/>
        </w:rPr>
        <w:t xml:space="preserve">Argyris </w:t>
      </w:r>
      <w:r w:rsidR="00CC5481" w:rsidRPr="002A7627">
        <w:rPr>
          <w:noProof/>
        </w:rPr>
        <w:t>and</w:t>
      </w:r>
      <w:r w:rsidR="00AA406D" w:rsidRPr="002A7627">
        <w:rPr>
          <w:noProof/>
        </w:rPr>
        <w:t xml:space="preserve"> Schon (1978)</w:t>
      </w:r>
      <w:r w:rsidR="00AA406D" w:rsidRPr="002A7627">
        <w:fldChar w:fldCharType="end"/>
      </w:r>
      <w:r w:rsidR="00EE00BF" w:rsidRPr="002A7627">
        <w:t xml:space="preserve"> proposed that there were three types of learning, single loop, double loop</w:t>
      </w:r>
      <w:r w:rsidR="00193A9C" w:rsidRPr="002A7627">
        <w:t>,</w:t>
      </w:r>
      <w:r w:rsidR="00EE00BF" w:rsidRPr="002A7627">
        <w:t xml:space="preserve"> and triple loop. </w:t>
      </w:r>
      <w:r w:rsidR="00EE00BF" w:rsidRPr="002A7627">
        <w:rPr>
          <w:rFonts w:eastAsiaTheme="minorEastAsia"/>
        </w:rPr>
        <w:t>Single</w:t>
      </w:r>
      <w:r w:rsidR="00146BE4" w:rsidRPr="002A7627">
        <w:rPr>
          <w:rFonts w:eastAsiaTheme="minorEastAsia"/>
        </w:rPr>
        <w:t>-</w:t>
      </w:r>
      <w:r w:rsidR="00EE00BF" w:rsidRPr="002A7627">
        <w:rPr>
          <w:rFonts w:eastAsiaTheme="minorEastAsia"/>
        </w:rPr>
        <w:t xml:space="preserve">loop learning occurs when </w:t>
      </w:r>
      <w:r w:rsidR="00193A9C" w:rsidRPr="002A7627">
        <w:rPr>
          <w:rFonts w:eastAsiaTheme="minorEastAsia"/>
        </w:rPr>
        <w:t xml:space="preserve">an </w:t>
      </w:r>
      <w:r w:rsidR="00EE00BF" w:rsidRPr="002A7627">
        <w:rPr>
          <w:rFonts w:eastAsiaTheme="minorEastAsia"/>
        </w:rPr>
        <w:t>organization detects a mistake, corrects it and carries on. In double</w:t>
      </w:r>
      <w:r w:rsidR="00193A9C" w:rsidRPr="002A7627">
        <w:rPr>
          <w:rFonts w:eastAsiaTheme="minorEastAsia"/>
        </w:rPr>
        <w:t>-</w:t>
      </w:r>
      <w:r w:rsidR="00EE00BF" w:rsidRPr="002A7627">
        <w:rPr>
          <w:rFonts w:eastAsiaTheme="minorEastAsia"/>
        </w:rPr>
        <w:t xml:space="preserve">loop learning, the organization detects a mistake and changes its policies and objectives before taking any corrective action </w:t>
      </w:r>
      <w:r w:rsidR="00EE00BF" w:rsidRPr="002A7627">
        <w:rPr>
          <w:rFonts w:eastAsiaTheme="minorEastAsia"/>
        </w:rPr>
        <w:fldChar w:fldCharType="begin" w:fldLock="1"/>
      </w:r>
      <w:r w:rsidR="005A37E4" w:rsidRPr="002A7627">
        <w:rPr>
          <w:rFonts w:eastAsiaTheme="minorEastAsia"/>
        </w:rPr>
        <w:instrText>ADDIN CSL_CITATION {"citationItems":[{"id":"ITEM-1","itemData":{"author":[{"dropping-particle":"","family":"Argyris","given":"Chris","non-dropping-particle":"","parse-names":false,"suffix":""},{"dropping-particle":"","family":"Schon","given":"Donald","non-dropping-particle":"","parse-names":false,"suffix":""}],"id":"ITEM-1","issued":{"date-parts":[["1996"]]},"publisher":"Addison Wesley","publisher-place":"New York, NY","title":"Organiational learning II","type":"book"},"uris":["http://www.mendeley.com/documents/?uuid=3e79167a-d315-4031-a10d-87ac74838c9a"]}],"mendeley":{"formattedCitation":"(Argyris &amp; Schon, 1996)","plainTextFormattedCitation":"(Argyris &amp; Schon, 1996)","previouslyFormattedCitation":"(Argyris &amp; Schon, 1996)"},"properties":{"noteIndex":0},"schema":"https://github.com/citation-style-language/schema/raw/master/csl-citation.json"}</w:instrText>
      </w:r>
      <w:r w:rsidR="00EE00BF" w:rsidRPr="002A7627">
        <w:rPr>
          <w:rFonts w:eastAsiaTheme="minorEastAsia"/>
        </w:rPr>
        <w:fldChar w:fldCharType="separate"/>
      </w:r>
      <w:r w:rsidR="00CB0956" w:rsidRPr="002A7627">
        <w:rPr>
          <w:rFonts w:eastAsiaTheme="minorEastAsia"/>
          <w:noProof/>
        </w:rPr>
        <w:t>(Argyris &amp; Schon, 1996)</w:t>
      </w:r>
      <w:r w:rsidR="00EE00BF" w:rsidRPr="002A7627">
        <w:rPr>
          <w:rFonts w:eastAsiaTheme="minorEastAsia"/>
        </w:rPr>
        <w:fldChar w:fldCharType="end"/>
      </w:r>
      <w:r w:rsidR="00EE00BF" w:rsidRPr="002A7627">
        <w:rPr>
          <w:rFonts w:eastAsiaTheme="minorEastAsia"/>
        </w:rPr>
        <w:t xml:space="preserve">. In triple loop learning, individuals discover new strategies for learning. Organizations that practice this type of learning invent new approaches and then evaluate them with the aim of reframing individuals’ existing processes </w:t>
      </w:r>
      <w:r w:rsidR="00EE00BF" w:rsidRPr="002A7627">
        <w:rPr>
          <w:rFonts w:eastAsiaTheme="minorEastAsia"/>
        </w:rPr>
        <w:fldChar w:fldCharType="begin" w:fldLock="1"/>
      </w:r>
      <w:r w:rsidR="00EE00BF" w:rsidRPr="002A7627">
        <w:rPr>
          <w:rFonts w:eastAsiaTheme="minorEastAsia"/>
        </w:rPr>
        <w:instrText>ADDIN CSL_CITATION {"citationItems":[{"id":"ITEM-1","itemData":{"DOI":"10.1177/1350507698293005","ISBN":"1350507698293","ISSN":"1350-5076","PMID":"803973233","abstract":"In this article we develop a framework to assess organizational learning and the depth, breadth and spread of members' involvement. The framework incorporates the Morgan (1986) metaphors and the `learning company' characteristics of Pedler et al. (1991), along with the notions of single-, double-, and triple-loop learning. We draw up competing hypotheses setting Coopey's (1995a, 1995b) constitutionalist argument that a `learning organization' will enhance only the power of the `ruling court' unless democratic arrangements are explicitly laid down, against ideas of developmental leadership. Using case studies of two blue-chip companies-both cited as learning organizations, one claiming to have a democratically-oriented constitution-we illustrate how the framework may be used to assemble data for use in testing hypotheses in more empirically-grounded studies of empowerment in learning organizations. Our study compared the perspectives of top management, reflected in popular and professional publications, wi...","author":[{"dropping-particle":"","family":"Snell","given":"R.","non-dropping-particle":"","parse-names":false,"suffix":""},{"dropping-particle":"","family":"Chak","given":"A. M.-K.","non-dropping-particle":"","parse-names":false,"suffix":""}],"container-title":"Management Learning","id":"ITEM-1","issue":"3","issued":{"date-parts":[["1998"]]},"page":"337-364","title":"The Learning Organization: Learning and Empowerment for Whom?","type":"article-journal","volume":"29"},"uris":["http://www.mendeley.com/documents/?uuid=2e38912d-0335-465c-ae6c-5c5abbe55278"]}],"mendeley":{"formattedCitation":"(Snell &amp; Chak, 1998)","plainTextFormattedCitation":"(Snell &amp; Chak, 1998)","previouslyFormattedCitation":"(Snell &amp; Chak, 1998)"},"properties":{"noteIndex":0},"schema":"https://github.com/citation-style-language/schema/raw/master/csl-citation.json"}</w:instrText>
      </w:r>
      <w:r w:rsidR="00EE00BF" w:rsidRPr="002A7627">
        <w:rPr>
          <w:rFonts w:eastAsiaTheme="minorEastAsia"/>
        </w:rPr>
        <w:fldChar w:fldCharType="separate"/>
      </w:r>
      <w:r w:rsidR="00EE00BF" w:rsidRPr="002A7627">
        <w:rPr>
          <w:rFonts w:eastAsiaTheme="minorEastAsia"/>
          <w:noProof/>
        </w:rPr>
        <w:t>(Snell &amp; Chak, 1998)</w:t>
      </w:r>
      <w:r w:rsidR="00EE00BF" w:rsidRPr="002A7627">
        <w:rPr>
          <w:rFonts w:eastAsiaTheme="minorEastAsia"/>
        </w:rPr>
        <w:fldChar w:fldCharType="end"/>
      </w:r>
      <w:r w:rsidR="00EE00BF" w:rsidRPr="002A7627">
        <w:rPr>
          <w:rFonts w:eastAsiaTheme="minorEastAsia"/>
        </w:rPr>
        <w:t xml:space="preserve">. Using all three types of organizational learning is a sign that the firm is following a knowledge-based strategy </w:t>
      </w:r>
      <w:r w:rsidR="00EE00BF" w:rsidRPr="002A7627">
        <w:rPr>
          <w:rFonts w:eastAsiaTheme="minorEastAsia"/>
        </w:rPr>
        <w:fldChar w:fldCharType="begin" w:fldLock="1"/>
      </w:r>
      <w:r w:rsidR="00F4281A" w:rsidRPr="002A7627">
        <w:rPr>
          <w:rFonts w:eastAsiaTheme="minorEastAsia"/>
        </w:rPr>
        <w:instrText>ADDIN CSL_CITATION {"citationItems":[{"id":"ITEM-1","itemData":{"DOI":"10.1002/smj.4250171111","ISBN":"8-9","ISSN":"01432095","PMID":"12493199","abstract":"The purpose of this study is to identify groups of firms with similacr generic knowledge strategies, determine how these straitegies change over time, and compare profit mnargins of the groups. Knowledge strategies of 21 U.S. pharmaceutical firms are analyzed from 1977 to 1991. Cluster analysis is used to group firms over different tine periods based on: (a) balance between internal and external learning, (b) preference for radical or incremental learning, (c) learning speed, and (d) breadth of knowledge base. Our findings inzdicate that there are four generic knowledge strategy groups: 'Explorers', 'Exploiters', 'Loners', and 'Innovators'. Most firms remnain in the same knowledge group over time. The firms in the 'Innovator' and 'Explorer' groups tend to be more profitable thacn the firms in the 'Exploiter' acnd 'Loner' groups. The knowledge-based view of the firm identifies the primary rationale for the firm as the creation and application of knowledge (Demsetz, 1991; Nonaka, 1994; Spender, 1994; Grant, 1996). Per-formance differences between firms are a result of their different knowledge bases and differing capabilities in developing and deploying knowl-edge. The management of knowledge can be con-sidered the preeminent dynamic capability of the firm and the principal driver of all other com-petencies and capabilities (Lei, Hitt, and Bettis, 1996). Most of the research in this area has investi-gated the properties of different types of knowl-edge, in particular the distinction between tacit and explicit knowledge, and the relationship between individual and social knowledge (Nonaka, 1994; Spender, 1994). These differences have critical strategic implications not only for innovation but also for barriers to imitation and","author":[{"dropping-particle":"","family":"Bierly","given":"P E","non-dropping-particle":"","parse-names":false,"suffix":""},{"dropping-particle":"","family":"Chakrabarti","given":"Alok","non-dropping-particle":"","parse-names":false,"suffix":""}],"container-title":"Strategic Management Journal","id":"ITEM-1","issue":"S2","issued":{"date-parts":[["1996"]]},"page":"123-135","title":"Generic knowledge strategies in the U.S. pharmaceutical industry","type":"article-journal","volume":"17"},"uris":["http://www.mendeley.com/documents/?uuid=0d1db90c-5d80-4462-95ba-61784d550250"]},{"id":"ITEM-2","itemData":{"author":[{"dropping-particle":"","family":"Bierly","given":"P E","non-dropping-particle":"","parse-names":false,"suffix":""},{"dropping-particle":"","family":"Daly","given":"Paula","non-dropping-particle":"","parse-names":false,"suffix":""}],"container-title":"The strategic management of intellectual capital and organizational knowledge","editor":[{"dropping-particle":"","family":"Choo","given":"C W","non-dropping-particle":"","parse-names":false,"suffix":""},{"dropping-particle":"","family":"Bontis","given":"N","non-dropping-particle":"","parse-names":false,"suffix":""}],"id":"ITEM-2","issued":{"date-parts":[["2002"]]},"page":"277-295","publisher":"Oxford University Press","publisher-place":"New York, NY","title":"Aligning human resource management practices and knowledge strategies","type":"chapter"},"uris":["http://www.mendeley.com/documents/?uuid=ef58ac59-cf50-4b0f-84e4-5d539125e0e5"]}],"mendeley":{"formattedCitation":"(Bierly &amp; Chakrabarti, 1996; Bierly &amp; Daly, 2002)","plainTextFormattedCitation":"(Bierly &amp; Chakrabarti, 1996; Bierly &amp; Daly, 2002)","previouslyFormattedCitation":"(Bierly &amp; Chakrabarti, 1996; Bierly &amp; Daly, 2002)"},"properties":{"noteIndex":0},"schema":"https://github.com/citation-style-language/schema/raw/master/csl-citation.json"}</w:instrText>
      </w:r>
      <w:r w:rsidR="00EE00BF" w:rsidRPr="002A7627">
        <w:rPr>
          <w:rFonts w:eastAsiaTheme="minorEastAsia"/>
        </w:rPr>
        <w:fldChar w:fldCharType="separate"/>
      </w:r>
      <w:r w:rsidR="007C79F2" w:rsidRPr="002A7627">
        <w:rPr>
          <w:rFonts w:eastAsiaTheme="minorEastAsia"/>
          <w:noProof/>
        </w:rPr>
        <w:t xml:space="preserve">(Bierly &amp; Chakrabarti, 1996; Bierly &amp; </w:t>
      </w:r>
      <w:r w:rsidR="007C79F2" w:rsidRPr="002A7627">
        <w:rPr>
          <w:rFonts w:eastAsiaTheme="minorEastAsia"/>
          <w:noProof/>
        </w:rPr>
        <w:lastRenderedPageBreak/>
        <w:t>Daly, 2002)</w:t>
      </w:r>
      <w:r w:rsidR="00EE00BF" w:rsidRPr="002A7627">
        <w:rPr>
          <w:rFonts w:eastAsiaTheme="minorEastAsia"/>
        </w:rPr>
        <w:fldChar w:fldCharType="end"/>
      </w:r>
      <w:r w:rsidR="00EE00BF" w:rsidRPr="002A7627">
        <w:rPr>
          <w:rFonts w:eastAsiaTheme="minorEastAsia"/>
        </w:rPr>
        <w:t xml:space="preserve">. This type of learning culture brings people together to promote knowledge sharing </w:t>
      </w:r>
      <w:r w:rsidR="00EE00BF" w:rsidRPr="002A7627">
        <w:rPr>
          <w:rFonts w:eastAsiaTheme="minorEastAsia"/>
        </w:rPr>
        <w:fldChar w:fldCharType="begin" w:fldLock="1"/>
      </w:r>
      <w:r w:rsidR="00AA406D" w:rsidRPr="002A7627">
        <w:rPr>
          <w:rFonts w:eastAsiaTheme="minorEastAsia"/>
        </w:rPr>
        <w:instrText>ADDIN CSL_CITATION {"citationItems":[{"id":"ITEM-1","itemData":{"DOI":"10.1504/MEJM.2015.070750","ISSN":"2050-3636","abstract":"In today's knowledge-based economy, organisation's core competency is built firmly on effective utilisation of human capital, by deploying and institutionalising the firm specific organisation practices. 'Knowledge' is the key to firm's strategic posture and a differentiating factor to leverage on sustained competitive advantage (SCA). This paper depicts the various approaches of strategic human resource management (HRM) practices to enhance the knowledge driven 'learning culture' i.e. organisational learning process. The organisational learning facilitates the human capital in terms of behavioural change, which in turn lead to improved performance of the organisation. The functional outputs of knowledge resource are captured by analysing the learning outcomes such as learning dynamics; organisation transformation; people empowerment; knowledge management and technology application. The impact of strategic HRM practices on learning outcomes are conceptualised as universalistic; contingency and configurational approach, as defined in strategic HRM literature. The universalistic approach portrays the impact of individual human resource (HR) practices on learning outcome. The contingency approach examines vertical fit between strategic HRM practices and knowledge strategy (learning levels). The configurational approach scans both the vertical fit and horizontal fit of policies and practices to reinforce one another.","author":[{"dropping-particle":"","family":"Arunprasad","given":"P.","non-dropping-particle":"","parse-names":false,"suffix":""}],"container-title":"Middle East Journal of Management","id":"ITEM-1","issue":"2","issued":{"date-parts":[["2015"]]},"page":"97-120","title":"Strategic fulcrum for a knowledge-based economy: A conceptual 'knowledge-HR' archetype","type":"article-journal","volume":"2"},"uris":["http://www.mendeley.com/documents/?uuid=d1e91b6c-ff7f-41c2-8f6a-976dcab68c6b"]}],"mendeley":{"formattedCitation":"(Arunprasad, 2015b)","plainTextFormattedCitation":"(Arunprasad, 2015b)","previouslyFormattedCitation":"(Arunprasad, 2015b)"},"properties":{"noteIndex":0},"schema":"https://github.com/citation-style-language/schema/raw/master/csl-citation.json"}</w:instrText>
      </w:r>
      <w:r w:rsidR="00EE00BF" w:rsidRPr="002A7627">
        <w:rPr>
          <w:rFonts w:eastAsiaTheme="minorEastAsia"/>
        </w:rPr>
        <w:fldChar w:fldCharType="separate"/>
      </w:r>
      <w:r w:rsidR="00AA406D" w:rsidRPr="002A7627">
        <w:rPr>
          <w:rFonts w:eastAsiaTheme="minorEastAsia"/>
          <w:noProof/>
        </w:rPr>
        <w:t>(Arunprasad, 2015b)</w:t>
      </w:r>
      <w:r w:rsidR="00EE00BF" w:rsidRPr="002A7627">
        <w:rPr>
          <w:rFonts w:eastAsiaTheme="minorEastAsia"/>
        </w:rPr>
        <w:fldChar w:fldCharType="end"/>
      </w:r>
      <w:r w:rsidR="00EE00BF" w:rsidRPr="002A7627">
        <w:rPr>
          <w:rFonts w:eastAsiaTheme="minorEastAsia"/>
        </w:rPr>
        <w:t>.</w:t>
      </w:r>
    </w:p>
    <w:p w14:paraId="15378F9C" w14:textId="1CA74255" w:rsidR="00EE00BF" w:rsidRPr="002A7627" w:rsidRDefault="00D45FE9" w:rsidP="002C4A1A">
      <w:pPr>
        <w:pStyle w:val="AAAAAAA"/>
      </w:pPr>
      <w:bookmarkStart w:id="104" w:name="_Toc13959625"/>
      <w:bookmarkStart w:id="105" w:name="_Toc22331658"/>
      <w:r>
        <w:rPr>
          <w:rStyle w:val="Heading2Char"/>
          <w:color w:val="000000"/>
          <w:u w:val="none"/>
        </w:rPr>
        <w:t xml:space="preserve">2.5.2. </w:t>
      </w:r>
      <w:r w:rsidR="00EE00BF" w:rsidRPr="002A7627">
        <w:rPr>
          <w:rStyle w:val="Heading2Char"/>
          <w:color w:val="000000"/>
          <w:u w:val="none"/>
        </w:rPr>
        <w:t>Organizational learning stages</w:t>
      </w:r>
      <w:bookmarkEnd w:id="104"/>
      <w:bookmarkEnd w:id="105"/>
      <w:r w:rsidR="002C4A1A" w:rsidRPr="002A7627">
        <w:t xml:space="preserve">. </w:t>
      </w:r>
      <w:r w:rsidR="00EE00BF" w:rsidRPr="002A7627">
        <w:t xml:space="preserve">Organizational learning has passed through three stages as a field </w:t>
      </w:r>
      <w:r w:rsidR="00EE00BF" w:rsidRPr="002A7627">
        <w:fldChar w:fldCharType="begin" w:fldLock="1"/>
      </w:r>
      <w:r w:rsidR="00E24626" w:rsidRPr="002A7627">
        <w:instrText>ADDIN CSL_CITATION {"citationItems":[{"id":"ITEM-1","itemData":{"DOI":"10.1287/orsc.1100.0621","ISBN":"1047-7039","ISSN":"1047-7039","PMID":"904035874","abstract":"Organizational learning has been an important topic for the journal Organization Science and for the field. We provide a theoretical framework for analyzing organizational learning. According to the framework, organizational experience interacts with the context to create knowledge. The context is conceived as having both a latent component and an active component through which learning occurs. We also discuss current and emerging research themes related to components of our framework. Promising future research directions are identified. We hope that our perspective will stimulate future work on organizational learning and knowledge.; Organizational learning has been an important topic for the journal Organization Science and for the field. We provide a theoretical framework for analyzing organizational learning. According to the framework, organizational experience interacts with the context to create knowledge. The context is conceived as having both a latent component and an active component through which learning occurs. We also discuss current and emerging research themes related to components of our framework. Promising future research directions are identified. We hope that our perspective will stimulate future work on organizational learning and knowledge.","author":[{"dropping-particle":"","family":"Argote","given":"Linda","non-dropping-particle":"","parse-names":false,"suffix":""},{"dropping-particle":"","family":"Miron-Spektor","given":"Ella","non-dropping-particle":"","parse-names":false,"suffix":""}],"container-title":"Organization Science","id":"ITEM-1","issue":"5","issued":{"date-parts":[["2011","10"]]},"page":"1123-1137","title":"Organizational learning: From experience to knowledge","type":"article-journal","volume":"22"},"uris":["http://www.mendeley.com/documents/?uuid=585b1381-b57b-4b00-85f9-7267b19c1809"]}],"mendeley":{"formattedCitation":"(Argote &amp; Miron-Spektor, 2011)","plainTextFormattedCitation":"(Argote &amp; Miron-Spektor, 2011)","previouslyFormattedCitation":"(Argote &amp; Miron-Spektor, 2011)"},"properties":{"noteIndex":0},"schema":"https://github.com/citation-style-language/schema/raw/master/csl-citation.json"}</w:instrText>
      </w:r>
      <w:r w:rsidR="00EE00BF" w:rsidRPr="002A7627">
        <w:fldChar w:fldCharType="separate"/>
      </w:r>
      <w:r w:rsidR="00EE00BF" w:rsidRPr="002A7627">
        <w:rPr>
          <w:noProof/>
        </w:rPr>
        <w:t>(Argote &amp; Miron-Spektor, 2011)</w:t>
      </w:r>
      <w:r w:rsidR="00EE00BF" w:rsidRPr="002A7627">
        <w:fldChar w:fldCharType="end"/>
      </w:r>
      <w:r w:rsidR="00EE00BF" w:rsidRPr="002A7627">
        <w:t>. The first stage was before 1988 when it was seen as important to change the routine inside the organization to improve performance. The second stage was between 1988 and 2010</w:t>
      </w:r>
      <w:r w:rsidR="00193A9C" w:rsidRPr="002A7627">
        <w:t>,</w:t>
      </w:r>
      <w:r w:rsidR="00EE00BF" w:rsidRPr="002A7627">
        <w:t xml:space="preserve"> and focused on learning and knowledge sharing rather than knowledge creation. The third stage, after 2010, focused on the future</w:t>
      </w:r>
      <w:r w:rsidR="00193A9C" w:rsidRPr="002A7627">
        <w:t>,</w:t>
      </w:r>
      <w:r w:rsidR="00EE00BF" w:rsidRPr="002A7627">
        <w:t xml:space="preserve"> and how dynamic capabilities can be developed through organizational learning, using new forms of knowledge tools such as technological capabilities. More recently, it has been recognized that learning is better in organizations that support targeted socialization and provide on-the-job training and mentoring for new staff </w:t>
      </w:r>
      <w:r w:rsidR="00EE00BF" w:rsidRPr="002A7627">
        <w:fldChar w:fldCharType="begin" w:fldLock="1"/>
      </w:r>
      <w:r w:rsidR="00E24626" w:rsidRPr="002A7627">
        <w:instrText>ADDIN CSL_CITATION {"citationItems":[{"id":"ITEM-1","itemData":{"DOI":"10.1108/TLO-02-2017-0021","ISSN":"0969-6474","abstract":"Purpose Methods for facilitating learning and knowledge transfer in multigenerational workplaces are of importance to organizations. Yet, intergenerational learning is vastly understudied in academic organizational literature. This conceptual paper aims to recommend future directions for studying intergenerational learning by examining three interrelated considerations. Design/methodology/approach General knowledge management concepts, various generationally based perspectives on training and low-stakes development initiatives, are examined by integrating the existing literature. Findings The authors suggest that improved learning will occur in organizations that facilitate targeted socialization, respond to new preferences and trends in development programs while leveraging multiple approaches including informal/individualized initiatives (such as on-the-job education, mentorship programs) and embrace multiple types of volunteering activities. Originality value Although other work has reviewed intergenerational learning, this is the first research to focus on multigenerational learning while considering tacit and practical learning transference from inside and outside the organization.","author":[{"dropping-particle":"","family":"Sprinkle","given":"Therese A.","non-dropping-particle":"","parse-names":false,"suffix":""},{"dropping-particle":"","family":"Urick","given":"Michael J.","non-dropping-particle":"","parse-names":false,"suffix":""}],"container-title":"The Learning Organization","id":"ITEM-1","issue":"2","issued":{"date-parts":[["2018","2","5"]]},"page":"102-112","title":"Three generational issues in organizational learning: Knowledge management, perspectives on training and “low-stakes” development","type":"article-journal","volume":"25"},"uris":["http://www.mendeley.com/documents/?uuid=d98c8b5d-7160-4521-bdc1-ddcb6b914045"]}],"mendeley":{"formattedCitation":"(Sprinkle &amp; Urick, 2018)","plainTextFormattedCitation":"(Sprinkle &amp; Urick, 2018)","previouslyFormattedCitation":"(Sprinkle &amp; Urick, 2018)"},"properties":{"noteIndex":0},"schema":"https://github.com/citation-style-language/schema/raw/master/csl-citation.json"}</w:instrText>
      </w:r>
      <w:r w:rsidR="00EE00BF" w:rsidRPr="002A7627">
        <w:fldChar w:fldCharType="separate"/>
      </w:r>
      <w:r w:rsidR="00EE00BF" w:rsidRPr="002A7627">
        <w:rPr>
          <w:noProof/>
        </w:rPr>
        <w:t>(Sprinkle &amp; Urick, 2018)</w:t>
      </w:r>
      <w:r w:rsidR="00EE00BF" w:rsidRPr="002A7627">
        <w:fldChar w:fldCharType="end"/>
      </w:r>
      <w:r w:rsidR="00EE00BF" w:rsidRPr="002A7627">
        <w:t xml:space="preserve">. </w:t>
      </w:r>
    </w:p>
    <w:p w14:paraId="0F8D0CB2" w14:textId="792BDE9D" w:rsidR="00EE00BF" w:rsidRPr="002A7627" w:rsidRDefault="00D45FE9" w:rsidP="0017121F">
      <w:pPr>
        <w:pStyle w:val="Heading1"/>
        <w:rPr>
          <w:color w:val="000000"/>
        </w:rPr>
      </w:pPr>
      <w:bookmarkStart w:id="106" w:name="_Toc13959626"/>
      <w:bookmarkStart w:id="107" w:name="_Toc22331659"/>
      <w:r>
        <w:rPr>
          <w:color w:val="000000"/>
        </w:rPr>
        <w:t xml:space="preserve">2.6. </w:t>
      </w:r>
      <w:r w:rsidR="00EE00BF" w:rsidRPr="002A7627">
        <w:rPr>
          <w:color w:val="000000"/>
        </w:rPr>
        <w:t xml:space="preserve">Organizational </w:t>
      </w:r>
      <w:r w:rsidR="002C4A1A" w:rsidRPr="002A7627">
        <w:rPr>
          <w:color w:val="000000"/>
        </w:rPr>
        <w:t xml:space="preserve">Learning </w:t>
      </w:r>
      <w:r w:rsidR="00EE00BF" w:rsidRPr="002A7627">
        <w:rPr>
          <w:color w:val="000000"/>
        </w:rPr>
        <w:t xml:space="preserve">and </w:t>
      </w:r>
      <w:r w:rsidR="002C4A1A" w:rsidRPr="002A7627">
        <w:rPr>
          <w:color w:val="000000"/>
        </w:rPr>
        <w:t>Knowledge Management</w:t>
      </w:r>
      <w:bookmarkEnd w:id="106"/>
      <w:bookmarkEnd w:id="107"/>
    </w:p>
    <w:p w14:paraId="0493A8A8" w14:textId="77777777" w:rsidR="00482405" w:rsidRDefault="00EE00BF" w:rsidP="00482405">
      <w:pPr>
        <w:pStyle w:val="AAAAAAA"/>
      </w:pPr>
      <w:r w:rsidRPr="00DC384E">
        <w:rPr>
          <w:color w:val="000000" w:themeColor="text1"/>
        </w:rPr>
        <w:t xml:space="preserve">A </w:t>
      </w:r>
      <w:r w:rsidR="00965C69" w:rsidRPr="00DC384E">
        <w:rPr>
          <w:color w:val="000000" w:themeColor="text1"/>
        </w:rPr>
        <w:t xml:space="preserve">number </w:t>
      </w:r>
      <w:r w:rsidRPr="00DC384E">
        <w:rPr>
          <w:color w:val="000000" w:themeColor="text1"/>
        </w:rPr>
        <w:t xml:space="preserve">of researchers have considered organizational learning and discussed it from different </w:t>
      </w:r>
      <w:r w:rsidRPr="002A7627">
        <w:t xml:space="preserve">perspectives. For example, </w:t>
      </w:r>
      <w:r w:rsidR="0075026B" w:rsidRPr="002A7627">
        <w:fldChar w:fldCharType="begin" w:fldLock="1"/>
      </w:r>
      <w:r w:rsidR="0075026B" w:rsidRPr="002A7627">
        <w:instrText>ADDIN CSL_CITATION {"citationItems":[{"id":"ITEM-1","itemData":{"author":[{"dropping-particle":"","family":"Hedberg","given":"B. L. T.","non-dropping-particle":"","parse-names":false,"suffix":""}],"container-title":"Handbook of organizational design","editor":[{"dropping-particle":"","family":"Nystrom","given":"P. C.","non-dropping-particle":"","parse-names":false,"suffix":""},{"dropping-particle":"","family":"Starbuck","given":"W. H.","non-dropping-particle":"","parse-names":false,"suffix":""}],"id":"ITEM-1","issued":{"date-parts":[["1981"]]},"page":"3-27","publisher":"Oxford University Press","publisher-place":"New York, NY","title":"How organizations learn and unlearn","type":"chapter"},"uris":["http://www.mendeley.com/documents/?uuid=6dcc5e42-d35f-4f70-8915-b88dc736ca26"]}],"mendeley":{"formattedCitation":"(Hedberg, 1981)","manualFormatting":"Hedberg (1981)","plainTextFormattedCitation":"(Hedberg, 1981)","previouslyFormattedCitation":"(Hedberg, 1981)"},"properties":{"noteIndex":0},"schema":"https://github.com/citation-style-language/schema/raw/master/csl-citation.json"}</w:instrText>
      </w:r>
      <w:r w:rsidR="0075026B" w:rsidRPr="002A7627">
        <w:fldChar w:fldCharType="separate"/>
      </w:r>
      <w:r w:rsidR="0075026B" w:rsidRPr="002A7627">
        <w:rPr>
          <w:noProof/>
        </w:rPr>
        <w:t>Hedberg (1981)</w:t>
      </w:r>
      <w:r w:rsidR="0075026B" w:rsidRPr="002A7627">
        <w:fldChar w:fldCharType="end"/>
      </w:r>
      <w:r w:rsidRPr="002A7627">
        <w:t xml:space="preserve"> studied the requirement for organizations to acquire knowledge to be able to survive. Huber </w:t>
      </w:r>
      <w:r w:rsidRPr="002A7627">
        <w:fldChar w:fldCharType="begin" w:fldLock="1"/>
      </w:r>
      <w:r w:rsidR="004C27D4" w:rsidRPr="002A7627">
        <w:instrText>ADDIN CSL_CITATION {"citationItems":[{"id":"ITEM-1","itemData":{"DOI":"10.1287/orsc.2.1.88","ISSN":"1047-7039","abstract":"This paper differs from previous examinations of organizational learning in that it is broader in scope and more evaluative of the literatures. Four constructs related to organizational learning (knowledge acquisition, information distribution, information interpretation, and organizational memory) are articulated, and the literatures related to each are described and critiqued.\\r\\nThe literature on knowledge acquisition is voluminous and multi-faceted, and so the knowledge acquisition construct is portrayed here as consisting of five subconstructs or subprocesses: (1) drawing on knowledge available at the organization's birth, (2) learning from experience, (3) learning by observing other organizations, (4) grafting on to itself components that possess knowledge needed but not possessed by the organization, and (5) noticing or searching for information about the organization's environment and performance. Examination of the related literatures indicates that much has been learned about learning from experience, but also that there is a lack of cumulative work and a lack of integration of work from different research groups. Similarly, much has been learned about organizational search, but there is a lack of conceptual work, and there is a lack of both cumulative, work and syntheses with which to create a more mature literature. Congenital learning, vicarious learning, and grafting are information acquisition subprocesses about which relatively little\\r\\n has been learned.\\r\\nThe literature concerning information distribution is rich and mature, but an aspect of information distribution that is central to an organization's benefitting from its learning, namely how units that possess information and units that need this information can find each other quickly and with a high likelihood, is unexplored. Information interpretation, as an organizational process, rather than an individual process, requires empirical work for further advancement. Organizational memory is much in need of systematic investigation, particularly by those whose special concerns are improving organizational learning and decision making.","author":[{"dropping-particle":"","family":"Huber","given":"George P.","non-dropping-particle":"","parse-names":false,"suffix":""}],"container-title":"Organization Science","id":"ITEM-1","issue":"1","issued":{"date-parts":[["1991"]]},"page":"88-115","title":"Organizational learning : The contributing processes and the literatures","type":"article-journal","volume":"2"},"suppress-author":1,"uris":["http://www.mendeley.com/documents/?uuid=97c42c4b-a9d4-4aa7-9b04-70d4a2ee6aec"]}],"mendeley":{"formattedCitation":"(1991)","plainTextFormattedCitation":"(1991)","previouslyFormattedCitation":"(1991)"},"properties":{"noteIndex":0},"schema":"https://github.com/citation-style-language/schema/raw/master/csl-citation.json"}</w:instrText>
      </w:r>
      <w:r w:rsidRPr="002A7627">
        <w:fldChar w:fldCharType="separate"/>
      </w:r>
      <w:r w:rsidR="00E24626" w:rsidRPr="002A7627">
        <w:rPr>
          <w:noProof/>
        </w:rPr>
        <w:t>(1991)</w:t>
      </w:r>
      <w:r w:rsidRPr="002A7627">
        <w:fldChar w:fldCharType="end"/>
      </w:r>
      <w:r w:rsidRPr="002A7627">
        <w:t xml:space="preserve"> </w:t>
      </w:r>
      <w:r w:rsidRPr="00DC384E">
        <w:rPr>
          <w:color w:val="000000" w:themeColor="text1"/>
        </w:rPr>
        <w:t xml:space="preserve">studied </w:t>
      </w:r>
      <w:r w:rsidR="0003070C" w:rsidRPr="00DC384E">
        <w:rPr>
          <w:color w:val="000000" w:themeColor="text1"/>
        </w:rPr>
        <w:t xml:space="preserve">organizational learning constructs </w:t>
      </w:r>
      <w:r w:rsidR="00965C69" w:rsidRPr="00DC384E">
        <w:rPr>
          <w:color w:val="000000" w:themeColor="text1"/>
        </w:rPr>
        <w:t>associated with</w:t>
      </w:r>
      <w:r w:rsidR="0003070C" w:rsidRPr="00DC384E">
        <w:rPr>
          <w:color w:val="000000" w:themeColor="text1"/>
        </w:rPr>
        <w:t xml:space="preserve"> acquiring, disseminating, </w:t>
      </w:r>
      <w:r w:rsidR="00965C69" w:rsidRPr="00DC384E">
        <w:rPr>
          <w:color w:val="000000" w:themeColor="text1"/>
        </w:rPr>
        <w:t xml:space="preserve">and </w:t>
      </w:r>
      <w:r w:rsidR="0003070C" w:rsidRPr="00DC384E">
        <w:rPr>
          <w:color w:val="000000" w:themeColor="text1"/>
        </w:rPr>
        <w:t xml:space="preserve">interpreting </w:t>
      </w:r>
      <w:r w:rsidR="00965C69" w:rsidRPr="00DC384E">
        <w:rPr>
          <w:color w:val="000000" w:themeColor="text1"/>
        </w:rPr>
        <w:t xml:space="preserve">knowledge, </w:t>
      </w:r>
      <w:r w:rsidR="0003070C" w:rsidRPr="00DC384E">
        <w:rPr>
          <w:color w:val="000000" w:themeColor="text1"/>
        </w:rPr>
        <w:t>and building organizational memory.</w:t>
      </w:r>
      <w:r w:rsidRPr="00DC384E">
        <w:rPr>
          <w:color w:val="000000" w:themeColor="text1"/>
        </w:rPr>
        <w:t xml:space="preserve"> Individual learning is considered a prerequisite to organizational learning </w:t>
      </w:r>
      <w:r w:rsidRPr="00DC384E">
        <w:rPr>
          <w:color w:val="000000" w:themeColor="text1"/>
        </w:rPr>
        <w:fldChar w:fldCharType="begin" w:fldLock="1"/>
      </w:r>
      <w:r w:rsidR="00E24626" w:rsidRPr="00DC384E">
        <w:rPr>
          <w:color w:val="000000" w:themeColor="text1"/>
        </w:rPr>
        <w:instrText>ADDIN CSL_CITATION {"citationItems":[{"id":"ITEM-1","itemData":{"ISBN":"15351556","PMID":"12335201","abstract":"The debate over whether a dominant paradigm is appropriate for the rapidly evolving organizational learning (OL) research has resulted in significant discord among researchers in the field. This critical issue paper compares and contrasts the strengths and weaknesses of three widely used research paradigms in OL research: positivism, interpretivism, and critical science. It argues that in many cases, the taxonomy of positivislic research should be employed as the central methodological framework in investigating organizational learning and subsequent performance issues while valuing contributions made by the other two approaches to OL research.","author":[{"dropping-particle":"","family":"Kim","given":"Sujin","non-dropping-particle":"","parse-names":false,"suffix":""}],"container-title":"Information Technology, Learning, and Performance Journal","id":"ITEM-1","issue":"1","issued":{"date-parts":[["2003"]]},"page":"9-18","title":"Research paradigms in organizational learning and performance: Competing modes of inquiry","type":"article-journal","volume":"Spring 21"},"uris":["http://www.mendeley.com/documents/?uuid=73ea37c3-6493-43fd-8912-98ce044cd39e"]}],"mendeley":{"formattedCitation":"(Kim, 2003)","plainTextFormattedCitation":"(Kim, 2003)","previouslyFormattedCitation":"(Kim, 2003)"},"properties":{"noteIndex":0},"schema":"https://github.com/citation-style-language/schema/raw/master/csl-citation.json"}</w:instrText>
      </w:r>
      <w:r w:rsidRPr="00DC384E">
        <w:rPr>
          <w:color w:val="000000" w:themeColor="text1"/>
        </w:rPr>
        <w:fldChar w:fldCharType="separate"/>
      </w:r>
      <w:r w:rsidRPr="00DC384E">
        <w:rPr>
          <w:noProof/>
          <w:color w:val="000000" w:themeColor="text1"/>
        </w:rPr>
        <w:t>(Kim, 2003)</w:t>
      </w:r>
      <w:r w:rsidRPr="00DC384E">
        <w:rPr>
          <w:color w:val="000000" w:themeColor="text1"/>
        </w:rPr>
        <w:fldChar w:fldCharType="end"/>
      </w:r>
      <w:r w:rsidRPr="00DC384E">
        <w:rPr>
          <w:color w:val="000000" w:themeColor="text1"/>
        </w:rPr>
        <w:t>. O</w:t>
      </w:r>
      <w:r w:rsidRPr="00DC384E">
        <w:rPr>
          <w:rFonts w:eastAsiaTheme="minorEastAsia"/>
          <w:color w:val="000000" w:themeColor="text1"/>
        </w:rPr>
        <w:t xml:space="preserve">rganizations must establish a link between </w:t>
      </w:r>
      <w:r w:rsidR="002B52A9" w:rsidRPr="00DC384E">
        <w:rPr>
          <w:rFonts w:eastAsiaTheme="minorEastAsia"/>
          <w:color w:val="000000" w:themeColor="text1"/>
        </w:rPr>
        <w:t xml:space="preserve">people </w:t>
      </w:r>
      <w:r w:rsidRPr="00DC384E">
        <w:rPr>
          <w:rFonts w:eastAsiaTheme="minorEastAsia"/>
          <w:color w:val="000000" w:themeColor="text1"/>
        </w:rPr>
        <w:t xml:space="preserve">and organizational learning, to nourish organizational learning by capturing, </w:t>
      </w:r>
      <w:r w:rsidR="00EC5D9B" w:rsidRPr="00DC384E">
        <w:rPr>
          <w:rFonts w:eastAsiaTheme="minorEastAsia"/>
          <w:color w:val="000000" w:themeColor="text1"/>
        </w:rPr>
        <w:t xml:space="preserve">recording </w:t>
      </w:r>
      <w:r w:rsidRPr="00DC384E">
        <w:rPr>
          <w:rFonts w:eastAsiaTheme="minorEastAsia"/>
          <w:color w:val="000000" w:themeColor="text1"/>
        </w:rPr>
        <w:t>and</w:t>
      </w:r>
      <w:r w:rsidR="00EC5D9B" w:rsidRPr="00DC384E">
        <w:rPr>
          <w:rFonts w:eastAsiaTheme="minorEastAsia"/>
          <w:color w:val="000000" w:themeColor="text1"/>
        </w:rPr>
        <w:t xml:space="preserve"> then</w:t>
      </w:r>
      <w:r w:rsidRPr="00DC384E">
        <w:rPr>
          <w:rFonts w:eastAsiaTheme="minorEastAsia"/>
          <w:color w:val="000000" w:themeColor="text1"/>
        </w:rPr>
        <w:t xml:space="preserve"> </w:t>
      </w:r>
      <w:r w:rsidRPr="00DC384E">
        <w:rPr>
          <w:rFonts w:eastAsiaTheme="minorEastAsia"/>
          <w:color w:val="000000" w:themeColor="text1"/>
        </w:rPr>
        <w:lastRenderedPageBreak/>
        <w:t>disseminating the knowledge of individuals</w:t>
      </w:r>
      <w:r w:rsidRPr="002A7627">
        <w:rPr>
          <w:rFonts w:eastAsiaTheme="minorEastAsia"/>
        </w:rPr>
        <w:t xml:space="preserve"> </w:t>
      </w:r>
      <w:r w:rsidR="00CB0956" w:rsidRPr="002A7627">
        <w:rPr>
          <w:rFonts w:eastAsiaTheme="minorEastAsia"/>
          <w:noProof/>
        </w:rPr>
        <w:t>(Argyris &amp; Schon, 1978; Wang &amp; Ahmed, 2003)</w:t>
      </w:r>
      <w:r w:rsidRPr="002A7627">
        <w:rPr>
          <w:rFonts w:eastAsiaTheme="minorEastAsia"/>
        </w:rPr>
        <w:t>.</w:t>
      </w:r>
      <w:r w:rsidR="008723D7">
        <w:rPr>
          <w:rFonts w:eastAsiaTheme="minorEastAsia"/>
        </w:rPr>
        <w:t xml:space="preserve"> </w:t>
      </w:r>
      <w:bookmarkStart w:id="108" w:name="_Hlk26964496"/>
      <w:r w:rsidR="00482405">
        <w:t>Other studies found that being a learning organization and knowledge management are separate and distinct concepts. They affect each other but the impact of knowledge management on a learning organization is greater than the impact of being a learning organization on knowledge management (Karkoulian, Messarra, &amp; McCarthy, 2013).</w:t>
      </w:r>
    </w:p>
    <w:p w14:paraId="5B138F59" w14:textId="3C397D96" w:rsidR="008723D7" w:rsidRPr="0073547E" w:rsidRDefault="008723D7" w:rsidP="00482405">
      <w:pPr>
        <w:pStyle w:val="AAAAAAA"/>
        <w:rPr>
          <w:color w:val="C00000"/>
        </w:rPr>
      </w:pPr>
    </w:p>
    <w:bookmarkEnd w:id="108"/>
    <w:p w14:paraId="1D8AD39F" w14:textId="2E6B1551" w:rsidR="00EE00BF" w:rsidRPr="002A7627" w:rsidRDefault="00EE00BF" w:rsidP="002C4A1A">
      <w:pPr>
        <w:pStyle w:val="AAAAAAA"/>
        <w:rPr>
          <w:rFonts w:eastAsiaTheme="minorEastAsia"/>
        </w:rPr>
      </w:pPr>
      <w:r w:rsidRPr="002A7627">
        <w:rPr>
          <w:rFonts w:eastAsiaTheme="minorEastAsia"/>
        </w:rPr>
        <w:t>Choudhary, Akhtar</w:t>
      </w:r>
      <w:r w:rsidR="00CB0956" w:rsidRPr="002A7627">
        <w:rPr>
          <w:rFonts w:eastAsiaTheme="minorEastAsia"/>
        </w:rPr>
        <w:t>,</w:t>
      </w:r>
      <w:r w:rsidRPr="002A7627">
        <w:rPr>
          <w:rFonts w:eastAsiaTheme="minorEastAsia"/>
        </w:rPr>
        <w:t xml:space="preserve"> and Zaheer </w:t>
      </w:r>
      <w:r w:rsidRPr="002A7627">
        <w:rPr>
          <w:rFonts w:eastAsiaTheme="minorEastAsia"/>
        </w:rPr>
        <w:fldChar w:fldCharType="begin" w:fldLock="1"/>
      </w:r>
      <w:r w:rsidR="00E24626" w:rsidRPr="002A7627">
        <w:rPr>
          <w:rFonts w:eastAsiaTheme="minorEastAsia"/>
        </w:rPr>
        <w:instrText>ADDIN CSL_CITATION {"citationItems":[{"id":"ITEM-1","itemData":{"DOI":"10.1007/s10551-012-1470-8","ISBN":"0167-4544","ISSN":"01674544","abstract":"The purpose of this study is to examine the impact of two comparative leadership styles on organiza- tional performance outcomes. The leadership styles undertaken is transformational and servant leadership. A sample of 155 participants is taken from profit-oriented service sector of Pakistan. Data through survey gathered on a five point likert scale from organizations. AMOS and SPSS are used for statistical analysis. The result shows that, transformational leadership has more impact on organizational learning than servant leadership. Further- more organizational learning enhances organizational per- formance. Managers and leaders of corporate sector can get benefited from this study. Their main objective is to maximize the profitability of organization thus, they can choose leadership style which polishes their abilities and helps them to achieve profit maximization. Keywords","author":[{"dropping-particle":"","family":"Choudhary","given":"Ali Iftikhar","non-dropping-particle":"","parse-names":false,"suffix":""},{"dropping-particle":"","family":"Akhtar","given":"Syed Azeem","non-dropping-particle":"","parse-names":false,"suffix":""},{"dropping-particle":"","family":"Zaheer","given":"Arshad","non-dropping-particle":"","parse-names":false,"suffix":""}],"container-title":"Journal of Business Ethics","id":"ITEM-1","issue":"2","issued":{"date-parts":[["2013"]]},"page":"433-440","title":"Impact of transformational and servant leadership on organizational performance: A comparative analysis","type":"article-journal","volume":"116"},"suppress-author":1,"uris":["http://www.mendeley.com/documents/?uuid=6d6966f1-60ea-4b74-84e0-02fb4e9b2a34"]}],"mendeley":{"formattedCitation":"(2013)","plainTextFormattedCitation":"(2013)","previouslyFormattedCitation":"(2013)"},"properties":{"noteIndex":0},"schema":"https://github.com/citation-style-language/schema/raw/master/csl-citation.json"}</w:instrText>
      </w:r>
      <w:r w:rsidRPr="002A7627">
        <w:rPr>
          <w:rFonts w:eastAsiaTheme="minorEastAsia"/>
        </w:rPr>
        <w:fldChar w:fldCharType="separate"/>
      </w:r>
      <w:r w:rsidRPr="002A7627">
        <w:rPr>
          <w:rFonts w:eastAsiaTheme="minorEastAsia"/>
          <w:noProof/>
        </w:rPr>
        <w:t>(2013)</w:t>
      </w:r>
      <w:r w:rsidRPr="002A7627">
        <w:rPr>
          <w:rFonts w:eastAsiaTheme="minorEastAsia"/>
        </w:rPr>
        <w:fldChar w:fldCharType="end"/>
      </w:r>
      <w:r w:rsidRPr="002A7627">
        <w:rPr>
          <w:rFonts w:eastAsiaTheme="minorEastAsia"/>
        </w:rPr>
        <w:t xml:space="preserve"> found that organizational learning </w:t>
      </w:r>
      <w:r w:rsidRPr="00DC384E">
        <w:rPr>
          <w:rFonts w:eastAsiaTheme="minorEastAsia"/>
          <w:color w:val="000000" w:themeColor="text1"/>
        </w:rPr>
        <w:t xml:space="preserve">had a </w:t>
      </w:r>
      <w:r w:rsidR="002B52A9" w:rsidRPr="00DC384E">
        <w:rPr>
          <w:rFonts w:eastAsiaTheme="minorEastAsia"/>
          <w:color w:val="000000" w:themeColor="text1"/>
        </w:rPr>
        <w:t xml:space="preserve">significant </w:t>
      </w:r>
      <w:r w:rsidRPr="002A7627">
        <w:rPr>
          <w:rFonts w:eastAsiaTheme="minorEastAsia"/>
        </w:rPr>
        <w:t xml:space="preserve">impact on organizational performance in the service sector in Pakistan. Enhancing performance is a key benefit of knowledge management </w:t>
      </w:r>
      <w:r w:rsidRPr="002A7627">
        <w:rPr>
          <w:rFonts w:eastAsiaTheme="minorEastAsia"/>
        </w:rPr>
        <w:fldChar w:fldCharType="begin" w:fldLock="1"/>
      </w:r>
      <w:r w:rsidR="004C27D4" w:rsidRPr="002A7627">
        <w:rPr>
          <w:rFonts w:eastAsiaTheme="minorEastAsia"/>
        </w:rPr>
        <w:instrText>ADDIN CSL_CITATION {"citationItems":[{"id":"ITEM-1","itemData":{"DOI":"10.1108/JKM-05-2015-0166","ISBN":"1220140538","ISSN":"1367-3270","abstract":"Purpose – The paper aims to foster a better understanding of knowledge management (KM) benefits by integrating the qualitative findings of prior research under a multilayer conceptual framework. Design/methodology/approach – A meta-synthesis approach was conducted by adopting “Noblit and Hare’s” seven-step method. Findings – A breakdown structure for KM benefits which encompasses 3 “macro benefits” at Level 1, 7 “benefits” at Level 2 and 44 “micro benefits” at Level 3. Research limitations/implications – The main limitation is that this research does not provide criteria and measures to assess the benefits of KM. Practical implications – Organizations which intend to invest in KM can obtain a better insight about outcomes and benefits of implementingKMinitiatives. This study will provide those organizations which have already invested in KM with some ideas to evaluate their KM efforts qualitatively. Originality/value – Based on available data, this study is the first of its kind that has identified the benefits ofKMin three layers. Also, the number ofKMbenefits identified in this study is greater than that of any previous research.","author":[{"dropping-particle":"","family":"Yahyapour","given":"Shiva","non-dropping-particle":"","parse-names":false,"suffix":""},{"dropping-particle":"","family":"Shamizanjani","given":"Mehdi","non-dropping-particle":"","parse-names":false,"suffix":""},{"dropping-particle":"","family":"Mosakhani","given":"Mohammad","non-dropping-particle":"","parse-names":false,"suffix":""}],"container-title":"Journal of Knowledge Management","id":"ITEM-1","issue":"6","issued":{"date-parts":[["2015","10","12"]]},"page":"1295-1309","title":"A conceptual breakdown structure for knowledge management benefits using meta-synthesis method","type":"article-journal","volume":"19"},"uris":["http://www.mendeley.com/documents/?uuid=534d5029-a59c-4eb7-b595-6e3265aca0b8"]},{"id":"ITEM-2","itemData":{"DOI":"10.1108/JKM-10-2013-0390","ISSN":"1367-3270","author":[{"dropping-particle":"","family":"Massingham","given":"Peter Rex","non-dropping-particle":"","parse-names":false,"suffix":""},{"dropping-particle":"","family":"Massingham","given":"Rada K","non-dropping-particle":"","parse-names":false,"suffix":""}],"container-title":"Journal of Knowledge Management","id":"ITEM-2","issue":"2","issued":{"date-parts":[["2014","4","7"]]},"page":"221-254","title":"Does knowledge management produce practical outcomes?","type":"article-journal","volume":"18"},"uris":["http://www.mendeley.com/documents/?uuid=30f6f652-d1e6-4124-9d18-eb19f09b4489"]}],"mendeley":{"formattedCitation":"(Massingham &amp; Massingham, 2014; Yahyapour et al., 2015)","plainTextFormattedCitation":"(Massingham &amp; Massingham, 2014; Yahyapour et al., 2015)","previouslyFormattedCitation":"(Massingham &amp; Massingham, 2014; Yahyapour et al., 2015)"},"properties":{"noteIndex":0},"schema":"https://github.com/citation-style-language/schema/raw/master/csl-citation.json"}</w:instrText>
      </w:r>
      <w:r w:rsidRPr="002A7627">
        <w:rPr>
          <w:rFonts w:eastAsiaTheme="minorEastAsia"/>
        </w:rPr>
        <w:fldChar w:fldCharType="separate"/>
      </w:r>
      <w:r w:rsidR="00E24626" w:rsidRPr="002A7627">
        <w:rPr>
          <w:rFonts w:eastAsiaTheme="minorEastAsia"/>
          <w:noProof/>
        </w:rPr>
        <w:t>(Massingham &amp; Massingham, 2014; Yahyapour et al., 2015)</w:t>
      </w:r>
      <w:r w:rsidRPr="002A7627">
        <w:rPr>
          <w:rFonts w:eastAsiaTheme="minorEastAsia"/>
        </w:rPr>
        <w:fldChar w:fldCharType="end"/>
      </w:r>
      <w:r w:rsidRPr="002A7627">
        <w:rPr>
          <w:rFonts w:eastAsiaTheme="minorEastAsia"/>
        </w:rPr>
        <w:t xml:space="preserve">. Kohtamäki, Kraus, Mäkelä, </w:t>
      </w:r>
      <w:r w:rsidR="00CB0956" w:rsidRPr="002A7627">
        <w:rPr>
          <w:rFonts w:eastAsiaTheme="minorEastAsia"/>
        </w:rPr>
        <w:t>and</w:t>
      </w:r>
      <w:r w:rsidRPr="002A7627">
        <w:rPr>
          <w:rFonts w:eastAsiaTheme="minorEastAsia"/>
        </w:rPr>
        <w:t xml:space="preserve"> Rönkkö </w:t>
      </w:r>
      <w:r w:rsidRPr="002A7627">
        <w:rPr>
          <w:rFonts w:eastAsiaTheme="minorEastAsia"/>
        </w:rPr>
        <w:fldChar w:fldCharType="begin" w:fldLock="1"/>
      </w:r>
      <w:r w:rsidRPr="002A7627">
        <w:rPr>
          <w:rFonts w:eastAsiaTheme="minorEastAsia"/>
        </w:rPr>
        <w:instrText>ADDIN CSL_CITATION {"citationItems":[{"id":"ITEM-1","itemData":{"DOI":"10.1108/13552551211204201","ISBN":"1355-2554","ISSN":"1355-2554","PMID":"923390986","abstract":"(2012),\"The role of personnel commitment to strategy implementation and organisational learning within the relationship between strategic planning and company performance\",","author":[{"dropping-particle":"","family":"Kohtamäki","given":"Marko","non-dropping-particle":"","parse-names":false,"suffix":""},{"dropping-particle":"","family":"Kraus","given":"Sascha","non-dropping-particle":"","parse-names":false,"suffix":""},{"dropping-particle":"","family":"Mäkelä","given":"Markus","non-dropping-particle":"","parse-names":false,"suffix":""},{"dropping-particle":"","family":"Rönkkö","given":"Mikko","non-dropping-particle":"","parse-names":false,"suffix":""}],"container-title":"International Journal of Entrepreneurial Behavior and Research","id":"ITEM-1","issue":"2","issued":{"date-parts":[["2012","3","2"]]},"page":"159-178","title":"The role of personnel commitment to strategy implementation and organisational learning within the relationship between strategic planning and company performance","type":"article-journal","volume":"18"},"suppress-author":1,"uris":["http://www.mendeley.com/documents/?uuid=3e5e1639-2886-43d1-add7-ea9a5c0f143b"]}],"mendeley":{"formattedCitation":"(2012)","plainTextFormattedCitation":"(2012)","previouslyFormattedCitation":"(2012)"},"properties":{"noteIndex":0},"schema":"https://github.com/citation-style-language/schema/raw/master/csl-citation.json"}</w:instrText>
      </w:r>
      <w:r w:rsidRPr="002A7627">
        <w:rPr>
          <w:rFonts w:eastAsiaTheme="minorEastAsia"/>
        </w:rPr>
        <w:fldChar w:fldCharType="separate"/>
      </w:r>
      <w:r w:rsidRPr="002A7627">
        <w:rPr>
          <w:rFonts w:eastAsiaTheme="minorEastAsia"/>
          <w:noProof/>
        </w:rPr>
        <w:t>(2012)</w:t>
      </w:r>
      <w:r w:rsidRPr="002A7627">
        <w:rPr>
          <w:rFonts w:eastAsiaTheme="minorEastAsia"/>
        </w:rPr>
        <w:fldChar w:fldCharType="end"/>
      </w:r>
      <w:r w:rsidRPr="002A7627">
        <w:rPr>
          <w:rFonts w:eastAsiaTheme="minorEastAsia"/>
        </w:rPr>
        <w:t xml:space="preserve"> </w:t>
      </w:r>
      <w:r w:rsidR="00034035" w:rsidRPr="00DC384E">
        <w:rPr>
          <w:rFonts w:eastAsiaTheme="minorEastAsia"/>
          <w:color w:val="000000" w:themeColor="text1"/>
        </w:rPr>
        <w:t>found</w:t>
      </w:r>
      <w:r w:rsidR="002B52A9" w:rsidRPr="00034035">
        <w:rPr>
          <w:rFonts w:eastAsiaTheme="minorEastAsia"/>
          <w:color w:val="FF0000"/>
        </w:rPr>
        <w:t xml:space="preserve"> </w:t>
      </w:r>
      <w:r w:rsidRPr="002A7627">
        <w:rPr>
          <w:rFonts w:eastAsiaTheme="minorEastAsia"/>
        </w:rPr>
        <w:t xml:space="preserve">that organizations in the IT sector in Finland with an ability to learn quickly performed better, because of the positive relationship between organizational learning and company performance. </w:t>
      </w:r>
      <w:r w:rsidRPr="002A7627">
        <w:rPr>
          <w:rFonts w:eastAsiaTheme="minorEastAsia"/>
          <w:noProof/>
        </w:rPr>
        <w:t>Kohtamäki et al.</w:t>
      </w:r>
      <w:r w:rsidR="00965C69">
        <w:rPr>
          <w:rFonts w:eastAsiaTheme="minorEastAsia"/>
          <w:noProof/>
        </w:rPr>
        <w:t>’</w:t>
      </w:r>
      <w:r w:rsidR="00C41F2A" w:rsidRPr="002A7627">
        <w:rPr>
          <w:rFonts w:eastAsiaTheme="minorEastAsia"/>
          <w:noProof/>
        </w:rPr>
        <w:t>s</w:t>
      </w:r>
      <w:r w:rsidRPr="002A7627">
        <w:rPr>
          <w:rFonts w:eastAsiaTheme="minorEastAsia"/>
          <w:noProof/>
        </w:rPr>
        <w:t xml:space="preserve"> </w:t>
      </w:r>
      <w:r w:rsidR="00C41F2A" w:rsidRPr="002A7627">
        <w:rPr>
          <w:rFonts w:eastAsiaTheme="minorEastAsia"/>
          <w:noProof/>
        </w:rPr>
        <w:t>(</w:t>
      </w:r>
      <w:r w:rsidRPr="002A7627">
        <w:rPr>
          <w:rFonts w:eastAsiaTheme="minorEastAsia"/>
          <w:noProof/>
        </w:rPr>
        <w:t>2012)</w:t>
      </w:r>
      <w:r w:rsidR="00C41F2A" w:rsidRPr="002A7627">
        <w:rPr>
          <w:rFonts w:eastAsiaTheme="minorEastAsia"/>
        </w:rPr>
        <w:t xml:space="preserve"> study</w:t>
      </w:r>
      <w:r w:rsidRPr="002A7627">
        <w:rPr>
          <w:rFonts w:eastAsiaTheme="minorEastAsia"/>
        </w:rPr>
        <w:t xml:space="preserve"> </w:t>
      </w:r>
      <w:r w:rsidR="00965C69">
        <w:rPr>
          <w:rFonts w:eastAsiaTheme="minorEastAsia"/>
        </w:rPr>
        <w:t>found that</w:t>
      </w:r>
      <w:r w:rsidRPr="002A7627">
        <w:rPr>
          <w:rFonts w:eastAsiaTheme="minorEastAsia"/>
        </w:rPr>
        <w:t xml:space="preserve"> organizational learning had a </w:t>
      </w:r>
      <w:r w:rsidRPr="00DC384E">
        <w:rPr>
          <w:rFonts w:eastAsiaTheme="minorEastAsia"/>
          <w:color w:val="000000" w:themeColor="text1"/>
        </w:rPr>
        <w:t xml:space="preserve">positive </w:t>
      </w:r>
      <w:r w:rsidR="002B52A9" w:rsidRPr="00DC384E">
        <w:rPr>
          <w:rFonts w:eastAsiaTheme="minorEastAsia"/>
          <w:color w:val="000000" w:themeColor="text1"/>
        </w:rPr>
        <w:t>impact on</w:t>
      </w:r>
      <w:r w:rsidRPr="00DC384E">
        <w:rPr>
          <w:rFonts w:eastAsiaTheme="minorEastAsia"/>
          <w:color w:val="000000" w:themeColor="text1"/>
        </w:rPr>
        <w:t xml:space="preserve"> </w:t>
      </w:r>
      <w:r w:rsidRPr="002A7627">
        <w:rPr>
          <w:rFonts w:eastAsiaTheme="minorEastAsia"/>
        </w:rPr>
        <w:t xml:space="preserve">organizational performance but did not mediate the relationship </w:t>
      </w:r>
      <w:r w:rsidR="00965C69">
        <w:rPr>
          <w:rFonts w:eastAsiaTheme="minorEastAsia"/>
        </w:rPr>
        <w:t xml:space="preserve">between performance and </w:t>
      </w:r>
      <w:r w:rsidRPr="002A7627">
        <w:rPr>
          <w:rFonts w:eastAsiaTheme="minorEastAsia"/>
        </w:rPr>
        <w:t xml:space="preserve">strategic planning. </w:t>
      </w:r>
      <w:hyperlink r:id="rId20" w:history="1">
        <w:r w:rsidRPr="002A7627">
          <w:rPr>
            <w:rFonts w:eastAsiaTheme="minorEastAsia"/>
          </w:rPr>
          <w:t>Theriou</w:t>
        </w:r>
      </w:hyperlink>
      <w:r w:rsidR="00ED27F3">
        <w:rPr>
          <w:rFonts w:eastAsiaTheme="minorEastAsia"/>
        </w:rPr>
        <w:t xml:space="preserve"> and Chatzoglou</w:t>
      </w:r>
      <w:r w:rsidRPr="002A7627">
        <w:rPr>
          <w:rFonts w:eastAsiaTheme="minorEastAsia"/>
        </w:rPr>
        <w:t xml:space="preserve"> </w:t>
      </w:r>
      <w:r w:rsidRPr="002A7627">
        <w:rPr>
          <w:rFonts w:eastAsiaTheme="minorEastAsia"/>
        </w:rPr>
        <w:fldChar w:fldCharType="begin" w:fldLock="1"/>
      </w:r>
      <w:r w:rsidRPr="002A7627">
        <w:rPr>
          <w:rFonts w:eastAsiaTheme="minorEastAsia"/>
        </w:rPr>
        <w:instrText>ADDIN CSL_CITATION {"citationItems":[{"id":"ITEM-1","itemData":{"DOI":"10.1108/09555340810871400","ISSN":"0955-534X","abstract":"The purpose of this paper is to explore the relationships between best human resource management (HRM) practices, knowledge management (KM), organization learning and organizational capabilities (OC) and their impact on organizational performance. The proposed framework intends to add to the understanding of the specific processes that mediate between best HRM practices and organizational performance. Design/methodology/approach – A range of relevant literature is explored and a conceptual model is proposed and discussed. Findings – This paper proposes an answer to “how” best HRM practices can influence performance. It is suggested that KM and organizational learning (OL) play their own unique role in creating OC, which lead to superior performance. Practical implications – The paper can help human resource managers to understand better the importance of OL and KM processes and the way best HRM practices, through the integration of these two processes, lead to superior and sustainable performance. Originality/value – This paper attempts to shed some light on the processes through which HRM practices influence performance. The proposed conceptual framework is an original, complete model that will hopefully contribute towards the enrichment of the relevant literature. Moreover, it clarifies relevant terms and their relationship that seem to be surrounded by ambiguity.","author":[{"dropping-particle":"","family":"Theriou","given":"Georgios N.","non-dropping-particle":"","parse-names":false,"suffix":""},{"dropping-particle":"","family":"Chatzoglou","given":"Prodromos D.","non-dropping-particle":"","parse-names":false,"suffix":""}],"container-title":"European Business Review","id":"ITEM-1","issue":"3","issued":{"date-parts":[["2008","5","16"]]},"page":"185-207","title":"Enhancing performance through best HRM practices, organizational learning and knowledge management","type":"article-journal","volume":"20"},"suppress-author":1,"uris":["http://www.mendeley.com/documents/?uuid=031df0b0-795e-4e7d-a87f-cb12f69c7d27"]}],"mendeley":{"formattedCitation":"(2008)","plainTextFormattedCitation":"(2008)","previouslyFormattedCitation":"(2008)"},"properties":{"noteIndex":0},"schema":"https://github.com/citation-style-language/schema/raw/master/csl-citation.json"}</w:instrText>
      </w:r>
      <w:r w:rsidRPr="002A7627">
        <w:rPr>
          <w:rFonts w:eastAsiaTheme="minorEastAsia"/>
        </w:rPr>
        <w:fldChar w:fldCharType="separate"/>
      </w:r>
      <w:r w:rsidRPr="002A7627">
        <w:rPr>
          <w:rFonts w:eastAsiaTheme="minorEastAsia"/>
          <w:noProof/>
        </w:rPr>
        <w:t>(2008)</w:t>
      </w:r>
      <w:r w:rsidRPr="002A7627">
        <w:rPr>
          <w:rFonts w:eastAsiaTheme="minorEastAsia"/>
        </w:rPr>
        <w:fldChar w:fldCharType="end"/>
      </w:r>
      <w:r w:rsidRPr="002A7627">
        <w:rPr>
          <w:rFonts w:eastAsiaTheme="minorEastAsia"/>
        </w:rPr>
        <w:t xml:space="preserve"> found that </w:t>
      </w:r>
      <w:r w:rsidRPr="002A7627">
        <w:t xml:space="preserve">both organizational learning and knowledge management played a critical role in enhancing performance by creating organizational capabilities. </w:t>
      </w:r>
      <w:r w:rsidR="00C67B8A">
        <w:t>They</w:t>
      </w:r>
      <w:r w:rsidR="00C67B8A" w:rsidRPr="002A7627">
        <w:rPr>
          <w:rFonts w:eastAsiaTheme="minorEastAsia"/>
        </w:rPr>
        <w:t xml:space="preserve"> </w:t>
      </w:r>
      <w:r w:rsidRPr="002A7627">
        <w:rPr>
          <w:rFonts w:eastAsiaTheme="minorEastAsia"/>
        </w:rPr>
        <w:t xml:space="preserve">suggested that more research was necessary </w:t>
      </w:r>
      <w:r w:rsidR="00965C69">
        <w:rPr>
          <w:rFonts w:eastAsiaTheme="minorEastAsia"/>
        </w:rPr>
        <w:t>to understand</w:t>
      </w:r>
      <w:r w:rsidR="00965C69" w:rsidRPr="002A7627">
        <w:rPr>
          <w:rFonts w:eastAsiaTheme="minorEastAsia"/>
        </w:rPr>
        <w:t xml:space="preserve"> </w:t>
      </w:r>
      <w:r w:rsidRPr="002A7627">
        <w:rPr>
          <w:rFonts w:eastAsiaTheme="minorEastAsia"/>
        </w:rPr>
        <w:t>the relationship</w:t>
      </w:r>
      <w:r w:rsidR="00965C69">
        <w:rPr>
          <w:rFonts w:eastAsiaTheme="minorEastAsia"/>
        </w:rPr>
        <w:t xml:space="preserve"> more fully</w:t>
      </w:r>
      <w:r w:rsidRPr="002A7627">
        <w:rPr>
          <w:rFonts w:eastAsiaTheme="minorEastAsia"/>
        </w:rPr>
        <w:t xml:space="preserve">. </w:t>
      </w:r>
    </w:p>
    <w:p w14:paraId="71E53E58" w14:textId="4B60593B" w:rsidR="00EE00BF" w:rsidRPr="002A7627" w:rsidRDefault="00EE00BF" w:rsidP="002C4A1A">
      <w:pPr>
        <w:pStyle w:val="AAAAAAA"/>
        <w:rPr>
          <w:rFonts w:eastAsiaTheme="minorEastAsia"/>
        </w:rPr>
      </w:pPr>
      <w:r w:rsidRPr="002A7627">
        <w:rPr>
          <w:rFonts w:eastAsiaTheme="minorEastAsia"/>
        </w:rPr>
        <w:t xml:space="preserve">Researchers have suggested a number of models or frameworks for organizational learning. For example, </w:t>
      </w:r>
      <w:r w:rsidR="00AA406D" w:rsidRPr="002A7627">
        <w:rPr>
          <w:rFonts w:eastAsiaTheme="minorEastAsia"/>
        </w:rPr>
        <w:fldChar w:fldCharType="begin" w:fldLock="1"/>
      </w:r>
      <w:r w:rsidR="00E24626" w:rsidRPr="002A7627">
        <w:rPr>
          <w:rFonts w:eastAsiaTheme="minorEastAsia"/>
        </w:rPr>
        <w:instrText>ADDIN CSL_CITATION {"citationItems":[{"id":"ITEM-1","itemData":{"DOI":"10.1504/ijlc.2015.069072","ISSN":"1740-2875","abstract":"This paper identifies the interrelationship between the organisational learning (OL) characteristics, strategic human resource management (HRM) practices and the corresponding learning outcome for a sustained competitive advantage (SCA). Through a profound literature review, first, the knowledge assets (human capital), OL and strategic HRM are looked through the lens of SCA for developing a tighter link between OL and strategic HRM. Secondly, a conceptual framework is developed which encompasses the alignment between learning levels, such as reactors, predictors and pro-activators; learning outcomes and the learning enabled human resource (HR) practices. Thirdly, by imparting the theoretical assertions, the characteristics of learning levels are mapped appropriately to the proposed learning outcome dimensions and the corresponding learning enabled HR practices are tabulated. Fourthly, research propositions are stated in view of learning levels and learning enabled HR practices to enable the organisation learners for a significant impact on the learning outcomes. Lastly, managerial implications and the potential research questions are presented. Copyright © 2015 Inderscience Enterprises Ltd.","author":[{"dropping-particle":"","family":"Arunprasad","given":"P.","non-dropping-particle":"","parse-names":false,"suffix":""}],"container-title":"International Journal of Learning and Change","id":"ITEM-1","issue":"1","issued":{"date-parts":[["2015"]]},"page":"42","title":"Organisation learners' competence to overcome organisation's learning inertia: A conceptual framework","type":"article-journal","volume":"8"},"uris":["http://www.mendeley.com/documents/?uuid=5310235f-28e6-41d9-aeb5-ea09ff440d3b"]}],"mendeley":{"formattedCitation":"(Arunprasad, 2015a)","manualFormatting":"Arunprasad (2015a)","plainTextFormattedCitation":"(Arunprasad, 2015a)","previouslyFormattedCitation":"(Arunprasad, 2015a)"},"properties":{"noteIndex":0},"schema":"https://github.com/citation-style-language/schema/raw/master/csl-citation.json"}</w:instrText>
      </w:r>
      <w:r w:rsidR="00AA406D" w:rsidRPr="002A7627">
        <w:rPr>
          <w:rFonts w:eastAsiaTheme="minorEastAsia"/>
        </w:rPr>
        <w:fldChar w:fldCharType="separate"/>
      </w:r>
      <w:r w:rsidR="00AA406D" w:rsidRPr="002A7627">
        <w:rPr>
          <w:rFonts w:eastAsiaTheme="minorEastAsia"/>
          <w:noProof/>
        </w:rPr>
        <w:t>Arunprasad (2015a)</w:t>
      </w:r>
      <w:r w:rsidR="00AA406D" w:rsidRPr="002A7627">
        <w:rPr>
          <w:rFonts w:eastAsiaTheme="minorEastAsia"/>
        </w:rPr>
        <w:fldChar w:fldCharType="end"/>
      </w:r>
      <w:r w:rsidRPr="002A7627">
        <w:rPr>
          <w:rFonts w:eastAsiaTheme="minorEastAsia"/>
        </w:rPr>
        <w:t xml:space="preserve"> suggested that there </w:t>
      </w:r>
      <w:r w:rsidRPr="002A7627">
        <w:rPr>
          <w:rFonts w:eastAsiaTheme="minorEastAsia"/>
        </w:rPr>
        <w:lastRenderedPageBreak/>
        <w:t>were three levels or characteristics of organizational learning (reactors, pro-activators</w:t>
      </w:r>
      <w:r w:rsidR="00193A9C" w:rsidRPr="002A7627">
        <w:rPr>
          <w:rFonts w:eastAsiaTheme="minorEastAsia"/>
        </w:rPr>
        <w:t>,</w:t>
      </w:r>
      <w:r w:rsidRPr="002A7627">
        <w:rPr>
          <w:rFonts w:eastAsiaTheme="minorEastAsia"/>
        </w:rPr>
        <w:t xml:space="preserve"> and predictors). These are linked to human resources practices and learning outcomes </w:t>
      </w:r>
      <w:r w:rsidRPr="002A7627">
        <w:rPr>
          <w:rFonts w:eastAsiaTheme="minorEastAsia"/>
        </w:rPr>
        <w:fldChar w:fldCharType="begin" w:fldLock="1"/>
      </w:r>
      <w:r w:rsidR="00AA406D" w:rsidRPr="002A7627">
        <w:rPr>
          <w:rFonts w:eastAsiaTheme="minorEastAsia"/>
        </w:rPr>
        <w:instrText>ADDIN CSL_CITATION {"citationItems":[{"id":"ITEM-1","itemData":{"DOI":"10.1504/MEJM.2015.070750","ISSN":"2050-3636","abstract":"In today's knowledge-based economy, organisation's core competency is built firmly on effective utilisation of human capital, by deploying and institutionalising the firm specific organisation practices. 'Knowledge' is the key to firm's strategic posture and a differentiating factor to leverage on sustained competitive advantage (SCA). This paper depicts the various approaches of strategic human resource management (HRM) practices to enhance the knowledge driven 'learning culture' i.e. organisational learning process. The organisational learning facilitates the human capital in terms of behavioural change, which in turn lead to improved performance of the organisation. The functional outputs of knowledge resource are captured by analysing the learning outcomes such as learning dynamics; organisation transformation; people empowerment; knowledge management and technology application. The impact of strategic HRM practices on learning outcomes are conceptualised as universalistic; contingency and configurational approach, as defined in strategic HRM literature. The universalistic approach portrays the impact of individual human resource (HR) practices on learning outcome. The contingency approach examines vertical fit between strategic HRM practices and knowledge strategy (learning levels). The configurational approach scans both the vertical fit and horizontal fit of policies and practices to reinforce one another.","author":[{"dropping-particle":"","family":"Arunprasad","given":"P.","non-dropping-particle":"","parse-names":false,"suffix":""}],"container-title":"Middle East Journal of Management","id":"ITEM-1","issue":"2","issued":{"date-parts":[["2015"]]},"page":"97-120","title":"Strategic fulcrum for a knowledge-based economy: A conceptual 'knowledge-HR' archetype","type":"article-journal","volume":"2"},"uris":["http://www.mendeley.com/documents/?uuid=d1e91b6c-ff7f-41c2-8f6a-976dcab68c6b"]}],"mendeley":{"formattedCitation":"(Arunprasad, 2015b)","plainTextFormattedCitation":"(Arunprasad, 2015b)","previouslyFormattedCitation":"(Arunprasad, 2015b)"},"properties":{"noteIndex":0},"schema":"https://github.com/citation-style-language/schema/raw/master/csl-citation.json"}</w:instrText>
      </w:r>
      <w:r w:rsidRPr="002A7627">
        <w:rPr>
          <w:rFonts w:eastAsiaTheme="minorEastAsia"/>
        </w:rPr>
        <w:fldChar w:fldCharType="separate"/>
      </w:r>
      <w:r w:rsidR="00AA406D" w:rsidRPr="002A7627">
        <w:rPr>
          <w:rFonts w:eastAsiaTheme="minorEastAsia"/>
          <w:noProof/>
        </w:rPr>
        <w:t>(Arunprasad, 2015b)</w:t>
      </w:r>
      <w:r w:rsidRPr="002A7627">
        <w:rPr>
          <w:rFonts w:eastAsiaTheme="minorEastAsia"/>
        </w:rPr>
        <w:fldChar w:fldCharType="end"/>
      </w:r>
      <w:r w:rsidRPr="002A7627">
        <w:rPr>
          <w:rFonts w:eastAsiaTheme="minorEastAsia"/>
        </w:rPr>
        <w:t xml:space="preserve">. Senge </w:t>
      </w:r>
      <w:r w:rsidRPr="002A7627">
        <w:rPr>
          <w:rFonts w:eastAsiaTheme="minorEastAsia"/>
        </w:rPr>
        <w:fldChar w:fldCharType="begin" w:fldLock="1"/>
      </w:r>
      <w:r w:rsidRPr="002A7627">
        <w:rPr>
          <w:rFonts w:eastAsiaTheme="minorEastAsia"/>
        </w:rPr>
        <w:instrText>ADDIN CSL_CITATION {"citationItems":[{"id":"ITEM-1","itemData":{"DOI":"10.1002/pfi.4170300510","ISBN":"978-0-385-51725-6 978-0-385-51782-9","ISSN":"08841985","PMID":"2468118","abstract":"An MIT Professor's pathbreaking book on building \"learning organizations\" - corporations that overcome inherent obstacles to learning and develop dynamic ways to pinpoint the threats that face them and to recognize new opportunities. Not only is the learning organization a new source of competitive advantage, it also offers a marvelously empowering approach to work, one which promises that, as Archimedes put it, \"with a lever long enough... single-handed I can move the world.\"","author":[{"dropping-particle":"","family":"Senge","given":"Peter M.","non-dropping-particle":"","parse-names":false,"suffix":""}],"container-title":"Performance + Instruction","id":"ITEM-1","issued":{"date-parts":[["2007"]]},"title":"The fifth discipline, the art and practice of the learning organization","type":"article-journal"},"suppress-author":1,"uris":["http://www.mendeley.com/documents/?uuid=b91148b2-5581-4973-aa56-ead51a286dbe"]}],"mendeley":{"formattedCitation":"(2007)","plainTextFormattedCitation":"(2007)","previouslyFormattedCitation":"(2007)"},"properties":{"noteIndex":0},"schema":"https://github.com/citation-style-language/schema/raw/master/csl-citation.json"}</w:instrText>
      </w:r>
      <w:r w:rsidRPr="002A7627">
        <w:rPr>
          <w:rFonts w:eastAsiaTheme="minorEastAsia"/>
        </w:rPr>
        <w:fldChar w:fldCharType="separate"/>
      </w:r>
      <w:r w:rsidRPr="002A7627">
        <w:rPr>
          <w:rFonts w:eastAsiaTheme="minorEastAsia"/>
          <w:noProof/>
        </w:rPr>
        <w:t>(2007)</w:t>
      </w:r>
      <w:r w:rsidRPr="002A7627">
        <w:rPr>
          <w:rFonts w:eastAsiaTheme="minorEastAsia"/>
        </w:rPr>
        <w:fldChar w:fldCharType="end"/>
      </w:r>
      <w:r w:rsidRPr="002A7627">
        <w:rPr>
          <w:rFonts w:eastAsiaTheme="minorEastAsia"/>
        </w:rPr>
        <w:t xml:space="preserve"> suggested five dimensions of organizational learning: mental models, team learning, personal mastery, shared vision</w:t>
      </w:r>
      <w:r w:rsidR="00193A9C" w:rsidRPr="002A7627">
        <w:rPr>
          <w:rFonts w:eastAsiaTheme="minorEastAsia"/>
        </w:rPr>
        <w:t>,</w:t>
      </w:r>
      <w:r w:rsidRPr="002A7627">
        <w:rPr>
          <w:rFonts w:eastAsiaTheme="minorEastAsia"/>
        </w:rPr>
        <w:t xml:space="preserve"> and system thinking. Huber </w:t>
      </w:r>
      <w:r w:rsidRPr="002A7627">
        <w:rPr>
          <w:rFonts w:eastAsiaTheme="minorEastAsia"/>
        </w:rPr>
        <w:fldChar w:fldCharType="begin" w:fldLock="1"/>
      </w:r>
      <w:r w:rsidR="004C27D4" w:rsidRPr="002A7627">
        <w:rPr>
          <w:rFonts w:eastAsiaTheme="minorEastAsia"/>
        </w:rPr>
        <w:instrText>ADDIN CSL_CITATION {"citationItems":[{"id":"ITEM-1","itemData":{"DOI":"10.1287/orsc.2.1.88","ISSN":"1047-7039","abstract":"This paper differs from previous examinations of organizational learning in that it is broader in scope and more evaluative of the literatures. Four constructs related to organizational learning (knowledge acquisition, information distribution, information interpretation, and organizational memory) are articulated, and the literatures related to each are described and critiqued.\\r\\nThe literature on knowledge acquisition is voluminous and multi-faceted, and so the knowledge acquisition construct is portrayed here as consisting of five subconstructs or subprocesses: (1) drawing on knowledge available at the organization's birth, (2) learning from experience, (3) learning by observing other organizations, (4) grafting on to itself components that possess knowledge needed but not possessed by the organization, and (5) noticing or searching for information about the organization's environment and performance. Examination of the related literatures indicates that much has been learned about learning from experience, but also that there is a lack of cumulative work and a lack of integration of work from different research groups. Similarly, much has been learned about organizational search, but there is a lack of conceptual work, and there is a lack of both cumulative, work and syntheses with which to create a more mature literature. Congenital learning, vicarious learning, and grafting are information acquisition subprocesses about which relatively little\\r\\n has been learned.\\r\\nThe literature concerning information distribution is rich and mature, but an aspect of information distribution that is central to an organization's benefitting from its learning, namely how units that possess information and units that need this information can find each other quickly and with a high likelihood, is unexplored. Information interpretation, as an organizational process, rather than an individual process, requires empirical work for further advancement. Organizational memory is much in need of systematic investigation, particularly by those whose special concerns are improving organizational learning and decision making.","author":[{"dropping-particle":"","family":"Huber","given":"George P.","non-dropping-particle":"","parse-names":false,"suffix":""}],"container-title":"Organization Science","id":"ITEM-1","issue":"1","issued":{"date-parts":[["1991"]]},"page":"88-115","title":"Organizational learning : The contributing processes and the literatures","type":"article-journal","volume":"2"},"suppress-author":1,"uris":["http://www.mendeley.com/documents/?uuid=97c42c4b-a9d4-4aa7-9b04-70d4a2ee6aec"]}],"mendeley":{"formattedCitation":"(1991)","plainTextFormattedCitation":"(1991)","previouslyFormattedCitation":"(1991)"},"properties":{"noteIndex":0},"schema":"https://github.com/citation-style-language/schema/raw/master/csl-citation.json"}</w:instrText>
      </w:r>
      <w:r w:rsidRPr="002A7627">
        <w:rPr>
          <w:rFonts w:eastAsiaTheme="minorEastAsia"/>
        </w:rPr>
        <w:fldChar w:fldCharType="separate"/>
      </w:r>
      <w:r w:rsidR="00E24626" w:rsidRPr="002A7627">
        <w:rPr>
          <w:rFonts w:eastAsiaTheme="minorEastAsia"/>
          <w:noProof/>
        </w:rPr>
        <w:t>(1991)</w:t>
      </w:r>
      <w:r w:rsidRPr="002A7627">
        <w:rPr>
          <w:rFonts w:eastAsiaTheme="minorEastAsia"/>
        </w:rPr>
        <w:fldChar w:fldCharType="end"/>
      </w:r>
      <w:r w:rsidRPr="002A7627">
        <w:rPr>
          <w:rFonts w:eastAsiaTheme="minorEastAsia"/>
        </w:rPr>
        <w:t xml:space="preserve"> linked organizational learning with knowledge management in a model with four elements (</w:t>
      </w:r>
      <w:r w:rsidR="00583634">
        <w:rPr>
          <w:rFonts w:eastAsiaTheme="minorEastAsia"/>
          <w:color w:val="000000" w:themeColor="text1"/>
        </w:rPr>
        <w:t>acquiring,</w:t>
      </w:r>
      <w:r w:rsidR="00743798" w:rsidRPr="00034035">
        <w:rPr>
          <w:rFonts w:eastAsiaTheme="minorEastAsia"/>
          <w:color w:val="FF0000"/>
        </w:rPr>
        <w:t xml:space="preserve"> </w:t>
      </w:r>
      <w:r w:rsidR="00842C4E" w:rsidRPr="00DC384E">
        <w:rPr>
          <w:rFonts w:eastAsiaTheme="minorEastAsia"/>
          <w:color w:val="000000" w:themeColor="text1"/>
        </w:rPr>
        <w:t>distributing,</w:t>
      </w:r>
      <w:r w:rsidR="00965C69" w:rsidRPr="00DC384E">
        <w:rPr>
          <w:rFonts w:eastAsiaTheme="minorEastAsia"/>
          <w:color w:val="000000" w:themeColor="text1"/>
        </w:rPr>
        <w:t xml:space="preserve"> and</w:t>
      </w:r>
      <w:r w:rsidR="00842C4E" w:rsidRPr="00DC384E">
        <w:rPr>
          <w:rFonts w:eastAsiaTheme="minorEastAsia"/>
          <w:color w:val="000000" w:themeColor="text1"/>
        </w:rPr>
        <w:t xml:space="preserve"> interpreting knowledge</w:t>
      </w:r>
      <w:r w:rsidR="00965C69" w:rsidRPr="00DC384E">
        <w:rPr>
          <w:rFonts w:eastAsiaTheme="minorEastAsia"/>
          <w:color w:val="000000" w:themeColor="text1"/>
        </w:rPr>
        <w:t>,</w:t>
      </w:r>
      <w:r w:rsidR="00842C4E" w:rsidRPr="00DC384E">
        <w:rPr>
          <w:rFonts w:eastAsiaTheme="minorEastAsia"/>
          <w:color w:val="000000" w:themeColor="text1"/>
        </w:rPr>
        <w:t xml:space="preserve"> and building organizational memory</w:t>
      </w:r>
      <w:r w:rsidRPr="002A7627">
        <w:rPr>
          <w:rFonts w:eastAsiaTheme="minorEastAsia"/>
        </w:rPr>
        <w:t xml:space="preserve">). </w:t>
      </w:r>
      <w:r w:rsidR="000F56E9">
        <w:rPr>
          <w:rFonts w:eastAsiaTheme="minorEastAsia"/>
        </w:rPr>
        <w:t>He</w:t>
      </w:r>
      <w:r w:rsidRPr="002A7627">
        <w:rPr>
          <w:rFonts w:eastAsiaTheme="minorEastAsia"/>
        </w:rPr>
        <w:t xml:space="preserve"> found </w:t>
      </w:r>
      <w:r w:rsidR="00105CB1" w:rsidRPr="002A7627">
        <w:rPr>
          <w:rFonts w:eastAsiaTheme="minorEastAsia"/>
        </w:rPr>
        <w:t xml:space="preserve">that </w:t>
      </w:r>
      <w:r w:rsidRPr="002A7627">
        <w:rPr>
          <w:rFonts w:eastAsiaTheme="minorEastAsia"/>
        </w:rPr>
        <w:t xml:space="preserve">there were gaps in the literature. For example, few </w:t>
      </w:r>
      <w:r w:rsidR="000F56E9">
        <w:rPr>
          <w:rFonts w:eastAsiaTheme="minorEastAsia"/>
        </w:rPr>
        <w:t>fundamental</w:t>
      </w:r>
      <w:r w:rsidR="000F56E9" w:rsidRPr="002A7627">
        <w:rPr>
          <w:rFonts w:eastAsiaTheme="minorEastAsia"/>
        </w:rPr>
        <w:t xml:space="preserve"> </w:t>
      </w:r>
      <w:r w:rsidRPr="002A7627">
        <w:rPr>
          <w:rFonts w:eastAsiaTheme="minorEastAsia"/>
        </w:rPr>
        <w:t>organizational learning theories were used</w:t>
      </w:r>
      <w:r w:rsidR="00193A9C" w:rsidRPr="002A7627">
        <w:rPr>
          <w:rFonts w:eastAsiaTheme="minorEastAsia"/>
        </w:rPr>
        <w:t>,</w:t>
      </w:r>
      <w:r w:rsidRPr="002A7627">
        <w:rPr>
          <w:rFonts w:eastAsiaTheme="minorEastAsia"/>
        </w:rPr>
        <w:t xml:space="preserve"> and researchers </w:t>
      </w:r>
      <w:r w:rsidR="000F56E9">
        <w:rPr>
          <w:rFonts w:eastAsiaTheme="minorEastAsia"/>
        </w:rPr>
        <w:t>had</w:t>
      </w:r>
      <w:r w:rsidR="000F56E9" w:rsidRPr="002A7627">
        <w:rPr>
          <w:rFonts w:eastAsiaTheme="minorEastAsia"/>
        </w:rPr>
        <w:t xml:space="preserve"> </w:t>
      </w:r>
      <w:r w:rsidRPr="002A7627">
        <w:rPr>
          <w:rFonts w:eastAsiaTheme="minorEastAsia"/>
        </w:rPr>
        <w:t>not buil</w:t>
      </w:r>
      <w:r w:rsidR="000F56E9">
        <w:rPr>
          <w:rFonts w:eastAsiaTheme="minorEastAsia"/>
        </w:rPr>
        <w:t>t</w:t>
      </w:r>
      <w:r w:rsidRPr="002A7627">
        <w:rPr>
          <w:rFonts w:eastAsiaTheme="minorEastAsia"/>
        </w:rPr>
        <w:t xml:space="preserve"> on previous work </w:t>
      </w:r>
      <w:r w:rsidR="000F56E9">
        <w:rPr>
          <w:rFonts w:eastAsiaTheme="minorEastAsia"/>
        </w:rPr>
        <w:t>in</w:t>
      </w:r>
      <w:r w:rsidR="000F56E9" w:rsidRPr="002A7627">
        <w:rPr>
          <w:rFonts w:eastAsiaTheme="minorEastAsia"/>
        </w:rPr>
        <w:t xml:space="preserve"> </w:t>
      </w:r>
      <w:r w:rsidRPr="002A7627">
        <w:rPr>
          <w:rFonts w:eastAsiaTheme="minorEastAsia"/>
        </w:rPr>
        <w:t>interpret</w:t>
      </w:r>
      <w:r w:rsidR="000F56E9">
        <w:rPr>
          <w:rFonts w:eastAsiaTheme="minorEastAsia"/>
        </w:rPr>
        <w:t>ing</w:t>
      </w:r>
      <w:r w:rsidRPr="002A7627">
        <w:rPr>
          <w:rFonts w:eastAsiaTheme="minorEastAsia"/>
        </w:rPr>
        <w:t xml:space="preserve"> their results</w:t>
      </w:r>
      <w:r w:rsidR="000F56E9">
        <w:rPr>
          <w:rFonts w:eastAsiaTheme="minorEastAsia"/>
        </w:rPr>
        <w:t>.</w:t>
      </w:r>
      <w:r w:rsidRPr="002A7627">
        <w:rPr>
          <w:rFonts w:eastAsiaTheme="minorEastAsia"/>
        </w:rPr>
        <w:t xml:space="preserve"> </w:t>
      </w:r>
      <w:r w:rsidR="000F56E9">
        <w:rPr>
          <w:rFonts w:eastAsiaTheme="minorEastAsia"/>
        </w:rPr>
        <w:t>T</w:t>
      </w:r>
      <w:r w:rsidRPr="002A7627">
        <w:rPr>
          <w:rFonts w:eastAsiaTheme="minorEastAsia"/>
        </w:rPr>
        <w:t xml:space="preserve">he proposed model </w:t>
      </w:r>
      <w:r w:rsidR="000F56E9">
        <w:rPr>
          <w:rFonts w:eastAsiaTheme="minorEastAsia"/>
        </w:rPr>
        <w:t xml:space="preserve">therefore </w:t>
      </w:r>
      <w:r w:rsidRPr="002A7627">
        <w:rPr>
          <w:rFonts w:eastAsiaTheme="minorEastAsia"/>
        </w:rPr>
        <w:t xml:space="preserve">focused on increasing communication among researchers </w:t>
      </w:r>
      <w:r w:rsidRPr="002A7627">
        <w:rPr>
          <w:rFonts w:eastAsiaTheme="minorEastAsia"/>
        </w:rPr>
        <w:fldChar w:fldCharType="begin" w:fldLock="1"/>
      </w:r>
      <w:r w:rsidR="004C27D4" w:rsidRPr="002A7627">
        <w:rPr>
          <w:rFonts w:eastAsiaTheme="minorEastAsia"/>
        </w:rPr>
        <w:instrText>ADDIN CSL_CITATION {"citationItems":[{"id":"ITEM-1","itemData":{"DOI":"10.1287/orsc.2.1.88","ISSN":"1047-7039","abstract":"This paper differs from previous examinations of organizational learning in that it is broader in scope and more evaluative of the literatures. Four constructs related to organizational learning (knowledge acquisition, information distribution, information interpretation, and organizational memory) are articulated, and the literatures related to each are described and critiqued.\\r\\nThe literature on knowledge acquisition is voluminous and multi-faceted, and so the knowledge acquisition construct is portrayed here as consisting of five subconstructs or subprocesses: (1) drawing on knowledge available at the organization's birth, (2) learning from experience, (3) learning by observing other organizations, (4) grafting on to itself components that possess knowledge needed but not possessed by the organization, and (5) noticing or searching for information about the organization's environment and performance. Examination of the related literatures indicates that much has been learned about learning from experience, but also that there is a lack of cumulative work and a lack of integration of work from different research groups. Similarly, much has been learned about organizational search, but there is a lack of conceptual work, and there is a lack of both cumulative, work and syntheses with which to create a more mature literature. Congenital learning, vicarious learning, and grafting are information acquisition subprocesses about which relatively little\\r\\n has been learned.\\r\\nThe literature concerning information distribution is rich and mature, but an aspect of information distribution that is central to an organization's benefitting from its learning, namely how units that possess information and units that need this information can find each other quickly and with a high likelihood, is unexplored. Information interpretation, as an organizational process, rather than an individual process, requires empirical work for further advancement. Organizational memory is much in need of systematic investigation, particularly by those whose special concerns are improving organizational learning and decision making.","author":[{"dropping-particle":"","family":"Huber","given":"George P.","non-dropping-particle":"","parse-names":false,"suffix":""}],"container-title":"Organization Science","id":"ITEM-1","issue":"1","issued":{"date-parts":[["1991"]]},"page":"88-115","title":"Organizational learning : The contributing processes and the literatures","type":"article-journal","volume":"2"},"uris":["http://www.mendeley.com/documents/?uuid=97c42c4b-a9d4-4aa7-9b04-70d4a2ee6aec"]}],"mendeley":{"formattedCitation":"(Huber, 1991)","plainTextFormattedCitation":"(Huber, 1991)","previouslyFormattedCitation":"(Huber, 1991)"},"properties":{"noteIndex":0},"schema":"https://github.com/citation-style-language/schema/raw/master/csl-citation.json"}</w:instrText>
      </w:r>
      <w:r w:rsidRPr="002A7627">
        <w:rPr>
          <w:rFonts w:eastAsiaTheme="minorEastAsia"/>
        </w:rPr>
        <w:fldChar w:fldCharType="separate"/>
      </w:r>
      <w:r w:rsidR="00E24626" w:rsidRPr="002A7627">
        <w:rPr>
          <w:rFonts w:eastAsiaTheme="minorEastAsia"/>
          <w:noProof/>
        </w:rPr>
        <w:t>(Huber, 1991)</w:t>
      </w:r>
      <w:r w:rsidRPr="002A7627">
        <w:rPr>
          <w:rFonts w:eastAsiaTheme="minorEastAsia"/>
        </w:rPr>
        <w:fldChar w:fldCharType="end"/>
      </w:r>
      <w:r w:rsidRPr="002A7627">
        <w:rPr>
          <w:rFonts w:eastAsiaTheme="minorEastAsia"/>
        </w:rPr>
        <w:t>.</w:t>
      </w:r>
      <w:r w:rsidR="00781ECB" w:rsidRPr="002A7627">
        <w:rPr>
          <w:rFonts w:eastAsiaTheme="minorEastAsia"/>
        </w:rPr>
        <w:t xml:space="preserve"> </w:t>
      </w:r>
    </w:p>
    <w:p w14:paraId="0295B008" w14:textId="76195073" w:rsidR="00EE00BF" w:rsidRPr="002A7627" w:rsidRDefault="00EE00BF" w:rsidP="002C4A1A">
      <w:pPr>
        <w:pStyle w:val="AAAAAAA"/>
        <w:rPr>
          <w:rFonts w:eastAsiaTheme="minorEastAsia"/>
        </w:rPr>
      </w:pPr>
      <w:r w:rsidRPr="002A7627">
        <w:rPr>
          <w:rFonts w:eastAsiaTheme="minorEastAsia"/>
        </w:rPr>
        <w:t xml:space="preserve">Kasemsap </w:t>
      </w:r>
      <w:r w:rsidRPr="002A7627">
        <w:rPr>
          <w:rFonts w:eastAsiaTheme="minorEastAsia"/>
        </w:rPr>
        <w:fldChar w:fldCharType="begin" w:fldLock="1"/>
      </w:r>
      <w:r w:rsidR="00E24626" w:rsidRPr="002A7627">
        <w:rPr>
          <w:rFonts w:eastAsiaTheme="minorEastAsia"/>
        </w:rPr>
        <w:instrText>ADDIN CSL_CITATION {"citationItems":[{"id":"ITEM-1","itemData":{"DOI":"10.4018/978-1-4666-9619-8.ch052","abstract":"This chapter explains the roles of Knowledge Management (KM) and organizational innovation in global business, thus describing the theoretical and practical concepts of KM and organizational innovation; the significance of KM in global business; and the significance of organizational innovation in global business. The accomplishment of KM and organizational innovation is vital for modern organizations that seek to serve suppliers and customers, increase business performance, strengthen competitiveness, and attain regular success in global business. Thus, it is necessary for modern organizations to investigate their KM and organizational innovation applications, create a strategic plan to constantly explore their functional advancements, and immediately respond to KM and organizational innovation needs of customers. Applying KM and organizational innovation will significantly enhance organizational performance and achieve strategic goals in the information age. © 2016, IGI Global. All rights reserved.","author":[{"dropping-particle":"","family":"Kasemsap","given":"Kijpokin","non-dropping-particle":"","parse-names":false,"suffix":""}],"container-title":"Civil and environmental engineering","id":"ITEM-1","issued":{"date-parts":[["2016"]]},"page":"1156-1180","publisher":"IGI Global","publisher-place":"London, UK","title":"The roles of knowledge management and organizational innovation in global business","type":"chapter"},"suppress-author":1,"uris":["http://www.mendeley.com/documents/?uuid=d7236f71-3fa7-4afa-81cf-b8c5510cbae8"]}],"mendeley":{"formattedCitation":"(2016)","plainTextFormattedCitation":"(2016)","previouslyFormattedCitation":"(2016)"},"properties":{"noteIndex":0},"schema":"https://github.com/citation-style-language/schema/raw/master/csl-citation.json"}</w:instrText>
      </w:r>
      <w:r w:rsidRPr="002A7627">
        <w:rPr>
          <w:rFonts w:eastAsiaTheme="minorEastAsia"/>
        </w:rPr>
        <w:fldChar w:fldCharType="separate"/>
      </w:r>
      <w:r w:rsidRPr="002A7627">
        <w:rPr>
          <w:rFonts w:eastAsiaTheme="minorEastAsia"/>
          <w:noProof/>
        </w:rPr>
        <w:t>(2016)</w:t>
      </w:r>
      <w:r w:rsidRPr="002A7627">
        <w:rPr>
          <w:rFonts w:eastAsiaTheme="minorEastAsia"/>
        </w:rPr>
        <w:fldChar w:fldCharType="end"/>
      </w:r>
      <w:r w:rsidRPr="002A7627">
        <w:rPr>
          <w:rFonts w:eastAsiaTheme="minorEastAsia"/>
        </w:rPr>
        <w:t xml:space="preserve"> found that organizational learning was a positive predictor of knowledge management practices. Another study, in Indonesia, found that organizational learning mediated the relationship between Islamic HR practices and social, environmental</w:t>
      </w:r>
      <w:r w:rsidR="00193A9C" w:rsidRPr="002A7627">
        <w:rPr>
          <w:rFonts w:eastAsiaTheme="minorEastAsia"/>
        </w:rPr>
        <w:t>,</w:t>
      </w:r>
      <w:r w:rsidRPr="002A7627">
        <w:rPr>
          <w:rFonts w:eastAsiaTheme="minorEastAsia"/>
        </w:rPr>
        <w:t xml:space="preserve"> and religious performance in small, medium</w:t>
      </w:r>
      <w:r w:rsidR="00193A9C" w:rsidRPr="002A7627">
        <w:rPr>
          <w:rFonts w:eastAsiaTheme="minorEastAsia"/>
        </w:rPr>
        <w:t>,</w:t>
      </w:r>
      <w:r w:rsidRPr="002A7627">
        <w:rPr>
          <w:rFonts w:eastAsiaTheme="minorEastAsia"/>
        </w:rPr>
        <w:t xml:space="preserve"> and large organizations (Muafi</w:t>
      </w:r>
      <w:r w:rsidR="00ED27F3">
        <w:rPr>
          <w:rFonts w:eastAsiaTheme="minorEastAsia"/>
        </w:rPr>
        <w:t xml:space="preserve"> &amp; Uyun</w:t>
      </w:r>
      <w:r w:rsidRPr="002A7627">
        <w:rPr>
          <w:rFonts w:eastAsiaTheme="minorEastAsia"/>
        </w:rPr>
        <w:t xml:space="preserve">, </w:t>
      </w:r>
      <w:r w:rsidRPr="002A7627">
        <w:rPr>
          <w:rFonts w:eastAsiaTheme="minorEastAsia"/>
        </w:rPr>
        <w:fldChar w:fldCharType="begin" w:fldLock="1"/>
      </w:r>
      <w:r w:rsidR="00E24626" w:rsidRPr="002A7627">
        <w:rPr>
          <w:rFonts w:eastAsiaTheme="minorEastAsia"/>
        </w:rPr>
        <w:instrText>ADDIN CSL_CITATION {"citationItems":[{"id":"ITEM-1","itemData":{"ISSN":"10988394 (ISSN)","abstract":"This study focuses on the importance of Islamic HRM Practices (IHRP) in improving the performance of SMEs Batik, especially environmental, social and religious performance which mediated by organizational learning (OL). The object of study is SMEs batik in Pekalongan, Central Java Province which is well-known as a city that has a batik industry center and has been famous in the world. Pekalongan also has a religious community with the majority of Moslem. They are proven to live side by side harmoniously and can interact in business with Chinese and Arab ethnic. The sample of study is mostly the owners/managers of SMEs Batik which scattered from all SMEs Batik in 18 villages. The purposive sampling technique was conducted after the researcher had done the proportional stage of random sampling by taking 17 SMEs in each district. Completed questionnaires totaled 170 respondents. Statistical techniques using Partial Least Square (PLS). The result explains that organizational learning able to mediate the effect of Islamic HRM practices on environmental, social and religious performance. In improving the environment, social and religious performance SMEs should implement Islamic HRM Practices through mediating organizational learning role. © 2018, Allied Business Academies. All rights reserved.","author":[{"dropping-particle":"","family":"Muafi","given":"","non-dropping-particle":"","parse-names":false,"suffix":""},{"dropping-particle":"","family":"Uyun","given":"Q","non-dropping-particle":"","parse-names":false,"suffix":""}],"container-title":"Journal of Entrepreneurship Education","id":"ITEM-1","issue":"1S","issued":{"date-parts":[["2018"]]},"page":"1-9","title":"The influence of islamic HRM practices on organizational learning and its impact on environmental, social and religious performance","type":"article-journal","volume":"21"},"suppress-author":1,"uris":["http://www.mendeley.com/documents/?uuid=a35e8a75-f77a-484d-9fe8-2483cdebcaba"]}],"mendeley":{"formattedCitation":"(2018)","manualFormatting":"2018)","plainTextFormattedCitation":"(2018)","previouslyFormattedCitation":"(2018)"},"properties":{"noteIndex":0},"schema":"https://github.com/citation-style-language/schema/raw/master/csl-citation.json"}</w:instrText>
      </w:r>
      <w:r w:rsidRPr="002A7627">
        <w:rPr>
          <w:rFonts w:eastAsiaTheme="minorEastAsia"/>
        </w:rPr>
        <w:fldChar w:fldCharType="separate"/>
      </w:r>
      <w:r w:rsidRPr="002A7627">
        <w:rPr>
          <w:rFonts w:eastAsiaTheme="minorEastAsia"/>
          <w:noProof/>
        </w:rPr>
        <w:t>2018)</w:t>
      </w:r>
      <w:r w:rsidRPr="002A7627">
        <w:rPr>
          <w:rFonts w:eastAsiaTheme="minorEastAsia"/>
        </w:rPr>
        <w:fldChar w:fldCharType="end"/>
      </w:r>
      <w:r w:rsidRPr="002A7627">
        <w:rPr>
          <w:rFonts w:eastAsiaTheme="minorEastAsia"/>
        </w:rPr>
        <w:t>. A number of other</w:t>
      </w:r>
      <w:r w:rsidR="00193A9C" w:rsidRPr="002A7627">
        <w:rPr>
          <w:rFonts w:eastAsiaTheme="minorEastAsia"/>
        </w:rPr>
        <w:t xml:space="preserve"> </w:t>
      </w:r>
      <w:r w:rsidRPr="002A7627">
        <w:rPr>
          <w:rFonts w:eastAsiaTheme="minorEastAsia"/>
        </w:rPr>
        <w:t xml:space="preserve">studies have also considered the integration of organizational learning and knowledge management in various organizational contexts </w:t>
      </w:r>
      <w:r w:rsidRPr="002A7627">
        <w:rPr>
          <w:rFonts w:eastAsiaTheme="minorEastAsia"/>
        </w:rPr>
        <w:fldChar w:fldCharType="begin" w:fldLock="1"/>
      </w:r>
      <w:r w:rsidR="00E24626" w:rsidRPr="002A7627">
        <w:rPr>
          <w:rFonts w:eastAsiaTheme="minorEastAsia"/>
        </w:rPr>
        <w:instrText>ADDIN CSL_CITATION {"citationItems":[{"id":"ITEM-1","itemData":{"DOI":"10.1002/pfi.4170300510","ISBN":"978-0-385-51725-6 978-0-385-51782-9","ISSN":"08841985","PMID":"2468118","abstract":"An MIT Professor's pathbreaking book on building \"learning organizations\" - corporations that overcome inherent obstacles to learning and develop dynamic ways to pinpoint the threats that face them and to recognize new opportunities. Not only is the learning organization a new source of competitive advantage, it also offers a marvelously empowering approach to work, one which promises that, as Archimedes put it, \"with a lever long enough... single-handed I can move the world.\"","author":[{"dropping-particle":"","family":"Senge","given":"Peter M.","non-dropping-particle":"","parse-names":false,"suffix":""}],"container-title":"Performance + Instruction","id":"ITEM-1","issued":{"date-parts":[["2007"]]},"title":"The fifth discipline, the art and practice of the learning organization","type":"article-journal"},"uris":["http://www.mendeley.com/documents/?uuid=b91148b2-5581-4973-aa56-ead51a286dbe"]},{"id":"ITEM-2","itemData":{"DOI":"10.1111/j.1467-8551.2004.t01-2-00402.x","ISBN":"10453172","ISSN":"1045-3172","PMID":"12276100","abstract":"While adopting a knowledge-based perspective on organizations has been valuable, since, among other things, it enables us to see links between organizational learning and a firm's competitive advantage through the development of idiosyncratic capabilities, it has nonetheless tended to treat organizational knowledge as 'given', exploring how it is related to other 'given' variables. The focus of this special issue is to unpack the notion of organizational knowledge by exploring the processes and practices through which knowledge is constructed and created in organizations. A constructivist perspective assumes that 'knowledge' presupposes work and seeks to explore how what comes to be considered as organizational knowledge is established and validated (or fails to do so). By seeing organizational knowledge as work we can further probe into how knowledge is shaped by organizational strategies and incentives and, more radically, how power and politics influence the struggle between competing bodies of knowledge in organizations.","author":[{"dropping-particle":"","family":"Tsoukas","given":"Haridimos","non-dropping-particle":"","parse-names":false,"suffix":""},{"dropping-particle":"","family":"Mylonopoulos","given":"Nikos","non-dropping-particle":"","parse-names":false,"suffix":""}],"container-title":"British Journal of Management","id":"ITEM-2","issue":"S1","issued":{"date-parts":[["2004","3"]]},"page":"S1-S8","title":"Organizations as knowledge systems: Knowledge, learning and dynamic capabilities","type":"article-journal","volume":"15"},"uris":["http://www.mendeley.com/documents/?uuid=6b1d66b0-080c-45ac-8d46-ab9ff7ccfb2f"]},{"id":"ITEM-3","itemData":{"DOI":"10.1108/13673271111174320","ISSN":"1367-3270","abstract":"Purpose – Organizational culture is a critical factor in building and reinforcing knowledge management in organizations. However, there is no theoretical framework that comprehensively explains the effect of organizational culture on knowledge management in organizations. This paper endeavors to develop a theoretical integrative framework for organizational knowledge management and organizational culture. Design/methodology/approach – This is a conceptual paper. It modifies the “competing value framework” by adding a new dimension representing ethical and trusting culture, and then integrates it with the SECI model of knowledge creation and conversion by identifying the conceptual parallels between the two frameworks and then analyzing the interaction effects among the dimensions. Findings – Based on the congruity between the modified competing values framework and the knowledge creation and conversion framework, the paper formulates six propositions about the propensity of organizations of different dominant cultural styles to engage in the four processes of knowledge creation and conversion. Research limitations/implications – The dynamic nature of the framework presented in the paper points to the importance of longitudinal and comparative research in understanding the effects of organizational culture on organizational knowledge management systems in organizations. Practical implications – The proposed integrative framework would facilitate organizational learning and lead to the improvement of knowledge management practices in organizations as it helps managers to understand the linkages between culture and knowledge management. Originality/value – This paper presents a new framework linking organizational culture to knowledge management. It moves away from analyzing culture only in terms of its positive and negative influences on knowledge management. Instead, it suggests a typology of the kind of knowledge management processes that organizations are likely to focus on depending on the culture that prevails in an organization.","author":[{"dropping-particle":"","family":"Rai","given":"Rajnish Kumar","non-dropping-particle":"","parse-names":false,"suffix":""}],"container-title":"Journal of Knowledge Management","id":"ITEM-3","issue":"5","issued":{"date-parts":[["2011","9","13"]]},"page":"779-801","title":"Knowledge management and organizational culture: A theoretical integrative framework","type":"article-journal","volume":"15"},"uris":["http://www.mendeley.com/documents/?uuid=46f24d97-33f0-457f-8c9c-455d98110a48"]},{"id":"ITEM-4","itemData":{"abstract":"The literature on organizational learning (OL), knowledge management (KM), dynamic capabilities (DC), and absorptive capacity (AC) is characterized by the use of very diverse terminology, where concepts often overlap, but it is unclear how all the pieces fi t together.Recognizing that no single overarching framework has been proposed to clear up this conceptual confusion, this chapter proposes a framework that integrates OL, KM, DC,and AC, and establishes a theoretical link between these constructs and performance. Our integrative model acknowledges the distinct roots of each fi eld, identifi es conceptual boundaries, and establishes relationships between the constructs and fi rm performance. We propose this framework as an instrument to facilitate communication between researchers in order to avoid the risk of continuously ‘reinventing the wheel’ in the learning field.","author":[{"dropping-particle":"","family":"Vera","given":"Dusya","non-dropping-particle":"","parse-names":false,"suffix":""},{"dropping-particle":"","family":"Crossan","given":"Mary","non-dropping-particle":"","parse-names":false,"suffix":""},{"dropping-particle":"","family":"Apaydin","given":"Marina","non-dropping-particle":"","parse-names":false,"suffix":""}],"container-title":"Handbook of Organizational Learning and Knowledge Management","editor":[{"dropping-particle":"","family":"Easterby-Smith","given":"Mark","non-dropping-particle":"","parse-names":false,"suffix":""}],"id":"ITEM-4","issued":{"date-parts":[["2015"]]},"page":"153-180","publisher":"Blackwell","publisher-place":"Boston, MA","title":"A framework for integrating organizational learning, knowledge, capabilities, and absorptive capacity","type":"chapter"},"uris":["http://www.mendeley.com/documents/?uuid=7f2a489b-d19a-4486-8767-08a7bfa3a02d"]},{"id":"ITEM-5","itemData":{"DOI":"10.1002/hrm.3930290308","ISSN":"00904848","abstract":"Peter M. Senge (1990). The Fifth Discipline: The Art and Practice of the Learning. Organization. New York: Doubleday Currency","author":[{"dropping-particle":"","family":"Harris","given":"Stanley G.","non-dropping-particle":"","parse-names":false,"suffix":""}],"container-title":"Human Resource Management","id":"ITEM-5","issue":"3","issued":{"date-parts":[["1990"]]},"page":"343-348","title":"The fifth discipline: The art and practice of the learning organization","type":"article-journal","volume":"29"},"uris":["http://www.mendeley.com/documents/?uuid=484b3569-8f8f-4c71-be2c-718517baeaad"]}],"mendeley":{"formattedCitation":"(Harris, 1990; Rai, 2011; Senge, 2007; Tsoukas &amp; Mylonopoulos, 2004a; Vera et al., 2015)","plainTextFormattedCitation":"(Harris, 1990; Rai, 2011; Senge, 2007; Tsoukas &amp; Mylonopoulos, 2004a; Vera et al., 2015)","previouslyFormattedCitation":"(Harris, 1990; Rai, 2011; Senge, 2007; Tsoukas &amp; Mylonopoulos, 2004a; Vera et al., 2015)"},"properties":{"noteIndex":0},"schema":"https://github.com/citation-style-language/schema/raw/master/csl-citation.json"}</w:instrText>
      </w:r>
      <w:r w:rsidRPr="002A7627">
        <w:rPr>
          <w:rFonts w:eastAsiaTheme="minorEastAsia"/>
        </w:rPr>
        <w:fldChar w:fldCharType="separate"/>
      </w:r>
      <w:r w:rsidR="00AA406D" w:rsidRPr="002A7627">
        <w:rPr>
          <w:rFonts w:eastAsiaTheme="minorEastAsia"/>
          <w:noProof/>
        </w:rPr>
        <w:t>(Harris, 1990; Rai, 2011; Senge, 2007; Tsoukas &amp; Mylonopoulos, 2004a; Vera et al., 2015)</w:t>
      </w:r>
      <w:r w:rsidRPr="002A7627">
        <w:rPr>
          <w:rFonts w:eastAsiaTheme="minorEastAsia"/>
        </w:rPr>
        <w:fldChar w:fldCharType="end"/>
      </w:r>
      <w:r w:rsidRPr="002A7627">
        <w:rPr>
          <w:rFonts w:eastAsiaTheme="minorEastAsia"/>
        </w:rPr>
        <w:t xml:space="preserve">. For example, </w:t>
      </w:r>
      <w:r w:rsidR="00AA406D" w:rsidRPr="002A7627">
        <w:rPr>
          <w:rFonts w:eastAsiaTheme="minorEastAsia"/>
        </w:rPr>
        <w:fldChar w:fldCharType="begin" w:fldLock="1"/>
      </w:r>
      <w:r w:rsidR="007E2F08" w:rsidRPr="002A7627">
        <w:rPr>
          <w:rFonts w:eastAsiaTheme="minorEastAsia"/>
        </w:rPr>
        <w:instrText>ADDIN CSL_CITATION {"citationItems":[{"id":"ITEM-1","itemData":{"abstract":"The literature on organizational learning (OL), knowledge management (KM), dynamic capabilities (DC), and absorptive capacity (AC) is characterized by the use of very diverse terminology, where concepts often overlap, but it is unclear how all the pieces fi t together.Recognizing that no single overarching framework has been proposed to clear up this conceptual confusion, this chapter proposes a framework that integrates OL, KM, DC,and AC, and establishes a theoretical link between these constructs and performance. Our integrative model acknowledges the distinct roots of each fi eld, identifi es conceptual boundaries, and establishes relationships between the constructs and fi rm performance. We propose this framework as an instrument to facilitate communication between researchers in order to avoid the risk of continuously ‘reinventing the wheel’ in the learning field.","author":[{"dropping-particle":"","family":"Vera","given":"Dusya","non-dropping-particle":"","parse-names":false,"suffix":""},{"dropping-particle":"","family":"Crossan","given":"Mary","non-dropping-particle":"","parse-names":false,"suffix":""},{"dropping-particle":"","family":"Apaydin","given":"Marina","non-dropping-particle":"","parse-names":false,"suffix":""}],"container-title":"Handbook of Organizational Learning and Knowledge Management","editor":[{"dropping-particle":"","family":"Easterby-Smith","given":"Mark","non-dropping-particle":"","parse-names":false,"suffix":""}],"id":"ITEM-1","issued":{"date-parts":[["2015"]]},"page":"153-180","publisher":"Blackwell","publisher-place":"Boston, MA","title":"A framework for integrating organizational learning, knowledge, capabilities, and absorptive capacity","type":"chapter"},"uris":["http://www.mendeley.com/documents/?uuid=7f2a489b-d19a-4486-8767-08a7bfa3a02d"]}],"mendeley":{"formattedCitation":"(Vera et al., 2015)","manualFormatting":"Vera et al. (2015)","plainTextFormattedCitation":"(Vera et al., 2015)","previouslyFormattedCitation":"(Vera et al., 2015)"},"properties":{"noteIndex":0},"schema":"https://github.com/citation-style-language/schema/raw/master/csl-citation.json"}</w:instrText>
      </w:r>
      <w:r w:rsidR="00AA406D" w:rsidRPr="002A7627">
        <w:rPr>
          <w:rFonts w:eastAsiaTheme="minorEastAsia"/>
        </w:rPr>
        <w:fldChar w:fldCharType="separate"/>
      </w:r>
      <w:r w:rsidR="00AA406D" w:rsidRPr="002A7627">
        <w:rPr>
          <w:rFonts w:eastAsiaTheme="minorEastAsia"/>
          <w:noProof/>
        </w:rPr>
        <w:t>Vera et al. (2015)</w:t>
      </w:r>
      <w:r w:rsidR="00AA406D" w:rsidRPr="002A7627">
        <w:rPr>
          <w:rFonts w:eastAsiaTheme="minorEastAsia"/>
        </w:rPr>
        <w:fldChar w:fldCharType="end"/>
      </w:r>
      <w:r w:rsidRPr="002A7627">
        <w:rPr>
          <w:rFonts w:eastAsiaTheme="minorEastAsia"/>
        </w:rPr>
        <w:t xml:space="preserve"> proposed a theoretical link among organizational learning, knowledge management, absorptive capacity</w:t>
      </w:r>
      <w:r w:rsidR="00193A9C" w:rsidRPr="002A7627">
        <w:rPr>
          <w:rFonts w:eastAsiaTheme="minorEastAsia"/>
        </w:rPr>
        <w:t>,</w:t>
      </w:r>
      <w:r w:rsidRPr="002A7627">
        <w:rPr>
          <w:rFonts w:eastAsiaTheme="minorEastAsia"/>
        </w:rPr>
        <w:t xml:space="preserve"> and dynamic capabilities. </w:t>
      </w:r>
      <w:r w:rsidR="00C81FC8">
        <w:rPr>
          <w:rFonts w:eastAsiaTheme="minorEastAsia"/>
        </w:rPr>
        <w:t>This</w:t>
      </w:r>
      <w:r w:rsidRPr="002A7627">
        <w:rPr>
          <w:rFonts w:eastAsiaTheme="minorEastAsia"/>
        </w:rPr>
        <w:t xml:space="preserve"> study fills </w:t>
      </w:r>
      <w:r w:rsidR="00193A9C" w:rsidRPr="002A7627">
        <w:rPr>
          <w:rFonts w:eastAsiaTheme="minorEastAsia"/>
        </w:rPr>
        <w:t xml:space="preserve">the </w:t>
      </w:r>
      <w:r w:rsidRPr="002A7627">
        <w:rPr>
          <w:rFonts w:eastAsiaTheme="minorEastAsia"/>
        </w:rPr>
        <w:t xml:space="preserve">gaps identified in previous works. </w:t>
      </w:r>
      <w:r w:rsidR="00C81FC8">
        <w:rPr>
          <w:rFonts w:eastAsiaTheme="minorEastAsia"/>
        </w:rPr>
        <w:t>It</w:t>
      </w:r>
      <w:r w:rsidRPr="002A7627">
        <w:rPr>
          <w:rFonts w:eastAsiaTheme="minorEastAsia"/>
        </w:rPr>
        <w:t xml:space="preserve"> builds on the recommendations of previous </w:t>
      </w:r>
      <w:r w:rsidRPr="002A7627">
        <w:rPr>
          <w:rFonts w:eastAsiaTheme="minorEastAsia"/>
        </w:rPr>
        <w:lastRenderedPageBreak/>
        <w:t>studies, integrates knowledge management and organizational learning in a single study and applies organizational learning theory.</w:t>
      </w:r>
    </w:p>
    <w:p w14:paraId="438ED256" w14:textId="5B5BF498" w:rsidR="00EE00BF" w:rsidRPr="002A7627" w:rsidRDefault="00D45FE9" w:rsidP="0017121F">
      <w:pPr>
        <w:pStyle w:val="Heading1"/>
        <w:rPr>
          <w:color w:val="000000"/>
        </w:rPr>
      </w:pPr>
      <w:bookmarkStart w:id="109" w:name="_Toc13959627"/>
      <w:bookmarkStart w:id="110" w:name="_Toc22331660"/>
      <w:r>
        <w:rPr>
          <w:color w:val="000000"/>
        </w:rPr>
        <w:t xml:space="preserve">2.7. </w:t>
      </w:r>
      <w:r w:rsidR="00EE00BF" w:rsidRPr="002A7627">
        <w:rPr>
          <w:color w:val="000000"/>
        </w:rPr>
        <w:t xml:space="preserve">Knowledge </w:t>
      </w:r>
      <w:r w:rsidR="002C4A1A" w:rsidRPr="002A7627">
        <w:rPr>
          <w:color w:val="000000"/>
        </w:rPr>
        <w:t>Management Capabilities</w:t>
      </w:r>
      <w:bookmarkEnd w:id="109"/>
      <w:bookmarkEnd w:id="110"/>
      <w:r w:rsidR="002C4A1A" w:rsidRPr="002A7627">
        <w:rPr>
          <w:color w:val="000000"/>
        </w:rPr>
        <w:t xml:space="preserve"> </w:t>
      </w:r>
    </w:p>
    <w:p w14:paraId="59280642" w14:textId="1D397FC2" w:rsidR="00EE00BF" w:rsidRPr="002A7627" w:rsidRDefault="00EE00BF" w:rsidP="00571997">
      <w:pPr>
        <w:pStyle w:val="AAAAAAA"/>
      </w:pPr>
      <w:r w:rsidRPr="002A7627">
        <w:t xml:space="preserve">Knowledge management capabilities are the abilities of the organization to manage its knowledge resources </w:t>
      </w:r>
      <w:r w:rsidRPr="002A7627">
        <w:rPr>
          <w:rFonts w:cs="Courier New"/>
          <w:szCs w:val="28"/>
        </w:rPr>
        <w:fldChar w:fldCharType="begin" w:fldLock="1"/>
      </w:r>
      <w:r w:rsidR="007E2F08" w:rsidRPr="002A7627">
        <w:instrText>ADDIN CSL_CITATION {"citationItems":[{"id":"ITEM-1","itemData":{"DOI":"10.1080/07421222.2001.11045669","ISSN":"07421222","abstract":"A hallmark of the new economy is the ability of organizations to realize economic value from their collection of knowledge assets as well as their assets of information, production distribution, and affiliation. Despite the competitive necessity of becoming a knowledge-based organization, senior managers have found it difficult to transform their firms through programs of knowledge management. This is particularly true if their organizations have long histories of process and a tradition of business success. This research examines the issue of effective knowledge management from the perspective of organizational capabilities. This perspective suggests that a knowledge infrastructure consisting of technology, structure, and culture along with a knowledge process architecture of acquisition, conversion, application, and protection are essential organizational capabilities or \"preconditions\" for effective knowledge management. Through analysis of surveys collected from over 300 senior executives, this research empirically models and uncovers key aspects of these dimensions. The results provide a basis for understanding the competitive predisposition of a firm as it enters a program of knowledge management.","author":[{"dropping-particle":"","family":"Gold","given":"Andrew H.","non-dropping-particle":"","parse-names":false,"suffix":""},{"dropping-particle":"","family":"Malhotra","given":"Arvind","non-dropping-particle":"","parse-names":false,"suffix":""},{"dropping-particle":"","family":"Segars","given":"Albert H.","non-dropping-particle":"","parse-names":false,"suffix":""}],"container-title":"Journal of Management Information Systems","id":"ITEM-1","issue":"1","issued":{"date-parts":[["2001"]]},"page":"185–214","title":"Knowledge management: An organizational capabilities perspective","type":"article-journal","volume":"18"},"uris":["http://www.mendeley.com/documents/?uuid=8b28cae1-41b6-477b-9137-a41900d8e27d"]},{"id":"ITEM-2","itemData":{"DOI":"10.1108/02635571211225521","ISSN":"0263-5577","abstract":"Purpose – The purpose of this paper is to analyze the impact of information technology (IT) competency on knowledge management processes and the relations among IT competency, knowledge management processes and performance outcomes. Design/methodology/approach – The study uses survey data from 162 managers and structural equation modeling to assess the links between IT competency, knowledge management processes and firm performance. Findings – First, this study finds that IT competency plays a critical role in knowledge management processes. Second, knowledge management processes are directly related to market performance, which, in turn, is directly related to financial performance. Third, no direct relation exists between IT competency and firm performance. Knowledge management processes mediate the relation between IT competency and market performance. Research limitations/implications – The research is cross-sectional, so cause-effect relations cannot be definitively inferred from the results. Practical implications – The findings indicate that managers should not only focus on allocating sufficient resources for IT investments. To achieve better performance, these technologies need to be used to support the development of the knowledge management processes. Originality/value – This study contributes to knowledge management research, identifying a key antecedent of knowledge management processes – IT competency – and analyzing the link between knowledge management processes and performance. Moreover, this study is relevant to IT literature because it shows that IT competency, on its own, is insufficient to generate and maintain a competitive advantage. Firms need complementary strategic capabilities such as knowledge management to strengthen the effect of IT competency on firm performance.","author":[{"dropping-particle":"","family":"Pérez‐López","given":"Susana","non-dropping-particle":"","parse-names":false,"suffix":""},{"dropping-particle":"","family":"Alegre","given":"Joaquin","non-dropping-particle":"","parse-names":false,"suffix":""}],"container-title":"Industrial Management and Data Systems","id":"ITEM-2","issue":"4","issued":{"date-parts":[["2012","4","20"]]},"page":"644-662","title":"Information technology competency, knowledge processes and firm performance","type":"article-journal","volume":"112"},"uris":["http://www.mendeley.com/documents/?uuid=fa4d169e-1931-4afe-b5ed-0a14eae5491a"]}],"mendeley":{"formattedCitation":"(Gold, Malhotra, &amp; Segars, 2001; Pérez‐López &amp; Alegre, 2012)","manualFormatting":"(Gold, Malhotra, &amp; Segars, 2001; Pérez-López &amp; Alegre, 2012)","plainTextFormattedCitation":"(Gold, Malhotra, &amp; Segars, 2001; Pérez‐López &amp; Alegre, 2012)","previouslyFormattedCitation":"(Gold, Malhotra, &amp; Segars, 2001; Pérez‐López &amp; Alegre, 2012)"},"properties":{"noteIndex":0},"schema":"https://github.com/citation-style-language/schema/raw/master/csl-citation.json"}</w:instrText>
      </w:r>
      <w:r w:rsidRPr="002A7627">
        <w:rPr>
          <w:rFonts w:cs="Courier New"/>
          <w:szCs w:val="28"/>
        </w:rPr>
        <w:fldChar w:fldCharType="separate"/>
      </w:r>
      <w:r w:rsidRPr="002A7627">
        <w:rPr>
          <w:noProof/>
        </w:rPr>
        <w:t xml:space="preserve">(Gold, Malhotra, </w:t>
      </w:r>
      <w:r w:rsidR="0083144E" w:rsidRPr="002A7627">
        <w:rPr>
          <w:noProof/>
        </w:rPr>
        <w:t xml:space="preserve">&amp; </w:t>
      </w:r>
      <w:r w:rsidR="007E2F08" w:rsidRPr="002A7627">
        <w:rPr>
          <w:noProof/>
        </w:rPr>
        <w:t>Segars</w:t>
      </w:r>
      <w:r w:rsidR="0083144E" w:rsidRPr="002A7627">
        <w:rPr>
          <w:noProof/>
        </w:rPr>
        <w:t>, 2001;</w:t>
      </w:r>
      <w:r w:rsidRPr="002A7627">
        <w:rPr>
          <w:noProof/>
        </w:rPr>
        <w:t xml:space="preserve"> Pérez-López </w:t>
      </w:r>
      <w:r w:rsidR="0083144E" w:rsidRPr="002A7627">
        <w:rPr>
          <w:noProof/>
        </w:rPr>
        <w:t>&amp; Alegre, 2012)</w:t>
      </w:r>
      <w:r w:rsidRPr="002A7627">
        <w:fldChar w:fldCharType="end"/>
      </w:r>
      <w:r w:rsidRPr="002A7627">
        <w:t xml:space="preserve">. Managing knowledge resources has become one of the main reasons why organizations pursue the development of </w:t>
      </w:r>
      <w:r w:rsidR="004324A1">
        <w:t>IT</w:t>
      </w:r>
      <w:r w:rsidRPr="002A7627">
        <w:t xml:space="preserve"> </w:t>
      </w:r>
      <w:r w:rsidRPr="002A7627">
        <w:fldChar w:fldCharType="begin" w:fldLock="1"/>
      </w:r>
      <w:r w:rsidR="007C79F2" w:rsidRPr="002A7627">
        <w:instrText>ADDIN CSL_CITATION {"citationItems":[{"id":"ITEM-1","itemData":{"DOI":"10.1016/j.ijinfomgt.2016.07.001","ISSN":"02684012","author":[{"dropping-particle":"","family":"Mao","given":"Hongyi","non-dropping-particle":"","parse-names":false,"suffix":""},{"dropping-particle":"","family":"Liu","given":"Shan","non-dropping-particle":"","parse-names":false,"suffix":""},{"dropping-particle":"","family":"Zhang","given":"Jinlong","non-dropping-particle":"","parse-names":false,"suffix":""},{"dropping-particle":"","family":"Deng","given":"Zhaohua","non-dropping-particle":"","parse-names":false,"suffix":""}],"container-title":"International Journal of Information Management","id":"ITEM-1","issue":"6","issued":{"date-parts":[["2016","12"]]},"page":"1062-1074","title":"Information technology resource, knowledge management capability, and competitive advantage: The moderating role of resource commitment","type":"article-journal","volume":"36"},"uris":["http://www.mendeley.com/documents/?uuid=f4b33ae6-823b-40bd-ab25-1538058e5e73"]}],"mendeley":{"formattedCitation":"(Mao, Liu, Zhang, &amp; Deng, 2016)","manualFormatting":"(Mao, Liu, Zhang, &amp; Deng, 2016)","plainTextFormattedCitation":"(Mao, Liu, Zhang, &amp; Deng, 2016)","previouslyFormattedCitation":"(Mao, Liu, Zhang, &amp; Deng, 2016)"},"properties":{"noteIndex":0},"schema":"https://github.com/citation-style-language/schema/raw/master/csl-citation.json"}</w:instrText>
      </w:r>
      <w:r w:rsidRPr="002A7627">
        <w:fldChar w:fldCharType="separate"/>
      </w:r>
      <w:r w:rsidRPr="002A7627">
        <w:rPr>
          <w:noProof/>
        </w:rPr>
        <w:t xml:space="preserve">(Mao, Liu, Zhang, </w:t>
      </w:r>
      <w:r w:rsidR="0083144E" w:rsidRPr="002A7627">
        <w:rPr>
          <w:noProof/>
        </w:rPr>
        <w:t>&amp; Deng, 2016)</w:t>
      </w:r>
      <w:r w:rsidRPr="002A7627">
        <w:fldChar w:fldCharType="end"/>
      </w:r>
      <w:r w:rsidRPr="002A7627">
        <w:t xml:space="preserve">. The rapidly-changing external environment has resulted in organizations considering </w:t>
      </w:r>
      <w:r w:rsidR="00C81FC8">
        <w:t>IT</w:t>
      </w:r>
      <w:r w:rsidRPr="002A7627">
        <w:t>-enabled knowledge management capabilities as a core way to improve knowledge management benefits such as employee performance, competitive advantage</w:t>
      </w:r>
      <w:r w:rsidR="00193A9C" w:rsidRPr="002A7627">
        <w:t>,</w:t>
      </w:r>
      <w:r w:rsidRPr="002A7627">
        <w:t xml:space="preserve"> and innovation </w:t>
      </w:r>
      <w:r w:rsidRPr="002A7627">
        <w:fldChar w:fldCharType="begin" w:fldLock="1"/>
      </w:r>
      <w:r w:rsidR="00E24626" w:rsidRPr="002A7627">
        <w:instrText>ADDIN CSL_CITATION {"citationItems":[{"id":"ITEM-1","itemData":{"DOI":"10.1016/j.ijpe.2014.04.009","ISSN":"09255273","abstract":"Nowadays, the business environment has become more turbulent and more competitive; hence, supplier relationships have become strategic assets for firm survival. Furthermore, this relationship has become an important issue for understanding how firms apply knowledge management capabilities (KMC) to initiate, enhance, and maintain supplier relationships, as well as enhance corporate performance. However, few attempts have been made to explore the relation between KMC, supplier relationship management (SRM) and corporate performance. To address this lack of knowledge, the present study employed a questionnaire and statistical analytical techniques to explore the impact of KMC and SRM on corporate performance. Results indicate that KMC has a positive influence on corporate performance, while SRM is the partial intervening variable between KMC and corporate performance. This approach provides valuable suggestions that allow firms to better their KMC and enhance their supplier relationships and corporate performance. © 2014 Elsevier B.V.","author":[{"dropping-particle":"","family":"Tseng","given":"Shu-Mei","non-dropping-particle":"","parse-names":false,"suffix":""}],"container-title":"International Journal of Production Economics","id":"ITEM-1","issued":{"date-parts":[["2014","8"]]},"page":"39-47","title":"The impact of knowledge management capabilities and supplier relationship management on corporate performance","type":"article-journal","volume":"154"},"uris":["http://www.mendeley.com/documents/?uuid=28a3d79f-6186-44a7-b599-1c2d55a90b16"]},{"id":"ITEM-2","itemData":{"DOI":"10.1287/isre.1090.0247","ISSN":"1047-7047","abstract":"Although many organizations are implementing knowledge management systems (KMS), there is little empirical evidence about whether KMS use can improve individual performance, and how time and experience influence the value derived from KMS use. Using hierarchical linear modeling (HLM) statistical analysis, we examined the impact of using a codification-based KMS on the sales performance of 2,154 sales representatives in a pharmaceutical firm over a 24-month period. We found that KMS had significant positive impacts on individual performance and that these performance benefits grew over time. Moreover, experience moderated the relationship between KMS use and individual performance. Knowledge workers with more experience were able to more quickly absorb and apply the knowledge from the KMS than were those with less experience, who took longer to benefit from KMS use. However, over time experience played a diminishing role in leveraging performance gains from KMS use, and knowledge workers with less experience eventually derived similar performance benefits as those of their more experienced counterparts. © 2011 INFORMS.","author":[{"dropping-particle":"","family":"Ko","given":"Dong-Gil","non-dropping-particle":"","parse-names":false,"suffix":""},{"dropping-particle":"","family":"Dennis","given":"Alan R.","non-dropping-particle":"","parse-names":false,"suffix":""}],"container-title":"Information Systems Research","id":"ITEM-2","issue":"1","issued":{"date-parts":[["2011","3"]]},"page":"134-152","title":"Profiting from knowledge management: The impact of time and experience","type":"article-journal","volume":"22"},"uris":["http://www.mendeley.com/documents/?uuid=ee7a5309-71d5-45d1-a797-8adbaf70e716"]}],"mendeley":{"formattedCitation":"(Ko &amp; Dennis, 2011; Tseng, 2014)","plainTextFormattedCitation":"(Ko &amp; Dennis, 2011; Tseng, 2014)","previouslyFormattedCitation":"(Ko &amp; Dennis, 2011; Tseng, 2014)"},"properties":{"noteIndex":0},"schema":"https://github.com/citation-style-language/schema/raw/master/csl-citation.json"}</w:instrText>
      </w:r>
      <w:r w:rsidRPr="002A7627">
        <w:fldChar w:fldCharType="separate"/>
      </w:r>
      <w:r w:rsidRPr="002A7627">
        <w:rPr>
          <w:noProof/>
        </w:rPr>
        <w:t>(Ko &amp; Dennis, 2011; Tseng, 2014)</w:t>
      </w:r>
      <w:r w:rsidRPr="002A7627">
        <w:fldChar w:fldCharType="end"/>
      </w:r>
      <w:r w:rsidRPr="002A7627">
        <w:t xml:space="preserve">. The extensive use of IT, especially Internet and networking, has resulted in a number of tools to support safe, fast and effective knowledge sharing </w:t>
      </w:r>
      <w:r w:rsidRPr="002A7627">
        <w:fldChar w:fldCharType="begin" w:fldLock="1"/>
      </w:r>
      <w:r w:rsidR="004C27D4" w:rsidRPr="002A7627">
        <w:instrText>ADDIN CSL_CITATION {"citationItems":[{"id":"ITEM-1","itemData":{"DOI":"10.1108/13673270610670885","ISSN":"1367-3270","abstract":"Purpose – Aims to impart new insights into the role of information technology (IT) in knowledge extraction, capture, distribution and personalization. The paper seeks to pin‐point the strengths and weaknesses of IT in the domain of knowledge management (KM) and to explain why the technology promise remains unfulfilled, as seen by many KM practitioners.Design/methodology/approach – The discussion in this paper is fundamentally based on Stankosky's four KM pillars conceptual framework. Within this framework the authors attempted to shed some light on the IT role and the hidden reasons that make knowledge prominently unreachable via IT.Findings – IT assimilation and representation of knowledge intangibility, dynamism, experience and other humanistic cognitive dimensions remain debatable. The current technology is immature to resolve such problems. For IT to be effective for KM it must shred its bivalent logic and instead learn to operate within an authentic continuum.Originality/value – Knowledge managers ne...","author":[{"dropping-particle":"","family":"Mohamed","given":"Mirghani S.","non-dropping-particle":"","parse-names":false,"suffix":""},{"dropping-particle":"","family":"Stankosky","given":"Michael","non-dropping-particle":"","parse-names":false,"suffix":""},{"dropping-particle":"","family":"Murray","given":"Arthur","non-dropping-particle":"","parse-names":false,"suffix":""}],"container-title":"Journal of Knowledge Management","id":"ITEM-1","issue":"3","issued":{"date-parts":[["2006","5"]]},"page":"103-116","title":"Knowledge management and information technology: Can they work in perfect harmony?","type":"article-journal","volume":"10"},"uris":["http://www.mendeley.com/documents/?uuid=54210cbb-6afd-47e9-a885-b0f38134a924"]}],"mendeley":{"formattedCitation":"(Mohamed, Stankosky, &amp; Murray, 2006)","plainTextFormattedCitation":"(Mohamed, Stankosky, &amp; Murray, 2006)","previouslyFormattedCitation":"(Mohamed, Stankosky, &amp; Murray, 2006)"},"properties":{"noteIndex":0},"schema":"https://github.com/citation-style-language/schema/raw/master/csl-citation.json"}</w:instrText>
      </w:r>
      <w:r w:rsidRPr="002A7627">
        <w:fldChar w:fldCharType="separate"/>
      </w:r>
      <w:r w:rsidR="00E24626" w:rsidRPr="002A7627">
        <w:rPr>
          <w:noProof/>
        </w:rPr>
        <w:t>(Mohamed, Stankosky, &amp; Murray, 2006)</w:t>
      </w:r>
      <w:r w:rsidRPr="002A7627">
        <w:fldChar w:fldCharType="end"/>
      </w:r>
      <w:r w:rsidRPr="002A7627">
        <w:t xml:space="preserve">. The resource-based view suggests that IT is one of the most valuable internal organizational resources because it allows knowledge to be shared </w:t>
      </w:r>
      <w:r w:rsidRPr="002A7627">
        <w:fldChar w:fldCharType="begin" w:fldLock="1"/>
      </w:r>
      <w:r w:rsidR="004C27D4" w:rsidRPr="002A7627">
        <w:instrText>ADDIN CSL_CITATION {"citationItems":[{"id":"ITEM-1","itemData":{"DOI":"10.1287/orsc.1070.0286","ISSN":"1047-7039","abstract":"T his study investigates the effects of information technology (IT) on exploration and exploitation in organizational learning (OL). We use qualitative evidence from previously published case studies of a single organization to extend an earlier computational model of organizational learning (March 1991) by introducing IT-enabled learning mechanisms: communication technology (e-mail), knowledge repositories of best practices, and groupware. We find that each of these IT-enabled learning mechanisms enable capabilities that have a distinct effect on the exploration and exploitation learning dynamics in the organization. We also find that this effect is dependent on organizational and environmental conditions, as well as on the interaction effects between the various mechanisms when used in combination with one another. We explore the implications of our results for the use of IT to support organizational learning.","author":[{"dropping-particle":"","family":"Kane","given":"Gerald C.","non-dropping-particle":"","parse-names":false,"suffix":""},{"dropping-particle":"","family":"Alavi","given":"Maryam","non-dropping-particle":"","parse-names":false,"suffix":""}],"container-title":"Organization Science","id":"ITEM-1","issue":"5","issued":{"date-parts":[["2007","10"]]},"page":"796-812","title":"Information technology and organizational learning: An investigation of exploration and exploitation processes","type":"article-journal","volume":"18"},"uris":["http://www.mendeley.com/documents/?uuid=7316d078-a33a-48c5-b609-e28811c0425c"]},{"id":"ITEM-2","itemData":{"DOI":"10.2307/25148626","ISSN":"02767783","abstract":"Information systems researchers have a long tra-dition of drawing on theories from disciplines such as economics, computer science, psychology, and general management and using them in their own research. Because of this, the information sys-tems field has become a rich tapestry of theore-1 Jane Webster was the accepting senior editor for this paper. tical and conceptual foundations. As new theories are brought into the field, particularly theories that have become dominant in other areas, there may be a benefit in pausing to assess their use and contribution in an IS context. The purpose of this paper is to explore and critically evaluate use of the resource-based view of the firm (RBV) by IS researchers. The paper provides a brief review of resource-based theory and then suggests extensions to make the RBV more useful for empirical IS research. First, a typology of key IS resources is presented, and these are then described using six traditional resource attributes. Second, we em-phasize the particular importance of looking at both resource complementarity and moderating factors when studying IS resource effects on firm performance. Finally, we discuss three consi-derations that IS researchers need to address when using the RBV empirically. Eight sets of propositions are advanced to help guide future research.","author":[{"dropping-particle":"","family":"Wade","given":"","non-dropping-particle":"","parse-names":false,"suffix":""},{"dropping-particle":"","family":"Hulland","given":"","non-dropping-particle":"","parse-names":false,"suffix":""}],"container-title":"MIS Quarterly","id":"ITEM-2","issue":"1","issued":{"date-parts":[["2004"]]},"page":"107","title":"Review: The resource-based view and information systems research: Review, extension, and suggestions for future research","type":"article-journal","volume":"28"},"uris":["http://www.mendeley.com/documents/?uuid=42b6c6a0-6856-4b59-bd45-f71902ca654d"]}],"mendeley":{"formattedCitation":"(Kane &amp; Alavi, 2007; Wade &amp; Hulland, 2004)","plainTextFormattedCitation":"(Kane &amp; Alavi, 2007; Wade &amp; Hulland, 2004)","previouslyFormattedCitation":"(Kane &amp; Alavi, 2007; Wade &amp; Hulland, 2004)"},"properties":{"noteIndex":0},"schema":"https://github.com/citation-style-language/schema/raw/master/csl-citation.json"}</w:instrText>
      </w:r>
      <w:r w:rsidRPr="002A7627">
        <w:fldChar w:fldCharType="separate"/>
      </w:r>
      <w:r w:rsidR="00E24626" w:rsidRPr="002A7627">
        <w:rPr>
          <w:noProof/>
        </w:rPr>
        <w:t>(Kane &amp; Alavi, 2007; Wade &amp; Hulland, 2004)</w:t>
      </w:r>
      <w:r w:rsidRPr="002A7627">
        <w:fldChar w:fldCharType="end"/>
      </w:r>
      <w:r w:rsidRPr="002A7627">
        <w:t xml:space="preserve">. Another study </w:t>
      </w:r>
      <w:r w:rsidRPr="002A7627">
        <w:fldChar w:fldCharType="begin" w:fldLock="1"/>
      </w:r>
      <w:r w:rsidR="00E24626" w:rsidRPr="002A7627">
        <w:instrText>ADDIN CSL_CITATION {"citationItems":[{"id":"ITEM-1","itemData":{"abstract":"Resource-based view is the theory that has been applied to analyze the impact of information technology on business performance. Its main argument is that competitive advantages are determined by the unique valuable resources controlled by an organization. IT as a valuable asset will have positive effect on firm performance. However, previous research on the issue is inconsistent. This paper reports a meta-analysis of 42 papers published in major journals in information systems. Our findings indicate that the capability mediated model is better than the direct effect model and the major impact of IT is on efficiency indicators.","author":[{"dropping-particle":"","family":"Liang","given":"Ting-peng","non-dropping-particle":"","parse-names":false,"suffix":""},{"dropping-particle":"","family":"You","given":"Jun-jer","non-dropping-particle":"","parse-names":false,"suffix":""}],"container-title":"Pacific Asia Conference on Information Systems Proceedings","id":"ITEM-1","issued":{"date-parts":[["2009"]]},"publisher":"Association for Information Systems","publisher-place":"China","title":"Resource-based view in information systems research : A meta-analysis resource-based view in information systems","type":"paper-conference"},"uris":["http://www.mendeley.com/documents/?uuid=6fdbe0d8-08e1-42a5-91e5-bf8733c93330"]}],"mendeley":{"formattedCitation":"(Liang &amp; You, 2009)","plainTextFormattedCitation":"(Liang &amp; You, 2009)","previouslyFormattedCitation":"(Liang &amp; You, 2009)"},"properties":{"noteIndex":0},"schema":"https://github.com/citation-style-language/schema/raw/master/csl-citation.json"}</w:instrText>
      </w:r>
      <w:r w:rsidRPr="002A7627">
        <w:fldChar w:fldCharType="separate"/>
      </w:r>
      <w:r w:rsidRPr="002A7627">
        <w:rPr>
          <w:noProof/>
        </w:rPr>
        <w:t>(Liang &amp; You, 2009)</w:t>
      </w:r>
      <w:r w:rsidRPr="002A7627">
        <w:fldChar w:fldCharType="end"/>
      </w:r>
      <w:r w:rsidRPr="002A7627">
        <w:t xml:space="preserve"> found that technology has a positive relationship with internal capabilities and efficiency, and an insignificant relationship with external capabilities and financial performance. Several researchers, however, have argued that using IT is not related to the success of knowledge management activities, because IT is still immature and cannot deal with the humanistic cognitive scope of knowledge management projects </w:t>
      </w:r>
      <w:r w:rsidRPr="002A7627">
        <w:fldChar w:fldCharType="begin" w:fldLock="1"/>
      </w:r>
      <w:r w:rsidR="004C27D4" w:rsidRPr="002A7627">
        <w:instrText>ADDIN CSL_CITATION {"citationItems":[{"id":"ITEM-1","itemData":{"DOI":"10.1108/13673270610670885","ISSN":"1367-3270","abstract":"Purpose – Aims to impart new insights into the role of information technology (IT) in knowledge extraction, capture, distribution and personalization. The paper seeks to pin‐point the strengths and weaknesses of IT in the domain of knowledge management (KM) and to explain why the technology promise remains unfulfilled, as seen by many KM practitioners.Design/methodology/approach – The discussion in this paper is fundamentally based on Stankosky's four KM pillars conceptual framework. Within this framework the authors attempted to shed some light on the IT role and the hidden reasons that make knowledge prominently unreachable via IT.Findings – IT assimilation and representation of knowledge intangibility, dynamism, experience and other humanistic cognitive dimensions remain debatable. The current technology is immature to resolve such problems. For IT to be effective for KM it must shred its bivalent logic and instead learn to operate within an authentic continuum.Originality/value – Knowledge managers ne...","author":[{"dropping-particle":"","family":"Mohamed","given":"Mirghani S.","non-dropping-particle":"","parse-names":false,"suffix":""},{"dropping-particle":"","family":"Stankosky","given":"Michael","non-dropping-particle":"","parse-names":false,"suffix":""},{"dropping-particle":"","family":"Murray","given":"Arthur","non-dropping-particle":"","parse-names":false,"suffix":""}],"container-title":"Journal of Knowledge Management","id":"ITEM-1","issue":"3","issued":{"date-parts":[["2006","5"]]},"page":"103-116","title":"Knowledge management and information technology: Can they work in perfect harmony?","type":"article-journal","volume":"10"},"uris":["http://www.mendeley.com/documents/?uuid=54210cbb-6afd-47e9-a885-b0f38134a924"]},{"id":"ITEM-2","itemData":{"DOI":"10.2307/41166012","ISSN":"0008-1256","abstract":"Recent developments in information technology have inspired many companies to imagine a new way for staff to share knowledge and insights. Instead of storing documents in personal files and sharing personal insights with a small circle of colleagues, they can store documents in a common information base and use electronic networks to share insights with their whole community, even people scattered across the globe. However, most companies soon discover that leveraging knowledge is actually very hard and is more dependent on community building than information technology. This is not because people are reluctant to use information technology, rather it is because they often need to share knowledge that is neither obvious nor easy to document, knowledge that requires a human relationship to think about, understand, share, and appropriately apply. Ironically, while information technology has inspired the \"knowledge revolution,\" it takes building human communities to realize it.","author":[{"dropping-particle":"","family":"McDermott","given":"Richard","non-dropping-particle":"","parse-names":false,"suffix":""}],"container-title":"California Management Review","id":"ITEM-2","issue":"4","issued":{"date-parts":[["1999","7"]]},"page":"103-117","title":"Why information technology inspired but cannot deliver knowledge management","type":"article-journal","volume":"41"},"uris":["http://www.mendeley.com/documents/?uuid=1ce1719d-aa6f-4046-b74c-d200366bc43b"]}],"mendeley":{"formattedCitation":"(McDermott, 1999; Mohamed et al., 2006)","plainTextFormattedCitation":"(McDermott, 1999; Mohamed et al., 2006)","previouslyFormattedCitation":"(McDermott, 1999; Mohamed et al., 2006)"},"properties":{"noteIndex":0},"schema":"https://github.com/citation-style-language/schema/raw/master/csl-citation.json"}</w:instrText>
      </w:r>
      <w:r w:rsidRPr="002A7627">
        <w:fldChar w:fldCharType="separate"/>
      </w:r>
      <w:r w:rsidR="00E24626" w:rsidRPr="002A7627">
        <w:rPr>
          <w:noProof/>
        </w:rPr>
        <w:t>(McDermott, 1999; Mohamed et al., 2006)</w:t>
      </w:r>
      <w:r w:rsidRPr="002A7627">
        <w:fldChar w:fldCharType="end"/>
      </w:r>
      <w:r w:rsidRPr="002A7627">
        <w:t xml:space="preserve">. </w:t>
      </w:r>
    </w:p>
    <w:p w14:paraId="6F84FAB9" w14:textId="4A57361B" w:rsidR="00EE00BF" w:rsidRPr="002A7627" w:rsidRDefault="00D45FE9" w:rsidP="0017121F">
      <w:pPr>
        <w:pStyle w:val="Heading1"/>
        <w:rPr>
          <w:color w:val="000000"/>
        </w:rPr>
      </w:pPr>
      <w:bookmarkStart w:id="111" w:name="_Toc13959628"/>
      <w:bookmarkStart w:id="112" w:name="_Toc22331661"/>
      <w:r>
        <w:rPr>
          <w:color w:val="000000"/>
        </w:rPr>
        <w:lastRenderedPageBreak/>
        <w:t xml:space="preserve">2.8. </w:t>
      </w:r>
      <w:r w:rsidR="00EE00BF" w:rsidRPr="002A7627">
        <w:rPr>
          <w:color w:val="000000"/>
        </w:rPr>
        <w:t xml:space="preserve">Human </w:t>
      </w:r>
      <w:r w:rsidR="002C4A1A" w:rsidRPr="002A7627">
        <w:rPr>
          <w:color w:val="000000"/>
        </w:rPr>
        <w:t xml:space="preserve">Resources Practices </w:t>
      </w:r>
      <w:r w:rsidR="00EE00BF" w:rsidRPr="002A7627">
        <w:rPr>
          <w:color w:val="000000"/>
        </w:rPr>
        <w:t xml:space="preserve">for </w:t>
      </w:r>
      <w:r w:rsidR="002C4A1A" w:rsidRPr="002A7627">
        <w:rPr>
          <w:color w:val="000000"/>
        </w:rPr>
        <w:t>Knowledge Sharing</w:t>
      </w:r>
      <w:bookmarkEnd w:id="111"/>
      <w:bookmarkEnd w:id="112"/>
    </w:p>
    <w:p w14:paraId="5B9388DC" w14:textId="751C5623" w:rsidR="00EE00BF" w:rsidRPr="002A7627" w:rsidRDefault="00EE00BF" w:rsidP="002C4A1A">
      <w:pPr>
        <w:pStyle w:val="AAAAAAA"/>
      </w:pPr>
      <w:r w:rsidRPr="002A7627">
        <w:t xml:space="preserve">It seems likely that knowledge management is affected by HR practices within organizations. One approach suggests that there are two types of practices </w:t>
      </w:r>
      <w:r w:rsidRPr="002A7627">
        <w:fldChar w:fldCharType="begin" w:fldLock="1"/>
      </w:r>
      <w:r w:rsidR="00E24626" w:rsidRPr="002A7627">
        <w:instrText>ADDIN CSL_CITATION {"citationItems":[{"id":"ITEM-1","itemData":{"DOI":"10.1080/09585190500314680","ISBN":"09585192","ISSN":"0958-5192","PMID":"19063305","abstract":"The resource-based view and the knowledge-based view are important developments in strategic management theory, and ‘knowledge management’ has exploded in the popular management literature. There is, however, little empirical literature that explores the connections between firms’ attempts at knowledge management and their HR strategies. In this paper, we focus particularly on links between knowledge management and staffing practices. High-technology manufacturing was selected as the site of our research, as high-technology firms rely on highly skilled employees to innovate and develop new products and are therefore an ideal environment for exploring the strategies employed for both managing knowledge, and recruiting and retaining employees. Drawing particularly on the work of Hansen et al. (1999), this paper identifies and explores two fits between knowledge management and HR strategy or what we call KM-HR configurations: ‘personalization-retention’ and ‘codification-recruitment’. We argue that there is no one way to manage knowledge and its links to HRM and build a simple framework of potential KM-HR configurations with propositions for future research.","author":[{"dropping-particle":"","family":"Haesli","given":"Astrid","non-dropping-particle":"","parse-names":false,"suffix":""},{"dropping-particle":"","family":"Boxall","given":"Peter","non-dropping-particle":"","parse-names":false,"suffix":""}],"container-title":"The International Journal of Human Resource Management","id":"ITEM-1","issue":"11","issued":{"date-parts":[["2005","11"]]},"page":"1955-1975","title":"When knowledge management meets HR strategy: An exploration of personalization-retention and codification-recruitment configurations","type":"article-journal","volume":"16"},"uris":["http://www.mendeley.com/documents/?uuid=7f7b4ea6-4ad9-4ccf-bdb6-362c2e1a41ef"]}],"mendeley":{"formattedCitation":"(Haesli &amp; Boxall, 2005)","plainTextFormattedCitation":"(Haesli &amp; Boxall, 2005)","previouslyFormattedCitation":"(Haesli &amp; Boxall, 2005)"},"properties":{"noteIndex":0},"schema":"https://github.com/citation-style-language/schema/raw/master/csl-citation.json"}</w:instrText>
      </w:r>
      <w:r w:rsidRPr="002A7627">
        <w:fldChar w:fldCharType="separate"/>
      </w:r>
      <w:r w:rsidRPr="002A7627">
        <w:rPr>
          <w:noProof/>
        </w:rPr>
        <w:t>(Haesli &amp; Boxall, 2005)</w:t>
      </w:r>
      <w:r w:rsidRPr="002A7627">
        <w:fldChar w:fldCharType="end"/>
      </w:r>
      <w:r w:rsidRPr="002A7627">
        <w:t xml:space="preserve">. The first sees knowledge management capabilities represented by IT infrastructure and solutions, and focuses on </w:t>
      </w:r>
      <w:r w:rsidR="00193A9C" w:rsidRPr="002A7627">
        <w:t xml:space="preserve">the </w:t>
      </w:r>
      <w:r w:rsidRPr="002A7627">
        <w:t xml:space="preserve">use of explicit knowledge. The second describes HR solutions that rely on organizational learning and HR practices to support the capture and use of tacit knowledge. </w:t>
      </w:r>
      <w:r w:rsidR="00AA406D" w:rsidRPr="002A7627">
        <w:fldChar w:fldCharType="begin" w:fldLock="1"/>
      </w:r>
      <w:r w:rsidR="005A37E4" w:rsidRPr="002A7627">
        <w:instrText>ADDIN CSL_CITATION {"citationItems":[{"id":"ITEM-1","itemData":{"DOI":"10.1108/01425450810888303","ISBN":"1367327051061","ISSN":"0142-5455","abstract":"This paper sets out, first, to integrate HR strategies into knowledge management (KM) systems; second, to examine the type of HR strategies to be pursued and third, it looks at the probable behaviour effects of such a strategy in the creation, distribution and use of knowledge.","author":[{"dropping-particle":"","family":"Edvardsson","given":"Ingi Runar","non-dropping-particle":"","parse-names":false,"suffix":""}],"container-title":"Employee Relations","id":"ITEM-1","issue":"5","issued":{"date-parts":[["2008","8","15"]]},"page":"553-561","title":"HRM and knowledge management","type":"article-journal","volume":"30"},"uris":["http://www.mendeley.com/documents/?uuid=2c07da39-35a8-45fa-956c-e063715cd676"]}],"mendeley":{"formattedCitation":"(Edvardsson, 2008)","manualFormatting":"Edvardsson (2008)","plainTextFormattedCitation":"(Edvardsson, 2008)","previouslyFormattedCitation":"(Edvardsson, 2008)"},"properties":{"noteIndex":0},"schema":"https://github.com/citation-style-language/schema/raw/master/csl-citation.json"}</w:instrText>
      </w:r>
      <w:r w:rsidR="00AA406D" w:rsidRPr="002A7627">
        <w:fldChar w:fldCharType="separate"/>
      </w:r>
      <w:r w:rsidR="00AA406D" w:rsidRPr="002A7627">
        <w:rPr>
          <w:noProof/>
        </w:rPr>
        <w:t>Edvardsson (2008)</w:t>
      </w:r>
      <w:r w:rsidR="00AA406D" w:rsidRPr="002A7627">
        <w:fldChar w:fldCharType="end"/>
      </w:r>
      <w:r w:rsidRPr="002A7627">
        <w:t xml:space="preserve"> also described two approaches of HR strategies towards knowledge management: explorative and exploitative. An exploitative strategy targets IT solutions for knowledge management and focuses on tacit knowledge, and an explorative strategy focuses on HR practices and organizational learning in terms of knowledge sharing </w:t>
      </w:r>
      <w:r w:rsidRPr="002A7627">
        <w:fldChar w:fldCharType="begin" w:fldLock="1"/>
      </w:r>
      <w:r w:rsidR="005A37E4" w:rsidRPr="002A7627">
        <w:instrText>ADDIN CSL_CITATION {"citationItems":[{"id":"ITEM-1","itemData":{"DOI":"10.1108/01425450810888303","ISBN":"1367327051061","ISSN":"0142-5455","abstract":"This paper sets out, first, to integrate HR strategies into knowledge management (KM) systems; second, to examine the type of HR strategies to be pursued and third, it looks at the probable behaviour effects of such a strategy in the creation, distribution and use of knowledge.","author":[{"dropping-particle":"","family":"Edvardsson","given":"Ingi Runar","non-dropping-particle":"","parse-names":false,"suffix":""}],"container-title":"Employee Relations","id":"ITEM-1","issue":"5","issued":{"date-parts":[["2008","8","15"]]},"page":"553-561","title":"HRM and knowledge management","type":"article-journal","volume":"30"},"uris":["http://www.mendeley.com/documents/?uuid=2c07da39-35a8-45fa-956c-e063715cd676"]}],"mendeley":{"formattedCitation":"(Edvardsson, 2008)","plainTextFormattedCitation":"(Edvardsson, 2008)","previouslyFormattedCitation":"(Edvardsson, 2008)"},"properties":{"noteIndex":0},"schema":"https://github.com/citation-style-language/schema/raw/master/csl-citation.json"}</w:instrText>
      </w:r>
      <w:r w:rsidRPr="002A7627">
        <w:fldChar w:fldCharType="separate"/>
      </w:r>
      <w:r w:rsidRPr="002A7627">
        <w:rPr>
          <w:noProof/>
        </w:rPr>
        <w:t>(Edvardsson, 2008)</w:t>
      </w:r>
      <w:r w:rsidRPr="002A7627">
        <w:fldChar w:fldCharType="end"/>
      </w:r>
      <w:r w:rsidRPr="002A7627">
        <w:t>. He suggested that the two should be integrated to stimulate knowledge management.</w:t>
      </w:r>
    </w:p>
    <w:p w14:paraId="45F6514A" w14:textId="79791C36" w:rsidR="00EE00BF" w:rsidRPr="002A7627" w:rsidRDefault="00EE00BF" w:rsidP="002C4A1A">
      <w:pPr>
        <w:pStyle w:val="AAAAAAA"/>
      </w:pPr>
      <w:r w:rsidRPr="002A7627">
        <w:t xml:space="preserve">Managing knowledge effectively to support </w:t>
      </w:r>
      <w:r w:rsidR="00193A9C" w:rsidRPr="002A7627">
        <w:t xml:space="preserve">the </w:t>
      </w:r>
      <w:r w:rsidRPr="002A7627">
        <w:t xml:space="preserve">achievement of the organizational strategy is a challenge </w:t>
      </w:r>
      <w:r w:rsidRPr="002A7627">
        <w:rPr>
          <w:noProof/>
        </w:rPr>
        <w:t>(Chen &amp; Fong, 2015)</w:t>
      </w:r>
      <w:r w:rsidRPr="002A7627">
        <w:t>. Human resources</w:t>
      </w:r>
      <w:r w:rsidR="00C81FC8">
        <w:t>—that is, people within the organization—</w:t>
      </w:r>
      <w:r w:rsidR="00842C4E" w:rsidRPr="000D35EA">
        <w:rPr>
          <w:color w:val="000000" w:themeColor="text1"/>
        </w:rPr>
        <w:t>create knowledge and hold it</w:t>
      </w:r>
      <w:r w:rsidRPr="000D35EA">
        <w:rPr>
          <w:color w:val="000000" w:themeColor="text1"/>
        </w:rPr>
        <w:t xml:space="preserve"> </w:t>
      </w:r>
      <w:r w:rsidRPr="002A7627">
        <w:fldChar w:fldCharType="begin" w:fldLock="1"/>
      </w:r>
      <w:r w:rsidR="00811A3B" w:rsidRPr="002A7627">
        <w:instrText>ADDIN CSL_CITATION {"citationItems":[{"id":"ITEM-1","itemData":{"DOI":"10.1108/03090591311319780","ISSN":"2046-9012","abstract":"Purpose - The aim of the paper is to identify which variables of training policy have a significant and positive impact on organisational performance. Design/methodology/approach - A targeted literature review was conducted to identify and collate a comprehensive range of human resource management and training conceptualisations/investigations. This was the basis for the approach to contrast hypotheses. The paper used a sample of Spanish companies and the method of analysis was regression. Findings - The results obtained in this paper do suggest that the training policy positively correlates with organisational performance, both using objective result measures (productivity and financial performance) and in the subjective measure of perceived financial performance and in intermediate result measures. Research limitations/implications - The study was confined to the analysis of a single Spanish region, and specifically referred to its hotel industry, which means that the results obtained must be situated within that specific context examined. To this must be added that the data were collected from a single source (CEOs) and, of course, it would have been more appropriate to use data from multiple sources. Originality/value - From an academic point-of-view, the research initiative presented here is placed within the new line of development for research into training and performance that tries to overcome the restrictions faced in other publications, trying to go one step further in the search for more specific connections between human resources and performance. From a practical viewpoint, this research work could help hotel entrepreneurs in two ways: first, by providing evidence that the resources allocated by hotel firms to the training of their staff have a positive impact on their profit levels; and second, by showing which variables should be considered to achieve this relationship.","author":[{"dropping-particle":"","family":"Ubeda-García","given":"Mercedes","non-dropping-particle":"","parse-names":false,"suffix":""},{"dropping-particle":"","family":"Marco-Lajara","given":"Bartolomé","non-dropping-particle":"","parse-names":false,"suffix":""},{"dropping-particle":"","family":"Sabater-Sempere","given":"Vicente","non-dropping-particle":"","parse-names":false,"suffix":""},{"dropping-particle":"","family":"García-Lillo","given":"Francisco","non-dropping-particle":"","parse-names":false,"suffix":""}],"container-title":"European Journal of Training and Development","id":"ITEM-1","issue":"4","issued":{"date-parts":[["2013","6","3"]]},"page":"380-413","title":"Does training influence organisational performance?","type":"article-journal","volume":"37"},"uris":["http://www.mendeley.com/documents/?uuid=64fd8399-2309-4819-8e46-89f4a4904818"]}],"mendeley":{"formattedCitation":"(Ubeda-García et al., 2013)","plainTextFormattedCitation":"(Ubeda-García et al., 2013)","previouslyFormattedCitation":"(Ubeda-García et al., 2013)"},"properties":{"noteIndex":0},"schema":"https://github.com/citation-style-language/schema/raw/master/csl-citation.json"}</w:instrText>
      </w:r>
      <w:r w:rsidRPr="002A7627">
        <w:fldChar w:fldCharType="separate"/>
      </w:r>
      <w:r w:rsidR="00F31753" w:rsidRPr="002A7627">
        <w:rPr>
          <w:noProof/>
        </w:rPr>
        <w:t>(Ubeda-García et al., 2013)</w:t>
      </w:r>
      <w:r w:rsidRPr="002A7627">
        <w:fldChar w:fldCharType="end"/>
      </w:r>
      <w:r w:rsidRPr="002A7627">
        <w:t xml:space="preserve"> </w:t>
      </w:r>
      <w:r w:rsidR="00C81FC8">
        <w:t>providing</w:t>
      </w:r>
      <w:r w:rsidR="00C81FC8" w:rsidRPr="002A7627">
        <w:t xml:space="preserve"> </w:t>
      </w:r>
      <w:r w:rsidRPr="002A7627">
        <w:t xml:space="preserve">high potential to share ideas and expertise to develop organizational knowledge </w:t>
      </w:r>
      <w:r w:rsidRPr="002A7627">
        <w:fldChar w:fldCharType="begin" w:fldLock="1"/>
      </w:r>
      <w:r w:rsidR="00E24626" w:rsidRPr="002A7627">
        <w:instrText>ADDIN CSL_CITATION {"citationItems":[{"id":"ITEM-1","itemData":{"DOI":"10.1108/17515631011013096","ISSN":"1751-5637","abstract":"The purpose of this paper is to investigate the relations between people development management (PDM) as independent variable and knowledge management (KM) as dependent variable, in some Iranian healthcare centers. Design/methodology/approach Applying the structural equation model (SEM) approach. Investigating causal relations of the variables through Lisrel software. Findings Findings show that in the researched organizations there is a significant positive relation between PDM and its components, and KM. PDM have direct significant effect (0.85) on KM. The relation between the factor titled as learning needs analysis and induction?, and KM is fairly more important than the other factors. Research limitations/implications More research needs to be done in the same areas to judge about the effect of human assets strategies on KM. In case of the surveyed organization, it seems there is a vital need to review the PDM and KM strategies and develop some procedures to improve and keep the business up. Practical implications Although the proposed model has proved no causal relation between PDM components and KM, except in the case of learning needs analysis and induction?, it does not mean that no correction action is needed in other dimensions. In other words, it is necessary to expand a well-developed people development management project to meet a successful knowledge Our conceptual model of research has two dimensions. In one side we chose Newman's model of knowledge management, On the other side we consider a comprehensive pattern of people development management, named People Developer Standard. Through this model an appropriate framework to manage and develop the human assets and a series of developer activities will be formed to achieve people excellence.","author":[{"dropping-particle":"","family":"Monavvarian","given":"Abbas","non-dropping-particle":"","parse-names":false,"suffix":""},{"dropping-particle":"","family":"Khamda","given":"Zahra","non-dropping-particle":"","parse-names":false,"suffix":""}],"container-title":"Business Strategy Series","id":"ITEM-1","issue":"1","issued":{"date-parts":[["2010","1","12"]]},"page":"20-42","title":"Towards successful knowledge management: People development approach","type":"article-journal","volume":"11"},"uris":["http://www.mendeley.com/documents/?uuid=0d456d16-5288-411f-93f9-299623d54ccc"]}],"mendeley":{"formattedCitation":"(Monavvarian &amp; Khamda, 2010)","plainTextFormattedCitation":"(Monavvarian &amp; Khamda, 2010)","previouslyFormattedCitation":"(Monavvarian &amp; Khamda, 2010)"},"properties":{"noteIndex":0},"schema":"https://github.com/citation-style-language/schema/raw/master/csl-citation.json"}</w:instrText>
      </w:r>
      <w:r w:rsidRPr="002A7627">
        <w:fldChar w:fldCharType="separate"/>
      </w:r>
      <w:r w:rsidRPr="002A7627">
        <w:rPr>
          <w:noProof/>
        </w:rPr>
        <w:t>(Monavvarian &amp; Khamda, 2010)</w:t>
      </w:r>
      <w:r w:rsidRPr="002A7627">
        <w:fldChar w:fldCharType="end"/>
      </w:r>
      <w:r w:rsidRPr="002A7627">
        <w:t xml:space="preserve">. This is essential in knowledge-intensive organizations because knowledge has to be continuously developed and acquired to preserve it when employees leave the organization or hoard their knowledge </w:t>
      </w:r>
      <w:r w:rsidR="005A37E4" w:rsidRPr="002A7627">
        <w:rPr>
          <w:noProof/>
        </w:rPr>
        <w:t>(Fong, Ooi, Tan, Lee, &amp; Chong, 2011; Jimenez</w:t>
      </w:r>
      <w:r w:rsidR="002E64B3">
        <w:rPr>
          <w:noProof/>
        </w:rPr>
        <w:t>-</w:t>
      </w:r>
      <w:r w:rsidR="005A37E4" w:rsidRPr="002A7627">
        <w:rPr>
          <w:noProof/>
        </w:rPr>
        <w:t>Jimenez &amp; Sanz</w:t>
      </w:r>
      <w:r w:rsidR="002E64B3">
        <w:rPr>
          <w:noProof/>
        </w:rPr>
        <w:t>-</w:t>
      </w:r>
      <w:r w:rsidR="005A37E4" w:rsidRPr="002A7627">
        <w:rPr>
          <w:noProof/>
        </w:rPr>
        <w:t>Valle, 2012; Kehoe &amp; Collins, 2017)</w:t>
      </w:r>
      <w:r w:rsidRPr="002A7627">
        <w:t>.</w:t>
      </w:r>
    </w:p>
    <w:p w14:paraId="159956E8" w14:textId="0E286865" w:rsidR="00EE00BF" w:rsidRPr="002A7627" w:rsidRDefault="00EE00BF" w:rsidP="002C4A1A">
      <w:pPr>
        <w:pStyle w:val="AAAAAAA"/>
      </w:pPr>
      <w:r w:rsidRPr="002A7627">
        <w:lastRenderedPageBreak/>
        <w:t xml:space="preserve">People are important assets of every organization </w:t>
      </w:r>
      <w:r w:rsidRPr="002A7627">
        <w:fldChar w:fldCharType="begin" w:fldLock="1"/>
      </w:r>
      <w:r w:rsidR="00E24626" w:rsidRPr="002A7627">
        <w:instrText>ADDIN CSL_CITATION {"citationItems":[{"id":"ITEM-1","itemData":{"DOI":"10.1177/030913330102500103","ISBN":"22314172","ISSN":"22294686","PMID":"79700569","abstract":"The only vital value for an enterprise is the experience, skills, innovativeness and insights of its people. Human resources are the key components in every organization. It represents total knowledge, talent, and attitude, creative ability, aptitude and belief of an individual involved in the affairs of an organization. Management of human resources is an integral part for every concern. It is associated with the people at work and their relationships within and outside the enterprise. Recruitment of efficient staff is one of the important activities as it generates the human capital for the concern. In the recent years, the field of human resource management has undergone numerous technological advancements. Internet has made an impact on the overall functioning of human resource department. HR processes and procedures have been supported by everything from complicated file-folder systems to automation, going from usage multiple systems and databases to a single version of the whole system. It has progressed with frequent innovations viz; Human Resource Information System, Virtual Human Resources and Electronic Human Resource Management (E-HRM) etc. E-HRM means conducting of business transactions by using internet along with other technologies. In other words, E-HRM is a way of implementing HRM strategies, policies and practices in an organization through a directed support of web technology based channels. It influences every area of human resource management. E-Recruitment refers to posting vacancies on the corporate website or on an online recruitment vendors’ website. It allows applicants to send their resumes electronically through an email or in some other electronic format. The e-recruitment methods and systems have helped to reduce much of the routine administrative tasks involved in recruitment. The study tries to identify the overall concept of e-recruitment. It aims at collecting information regarding methods viz; e-mails, corporate websites and commercial job boards etc. of e-recruitment. It includes the general advantages and disadvantages of e-recruitment.","author":[{"dropping-particle":"","family":"Dhamija","given":"Pavitra","non-dropping-particle":"","parse-names":false,"suffix":""}],"container-title":"Researchers World: Journal of Arts, Science and Commerce","id":"ITEM-1","issue":"3","issued":{"date-parts":[["2012"]]},"page":"33","title":"E-Recruitment: A roadmap towards e-human resource management","type":"article-journal","volume":"3"},"uris":["http://www.mendeley.com/documents/?uuid=1322d713-c9b5-476e-b3ad-1d1bff5daf7d"]}],"mendeley":{"formattedCitation":"(Dhamija, 2012)","plainTextFormattedCitation":"(Dhamija, 2012)","previouslyFormattedCitation":"(Dhamija, 2012)"},"properties":{"noteIndex":0},"schema":"https://github.com/citation-style-language/schema/raw/master/csl-citation.json"}</w:instrText>
      </w:r>
      <w:r w:rsidRPr="002A7627">
        <w:fldChar w:fldCharType="separate"/>
      </w:r>
      <w:r w:rsidRPr="002A7627">
        <w:rPr>
          <w:noProof/>
        </w:rPr>
        <w:t>(Dhamija, 2012)</w:t>
      </w:r>
      <w:r w:rsidRPr="002A7627">
        <w:fldChar w:fldCharType="end"/>
      </w:r>
      <w:r w:rsidRPr="002A7627">
        <w:t>. HR practices affect employees’ behavior, attitude</w:t>
      </w:r>
      <w:r w:rsidR="00193A9C" w:rsidRPr="002A7627">
        <w:t>,</w:t>
      </w:r>
      <w:r w:rsidRPr="002A7627">
        <w:t xml:space="preserve"> and performance </w:t>
      </w:r>
      <w:r w:rsidRPr="002A7627">
        <w:fldChar w:fldCharType="begin" w:fldLock="1"/>
      </w:r>
      <w:r w:rsidR="00E24626" w:rsidRPr="002A7627">
        <w:instrText xml:space="preserve">ADDIN CSL_CITATION {"citationItems":[{"id":"ITEM-1","itemData":{"DOI":"10.1016/B978-0-12-812632-5.00017-3","ISBN":"978-0-12-812632-5","ISSN":"1539-1450","PMID":"19739504","abstract":"Competitiveness -A company's ability to maintain and gain market share in its industry </w:instrText>
      </w:r>
      <w:r w:rsidR="00E24626" w:rsidRPr="002A7627">
        <w:instrText xml:space="preserve"> The value of a product or service is determined by the quality and how closely the product fits customer needs Stakeholders -Groups affected by business practices </w:instrText>
      </w:r>
      <w:r w:rsidR="00E24626" w:rsidRPr="002A7627">
        <w:instrText xml:space="preserve"> Include: stockholders, customers, and employees Human Resource Management [people practices] -Policies, practices, and systems that influence employee's behaviour, attitudes, and performance. </w:instrText>
      </w:r>
      <w:r w:rsidR="00E24626" w:rsidRPr="002A7627">
        <w:instrText xml:space="preserve"> HRM Practices include: -Analysis and design of work -HR planning -Recruiting -Selection -Training and development -Compensation--&gt; rewarding employees -Performance management -Employee relations </w:instrText>
      </w:r>
      <w:r w:rsidR="00E24626" w:rsidRPr="002A7627">
        <w:instrText> Effective HRM practices enhance performance by contributing to employee and customer satisfaction, innovation, productivity, and development of favourable reputation in the firm's community.","author":[{"dropping-particle":"","family":"Noe","given":"Raymond Andrew","non-dropping-particle":"","parse-names":false,"suffix":""},{"dropping-particle":"","family":"Hollenbeck","given":"John R.","non-dropping-particle":"","parse-names":false,"suffix":""},{"dropping-particle":"","family":"Gerhart","given":"Barry","non-dropping-particle":"","parse-names":false,"suffix":""},{"dropping-particle":"","family":"Wright","given":"Patrick M.","non-dropping-particle":"","parse-names":false,"suffix":""}],"id":"ITEM-1","issued":{"date-parts":[["2018"]]},"publisher":"McGraw-Hill Education.","publisher-place":"New York, NY","title":"Human resource management: Gaining a competitive advantage","type":"book"},"uris":["http://www.mendeley.com/documents/?uuid=4e6d0234-6f5c-4906-a0cc-693da67d3125"]}],"mendeley":{"formattedCitation":"(Noe, Hollenbeck, Gerhart, &amp; Wright, 2018)","plainTextFormattedCitation":"(Noe, Hollenbeck, Gerhart, &amp; Wright, 2018)","previouslyFormattedCitation":"(Noe, Hollenbeck, Gerhart, &amp; Wright, 2018)"},"properties":{"noteIndex":0},"schema":"https://github.com/citation-style-language/schema/raw/master/csl-citation.json"}</w:instrText>
      </w:r>
      <w:r w:rsidRPr="002A7627">
        <w:fldChar w:fldCharType="separate"/>
      </w:r>
      <w:r w:rsidRPr="002A7627">
        <w:rPr>
          <w:noProof/>
        </w:rPr>
        <w:t>(Noe, Hollenbeck, Gerhart, &amp; Wright, 2018)</w:t>
      </w:r>
      <w:r w:rsidRPr="002A7627">
        <w:fldChar w:fldCharType="end"/>
      </w:r>
      <w:r w:rsidRPr="002A7627">
        <w:t xml:space="preserve">. Organizations need to create a learning culture </w:t>
      </w:r>
      <w:r w:rsidRPr="002A7627">
        <w:rPr>
          <w:noProof/>
        </w:rPr>
        <w:t>(Fong et al., 2011)</w:t>
      </w:r>
      <w:r w:rsidRPr="002A7627">
        <w:t xml:space="preserve">, in which knowledge management is used </w:t>
      </w:r>
      <w:r w:rsidR="007D32E0" w:rsidRPr="000D35EA">
        <w:rPr>
          <w:color w:val="000000" w:themeColor="text1"/>
        </w:rPr>
        <w:t xml:space="preserve">in an effective and efficient way </w:t>
      </w:r>
      <w:r w:rsidRPr="000D35EA">
        <w:rPr>
          <w:color w:val="000000" w:themeColor="text1"/>
        </w:rPr>
        <w:t xml:space="preserve">to manage the flow of knowledge </w:t>
      </w:r>
      <w:r w:rsidR="007D32E0" w:rsidRPr="000D35EA">
        <w:rPr>
          <w:color w:val="000000" w:themeColor="text1"/>
        </w:rPr>
        <w:t xml:space="preserve">with the aim of </w:t>
      </w:r>
      <w:r w:rsidRPr="000D35EA">
        <w:rPr>
          <w:color w:val="000000" w:themeColor="text1"/>
        </w:rPr>
        <w:t>maximiz</w:t>
      </w:r>
      <w:r w:rsidR="00C81FC8" w:rsidRPr="000D35EA">
        <w:rPr>
          <w:color w:val="000000" w:themeColor="text1"/>
        </w:rPr>
        <w:t>ing</w:t>
      </w:r>
      <w:r w:rsidRPr="000D35EA">
        <w:rPr>
          <w:color w:val="000000" w:themeColor="text1"/>
        </w:rPr>
        <w:t xml:space="preserve"> the long-term benefits</w:t>
      </w:r>
      <w:r w:rsidRPr="002A7627">
        <w:t xml:space="preserve"> </w:t>
      </w:r>
      <w:r w:rsidRPr="002A7627">
        <w:fldChar w:fldCharType="begin" w:fldLock="1"/>
      </w:r>
      <w:r w:rsidRPr="002A7627">
        <w:instrText>ADDIN CSL_CITATION {"citationItems":[{"id":"ITEM-1","itemData":{"DOI":"10.1108/14691930210435570","ISSN":"1469-1930","author":[{"dropping-particle":"","family":"Darroch","given":"Jenny","non-dropping-particle":"","parse-names":false,"suffix":""},{"dropping-particle":"","family":"McNaughton","given":"Rod","non-dropping-particle":"","parse-names":false,"suffix":""}],"container-title":"Journal of Intellectual Capital","id":"ITEM-1","issue":"3","issued":{"date-parts":[["2002","9"]]},"page":"210-222","title":"Examining the link between knowledge management practices and types of innovation","type":"article-journal","volume":"3"},"uris":["http://www.mendeley.com/documents/?uuid=a598fde6-baff-4f01-a1be-dc8a05ffdc83"]}],"mendeley":{"formattedCitation":"(Darroch &amp; McNaughton, 2002)","plainTextFormattedCitation":"(Darroch &amp; McNaughton, 2002)","previouslyFormattedCitation":"(Darroch &amp; McNaughton, 2002)"},"properties":{"noteIndex":0},"schema":"https://github.com/citation-style-language/schema/raw/master/csl-citation.json"}</w:instrText>
      </w:r>
      <w:r w:rsidRPr="002A7627">
        <w:fldChar w:fldCharType="separate"/>
      </w:r>
      <w:r w:rsidRPr="002A7627">
        <w:rPr>
          <w:noProof/>
        </w:rPr>
        <w:t>(Darroch &amp; McNaughton, 2002)</w:t>
      </w:r>
      <w:r w:rsidRPr="002A7627">
        <w:fldChar w:fldCharType="end"/>
      </w:r>
      <w:r w:rsidRPr="002A7627">
        <w:t xml:space="preserve">. Wang and Noe </w:t>
      </w:r>
      <w:r w:rsidRPr="002A7627">
        <w:fldChar w:fldCharType="begin" w:fldLock="1"/>
      </w:r>
      <w:r w:rsidRPr="002A7627">
        <w:instrText>ADDIN CSL_CITATION {"citationItems":[{"id":"ITEM-1","itemData":{"DOI":"10.1016/j.hrmr.2009.10.001","ISBN":"1053-4822","ISSN":"10534822","PMID":"48257469","abstract":"The success of knowledge management initiatives depends on knowledge sharing. This paper reviews qualitative and quantitative studies of individual-level knowledge sharing. Based on the literature review we developed a framework for understanding knowledge sharing research. The framework identifies five areas of emphasis of knowledge sharing research: organizational context, interpersonal and team characteristics, cultural characteristics, individual characteristics, and motivational factors. For each emphasis area the paper discusses the theoretical frameworks used and summarizes the empirical research results. The paper concludes with a discussion of emerging issues, new research directions, and practical implications of knowledge sharing research. © 2009 Elsevier Inc. All rights reserved.","author":[{"dropping-particle":"","family":"Wang","given":"Sheng","non-dropping-particle":"","parse-names":false,"suffix":""},{"dropping-particle":"","family":"Noe","given":"Raymond A.","non-dropping-particle":"","parse-names":false,"suffix":""}],"container-title":"Human Resource Management Review","id":"ITEM-1","issue":"2","issued":{"date-parts":[["2010","6"]]},"page":"115-131","title":"Knowledge sharing: A review and directions for future research","type":"article-journal","volume":"20"},"suppress-author":1,"uris":["http://www.mendeley.com/documents/?uuid=b172887f-2cb1-4e28-8e4a-d777c1c15bc2"]}],"mendeley":{"formattedCitation":"(2010)","plainTextFormattedCitation":"(2010)","previouslyFormattedCitation":"(2010)"},"properties":{"noteIndex":0},"schema":"https://github.com/citation-style-language/schema/raw/master/csl-citation.json"}</w:instrText>
      </w:r>
      <w:r w:rsidRPr="002A7627">
        <w:fldChar w:fldCharType="separate"/>
      </w:r>
      <w:r w:rsidRPr="002A7627">
        <w:rPr>
          <w:noProof/>
        </w:rPr>
        <w:t>(2010)</w:t>
      </w:r>
      <w:r w:rsidRPr="002A7627">
        <w:fldChar w:fldCharType="end"/>
      </w:r>
      <w:r w:rsidRPr="002A7627">
        <w:t xml:space="preserve"> investigated HR practices such as attracting, motivating</w:t>
      </w:r>
      <w:r w:rsidR="00193A9C" w:rsidRPr="002A7627">
        <w:t>,</w:t>
      </w:r>
      <w:r w:rsidRPr="002A7627">
        <w:t xml:space="preserve"> and retaining employees and improving communications. Previous </w:t>
      </w:r>
      <w:r w:rsidR="00C81FC8">
        <w:t>studies</w:t>
      </w:r>
      <w:r w:rsidR="00C81FC8" w:rsidRPr="002A7627">
        <w:t xml:space="preserve"> </w:t>
      </w:r>
      <w:r w:rsidRPr="002A7627">
        <w:t xml:space="preserve">suggested that organizations should focus on training and self-efficacy to increase knowledge sharing </w:t>
      </w:r>
      <w:r w:rsidRPr="002A7627">
        <w:fldChar w:fldCharType="begin" w:fldLock="1"/>
      </w:r>
      <w:r w:rsidR="00E24626" w:rsidRPr="002A7627">
        <w:instrText>ADDIN CSL_CITATION {"citationItems":[{"id":"ITEM-1","itemData":{"DOI":"10.1177/1059601103258439","ISSN":"10596011","abstract":"Managing organizational knowledge creation and sharing effectively has become an important source of competitive advantage for firms. Peer mentoring is becoming increasingly common and may be an effective way to facilitate knowledge creation and sharing. This article provides an empirical test of the relationship between peer mentoring and knowledge creation and sharing in a high-tech software firm. Results suggested that a peer mentor training course increased perceived levels of peer mentor knowledge and skills. Results also indicated that higher perceived levels of peer mentoring were related to higher perceived levels of knowledge creation and sharing.","author":[{"dropping-particle":"","family":"Bryant","given":"Scott E.","non-dropping-particle":"","parse-names":false,"suffix":""}],"container-title":"Group and Organization Management","id":"ITEM-1","issue":"3","issued":{"date-parts":[["2005"]]},"page":"319-338","title":"The impact of peer mentoring on organizational knowledge creation and sharing: An empirical study in a software firm","type":"article-journal","volume":"30"},"uris":["http://www.mendeley.com/documents/?uuid=4e1b9e45-8f40-4f28-a998-9d56d7125da8"]}],"mendeley":{"formattedCitation":"(Bryant, 2005)","plainTextFormattedCitation":"(Bryant, 2005)","previouslyFormattedCitation":"(Bryant, 2005)"},"properties":{"noteIndex":0},"schema":"https://github.com/citation-style-language/schema/raw/master/csl-citation.json"}</w:instrText>
      </w:r>
      <w:r w:rsidRPr="002A7627">
        <w:fldChar w:fldCharType="separate"/>
      </w:r>
      <w:r w:rsidRPr="002A7627">
        <w:rPr>
          <w:noProof/>
        </w:rPr>
        <w:t>(Bryant, 2005)</w:t>
      </w:r>
      <w:r w:rsidRPr="002A7627">
        <w:fldChar w:fldCharType="end"/>
      </w:r>
      <w:r w:rsidRPr="002A7627">
        <w:t xml:space="preserve">. </w:t>
      </w:r>
      <w:r w:rsidR="00C81FC8">
        <w:t>I</w:t>
      </w:r>
      <w:r w:rsidRPr="002A7627">
        <w:t xml:space="preserve">t </w:t>
      </w:r>
      <w:r w:rsidR="00C81FC8">
        <w:t>has also been</w:t>
      </w:r>
      <w:r w:rsidRPr="002A7627">
        <w:t xml:space="preserve"> suggested that incentive systems should be re-</w:t>
      </w:r>
      <w:r w:rsidR="00C81FC8">
        <w:t>designed</w:t>
      </w:r>
      <w:r w:rsidR="00C81FC8" w:rsidRPr="002A7627">
        <w:t xml:space="preserve"> </w:t>
      </w:r>
      <w:r w:rsidRPr="002A7627">
        <w:t>to fit organization</w:t>
      </w:r>
      <w:r w:rsidR="00C81FC8">
        <w:t>al</w:t>
      </w:r>
      <w:r w:rsidRPr="002A7627">
        <w:t xml:space="preserve"> culture </w:t>
      </w:r>
      <w:r w:rsidRPr="002A7627">
        <w:fldChar w:fldCharType="begin" w:fldLock="1"/>
      </w:r>
      <w:r w:rsidR="007C79F2" w:rsidRPr="002A7627">
        <w:instrText>ADDIN CSL_CITATION {"citationItems":[{"id":"ITEM-1","itemData":{"DOI":"10.5465/ame.2005.16962590","ISSN":"1558-9080","abstract":"Knowledge-sharing systems have been implemented in various global companies during the last few years. However, many of them have failed because they were limited to technical solutions and did not consider the organizational and cross-cultural factors that are necessary to make a knowledge-sharing platform successful. We identified Siemens -- a major player in the electronic industry -- as a benchmark company in the global transfer of management knowledge. Based on in-depth interviews with executives within Siemens, we describe the five steps with which Siemens successfully established its global knowledge-sharing system \"ShareNet.\" The examination of Siemens' strategies for coping with the organizational and cross-cultural challenges that arose in each phase should be instructive to other organizations using or aiming to create a global knowledge-sharing system.","author":[{"dropping-particle":"","family":"Voelpel","given":"Sven C.","non-dropping-particle":"","parse-names":false,"suffix":""},{"dropping-particle":"","family":"Dous","given":"Malte","non-dropping-particle":"","parse-names":false,"suffix":""},{"dropping-particle":"","family":"Davenport","given":"Thomas H.","non-dropping-particle":"","parse-names":false,"suffix":""}],"container-title":"Academy of Management Perspectives","id":"ITEM-1","issue":"2","issued":{"date-parts":[["2005","5"]]},"page":"9-23","title":"Five steps to creating a global knowledge-sharing system: Siemens' ShareNet","type":"article-journal","volume":"19"},"uris":["http://www.mendeley.com/documents/?uuid=f7a9bbdc-c4e0-47ba-ac34-b02be32c4122"]}],"mendeley":{"formattedCitation":"(Voelpel, Dous, &amp; Davenport, 2005)","manualFormatting":"(Voelpel, Dous, &amp; Davenport, 2011)","plainTextFormattedCitation":"(Voelpel, Dous, &amp; Davenport, 2005)","previouslyFormattedCitation":"(Voelpel, Dous, &amp; Davenport, 2005)"},"properties":{"noteIndex":0},"schema":"https://github.com/citation-style-language/schema/raw/master/csl-citation.json"}</w:instrText>
      </w:r>
      <w:r w:rsidRPr="002A7627">
        <w:fldChar w:fldCharType="separate"/>
      </w:r>
      <w:r w:rsidRPr="002A7627">
        <w:rPr>
          <w:noProof/>
        </w:rPr>
        <w:t xml:space="preserve">(Voelpel, Dous, </w:t>
      </w:r>
      <w:r w:rsidR="0083144E" w:rsidRPr="002A7627">
        <w:rPr>
          <w:noProof/>
        </w:rPr>
        <w:t>&amp; Davenport, 2011)</w:t>
      </w:r>
      <w:r w:rsidRPr="002A7627">
        <w:fldChar w:fldCharType="end"/>
      </w:r>
      <w:r w:rsidRPr="002A7627">
        <w:t>. Gope, Elia</w:t>
      </w:r>
      <w:r w:rsidR="00193A9C" w:rsidRPr="002A7627">
        <w:t>,</w:t>
      </w:r>
      <w:r w:rsidRPr="002A7627">
        <w:t xml:space="preserve"> and Passiante </w:t>
      </w:r>
      <w:r w:rsidRPr="002A7627">
        <w:fldChar w:fldCharType="begin" w:fldLock="1"/>
      </w:r>
      <w:r w:rsidR="004C27D4" w:rsidRPr="002A7627">
        <w:instrText>ADDIN CSL_CITATION {"citationItems":[{"id":"ITEM-1","itemData":{"DOI":"10.1108/JKM-10-2017-0453","ISSN":"1367-3270","abstract":"© 2018, Emerald Publishing Limited. Purpose: Successful businesses demand high-performing human resource management practices (HRMP) and effective knowledge management capacity (KMC) to enhance the overall organizational performance. Rapid growth of both local and multinational companies operating in knowledge-intensive industries has increased the global competition in the labor market, also for the developing economies. Therefore, attracting valuable human capital, retaining talents and managing effectively knowledge to deliver on the latest technologies and innovative solutions and services are the biggest challenges in the modern IT industry. The purpose of this paper is to examine the influence of HRMP on KMC through a cross-case analysis including four companies operating in Indian IT sector. Based on the existing studies in this field, five key HRMP have been identified (i.e. recruitment and selection, training and development, compensation and reward, employee retention and career development), as well as two key processes supporting the KMC (i.e. knowledge acquisition and knowledge sharing). Design/methodology/approach: The paper adopts a qualitative research method based on a multiple case study, and it uses primary and secondary data collected through desk research and field interviews. Findings: Results show the existence of HRMP aiming to enhance the individual learning, motivation and retention of employees for knowledge acquisition and knowledge sharing, in the strategic perspective to improve the organizational performance. Research limitations/implications: The paper presents some limitations, which may provide scope for future research. First, being the study a qualitative multiple case analysis, a more extensive research is needed to generalize the results and investigate further relationships existing between HRMP and KMC. Moreover, a deep investigation on the organizational performance dimensions (e.g. sales growth, cash turnover, financial goal achievement) is required to verify the existence of possible links. Finally, a further limit consists in considering only knowledge acquisition and knowledge-sharing processes, excluding another crucial knowledge management (KM) process such as knowledge application. As for the research implications, the paper contributes to investigate the role of HRMP in supporting KMC in Indian IT companies, which represents a context of research not so much investigated. Practical implications: From a pr…","author":[{"dropping-particle":"","family":"Gope","given":"Sharmila","non-dropping-particle":"","parse-names":false,"suffix":""},{"dropping-particle":"","family":"Elia","given":"Gianluca","non-dropping-particle":"","parse-names":false,"suffix":""},{"dropping-particle":"","family":"Passiante","given":"Giuseppina","non-dropping-particle":"","parse-names":false,"suffix":""}],"container-title":"Journal of Knowledge Management","id":"ITEM-1","issue":"3","issued":{"date-parts":[["2018","4","9"]]},"page":"649-677","title":"The effect of HRM practices on knowledge management capacity: A comparative study in Indian IT industry","type":"article-journal","volume":"22"},"suppress-author":1,"uris":["http://www.mendeley.com/documents/?uuid=16c11941-7277-396b-be91-b2c3b7df93dc"]}],"mendeley":{"formattedCitation":"(2018)","plainTextFormattedCitation":"(2018)","previouslyFormattedCitation":"(2018)"},"properties":{"noteIndex":0},"schema":"https://github.com/citation-style-language/schema/raw/master/csl-citation.json"}</w:instrText>
      </w:r>
      <w:r w:rsidRPr="002A7627">
        <w:fldChar w:fldCharType="separate"/>
      </w:r>
      <w:r w:rsidR="00E24626" w:rsidRPr="002A7627">
        <w:rPr>
          <w:noProof/>
        </w:rPr>
        <w:t>(2018)</w:t>
      </w:r>
      <w:r w:rsidRPr="002A7627">
        <w:fldChar w:fldCharType="end"/>
      </w:r>
      <w:r w:rsidRPr="002A7627">
        <w:t xml:space="preserve"> investigated HR practices associated </w:t>
      </w:r>
      <w:r w:rsidRPr="000D35EA">
        <w:rPr>
          <w:color w:val="000000" w:themeColor="text1"/>
        </w:rPr>
        <w:t>with recruit</w:t>
      </w:r>
      <w:r w:rsidR="007D32E0" w:rsidRPr="000D35EA">
        <w:rPr>
          <w:color w:val="000000" w:themeColor="text1"/>
        </w:rPr>
        <w:t>ing,</w:t>
      </w:r>
      <w:r w:rsidRPr="000D35EA">
        <w:rPr>
          <w:color w:val="000000" w:themeColor="text1"/>
        </w:rPr>
        <w:t xml:space="preserve"> selecti</w:t>
      </w:r>
      <w:r w:rsidR="007D32E0" w:rsidRPr="000D35EA">
        <w:rPr>
          <w:color w:val="000000" w:themeColor="text1"/>
        </w:rPr>
        <w:t>ng</w:t>
      </w:r>
      <w:r w:rsidRPr="000D35EA">
        <w:rPr>
          <w:color w:val="000000" w:themeColor="text1"/>
        </w:rPr>
        <w:t xml:space="preserve">, training, </w:t>
      </w:r>
      <w:r w:rsidR="007D32E0" w:rsidRPr="000D35EA">
        <w:rPr>
          <w:color w:val="000000" w:themeColor="text1"/>
        </w:rPr>
        <w:t>motivating</w:t>
      </w:r>
      <w:r w:rsidRPr="000D35EA">
        <w:rPr>
          <w:color w:val="000000" w:themeColor="text1"/>
        </w:rPr>
        <w:t xml:space="preserve">, </w:t>
      </w:r>
      <w:r w:rsidR="007D32E0" w:rsidRPr="000D35EA">
        <w:rPr>
          <w:color w:val="000000" w:themeColor="text1"/>
        </w:rPr>
        <w:t xml:space="preserve">career development and </w:t>
      </w:r>
      <w:r w:rsidRPr="000D35EA">
        <w:rPr>
          <w:color w:val="000000" w:themeColor="text1"/>
        </w:rPr>
        <w:t xml:space="preserve">employee retention, </w:t>
      </w:r>
      <w:r w:rsidRPr="002A7627">
        <w:t>and found that they had a positive impact on knowledge acquisition and knowledge sharing. Both knowledge management and HR practices are</w:t>
      </w:r>
      <w:r w:rsidR="00054373" w:rsidRPr="002A7627">
        <w:t xml:space="preserve">, therefore, </w:t>
      </w:r>
      <w:r w:rsidRPr="002A7627">
        <w:t xml:space="preserve">considered important factors in achieving competitive advantage in different global environments </w:t>
      </w:r>
      <w:r w:rsidRPr="002A7627">
        <w:fldChar w:fldCharType="begin" w:fldLock="1"/>
      </w:r>
      <w:r w:rsidR="007C79F2" w:rsidRPr="002A7627">
        <w:instrText>ADDIN CSL_CITATION {"citationItems":[{"id":"ITEM-1","itemData":{"DOI":"10.1080/08832321003604938","ISSN":"0883-2323","abstract":"Much has been written on the importance of knowledge management, the challenges facing organizations, and the important human resource management activities involved in assuring the acquisition and transfer of knowledge. Higher business education plays an important role in preparing students to assume the knowledge management and human resource roles so necessary to organizations. The authors examined the relationship between knowledge man- agement, human resource management, and typical knowledge learning goals of an accredited business education program. A theoretical model is presented, illustrating how these relation- ships might overlap. The model proposes a linkage between knowledge management tenets, human resource management activities in organizations, and Bloom’s Revised Taxonomy for planning and evaluating educational goals.","author":[{"dropping-particle":"","family":"Brewer","given":"Peggy D.","non-dropping-particle":"","parse-names":false,"suffix":""},{"dropping-particle":"","family":"Brewer","given":"Kristen L.","non-dropping-particle":"","parse-names":false,"suffix":""}],"container-title":"Journal of Education for Business","id":"ITEM-1","issue":"6","issued":{"date-parts":[["2010","7","13"]]},"page":"330-335","title":"Knowledge management, human resource management, and higher education: A theoretical model","type":"article-journal","volume":"85"},"uris":["http://www.mendeley.com/documents/?uuid=1a288b94-c897-4032-a2c7-0c7d18c2abe1"]}],"mendeley":{"formattedCitation":"(Brewer &amp; Brewer, 2010)","manualFormatting":"(Brewer &amp; Brewer, 2010)","plainTextFormattedCitation":"(Brewer &amp; Brewer, 2010)","previouslyFormattedCitation":"(Brewer &amp; Brewer, 2010)"},"properties":{"noteIndex":0},"schema":"https://github.com/citation-style-language/schema/raw/master/csl-citation.json"}</w:instrText>
      </w:r>
      <w:r w:rsidRPr="002A7627">
        <w:fldChar w:fldCharType="separate"/>
      </w:r>
      <w:r w:rsidRPr="002A7627">
        <w:rPr>
          <w:noProof/>
        </w:rPr>
        <w:t xml:space="preserve">(Brewer </w:t>
      </w:r>
      <w:r w:rsidR="0083144E" w:rsidRPr="002A7627">
        <w:rPr>
          <w:noProof/>
        </w:rPr>
        <w:t>&amp; Brewer, 2010)</w:t>
      </w:r>
      <w:r w:rsidRPr="002A7627">
        <w:fldChar w:fldCharType="end"/>
      </w:r>
      <w:r w:rsidRPr="002A7627">
        <w:t xml:space="preserve">, and in enhancing innovation and performance </w:t>
      </w:r>
      <w:r w:rsidRPr="002A7627">
        <w:fldChar w:fldCharType="begin" w:fldLock="1"/>
      </w:r>
      <w:r w:rsidR="007C79F2" w:rsidRPr="002A7627">
        <w:instrText>ADDIN CSL_CITATION {"citationItems":[{"id":"ITEM-1","itemData":{"DOI":"10.1016/j.eswa.2012.02.017","ISSN":"09574174","abstract":"This study investigates the quantitative relationship between knowledge sharing, innovation and performance. Based on the literature review, we develop a research model positing that knowledge sharing not only have positive relationship with performance directly but also influence innovation which in turn contributes to firm performance. This model is empirically tested using data collected from 89 high technology firms in Jiangsu Province of China. It is found that both explicit and tacit knowledge sharing practices facilitate innovation and performance. Explicit knowledge sharing has more significant effects on innovation speed and financial performance while tacit knowledge sharing has more significant effects on innovation quality and operational performance. © 2012 Elsevier Ltd. All rights reserved.","author":[{"dropping-particle":"","family":"Wang","given":"Zhining","non-dropping-particle":"","parse-names":false,"suffix":""},{"dropping-particle":"","family":"Wang","given":"Nianxin","non-dropping-particle":"","parse-names":false,"suffix":""}],"container-title":"Expert Systems with Applications","id":"ITEM-1","issue":"10","issued":{"date-parts":[["2012","8"]]},"page":"8899-8908","title":"Knowledge sharing, innovation and firm performance","type":"article-journal","volume":"39"},"uris":["http://www.mendeley.com/documents/?uuid=1762d2fb-ab42-4b19-8745-e114df4d64ec"]}],"mendeley":{"formattedCitation":"(Z. Wang &amp; Wang, 2012)","manualFormatting":"(Wang &amp; Wang, 2012)","plainTextFormattedCitation":"(Z. Wang &amp; Wang, 2012)","previouslyFormattedCitation":"(Z. Wang &amp; Wang, 2012)"},"properties":{"noteIndex":0},"schema":"https://github.com/citation-style-language/schema/raw/master/csl-citation.json"}</w:instrText>
      </w:r>
      <w:r w:rsidRPr="002A7627">
        <w:fldChar w:fldCharType="separate"/>
      </w:r>
      <w:r w:rsidRPr="002A7627">
        <w:rPr>
          <w:noProof/>
        </w:rPr>
        <w:t xml:space="preserve">(Wang </w:t>
      </w:r>
      <w:r w:rsidR="0083144E" w:rsidRPr="002A7627">
        <w:rPr>
          <w:noProof/>
        </w:rPr>
        <w:t>&amp; Wang, 2012)</w:t>
      </w:r>
      <w:r w:rsidRPr="002A7627">
        <w:fldChar w:fldCharType="end"/>
      </w:r>
      <w:r w:rsidRPr="002A7627">
        <w:t>.</w:t>
      </w:r>
    </w:p>
    <w:p w14:paraId="36A7BFA6" w14:textId="0782A98E" w:rsidR="00EE00BF" w:rsidRDefault="00EE00BF" w:rsidP="002C4A1A">
      <w:pPr>
        <w:pStyle w:val="AAAAAAA"/>
      </w:pPr>
      <w:r w:rsidRPr="002A7627">
        <w:t xml:space="preserve">The interest in bridging the research gap between HR practices and knowledge management has increased over the years. One study, for example, found a significant positive relationship between HR practices and knowledge management in private sector organizations in Spain </w:t>
      </w:r>
      <w:r w:rsidRPr="002A7627">
        <w:rPr>
          <w:noProof/>
        </w:rPr>
        <w:t>(Jimenez</w:t>
      </w:r>
      <w:r w:rsidR="00C81FC8">
        <w:rPr>
          <w:noProof/>
        </w:rPr>
        <w:t>-</w:t>
      </w:r>
      <w:r w:rsidRPr="002A7627">
        <w:rPr>
          <w:noProof/>
        </w:rPr>
        <w:t>Jimenez &amp; Sanz</w:t>
      </w:r>
      <w:r w:rsidR="00C81FC8">
        <w:rPr>
          <w:noProof/>
        </w:rPr>
        <w:t>-</w:t>
      </w:r>
      <w:r w:rsidRPr="002A7627">
        <w:rPr>
          <w:noProof/>
        </w:rPr>
        <w:lastRenderedPageBreak/>
        <w:t>Valle, 2012)</w:t>
      </w:r>
      <w:r w:rsidRPr="002A7627">
        <w:t xml:space="preserve">. Researchers have studied the relationship between HR practices and knowledge sharing in the private sector </w:t>
      </w:r>
      <w:r w:rsidRPr="002A7627">
        <w:rPr>
          <w:noProof/>
        </w:rPr>
        <w:t>(Andreeva &amp; Sergeeva, 2016; Fong et al., 2011)</w:t>
      </w:r>
      <w:r w:rsidRPr="002A7627">
        <w:t xml:space="preserve"> and public sector </w:t>
      </w:r>
      <w:r w:rsidRPr="002A7627">
        <w:fldChar w:fldCharType="begin" w:fldLock="1"/>
      </w:r>
      <w:r w:rsidR="00E24626" w:rsidRPr="002A7627">
        <w:instrText>ADDIN CSL_CITATION {"citationItems":[{"id":"ITEM-1","itemData":{"DOI":"10.1108/01437721111158242","ISBN":"1367327091","ISSN":"0143-7720","abstract":"Purpose - This study aims to investigate the relationship between knowledge management capacity and organizational performance from the social interaction perspective. Design/methodology/approach - The empirical study employs a questionnaire approach. The sample for this study is drawn from the population of the top 5,000 Taiwanese firms listed in the yearbook published by the China Credit Information Service Incorporation. Regression analysis is used to test the hypotheses in a sample of 105 Taiwanese firms. Findings - The findings suggest that two assessments of knowledge management capacity, knowledge acquisition and dissemination, and the communication factor of social interaction are positively related to organizational performance. Further, social interaction has complementary or synergistic interaction effects with knowledge management capacity on organizational performance. Practical implications - Given the need for the use of knowledge management capacity as an enabler to improve organization outcome, firms need to be aware that social interaction would moderate the link between knowledge management capacity and organizational performance. Therefore, firms should pay special attention to formulate appropriate social interaction conditions under which knowledge acquisition and dissemination are most likely to enhance organizational performance. Originality/value - This study contributes to the literature by theoretically developing a conceptual model and then empirically examining the relationships among knowledge management capacity, social interaction, and organizational performance.","author":[{"d</w:instrText>
      </w:r>
      <w:r w:rsidR="00E24626" w:rsidRPr="002A7627">
        <w:rPr>
          <w:rFonts w:hint="eastAsia"/>
        </w:rPr>
        <w:instrText>ropping-particle":"","family":"Hsiao","given":"Yung</w:instrText>
      </w:r>
      <w:r w:rsidR="00E24626" w:rsidRPr="002A7627">
        <w:rPr>
          <w:rFonts w:hint="eastAsia"/>
        </w:rPr>
        <w:instrText>‐</w:instrText>
      </w:r>
      <w:r w:rsidR="00E24626" w:rsidRPr="002A7627">
        <w:rPr>
          <w:rFonts w:hint="eastAsia"/>
        </w:rPr>
        <w:instrText>Chang","non-dropping-particle":"","parse-names":false,"suffix":""},{"dropping-particle":"","family":"Chen","given":"Chung</w:instrText>
      </w:r>
      <w:r w:rsidR="00E24626" w:rsidRPr="002A7627">
        <w:rPr>
          <w:rFonts w:hint="eastAsia"/>
        </w:rPr>
        <w:instrText>‐</w:instrText>
      </w:r>
      <w:r w:rsidR="00E24626" w:rsidRPr="002A7627">
        <w:rPr>
          <w:rFonts w:hint="eastAsia"/>
        </w:rPr>
        <w:instrText>Jen","non-dropping-particle":"","parse-names":false,"suffix":""},{"dropping-particle":"","family":"Chang","given":"Shao</w:instrText>
      </w:r>
      <w:r w:rsidR="00E24626" w:rsidRPr="002A7627">
        <w:rPr>
          <w:rFonts w:hint="eastAsia"/>
        </w:rPr>
        <w:instrText>‐</w:instrText>
      </w:r>
      <w:r w:rsidR="00E24626" w:rsidRPr="002A7627">
        <w:rPr>
          <w:rFonts w:hint="eastAsia"/>
        </w:rPr>
        <w:instrText>Chi","non-dropping-particle":"","parse-names":false,"suffix":""}],"container-title":"International Journal of Manpower","id":"ITEM-1","issue":"5/6","issued":{"date-parts":[["2011","8","16"]]},"page":"645-660","title"</w:instrText>
      </w:r>
      <w:r w:rsidR="00E24626" w:rsidRPr="002A7627">
        <w:instrText>:"Knowledge management capacity and organizational performance: The social interaction view","type":"article-journal","volume":"32"},"uris":["http://www.mendeley.com/documents/?uuid=35ca7c76-4a73-4c10-99d8-4dd9470c3465"]}],"mendeley":{"formattedCitation":"(Hsiao, Chen, &amp; Chang, 2011)","plainTextFormattedCitation":"(Hsiao, Chen, &amp; Chang, 2011)","previouslyFormattedCitation":"(Hsiao, Chen, &amp; Chang, 2011)"},"properties":{"noteIndex":0},"schema":"https://github.com/citation-style-language/schema/raw/master/csl-citation.json"}</w:instrText>
      </w:r>
      <w:r w:rsidRPr="002A7627">
        <w:fldChar w:fldCharType="separate"/>
      </w:r>
      <w:r w:rsidRPr="002A7627">
        <w:rPr>
          <w:noProof/>
        </w:rPr>
        <w:t>(Hsiao, Chen, &amp; Chang, 2011)</w:t>
      </w:r>
      <w:r w:rsidRPr="002A7627">
        <w:fldChar w:fldCharType="end"/>
      </w:r>
      <w:r w:rsidRPr="002A7627">
        <w:t xml:space="preserve">. Other studies focused on an individual perspective </w:t>
      </w:r>
      <w:r w:rsidRPr="002A7627">
        <w:fldChar w:fldCharType="begin" w:fldLock="1"/>
      </w:r>
      <w:r w:rsidR="004C27D4" w:rsidRPr="002A7627">
        <w:instrText>ADDIN CSL_CITATION {"citationItems":[{"id":"ITEM-1","itemData":{"ISSN":"1099-050X","author":[{"dropping-particle":"","family":"Foss","given":"Nicolai J","non-dropping-particle":"","parse-names":false,"suffix":""},{"dropping-particle":"","family":"Minbaeva","given":"Dana B","non-dropping-particle":"","parse-names":false,"suffix":""},{"dropping-particle":"","family":"Pedersen","given":"Torben","non-dropping-particle":"","parse-names":false,"suffix":""},{"dropping-particle":"","family":"Reinholt","given":"Mia","non-dropping-particle":"","parse-names":false,"suffix":""}],"container-title":"Human resource management","id":"ITEM-1","issue":"6","issued":{"date-parts":[["2009"]]},"page":"871-893","title":"Encouraging knowledge sharing among employees: How job design matters","type":"article-journal","volume":"48"},"uris":["http://www.mendeley.com/documents/?uuid=361ca78b-f395-48dd-8e07-b3d5c21def9e"]},{"id":"ITEM-2","itemData":{"author":[{"dropping-particle":"","family":"Horvat","given":"Jelena","non-dropping-particle":"","parse-names":false,"suffix":""},{"dropping-particle":"","family":"Sharma","given":"Kirti","non-dropping-particle":"","parse-names":false,"suffix":""},{"dropping-particle":"","family":"Bobek","given":"Samo","non-dropping-particle":"","parse-names":false,"suffix":""}],"container-title":"Review of Integrated Business Economy","id":"ITEM-2","issue":"3","issued":{"date-parts":[["2015"]]},"page":"62-73","title":"Knowledge sharing and performance appraisal of employees: A pilot case study","type":"article-journal","volume":"4"},"uris":["http://www.mendeley.com/documents/?uuid=99dbf649-8e71-3f22-88ed-18e311318c9e"]}],"mendeley":{"formattedCitation":"(Foss, Minbaeva, Pedersen, &amp; Reinholt, 2009; Horvat, Sharma, &amp; Bobek, 2015)","plainTextFormattedCitation":"(Foss, Minbaeva, Pedersen, &amp; Reinholt, 2009; Horvat, Sharma, &amp; Bobek, 2015)","previouslyFormattedCitation":"(Foss, Minbaeva, Pedersen, &amp; Reinholt, 2009; Horvat, Sharma, &amp; Bobek, 2015)"},"properties":{"noteIndex":0},"schema":"https://github.com/citation-style-language/schema/raw/master/csl-citation.json"}</w:instrText>
      </w:r>
      <w:r w:rsidRPr="002A7627">
        <w:fldChar w:fldCharType="separate"/>
      </w:r>
      <w:r w:rsidR="00E24626" w:rsidRPr="002A7627">
        <w:rPr>
          <w:noProof/>
        </w:rPr>
        <w:t>(Foss, Minbaeva, Pedersen, &amp; Reinholt, 2009; Horvat, Sharma, &amp; Bobek, 2015)</w:t>
      </w:r>
      <w:r w:rsidRPr="002A7627">
        <w:fldChar w:fldCharType="end"/>
      </w:r>
      <w:r w:rsidRPr="002A7627">
        <w:t xml:space="preserve">. However, this area needs further research to investigate the relationships between HR management and other knowledge management outcomes, especially for policing organizations, which are considered knowledge-intensive. </w:t>
      </w:r>
    </w:p>
    <w:p w14:paraId="2C595C4C" w14:textId="6C7855AD" w:rsidR="00D45FE9" w:rsidRDefault="00034035" w:rsidP="001D5F54">
      <w:pPr>
        <w:pStyle w:val="Heading1"/>
      </w:pPr>
      <w:bookmarkStart w:id="113" w:name="_Toc22331662"/>
      <w:r>
        <w:t xml:space="preserve">2.9 </w:t>
      </w:r>
      <w:r w:rsidR="00D45FE9">
        <w:t>Conclusion</w:t>
      </w:r>
      <w:bookmarkEnd w:id="113"/>
    </w:p>
    <w:p w14:paraId="51D6F073" w14:textId="77777777" w:rsidR="00032B01" w:rsidRDefault="001F049B" w:rsidP="00032B01">
      <w:pPr>
        <w:spacing w:line="480" w:lineRule="auto"/>
        <w:ind w:firstLine="720"/>
        <w:jc w:val="lowKashida"/>
        <w:sectPr w:rsidR="00032B01" w:rsidSect="00972C3F">
          <w:pgSz w:w="12240" w:h="15840"/>
          <w:pgMar w:top="1800" w:right="2160" w:bottom="1800" w:left="2160" w:header="720" w:footer="720" w:gutter="0"/>
          <w:cols w:space="720"/>
          <w:titlePg/>
          <w:docGrid w:linePitch="360"/>
        </w:sectPr>
      </w:pPr>
      <w:r>
        <w:rPr>
          <w:lang w:bidi="en-US"/>
        </w:rPr>
        <w:t xml:space="preserve">In conclusion, this chapter has reviewed different definitions of knowledge, knowledge management, knowledge management benefits and organizational learning. It has also considered and discussed the results of several studies examining knowledge management capabilities and HR practices designed to improve knowledge sharing, and their relationship with knowledge management benefits. It </w:t>
      </w:r>
      <w:r>
        <w:t>provides detailed meta-</w:t>
      </w:r>
      <w:r w:rsidRPr="00934D20">
        <w:rPr>
          <w:color w:val="000000" w:themeColor="text1"/>
        </w:rPr>
        <w:t xml:space="preserve">tables </w:t>
      </w:r>
      <w:r w:rsidR="007D32E0" w:rsidRPr="00934D20">
        <w:rPr>
          <w:color w:val="000000" w:themeColor="text1"/>
        </w:rPr>
        <w:t xml:space="preserve">that </w:t>
      </w:r>
      <w:r w:rsidR="00C81FC8" w:rsidRPr="00934D20">
        <w:rPr>
          <w:color w:val="000000" w:themeColor="text1"/>
        </w:rPr>
        <w:t xml:space="preserve">show </w:t>
      </w:r>
      <w:r w:rsidR="007D32E0" w:rsidRPr="00934D20">
        <w:rPr>
          <w:color w:val="000000" w:themeColor="text1"/>
        </w:rPr>
        <w:t xml:space="preserve">the knowledge management benefits </w:t>
      </w:r>
      <w:r w:rsidR="00C81FC8" w:rsidRPr="00934D20">
        <w:rPr>
          <w:color w:val="000000" w:themeColor="text1"/>
        </w:rPr>
        <w:t xml:space="preserve">found </w:t>
      </w:r>
      <w:r>
        <w:t xml:space="preserve">in both developed and developing countries. </w:t>
      </w:r>
      <w:bookmarkStart w:id="114" w:name="_Toc13959629"/>
    </w:p>
    <w:p w14:paraId="5C701413" w14:textId="7B38D74B" w:rsidR="00EE00BF" w:rsidRPr="002A7627" w:rsidRDefault="00D45FE9" w:rsidP="00032B01">
      <w:pPr>
        <w:pStyle w:val="Heading1"/>
        <w:jc w:val="center"/>
        <w:rPr>
          <w:color w:val="000000"/>
        </w:rPr>
      </w:pPr>
      <w:bookmarkStart w:id="115" w:name="_Toc22331663"/>
      <w:r>
        <w:rPr>
          <w:color w:val="000000"/>
        </w:rPr>
        <w:lastRenderedPageBreak/>
        <w:t>CHAPTER</w:t>
      </w:r>
      <w:r w:rsidR="001031A4">
        <w:rPr>
          <w:color w:val="000000"/>
        </w:rPr>
        <w:t xml:space="preserve"> </w:t>
      </w:r>
      <w:r>
        <w:rPr>
          <w:color w:val="000000"/>
        </w:rPr>
        <w:t>3: THEORETICAL FRAMEWORK AND HYPOTHESIS DEVELOPMENT</w:t>
      </w:r>
      <w:bookmarkEnd w:id="114"/>
      <w:bookmarkEnd w:id="115"/>
    </w:p>
    <w:p w14:paraId="45FF6F09" w14:textId="77777777" w:rsidR="0011318D" w:rsidRPr="00647F8A" w:rsidRDefault="007D7779" w:rsidP="005F18D3">
      <w:pPr>
        <w:pStyle w:val="Heading1"/>
      </w:pPr>
      <w:bookmarkStart w:id="116" w:name="_Toc13959630"/>
      <w:bookmarkStart w:id="117" w:name="_Toc22331664"/>
      <w:r w:rsidRPr="004F4485">
        <w:rPr>
          <w:rStyle w:val="Heading2Char"/>
          <w:b/>
          <w:color w:val="000000"/>
          <w:u w:val="none"/>
        </w:rPr>
        <w:t xml:space="preserve">3.1. </w:t>
      </w:r>
      <w:r w:rsidR="00EE00BF" w:rsidRPr="004F4485">
        <w:rPr>
          <w:rStyle w:val="Heading1Char"/>
          <w:b/>
        </w:rPr>
        <w:t xml:space="preserve">Knowledge </w:t>
      </w:r>
      <w:r w:rsidR="005F6EC8" w:rsidRPr="004F4485">
        <w:rPr>
          <w:rStyle w:val="Heading1Char"/>
          <w:b/>
        </w:rPr>
        <w:t>M</w:t>
      </w:r>
      <w:r w:rsidR="00EE00BF" w:rsidRPr="004F4485">
        <w:rPr>
          <w:rStyle w:val="Heading1Char"/>
          <w:b/>
        </w:rPr>
        <w:t xml:space="preserve">anagement </w:t>
      </w:r>
      <w:r w:rsidR="005F6EC8" w:rsidRPr="004F4485">
        <w:rPr>
          <w:rStyle w:val="Heading1Char"/>
          <w:b/>
        </w:rPr>
        <w:t>B</w:t>
      </w:r>
      <w:r w:rsidR="00EE00BF" w:rsidRPr="004F4485">
        <w:rPr>
          <w:rStyle w:val="Heading1Char"/>
          <w:b/>
        </w:rPr>
        <w:t xml:space="preserve">enefits </w:t>
      </w:r>
      <w:bookmarkEnd w:id="116"/>
      <w:r w:rsidR="001D5F54" w:rsidRPr="004F4485">
        <w:rPr>
          <w:rStyle w:val="Heading1Char"/>
          <w:b/>
        </w:rPr>
        <w:t>Theories</w:t>
      </w:r>
      <w:r w:rsidR="001D5F54" w:rsidRPr="004F4485">
        <w:rPr>
          <w:rStyle w:val="Heading2Char"/>
          <w:b/>
          <w:color w:val="000000"/>
          <w:u w:val="none"/>
        </w:rPr>
        <w:t>.</w:t>
      </w:r>
      <w:bookmarkEnd w:id="117"/>
      <w:r w:rsidR="001D5F54" w:rsidRPr="00647F8A">
        <w:t xml:space="preserve"> </w:t>
      </w:r>
    </w:p>
    <w:p w14:paraId="6C0A57F1" w14:textId="77777777" w:rsidR="00A817FD" w:rsidRDefault="001D5F54" w:rsidP="00A817FD">
      <w:pPr>
        <w:pStyle w:val="AAAAAAA"/>
        <w:ind w:firstLine="0"/>
        <w:sectPr w:rsidR="00A817FD" w:rsidSect="00031AF8">
          <w:pgSz w:w="12240" w:h="15840"/>
          <w:pgMar w:top="2880" w:right="2160" w:bottom="1800" w:left="2160" w:header="720" w:footer="720" w:gutter="0"/>
          <w:cols w:space="720"/>
          <w:titlePg/>
          <w:docGrid w:linePitch="360"/>
        </w:sectPr>
      </w:pPr>
      <w:r w:rsidRPr="002A7627">
        <w:t>There</w:t>
      </w:r>
      <w:r w:rsidR="00EE00BF" w:rsidRPr="002A7627">
        <w:t xml:space="preserve"> are a number of theories that support the relationships between constructs. </w:t>
      </w:r>
      <w:r w:rsidR="001C4338" w:rsidRPr="002A7627">
        <w:t>Table</w:t>
      </w:r>
      <w:r w:rsidR="00EE00BF" w:rsidRPr="002A7627">
        <w:t xml:space="preserve"> </w:t>
      </w:r>
      <w:r w:rsidR="001B475A" w:rsidRPr="002A7627">
        <w:t>4</w:t>
      </w:r>
      <w:r w:rsidR="00EE00BF" w:rsidRPr="002A7627">
        <w:t xml:space="preserve"> shows the constructs and related theories, together with some of the studies that have used these theories. The resource-based view </w:t>
      </w:r>
      <w:r w:rsidR="00EE00BF" w:rsidRPr="002A7627">
        <w:fldChar w:fldCharType="begin" w:fldLock="1"/>
      </w:r>
      <w:r w:rsidR="004C27D4" w:rsidRPr="002A7627">
        <w:instrText>ADDIN CSL_CITATION {"citationItems":[{"id":"ITEM-1","itemData":{"abstract":"Understanding sources of sustained competitive advantage had become a major area of research in strategic management. Building on the assumptions that strategic resources are heterogeneously distributed across firms and that these differences are stable over time, this article examines the link between firm resources and sustained competitive advantage. Four empirical indicators of the potential of firm resources to generate sustained competitive advantage-value, rareness, imitability, and sustainability are discussed. The model is applied by analyzing the potential of several firm resources for generating sustained competitive advantages. The article concludes by examining implications of this firm resource model of sustained competitive advantage for other business disciplines.","author":[{"dropping-particle":"","family":"Barney","given":"J.","non-dropping-particle":"","parse-names":false,"suffix":""}],"container-title":"Journal of Management","id":"ITEM-1","issue":"1","issued":{"date-parts":[["1991"]]},"page":"99-120","title":"Firm resources and sustained competitive advantage","type":"article-journal","volume":"17"},"uris":["http://www.mendeley.com/documents/?uuid=e2a776d3-b7eb-4d0a-a3c0-ca6f25e10996"]}],"mendeley":{"formattedCitation":"(Barney, 1991)","plainTextFormattedCitation":"(Barney, 1991)","previouslyFormattedCitation":"(Barney, 1991)"},"properties":{"noteIndex":0},"schema":"https://github.com/citation-style-language/schema/raw/master/csl-citation.json"}</w:instrText>
      </w:r>
      <w:r w:rsidR="00EE00BF" w:rsidRPr="002A7627">
        <w:fldChar w:fldCharType="separate"/>
      </w:r>
      <w:r w:rsidR="00E24626" w:rsidRPr="002A7627">
        <w:rPr>
          <w:noProof/>
        </w:rPr>
        <w:t>(Barney, 1991)</w:t>
      </w:r>
      <w:r w:rsidR="00EE00BF" w:rsidRPr="002A7627">
        <w:fldChar w:fldCharType="end"/>
      </w:r>
      <w:r w:rsidR="00EE00BF" w:rsidRPr="002A7627">
        <w:t xml:space="preserve"> and knowledge-based theory both focus on intangible resources such as knowledge and capabilities. These are considered to leverage knowledge management benefits such as increased innovation </w:t>
      </w:r>
      <w:r w:rsidR="00EE00BF" w:rsidRPr="002A7627">
        <w:fldChar w:fldCharType="begin" w:fldLock="1"/>
      </w:r>
      <w:r w:rsidR="00EE00BF" w:rsidRPr="002A7627">
        <w:instrText>ADDIN CSL_CITATION {"citationItems":[{"id":"ITEM-1","itemData":{"DOI":"10.1002/smj.4250171110","ISBN":"01432095","ISSN":"01432095","PMID":"10906095","abstract":"Given assumptions about the characteristics of knowledge and the knowledge requirements of production, the firm is conceptualized as an institution for integrating knowledge. The primary contribution of the paper is in exploring the coordination mechanisms through which firms integrate the specialist knowledge of their members. In contrast to earlier literature, knowledge is viewed as residing within the individual, and the primary role of the organization is knowledge application rather than knowledge creation. The resulting theory has implications for the basis of organizational capability, the principles of organization design (in particular, the analysis of hierarchy and the distribution of decision-making authority), and the determinants of the horizontal and vertical boundaries of the firm. More generally, the knowledge-based approach sheds new light upon current organizational innovations and trends and has far- reaching implications for management practice.","author":[{"dropping-particle":"","family":"Grant","given":"Robert M.","non-dropping-particle":"","parse-names":false,"suffix":""}],"container-title":"Strategic Management Journal","id":"ITEM-1","issue":"S2","issued":{"date-parts":[["1996","12"]]},"page":"109-122","title":"Toward a knowledge-based theory of the firm","type":"article-journal","volume":"17"},"uris":["http://www.mendeley.com/documents/?uuid=7ee0f3cc-7756-4424-b4e4-e76452fb510a"]}],"mendeley":{"formattedCitation":"(Grant, 1996)","plainTextFormattedCitation":"(Grant, 1996)","previouslyFormattedCitation":"(Grant, 1996)"},"properties":{"noteIndex":0},"schema":"https://github.com/citation-style-language/schema/raw/master/csl-citation.json"}</w:instrText>
      </w:r>
      <w:r w:rsidR="00EE00BF" w:rsidRPr="002A7627">
        <w:fldChar w:fldCharType="separate"/>
      </w:r>
      <w:r w:rsidR="00EE00BF" w:rsidRPr="002A7627">
        <w:rPr>
          <w:noProof/>
        </w:rPr>
        <w:t>(Grant, 1996)</w:t>
      </w:r>
      <w:r w:rsidR="00EE00BF" w:rsidRPr="002A7627">
        <w:fldChar w:fldCharType="end"/>
      </w:r>
      <w:r w:rsidR="00EE00BF" w:rsidRPr="002A7627">
        <w:t xml:space="preserve">, competitive advantage </w:t>
      </w:r>
      <w:r w:rsidR="00EE00BF" w:rsidRPr="002A7627">
        <w:rPr>
          <w:noProof/>
        </w:rPr>
        <w:t>(Wang, 2014)</w:t>
      </w:r>
      <w:r w:rsidR="00EE00BF" w:rsidRPr="002A7627">
        <w:t xml:space="preserve">, improved performance </w:t>
      </w:r>
      <w:r w:rsidR="00EE00BF" w:rsidRPr="002A7627">
        <w:fldChar w:fldCharType="begin" w:fldLock="1"/>
      </w:r>
      <w:r w:rsidR="00EE00BF" w:rsidRPr="002A7627">
        <w:instrText>ADDIN CSL_CITATION {"citationItems":[{"id":"ITEM-1","itemData":{"DOI":"10.1108/JEIM-05-2012-0025","ISSN":"1741-0398","abstract":"The effect of knowledge management capability and dynamic capability on organizational performance","author":[{"dropping-particle":"","family":"Tseng","given":"Shu-Mei","non-dropping-particle":"","parse-names":false,"suffix":""},{"dropping-particle":"","family":"Lee","given":"Pei-Shan","non-dropping-particle":"","parse-names":false,"suffix":""}],"container-title":"Journal of Enterprise Information Management","id":"ITEM-1","issue":"2","issued":{"date-parts":[["2014","2","4"]]},"page":"158-179","title":"The effect of knowledge management capability and dynamic capability on organizational performance","type":"article-journal","volume":"27"},"uris":["http://www.mendeley.com/documents/?uuid=6f3139a4-59e8-4c26-896c-f1fda060a8d8"]}],"mendeley":{"formattedCitation":"(Tseng &amp; Lee, 2014)","plainTextFormattedCitation":"(Tseng &amp; Lee, 2014)","previouslyFormattedCitation":"(Tseng &amp; Lee, 2014)"},"properties":{"noteIndex":0},"schema":"https://github.com/citation-style-language/schema/raw/master/csl-citation.json"}</w:instrText>
      </w:r>
      <w:r w:rsidR="00EE00BF" w:rsidRPr="002A7627">
        <w:fldChar w:fldCharType="separate"/>
      </w:r>
      <w:r w:rsidR="00EE00BF" w:rsidRPr="002A7627">
        <w:rPr>
          <w:noProof/>
        </w:rPr>
        <w:t>(Tseng &amp; Lee, 2014)</w:t>
      </w:r>
      <w:r w:rsidR="00EE00BF" w:rsidRPr="002A7627">
        <w:fldChar w:fldCharType="end"/>
      </w:r>
      <w:r w:rsidR="00EE00BF" w:rsidRPr="002A7627">
        <w:t xml:space="preserve"> and improved learning outcomes </w:t>
      </w:r>
      <w:r w:rsidR="00EE00BF" w:rsidRPr="002A7627">
        <w:fldChar w:fldCharType="begin" w:fldLock="1"/>
      </w:r>
      <w:r w:rsidR="00E24626" w:rsidRPr="002A7627">
        <w:instrText>ADDIN CSL_CITATION {"citationItems":[{"id":"ITEM-1","itemData":{"DOI":"10.1016/j.jhlste.2019.02.004","ISSN":"14738376","abstract":"In Spain, vocational education in hospitality and tourism continues to show gaps in providing a preparation that responds to the needs of the tourism sector and the population's demands. Using structural equation modelling, the present study examines the role played by knowledge resources and dynamic capabilities in improving learning outcomes. The results of the study show that the knowledge resources increase the dynamic capabilities of vocational education schools, that is, their ability to adapt their resources and processes to the changing training needs of the tourism sector. In addition, high levels of dynamic capabilities improve the graduates’ learning outcomes.","author":[{"dropping-particle":"","family":"Hidalgo-Peñate","given":"Araceli","non-dropping-particle":"","parse-names":false,"suffix":""},{"dropping-particle":"","family":"Padrón-Robaina","given":"Víctor","non-dropping-particle":"","parse-names":false,"suffix":""},{"dropping-particle":"","family":"Nieves","given":"Julia","non-dropping-particle":"","parse-names":false,"suffix":""}],"container-title":"Journal of Hospitality, Leisure, Sport and Tourism Education","id":"ITEM-1","issued":{"date-parts":[["2019","6"]]},"page":"143-154","title":"Knowledge as a driver of dynamic capabilities and learning outcomes","type":"article-journal","volume":"24"},"uris":["http://www.mendeley.com/documents/?uuid=72585be1-716b-4d25-a38e-8c03490f9ff9"]}],"mendeley":{"formattedCitation":"(Hidalgo-Peñate, Padrón-Robaina, &amp; Nieves, 2019)","plainTextFormattedCitation":"(Hidalgo-Peñate, Padrón-Robaina, &amp; Nieves, 2019)","previouslyFormattedCitation":"(Hidalgo-Peñate, Padrón-Robaina, &amp; Nieves, 2019)"},"properties":{"noteIndex":0},"schema":"https://github.com/citation-style-language/schema/raw/master/csl-citation.json"}</w:instrText>
      </w:r>
      <w:r w:rsidR="00EE00BF" w:rsidRPr="002A7627">
        <w:fldChar w:fldCharType="separate"/>
      </w:r>
      <w:r w:rsidR="00EE00BF" w:rsidRPr="002A7627">
        <w:rPr>
          <w:noProof/>
        </w:rPr>
        <w:t>(Hidalgo-Peñate, Padrón-Robaina, &amp; Nieves, 2019)</w:t>
      </w:r>
      <w:r w:rsidR="00EE00BF" w:rsidRPr="002A7627">
        <w:fldChar w:fldCharType="end"/>
      </w:r>
      <w:r w:rsidR="00EE00BF" w:rsidRPr="002A7627">
        <w:t xml:space="preserve">. The relationship between knowledge management capability and benefits is derived from the absorptive capacity theory </w:t>
      </w:r>
      <w:r w:rsidR="00E24626" w:rsidRPr="002A7627">
        <w:rPr>
          <w:noProof/>
        </w:rPr>
        <w:t>(Cohen &amp; Levinthal, 1990; Liu, Ke, Wei, &amp; Hua, 2013)</w:t>
      </w:r>
      <w:r w:rsidR="00EE00BF" w:rsidRPr="002A7627">
        <w:t xml:space="preserve">. This describes the ability of the organization to absorb technological information and share it with others </w:t>
      </w:r>
      <w:r w:rsidR="00EE00BF" w:rsidRPr="002A7627">
        <w:fldChar w:fldCharType="begin" w:fldLock="1"/>
      </w:r>
      <w:r w:rsidR="00E24626" w:rsidRPr="002A7627">
        <w:instrText>ADDIN CSL_CITATION {"citationItems":[{"id":"ITEM-1","itemData":{"DOI":"10.1016/j.im.2007.02.001","ISSN":"03787206","abstract":"We examined the effect of absorptive capacity of users on their use of ERP in a Korean context. The three components considered were understanding, assimilating, and applying ERP knowledge. We found that the capacities of users to assimilate and apply the knowledge had both direct and indirect effects on its value. The users' ability to understand ERP knowledge was found to influence its performance by their assimilating and applying the knowledge. We also found that organizational support moderated the relationship between their absorptive capacity and performance. © 2007 Elsevier B.V. All rights reserved.","author":[{"dropping-particle":"","family":"Park","given":"Jong-Hun","non-dropping-particle":"","parse-names":false,"suffix":""},{"dropping-particle":"","family":"Suh","given":"Hyun-Ju","non-dropping-particle":"","parse-names":false,"suffix":""},{"dropping-particle":"","family":"Yang","given":"Hee-Dong","non-dropping-particle":"","parse-names":false,"suffix":""}],"container-title":"Information and Management","id":"ITEM-1","issue":"3","issued":{"date-parts":[["2007","4"]]},"page":"300-312","title":"Perceived absorptive capacity of individual users in performance of Enterprise Resource Planning (ERP) usage: The case for Korean firms","type":"article-journal","volume":"44"},"uris":["http://www.mendeley.com/documents/?uuid=80d4d432-7d83-4f99-a068-cae74993c0f7"]}],"mendeley":{"formattedCitation":"(Park, Suh, &amp; Yang, 2007)","plainTextFormattedCitation":"(Park, Suh, &amp; Yang, 2007)","previouslyFormattedCitation":"(Park, Suh, &amp; Yang, 2007)"},"properties":{"noteIndex":0},"schema":"https://github.com/citation-style-language/schema/raw/master/csl-citation.json"}</w:instrText>
      </w:r>
      <w:r w:rsidR="00EE00BF" w:rsidRPr="002A7627">
        <w:fldChar w:fldCharType="separate"/>
      </w:r>
      <w:r w:rsidR="00EE00BF" w:rsidRPr="002A7627">
        <w:rPr>
          <w:noProof/>
        </w:rPr>
        <w:t>(Park, Suh, &amp; Yang, 2007)</w:t>
      </w:r>
      <w:r w:rsidR="00EE00BF" w:rsidRPr="002A7627">
        <w:fldChar w:fldCharType="end"/>
      </w:r>
      <w:r w:rsidR="00EE00BF" w:rsidRPr="002A7627">
        <w:t xml:space="preserve">. Social </w:t>
      </w:r>
      <w:r w:rsidR="00141425">
        <w:t>exchange</w:t>
      </w:r>
      <w:r w:rsidR="00EE00BF" w:rsidRPr="002A7627">
        <w:t xml:space="preserve"> theory </w:t>
      </w:r>
      <w:r w:rsidR="00EE00BF" w:rsidRPr="002A7627">
        <w:fldChar w:fldCharType="begin" w:fldLock="1"/>
      </w:r>
      <w:r w:rsidR="00E24626" w:rsidRPr="002A7627">
        <w:instrText>ADDIN CSL_CITATION {"citationItems":[{"id":"ITEM-1","itemData":{"ISBN":"2219-1933","abstract":"In this paper, we investigated social exchange theory (SET) and its underlying mechanism of obligation feeling in light of potential context effects. To date, the bulk of the research on SET has been based on North American samples, with little understanding whether the theory transcends cultural contexts in its ability to explain and effectively predict. Thus, in order to expand our knowledge in this area, we examined SET in a Swedish sample. Using 402 professional employees, we tested whether felt obligation mediated the relationships between perceived organizational support and both affective organizational commitment and personal initiative. The results partially confirmed the applicability of SET in a Swedish context. The paper makes a contribution to the literature by extending empirical research on SET and its applications in a non-U.S. environment, and thus, highlighting the increased importance of context in organizational science research today.","author":[{"dropping-particle":"","family":"Blau","given":"P.","non-dropping-particle":"","parse-names":false,"suffix":""}],"id":"ITEM-1","issued":{"date-parts":[["1964"]]},"publisher":"John Wiley &amp; Sons","publisher-place":"New York, NY","title":"Power and exchange in social life","type":"book"},"uris":["http://www.mendeley.com/documents/?uuid=3340002c-a5d0-4d69-bca6-01dd53991553"]}],"mendeley":{"formattedCitation":"(Blau, 1964)","plainTextFormattedCitation":"(Blau, 1964)","previouslyFormattedCitation":"(Blau, 1964)"},"properties":{"noteIndex":0},"schema":"https://github.com/citation-style-language/schema/raw/master/csl-citation.json"}</w:instrText>
      </w:r>
      <w:r w:rsidR="00EE00BF" w:rsidRPr="002A7627">
        <w:fldChar w:fldCharType="separate"/>
      </w:r>
      <w:r w:rsidR="00EE00BF" w:rsidRPr="002A7627">
        <w:rPr>
          <w:noProof/>
        </w:rPr>
        <w:t>(Blau, 1964)</w:t>
      </w:r>
      <w:r w:rsidR="00EE00BF" w:rsidRPr="002A7627">
        <w:fldChar w:fldCharType="end"/>
      </w:r>
      <w:r w:rsidR="00EE00BF" w:rsidRPr="002A7627">
        <w:t xml:space="preserve"> explains the relationship between intrinsic motivation and knowledge management benefits, suggesting that employees share their knowledge for the general good, and not for external rewards </w:t>
      </w:r>
      <w:r w:rsidR="00EE00BF" w:rsidRPr="002A7627">
        <w:fldChar w:fldCharType="begin" w:fldLock="1"/>
      </w:r>
      <w:r w:rsidR="00EE00BF" w:rsidRPr="002A7627">
        <w:instrText>ADDIN CSL_CITATION {"citationItems":[{"id":"ITEM-1","itemData":{"DOI":"10.1002/hrm.21464","ISSN":"00904848","author":[{"dropping-particle":"","family":"Kuvaas","given":"Bård","non-dropping-particle":"","parse-names":false,"suffix":""},{"dropping-particle":"","family":"Buch","given":"Robert","non-dropping-particle":"","parse-names":false,"suffix":""},{"dropping-particle":"","family":"Dysvik","given":"Anders","non-dropping-particle":"","parse-names":false,"suffix":""}],"container-title":"Human Resource Management","id":"ITEM-1","issue":"2","issued":{"date-parts":[["2012","3"]]},"page":"167-187","title":"Perceived training intensity and knowledge sharing: Sharing for intrinsic and prosocial reasons","type":"article-journal","volume":"51"},"uris":["http://www.mendeley.com/documents/?uuid=f14bfd1c-e11e-4a76-b810-0d418d656618"]}],"mendeley":{"formattedCitation":"(Kuvaas, Buch, &amp; Dysvik, 2012)","plainTextFormattedCitation":"(Kuvaas, Buch, &amp; Dysvik, 2012)","previouslyFormattedCitation":"(Kuvaas, Buch, &amp; Dysvik, 2012)"},"properties":{"noteIndex":0},"schema":"https://github.com/citation-style-language/schema/raw/master/csl-citation.json"}</w:instrText>
      </w:r>
      <w:r w:rsidR="00EE00BF" w:rsidRPr="002A7627">
        <w:fldChar w:fldCharType="separate"/>
      </w:r>
      <w:r w:rsidR="00EE00BF" w:rsidRPr="002A7627">
        <w:rPr>
          <w:noProof/>
        </w:rPr>
        <w:t>(Kuvaas, Buch, &amp; Dysvik, 2012)</w:t>
      </w:r>
      <w:r w:rsidR="00EE00BF" w:rsidRPr="002A7627">
        <w:fldChar w:fldCharType="end"/>
      </w:r>
      <w:r w:rsidR="00EE00BF" w:rsidRPr="002A7627">
        <w:t xml:space="preserve">. Positive leadership can help staff to develop positive attitudes that increase knowledge sharing </w:t>
      </w:r>
      <w:r w:rsidR="00EE00BF" w:rsidRPr="002A7627">
        <w:rPr>
          <w:noProof/>
        </w:rPr>
        <w:t>(Wu &amp; Lee, 2017)</w:t>
      </w:r>
      <w:r w:rsidR="00EE00BF" w:rsidRPr="002A7627">
        <w:t>.</w:t>
      </w:r>
    </w:p>
    <w:p w14:paraId="0F8F57BC" w14:textId="5AC82F3E" w:rsidR="00731AAB" w:rsidRPr="001D5F54" w:rsidRDefault="00004BFD" w:rsidP="001D5F54">
      <w:pPr>
        <w:pStyle w:val="Caption"/>
        <w:rPr>
          <w:color w:val="000000"/>
        </w:rPr>
      </w:pPr>
      <w:bookmarkStart w:id="118" w:name="_Toc14144616"/>
      <w:bookmarkStart w:id="119" w:name="_Toc13959687"/>
      <w:bookmarkStart w:id="120" w:name="_Toc19478582"/>
      <w:bookmarkStart w:id="121" w:name="_Toc21074072"/>
      <w:r>
        <w:lastRenderedPageBreak/>
        <w:t xml:space="preserve">Table </w:t>
      </w:r>
      <w:r w:rsidR="006D32F8">
        <w:rPr>
          <w:noProof/>
        </w:rPr>
        <w:fldChar w:fldCharType="begin"/>
      </w:r>
      <w:r w:rsidR="006D32F8">
        <w:rPr>
          <w:noProof/>
        </w:rPr>
        <w:instrText xml:space="preserve"> SEQ Table \* ARABIC </w:instrText>
      </w:r>
      <w:r w:rsidR="006D32F8">
        <w:rPr>
          <w:noProof/>
        </w:rPr>
        <w:fldChar w:fldCharType="separate"/>
      </w:r>
      <w:r w:rsidR="00972C3F">
        <w:rPr>
          <w:noProof/>
        </w:rPr>
        <w:t>4</w:t>
      </w:r>
      <w:r w:rsidR="006D32F8">
        <w:rPr>
          <w:noProof/>
        </w:rPr>
        <w:fldChar w:fldCharType="end"/>
      </w:r>
      <w:r>
        <w:t>. Knowledge management theories</w:t>
      </w:r>
      <w:bookmarkEnd w:id="118"/>
      <w:bookmarkEnd w:id="119"/>
      <w:bookmarkEnd w:id="120"/>
      <w:bookmarkEnd w:id="121"/>
    </w:p>
    <w:tbl>
      <w:tblPr>
        <w:tblStyle w:val="APAReport"/>
        <w:tblW w:w="8694" w:type="dxa"/>
        <w:tblInd w:w="-270" w:type="dxa"/>
        <w:tblCellMar>
          <w:top w:w="115" w:type="dxa"/>
          <w:left w:w="115" w:type="dxa"/>
          <w:bottom w:w="115" w:type="dxa"/>
          <w:right w:w="115" w:type="dxa"/>
        </w:tblCellMar>
        <w:tblLook w:val="04A0" w:firstRow="1" w:lastRow="0" w:firstColumn="1" w:lastColumn="0" w:noHBand="0" w:noVBand="1"/>
      </w:tblPr>
      <w:tblGrid>
        <w:gridCol w:w="1419"/>
        <w:gridCol w:w="1419"/>
        <w:gridCol w:w="1415"/>
        <w:gridCol w:w="2456"/>
        <w:gridCol w:w="1985"/>
      </w:tblGrid>
      <w:tr w:rsidR="00571997" w:rsidRPr="002A7627" w14:paraId="08C71D7B" w14:textId="77777777" w:rsidTr="00571997">
        <w:trPr>
          <w:cnfStyle w:val="100000000000" w:firstRow="1" w:lastRow="0" w:firstColumn="0" w:lastColumn="0" w:oddVBand="0" w:evenVBand="0" w:oddHBand="0" w:evenHBand="0" w:firstRowFirstColumn="0" w:firstRowLastColumn="0" w:lastRowFirstColumn="0" w:lastRowLastColumn="0"/>
          <w:tblHeader/>
        </w:trPr>
        <w:tc>
          <w:tcPr>
            <w:tcW w:w="1405" w:type="dxa"/>
          </w:tcPr>
          <w:p w14:paraId="6C476E82" w14:textId="55EBA61C" w:rsidR="00571997" w:rsidRPr="002A7627" w:rsidRDefault="00571997" w:rsidP="00571997">
            <w:pPr>
              <w:rPr>
                <w:lang w:bidi="en-US"/>
              </w:rPr>
            </w:pPr>
            <w:r w:rsidRPr="002A7627">
              <w:rPr>
                <w:rFonts w:asciiTheme="majorBidi" w:hAnsiTheme="majorBidi" w:cstheme="majorBidi"/>
                <w:b/>
                <w:bCs/>
                <w:color w:val="auto"/>
                <w:sz w:val="20"/>
                <w:szCs w:val="20"/>
              </w:rPr>
              <w:t>Construct</w:t>
            </w:r>
          </w:p>
        </w:tc>
        <w:tc>
          <w:tcPr>
            <w:tcW w:w="1405" w:type="dxa"/>
          </w:tcPr>
          <w:p w14:paraId="0B67551C" w14:textId="4C5072F6" w:rsidR="00571997" w:rsidRPr="002A7627" w:rsidRDefault="00571997" w:rsidP="00571997">
            <w:pPr>
              <w:rPr>
                <w:lang w:bidi="en-US"/>
              </w:rPr>
            </w:pPr>
            <w:r w:rsidRPr="002A7627">
              <w:rPr>
                <w:rFonts w:asciiTheme="majorBidi" w:hAnsiTheme="majorBidi" w:cstheme="majorBidi"/>
                <w:b/>
                <w:bCs/>
                <w:color w:val="auto"/>
                <w:sz w:val="20"/>
                <w:szCs w:val="20"/>
              </w:rPr>
              <w:t>Theory</w:t>
            </w:r>
          </w:p>
        </w:tc>
        <w:tc>
          <w:tcPr>
            <w:tcW w:w="1420" w:type="dxa"/>
          </w:tcPr>
          <w:p w14:paraId="1638CB99" w14:textId="45572BB2" w:rsidR="00571997" w:rsidRPr="002A7627" w:rsidRDefault="00571997" w:rsidP="00571997">
            <w:pPr>
              <w:rPr>
                <w:lang w:bidi="en-US"/>
              </w:rPr>
            </w:pPr>
            <w:r w:rsidRPr="002A7627">
              <w:rPr>
                <w:rFonts w:asciiTheme="majorBidi" w:hAnsiTheme="majorBidi" w:cstheme="majorBidi"/>
                <w:b/>
                <w:bCs/>
                <w:color w:val="auto"/>
                <w:sz w:val="20"/>
                <w:szCs w:val="20"/>
              </w:rPr>
              <w:t>Proposed by</w:t>
            </w:r>
          </w:p>
        </w:tc>
        <w:tc>
          <w:tcPr>
            <w:tcW w:w="2469" w:type="dxa"/>
          </w:tcPr>
          <w:p w14:paraId="1BE75772" w14:textId="3C342DD2" w:rsidR="00571997" w:rsidRPr="002A7627" w:rsidRDefault="00571997" w:rsidP="00141425">
            <w:pPr>
              <w:jc w:val="lowKashida"/>
              <w:rPr>
                <w:lang w:bidi="en-US"/>
              </w:rPr>
            </w:pPr>
            <w:r w:rsidRPr="002A7627">
              <w:rPr>
                <w:rFonts w:asciiTheme="majorBidi" w:hAnsiTheme="majorBidi" w:cstheme="majorBidi"/>
                <w:b/>
                <w:bCs/>
                <w:color w:val="auto"/>
                <w:sz w:val="20"/>
                <w:szCs w:val="20"/>
              </w:rPr>
              <w:t>Key elements of the theory</w:t>
            </w:r>
          </w:p>
        </w:tc>
        <w:tc>
          <w:tcPr>
            <w:tcW w:w="1995" w:type="dxa"/>
          </w:tcPr>
          <w:p w14:paraId="15125FFF" w14:textId="38CEA92E" w:rsidR="00571997" w:rsidRPr="002A7627" w:rsidRDefault="00571997" w:rsidP="00571997">
            <w:pPr>
              <w:rPr>
                <w:lang w:bidi="en-US"/>
              </w:rPr>
            </w:pPr>
            <w:r w:rsidRPr="002A7627">
              <w:rPr>
                <w:rFonts w:asciiTheme="majorBidi" w:hAnsiTheme="majorBidi" w:cstheme="majorBidi"/>
                <w:b/>
                <w:bCs/>
                <w:color w:val="auto"/>
                <w:sz w:val="20"/>
                <w:szCs w:val="20"/>
              </w:rPr>
              <w:t>Theory used by</w:t>
            </w:r>
          </w:p>
        </w:tc>
      </w:tr>
      <w:tr w:rsidR="00571997" w:rsidRPr="002A7627" w14:paraId="2A5EE802" w14:textId="77777777" w:rsidTr="00571997">
        <w:tc>
          <w:tcPr>
            <w:tcW w:w="1405" w:type="dxa"/>
          </w:tcPr>
          <w:p w14:paraId="6B3D2605" w14:textId="77777777" w:rsidR="00571997" w:rsidRPr="002A7627" w:rsidRDefault="00571997" w:rsidP="00571997">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 xml:space="preserve">Knowledge management capabilities </w:t>
            </w:r>
          </w:p>
          <w:p w14:paraId="09D2CC94" w14:textId="77777777" w:rsidR="00571997" w:rsidRPr="002A7627" w:rsidRDefault="00571997" w:rsidP="00571997">
            <w:pPr>
              <w:rPr>
                <w:lang w:bidi="en-US"/>
              </w:rPr>
            </w:pPr>
          </w:p>
        </w:tc>
        <w:tc>
          <w:tcPr>
            <w:tcW w:w="1405" w:type="dxa"/>
          </w:tcPr>
          <w:p w14:paraId="23E885A1" w14:textId="77777777" w:rsidR="00571997" w:rsidRPr="002A7627" w:rsidRDefault="00571997" w:rsidP="00571997">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Resource-based view</w:t>
            </w:r>
          </w:p>
          <w:p w14:paraId="2A5B360D" w14:textId="77777777" w:rsidR="00571997" w:rsidRPr="002A7627" w:rsidRDefault="00571997" w:rsidP="00571997">
            <w:pPr>
              <w:widowControl/>
              <w:autoSpaceDE/>
              <w:autoSpaceDN/>
              <w:adjustRightInd/>
              <w:jc w:val="lowKashida"/>
              <w:rPr>
                <w:rFonts w:asciiTheme="majorBidi" w:hAnsiTheme="majorBidi" w:cstheme="majorBidi"/>
                <w:color w:val="auto"/>
                <w:sz w:val="20"/>
                <w:szCs w:val="20"/>
              </w:rPr>
            </w:pPr>
          </w:p>
          <w:p w14:paraId="08354BEB" w14:textId="77777777" w:rsidR="00571997" w:rsidRPr="002A7627" w:rsidRDefault="00571997" w:rsidP="00571997">
            <w:pPr>
              <w:widowControl/>
              <w:autoSpaceDE/>
              <w:autoSpaceDN/>
              <w:adjustRightInd/>
              <w:jc w:val="lowKashida"/>
              <w:rPr>
                <w:rFonts w:asciiTheme="majorBidi" w:hAnsiTheme="majorBidi" w:cstheme="majorBidi"/>
                <w:color w:val="auto"/>
                <w:sz w:val="20"/>
                <w:szCs w:val="20"/>
              </w:rPr>
            </w:pPr>
          </w:p>
          <w:p w14:paraId="7FAE3CE0" w14:textId="77777777" w:rsidR="00571997" w:rsidRPr="002A7627" w:rsidRDefault="00571997" w:rsidP="00571997">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AND</w:t>
            </w:r>
          </w:p>
          <w:p w14:paraId="5A625AA7" w14:textId="77777777" w:rsidR="00571997" w:rsidRPr="002A7627" w:rsidRDefault="00571997" w:rsidP="00571997">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 xml:space="preserve"> </w:t>
            </w:r>
          </w:p>
          <w:p w14:paraId="76FF0495" w14:textId="0A3CAD7C" w:rsidR="00571997" w:rsidRPr="002A7627" w:rsidRDefault="00571997" w:rsidP="00571997">
            <w:pPr>
              <w:rPr>
                <w:lang w:bidi="en-US"/>
              </w:rPr>
            </w:pPr>
            <w:r w:rsidRPr="002A7627">
              <w:rPr>
                <w:rFonts w:asciiTheme="majorBidi" w:hAnsiTheme="majorBidi" w:cstheme="majorBidi"/>
                <w:color w:val="auto"/>
                <w:sz w:val="20"/>
                <w:szCs w:val="20"/>
              </w:rPr>
              <w:t>Absorptive capacity</w:t>
            </w:r>
          </w:p>
        </w:tc>
        <w:tc>
          <w:tcPr>
            <w:tcW w:w="1420" w:type="dxa"/>
          </w:tcPr>
          <w:p w14:paraId="54D82857" w14:textId="4A2E434D" w:rsidR="00571997" w:rsidRPr="002A7627" w:rsidRDefault="00571997" w:rsidP="00571997">
            <w:pPr>
              <w:widowControl/>
              <w:autoSpaceDE/>
              <w:autoSpaceDN/>
              <w:adjustRightInd/>
              <w:jc w:val="lowKashida"/>
              <w:rPr>
                <w:rFonts w:asciiTheme="minorHAnsi" w:hAnsiTheme="minorHAnsi" w:cstheme="minorBidi"/>
                <w:color w:val="auto"/>
                <w:sz w:val="20"/>
                <w:szCs w:val="20"/>
              </w:rPr>
            </w:pPr>
            <w:r w:rsidRPr="002A7627">
              <w:rPr>
                <w:rFonts w:asciiTheme="majorBidi" w:hAnsiTheme="majorBidi" w:cstheme="majorBidi"/>
                <w:noProof/>
                <w:color w:val="auto"/>
                <w:sz w:val="20"/>
                <w:szCs w:val="20"/>
              </w:rPr>
              <w:t>Barney (1991)</w:t>
            </w:r>
          </w:p>
          <w:p w14:paraId="03907796" w14:textId="77777777" w:rsidR="00571997" w:rsidRPr="002A7627" w:rsidRDefault="00571997" w:rsidP="00571997">
            <w:pPr>
              <w:widowControl/>
              <w:autoSpaceDE/>
              <w:autoSpaceDN/>
              <w:adjustRightInd/>
              <w:jc w:val="lowKashida"/>
              <w:rPr>
                <w:rFonts w:asciiTheme="minorHAnsi" w:hAnsiTheme="minorHAnsi" w:cstheme="minorBidi"/>
                <w:color w:val="auto"/>
                <w:sz w:val="20"/>
                <w:szCs w:val="20"/>
              </w:rPr>
            </w:pPr>
          </w:p>
          <w:p w14:paraId="58487122" w14:textId="77777777" w:rsidR="00571997" w:rsidRPr="002A7627" w:rsidRDefault="00571997" w:rsidP="00571997">
            <w:pPr>
              <w:widowControl/>
              <w:autoSpaceDE/>
              <w:autoSpaceDN/>
              <w:adjustRightInd/>
              <w:jc w:val="lowKashida"/>
              <w:rPr>
                <w:rFonts w:asciiTheme="majorBidi" w:hAnsiTheme="majorBidi" w:cstheme="majorBidi"/>
                <w:color w:val="auto"/>
                <w:sz w:val="20"/>
                <w:szCs w:val="20"/>
              </w:rPr>
            </w:pPr>
          </w:p>
          <w:p w14:paraId="6E2915AB" w14:textId="77777777" w:rsidR="00571997" w:rsidRPr="002A7627" w:rsidRDefault="00571997" w:rsidP="00571997">
            <w:pPr>
              <w:widowControl/>
              <w:autoSpaceDE/>
              <w:autoSpaceDN/>
              <w:adjustRightInd/>
              <w:jc w:val="lowKashida"/>
              <w:rPr>
                <w:rFonts w:asciiTheme="majorBidi" w:hAnsiTheme="majorBidi" w:cstheme="majorBidi"/>
                <w:color w:val="auto"/>
                <w:sz w:val="20"/>
                <w:szCs w:val="20"/>
              </w:rPr>
            </w:pPr>
          </w:p>
          <w:p w14:paraId="393125AD" w14:textId="77777777" w:rsidR="00571997" w:rsidRPr="002A7627" w:rsidRDefault="00571997" w:rsidP="00571997">
            <w:pPr>
              <w:widowControl/>
              <w:autoSpaceDE/>
              <w:autoSpaceDN/>
              <w:adjustRightInd/>
              <w:jc w:val="lowKashida"/>
              <w:rPr>
                <w:rFonts w:asciiTheme="majorBidi" w:hAnsiTheme="majorBidi" w:cstheme="majorBidi"/>
                <w:color w:val="auto"/>
                <w:sz w:val="20"/>
                <w:szCs w:val="20"/>
              </w:rPr>
            </w:pPr>
          </w:p>
          <w:p w14:paraId="305FB886" w14:textId="2D7F2EB2" w:rsidR="00571997" w:rsidRPr="002A7627" w:rsidRDefault="00571997" w:rsidP="00571997">
            <w:pPr>
              <w:rPr>
                <w:lang w:bidi="en-US"/>
              </w:rPr>
            </w:pPr>
            <w:r w:rsidRPr="002A7627">
              <w:rPr>
                <w:rFonts w:asciiTheme="majorBidi" w:hAnsiTheme="majorBidi" w:cstheme="majorBidi"/>
                <w:color w:val="auto"/>
                <w:sz w:val="20"/>
                <w:szCs w:val="20"/>
              </w:rPr>
              <w:t xml:space="preserve">Cohen and Levinthal </w:t>
            </w:r>
            <w:r w:rsidRPr="002A7627">
              <w:rPr>
                <w:rFonts w:asciiTheme="majorBidi" w:hAnsiTheme="majorBidi" w:cstheme="majorBidi"/>
                <w:color w:val="auto"/>
                <w:sz w:val="20"/>
                <w:szCs w:val="20"/>
              </w:rPr>
              <w:fldChar w:fldCharType="begin" w:fldLock="1"/>
            </w:r>
            <w:r w:rsidRPr="002A7627">
              <w:rPr>
                <w:rFonts w:asciiTheme="majorBidi" w:hAnsiTheme="majorBidi" w:cstheme="majorBidi"/>
                <w:color w:val="auto"/>
                <w:sz w:val="20"/>
                <w:szCs w:val="20"/>
              </w:rPr>
              <w:instrText>ADDIN CSL_CITATION {"citationItems":[{"id":"ITEM-1","itemData":{"DOI":"10.2307/2393553","ISSN":"00018392","abstract":"In this paper, we argue that the ability of a firm to recognize the value of new, external information, assimilate it, and apply it to commercial ends is critical to its innovative capabilities. We label this capability a firm's absorptive capacity and suggest that it is largely a function of the firm's level of prior related knowledge. The discussion focuses first on the cognitive basis for an individual's absorptive capacity including, in particular, prior related knowledge and diversity of background. We then characterize the factors that influence absorptive capacity at the organizational level, how an organization's absorptive capacity differs from that of its individual members, and the role of diversity of expertise within an organization. We argue that the development of absorptive capacity, and, in turn, innovative performance are history- or path-dependent and argue how lack of investment in an area of expertise early on may foreclose the future development of a technical capability in that area. We formulate a model of firm investment in research and development (R&amp;D), in which R&amp;D contributes to a firm's absorptive capacity, and test predictions relating a firm's investment in R&amp;D to the knowledge underlying technical change within an industry. Discussion focuses on the implications of absorptive capacity for the analysis of other related innovative activities, including basic research, the adoption and diffusion of innovations, and decisions to participate in cooperative R&amp;D ventures. [ABSTRACT FROM AUTHOR]","author":[{"dropping-particle":"","family":"Cohen","given":"Wesley M.","non-dropping-particle":"","parse-names":false,"suffix":""},{"dropping-particle":"","family":"Levinthal","given":"Daniel A.","non-dropping-particle":"","parse-names":false,"suffix":""}],"container-title":"Administrative Science Quarterly","id":"ITEM-1","issue":"1","issued":{"date-parts":[["1990"]]},"page":"128","title":"Absorptive capacity: A new perspective on learning and innovation","type":"article-journal","volume":"35"},"uris":["http://www.mendeley.com/documents/?uuid=66e0a4f4-e64b-458b-a958-6558aa570b2e"]}],"mendeley":{"formattedCitation":"(W. M. Cohen &amp; Levinthal, 1990)","manualFormatting":"(1990)","plainTextFormattedCitation":"(W. M. Cohen &amp; Levinthal, 1990)","previouslyFormattedCitation":"(W. M. Cohen &amp; Levinthal, 1990)"},"properties":{"noteIndex":0},"schema":"https://github.com/citation-style-language/schema/raw/master/csl-citation.json"}</w:instrText>
            </w:r>
            <w:r w:rsidRPr="002A7627">
              <w:rPr>
                <w:rFonts w:asciiTheme="majorBidi" w:hAnsiTheme="majorBidi" w:cstheme="majorBidi"/>
                <w:color w:val="auto"/>
                <w:sz w:val="20"/>
                <w:szCs w:val="20"/>
              </w:rPr>
              <w:fldChar w:fldCharType="separate"/>
            </w:r>
            <w:r w:rsidRPr="002A7627">
              <w:rPr>
                <w:rFonts w:asciiTheme="majorBidi" w:hAnsiTheme="majorBidi" w:cstheme="majorBidi"/>
                <w:noProof/>
                <w:color w:val="auto"/>
                <w:sz w:val="20"/>
                <w:szCs w:val="20"/>
              </w:rPr>
              <w:t>(1990)</w:t>
            </w:r>
            <w:r w:rsidRPr="002A7627">
              <w:rPr>
                <w:rFonts w:asciiTheme="majorBidi" w:hAnsiTheme="majorBidi" w:cstheme="majorBidi"/>
                <w:color w:val="auto"/>
                <w:sz w:val="20"/>
                <w:szCs w:val="20"/>
              </w:rPr>
              <w:fldChar w:fldCharType="end"/>
            </w:r>
          </w:p>
        </w:tc>
        <w:tc>
          <w:tcPr>
            <w:tcW w:w="2469" w:type="dxa"/>
          </w:tcPr>
          <w:p w14:paraId="032F3C22" w14:textId="77777777" w:rsidR="00571997" w:rsidRPr="002A7627" w:rsidRDefault="00571997" w:rsidP="00141425">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 xml:space="preserve">Resources and capabilities are important determinants of performance and competitive advantage </w:t>
            </w:r>
          </w:p>
          <w:p w14:paraId="4622932F" w14:textId="77777777" w:rsidR="00571997" w:rsidRPr="002A7627" w:rsidRDefault="00571997" w:rsidP="00141425">
            <w:pPr>
              <w:widowControl/>
              <w:autoSpaceDE/>
              <w:autoSpaceDN/>
              <w:adjustRightInd/>
              <w:jc w:val="lowKashida"/>
              <w:rPr>
                <w:rFonts w:asciiTheme="majorBidi" w:hAnsiTheme="majorBidi" w:cstheme="majorBidi"/>
                <w:color w:val="auto"/>
                <w:sz w:val="20"/>
                <w:szCs w:val="20"/>
              </w:rPr>
            </w:pPr>
          </w:p>
          <w:p w14:paraId="377539B5" w14:textId="77777777" w:rsidR="00571997" w:rsidRPr="002A7627" w:rsidRDefault="00571997" w:rsidP="00141425">
            <w:pPr>
              <w:widowControl/>
              <w:autoSpaceDE/>
              <w:autoSpaceDN/>
              <w:adjustRightInd/>
              <w:jc w:val="lowKashida"/>
              <w:rPr>
                <w:rFonts w:asciiTheme="majorBidi" w:hAnsiTheme="majorBidi" w:cstheme="majorBidi"/>
                <w:color w:val="auto"/>
                <w:sz w:val="20"/>
                <w:szCs w:val="20"/>
              </w:rPr>
            </w:pPr>
          </w:p>
          <w:p w14:paraId="2733B81C" w14:textId="77777777" w:rsidR="00571997" w:rsidRPr="002A7627" w:rsidRDefault="00571997" w:rsidP="00141425">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Technological information that a firm can absorb</w:t>
            </w:r>
          </w:p>
          <w:p w14:paraId="6336B1D6" w14:textId="77777777" w:rsidR="00571997" w:rsidRPr="002A7627" w:rsidRDefault="00571997" w:rsidP="00141425">
            <w:pPr>
              <w:jc w:val="lowKashida"/>
              <w:rPr>
                <w:lang w:bidi="en-US"/>
              </w:rPr>
            </w:pPr>
          </w:p>
        </w:tc>
        <w:tc>
          <w:tcPr>
            <w:tcW w:w="1995" w:type="dxa"/>
          </w:tcPr>
          <w:p w14:paraId="062ADE78" w14:textId="77777777" w:rsidR="00571997" w:rsidRPr="002A7627" w:rsidRDefault="00B76C18" w:rsidP="00571997">
            <w:pPr>
              <w:widowControl/>
              <w:autoSpaceDE/>
              <w:autoSpaceDN/>
              <w:adjustRightInd/>
              <w:jc w:val="lowKashida"/>
              <w:rPr>
                <w:rFonts w:asciiTheme="majorBidi" w:hAnsiTheme="majorBidi" w:cstheme="majorBidi"/>
                <w:color w:val="auto"/>
                <w:sz w:val="20"/>
                <w:szCs w:val="20"/>
              </w:rPr>
            </w:pPr>
            <w:hyperlink r:id="rId21" w:anchor="bib14" w:history="1">
              <w:r w:rsidR="00571997" w:rsidRPr="002A7627">
                <w:rPr>
                  <w:rFonts w:asciiTheme="majorBidi" w:hAnsiTheme="majorBidi" w:cstheme="majorBidi"/>
                  <w:color w:val="auto"/>
                  <w:sz w:val="20"/>
                  <w:szCs w:val="20"/>
                </w:rPr>
                <w:t xml:space="preserve">Barney </w:t>
              </w:r>
              <w:r w:rsidR="00571997" w:rsidRPr="002A7627">
                <w:rPr>
                  <w:rFonts w:asciiTheme="majorBidi" w:hAnsiTheme="majorBidi" w:cstheme="majorBidi"/>
                  <w:color w:val="auto"/>
                  <w:sz w:val="20"/>
                  <w:szCs w:val="20"/>
                </w:rPr>
                <w:fldChar w:fldCharType="begin" w:fldLock="1"/>
              </w:r>
              <w:r w:rsidR="00571997" w:rsidRPr="002A7627">
                <w:rPr>
                  <w:rFonts w:asciiTheme="majorBidi" w:hAnsiTheme="majorBidi" w:cstheme="majorBidi"/>
                  <w:color w:val="auto"/>
                  <w:sz w:val="20"/>
                  <w:szCs w:val="20"/>
                </w:rPr>
                <w:instrText>ADDIN CSL_CITATION {"citationItems":[{"id":"ITEM-1","itemData":{"abstract":"Understanding sources of sustained competitive advantage had become a major area of research in strategic management. Building on the assumptions that strategic resources are heterogeneously distributed across firms and that these differences are stable over time, this article examines the link between firm resources and sustained competitive advantage. Four empirical indicators of the potential of firm resources to generate sustained competitive advantage-value, rareness, imitability, and sustainability are discussed. The model is applied by analyzing the potential of several firm resources for generating sustained competitive advantages. The article concludes by examining implications of this firm resource model of sustained competitive advantage for other business disciplines.","author":[{"dropping-particle":"","family":"Barney","given":"J.","non-dropping-particle":"","parse-names":false,"suffix":""}],"container-title":"Journal of Management","id":"ITEM-1","issue":"1","issued":{"date-parts":[["1991"]]},"page":"99-120","title":"Firm resources and sustained competitive advantage","type":"article-journal","volume":"17"},"suppress-author":1,"uris":["http://www.mendeley.com/documents/?uuid=e2a776d3-b7eb-4d0a-a3c0-ca6f25e10996"]}],"mendeley":{"formattedCitation":"(1991)","plainTextFormattedCitation":"(1991)","previouslyFormattedCitation":"(1991)"},"properties":{"noteIndex":0},"schema":"https://github.com/citation-style-language/schema/raw/master/csl-citation.json"}</w:instrText>
              </w:r>
              <w:r w:rsidR="00571997" w:rsidRPr="002A7627">
                <w:rPr>
                  <w:rFonts w:asciiTheme="majorBidi" w:hAnsiTheme="majorBidi" w:cstheme="majorBidi"/>
                  <w:color w:val="auto"/>
                  <w:sz w:val="20"/>
                  <w:szCs w:val="20"/>
                </w:rPr>
                <w:fldChar w:fldCharType="separate"/>
              </w:r>
              <w:r w:rsidR="00571997" w:rsidRPr="002A7627">
                <w:rPr>
                  <w:rFonts w:asciiTheme="majorBidi" w:hAnsiTheme="majorBidi" w:cstheme="majorBidi"/>
                  <w:noProof/>
                  <w:color w:val="auto"/>
                  <w:sz w:val="20"/>
                  <w:szCs w:val="20"/>
                </w:rPr>
                <w:t>(1991)</w:t>
              </w:r>
              <w:r w:rsidR="00571997" w:rsidRPr="002A7627">
                <w:rPr>
                  <w:rFonts w:asciiTheme="majorBidi" w:hAnsiTheme="majorBidi" w:cstheme="majorBidi"/>
                  <w:color w:val="auto"/>
                  <w:sz w:val="20"/>
                  <w:szCs w:val="20"/>
                </w:rPr>
                <w:fldChar w:fldCharType="end"/>
              </w:r>
              <w:r w:rsidR="00571997" w:rsidRPr="002A7627">
                <w:rPr>
                  <w:rFonts w:asciiTheme="majorBidi" w:hAnsiTheme="majorBidi" w:cstheme="majorBidi"/>
                  <w:color w:val="auto"/>
                  <w:sz w:val="20"/>
                  <w:szCs w:val="20"/>
                </w:rPr>
                <w:t xml:space="preserve"> </w:t>
              </w:r>
            </w:hyperlink>
          </w:p>
          <w:p w14:paraId="35A56255" w14:textId="4987EC31" w:rsidR="00571997" w:rsidRPr="002A7627" w:rsidRDefault="00571997" w:rsidP="00571997">
            <w:pPr>
              <w:widowControl/>
              <w:autoSpaceDE/>
              <w:autoSpaceDN/>
              <w:adjustRightInd/>
              <w:jc w:val="lowKashida"/>
              <w:rPr>
                <w:rFonts w:asciiTheme="majorBidi" w:hAnsiTheme="majorBidi" w:cstheme="majorBidi"/>
                <w:color w:val="auto"/>
                <w:sz w:val="20"/>
                <w:szCs w:val="20"/>
              </w:rPr>
            </w:pPr>
            <w:bookmarkStart w:id="122" w:name="bau1"/>
            <w:r w:rsidRPr="002A7627">
              <w:rPr>
                <w:rFonts w:asciiTheme="majorBidi" w:hAnsiTheme="majorBidi" w:cstheme="majorBidi"/>
                <w:color w:val="auto"/>
                <w:sz w:val="20"/>
                <w:szCs w:val="20"/>
              </w:rPr>
              <w:t xml:space="preserve">Chuang </w:t>
            </w:r>
            <w:r w:rsidRPr="002A7627">
              <w:rPr>
                <w:rFonts w:asciiTheme="majorBidi" w:hAnsiTheme="majorBidi" w:cstheme="majorBidi"/>
                <w:color w:val="auto"/>
                <w:sz w:val="20"/>
                <w:szCs w:val="20"/>
              </w:rPr>
              <w:fldChar w:fldCharType="begin" w:fldLock="1"/>
            </w:r>
            <w:r w:rsidRPr="002A7627">
              <w:rPr>
                <w:rFonts w:asciiTheme="majorBidi" w:hAnsiTheme="majorBidi" w:cstheme="majorBidi"/>
                <w:color w:val="auto"/>
                <w:sz w:val="20"/>
                <w:szCs w:val="20"/>
              </w:rPr>
              <w:instrText>ADDIN CSL_CITATION {"citationItems":[{"id":"ITEM-1","itemData":{"DOI":"10.1016/J.ESWA.2004.05.008","ISSN":"0957-4174","abstract":"The concept of knowledge management (KM) as a powerful competitive weapon has been strongly emphasized in the strategic management literature, yet the sustainability of the competitive advantage provided by KM capability is not well-explained. To fill this gap, this paper develops the concept of KM as an organizational capability and empirically examines the association between KM capabilities and competitive advantage. In order to provide a better presentation of significant relationships, through resource-based view of the firm explicitly recognizes important of KM resources and capabilities. Firm specific KM resources are classified as social KM resources, and technical KM resources. Surveys collected from 177 firms were analyzed and tested. The results confirmed the impact of social KM resource on competitive advantage. Technical KM resource is negatively related with competitive advantage, and KM capability is significantly related with competitive advantage.","author":[{"dropping-particle":"","family":"Chuang","given":"Shu-Hui","non-dropping-particle":"","parse-names":false,"suffix":""}],"container-title":"Expert Systems with Applications","id":"ITEM-1","issue":"3","issued":{"date-parts":[["2004","10","1"]]},"page":"459-465","publisher":"Pergamon","title":"A resource-based perspective on knowledge management capability and competitive advantage: An empirical investigation","type":"article-journal","volume":"27"},"suppress-author":1,"uris":["http://www.mendeley.com/documents/?uuid=fb34c3d4-893e-3171-b4d8-4153cefe62d0"]}],"mendeley":{"formattedCitation":"(2004)","plainTextFormattedCitation":"(2004)","previouslyFormattedCitation":"(2004)"},"properties":{"noteIndex":0},"schema":"https://github.com/citation-style-language/schema/raw/master/csl-citation.json"}</w:instrText>
            </w:r>
            <w:r w:rsidRPr="002A7627">
              <w:rPr>
                <w:rFonts w:asciiTheme="majorBidi" w:hAnsiTheme="majorBidi" w:cstheme="majorBidi"/>
                <w:color w:val="auto"/>
                <w:sz w:val="20"/>
                <w:szCs w:val="20"/>
              </w:rPr>
              <w:fldChar w:fldCharType="separate"/>
            </w:r>
            <w:r w:rsidRPr="002A7627">
              <w:rPr>
                <w:rFonts w:asciiTheme="majorBidi" w:hAnsiTheme="majorBidi" w:cstheme="majorBidi"/>
                <w:noProof/>
                <w:color w:val="auto"/>
                <w:sz w:val="20"/>
                <w:szCs w:val="20"/>
              </w:rPr>
              <w:t>(2004)</w:t>
            </w:r>
            <w:r w:rsidRPr="002A7627">
              <w:rPr>
                <w:rFonts w:asciiTheme="majorBidi" w:hAnsiTheme="majorBidi" w:cstheme="majorBidi"/>
                <w:color w:val="auto"/>
                <w:sz w:val="20"/>
                <w:szCs w:val="20"/>
              </w:rPr>
              <w:fldChar w:fldCharType="end"/>
            </w:r>
          </w:p>
          <w:p w14:paraId="24BA2E52" w14:textId="3082C9D7" w:rsidR="00571997" w:rsidRPr="002A7627" w:rsidRDefault="00DB2051" w:rsidP="00571997">
            <w:pPr>
              <w:widowControl/>
              <w:autoSpaceDE/>
              <w:autoSpaceDN/>
              <w:adjustRightInd/>
              <w:jc w:val="lowKashida"/>
              <w:rPr>
                <w:rFonts w:asciiTheme="majorBidi" w:hAnsiTheme="majorBidi" w:cstheme="majorBidi"/>
                <w:color w:val="auto"/>
                <w:sz w:val="20"/>
                <w:szCs w:val="20"/>
              </w:rPr>
            </w:pPr>
            <w:r w:rsidRPr="00081B26">
              <w:rPr>
                <w:sz w:val="20"/>
              </w:rPr>
              <w:t>Hidalgo</w:t>
            </w:r>
            <w:r>
              <w:t>-</w:t>
            </w:r>
            <w:hyperlink r:id="rId22" w:anchor="!" w:history="1">
              <w:r w:rsidR="00571997" w:rsidRPr="002A7627">
                <w:rPr>
                  <w:rFonts w:asciiTheme="majorBidi" w:hAnsiTheme="majorBidi" w:cstheme="majorBidi"/>
                  <w:color w:val="auto"/>
                  <w:sz w:val="20"/>
                  <w:szCs w:val="20"/>
                </w:rPr>
                <w:t>Peñate</w:t>
              </w:r>
            </w:hyperlink>
            <w:bookmarkStart w:id="123" w:name="bau2"/>
            <w:bookmarkStart w:id="124" w:name="bau3"/>
            <w:bookmarkEnd w:id="122"/>
            <w:r>
              <w:rPr>
                <w:rFonts w:asciiTheme="majorBidi" w:hAnsiTheme="majorBidi" w:cstheme="majorBidi"/>
                <w:color w:val="auto"/>
                <w:sz w:val="20"/>
                <w:szCs w:val="20"/>
              </w:rPr>
              <w:t xml:space="preserve"> et al.</w:t>
            </w:r>
            <w:bookmarkEnd w:id="123"/>
            <w:bookmarkEnd w:id="124"/>
            <w:r w:rsidR="00571997" w:rsidRPr="002A7627">
              <w:rPr>
                <w:rFonts w:asciiTheme="majorBidi" w:hAnsiTheme="majorBidi" w:cstheme="majorBidi"/>
                <w:color w:val="auto"/>
                <w:sz w:val="20"/>
                <w:szCs w:val="20"/>
              </w:rPr>
              <w:t xml:space="preserve"> </w:t>
            </w:r>
            <w:r w:rsidR="00571997" w:rsidRPr="002A7627">
              <w:rPr>
                <w:rFonts w:asciiTheme="majorBidi" w:hAnsiTheme="majorBidi" w:cstheme="majorBidi"/>
                <w:color w:val="auto"/>
                <w:sz w:val="20"/>
                <w:szCs w:val="20"/>
              </w:rPr>
              <w:fldChar w:fldCharType="begin" w:fldLock="1"/>
            </w:r>
            <w:r w:rsidR="00571997" w:rsidRPr="002A7627">
              <w:rPr>
                <w:rFonts w:asciiTheme="majorBidi" w:hAnsiTheme="majorBidi" w:cstheme="majorBidi"/>
                <w:color w:val="auto"/>
                <w:sz w:val="20"/>
                <w:szCs w:val="20"/>
              </w:rPr>
              <w:instrText>ADDIN CSL_CITATION {"citationItems":[{"id":"ITEM-1","itemData":{"DOI":"10.1016/j.jhlste.2019.02.004","ISSN":"14738376","abstract":"In Spain, vocational education in hospitality and tourism continues to show gaps in providing a preparation that responds to the needs of the tourism sector and the population's demands. Using structural equation modelling, the present study examines the role played by knowledge resources and dynamic capabilities in improving learning outcomes. The results of the study show that the knowledge resources increase the dynamic capabilities of vocational education schools, that is, their ability to adapt their resources and processes to the changing training needs of the tourism sector. In addition, high levels of dynamic capabilities improve the graduates’ learning outcomes.","author":[{"dropping-particle":"","family":"Hidalgo-Peñate","given":"Araceli","non-dropping-particle":"","parse-names":false,"suffix":""},{"dropping-particle":"","family":"Padrón-Robaina","given":"Víctor","non-dropping-particle":"","parse-names":false,"suffix":""},{"dropping-particle":"","family":"Nieves","given":"Julia","non-dropping-particle":"","parse-names":false,"suffix":""}],"container-title":"Journal of Hospitality, Leisure, Sport and Tourism Education","id":"ITEM-1","issued":{"date-parts":[["2019","6"]]},"page":"143-154","title":"Knowledge as a driver of dynamic capabilities and learning outcomes","type":"article-journal","volume":"24"},"suppress-author":1,"uris":["http://www.mendeley.com/documents/?uuid=72585be1-716b-4d25-a38e-8c03490f9ff9"]}],"mendeley":{"formattedCitation":"(2019)","plainTextFormattedCitation":"(2019)","previouslyFormattedCitation":"(2019)"},"properties":{"noteIndex":0},"schema":"https://github.com/citation-style-language/schema/raw/master/csl-citation.json"}</w:instrText>
            </w:r>
            <w:r w:rsidR="00571997" w:rsidRPr="002A7627">
              <w:rPr>
                <w:rFonts w:asciiTheme="majorBidi" w:hAnsiTheme="majorBidi" w:cstheme="majorBidi"/>
                <w:color w:val="auto"/>
                <w:sz w:val="20"/>
                <w:szCs w:val="20"/>
              </w:rPr>
              <w:fldChar w:fldCharType="separate"/>
            </w:r>
            <w:r w:rsidR="00571997" w:rsidRPr="002A7627">
              <w:rPr>
                <w:rFonts w:asciiTheme="majorBidi" w:hAnsiTheme="majorBidi" w:cstheme="majorBidi"/>
                <w:noProof/>
                <w:color w:val="auto"/>
                <w:sz w:val="20"/>
                <w:szCs w:val="20"/>
              </w:rPr>
              <w:t>(2019)</w:t>
            </w:r>
            <w:r w:rsidR="00571997" w:rsidRPr="002A7627">
              <w:rPr>
                <w:rFonts w:asciiTheme="majorBidi" w:hAnsiTheme="majorBidi" w:cstheme="majorBidi"/>
                <w:color w:val="auto"/>
                <w:sz w:val="20"/>
                <w:szCs w:val="20"/>
              </w:rPr>
              <w:fldChar w:fldCharType="end"/>
            </w:r>
          </w:p>
          <w:p w14:paraId="158FD8A8" w14:textId="77777777" w:rsidR="00571997" w:rsidRPr="002A7627" w:rsidRDefault="00571997" w:rsidP="00571997">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 xml:space="preserve">Tseng </w:t>
            </w:r>
            <w:r w:rsidRPr="002A7627">
              <w:rPr>
                <w:rFonts w:asciiTheme="majorBidi" w:hAnsiTheme="majorBidi" w:cstheme="majorBidi"/>
                <w:color w:val="auto"/>
                <w:sz w:val="20"/>
                <w:szCs w:val="20"/>
              </w:rPr>
              <w:fldChar w:fldCharType="begin" w:fldLock="1"/>
            </w:r>
            <w:r w:rsidRPr="002A7627">
              <w:rPr>
                <w:rFonts w:asciiTheme="majorBidi" w:hAnsiTheme="majorBidi" w:cstheme="majorBidi"/>
                <w:color w:val="auto"/>
                <w:sz w:val="20"/>
                <w:szCs w:val="20"/>
              </w:rPr>
              <w:instrText>ADDIN CSL_CITATION {"citationItems":[{"id":"ITEM-1","itemData":{"DOI":"10.1108/JEIM-05-2012-0025","ISSN":"1741-0398","abstract":"The effect of knowledge management capability and dynamic capability on organizational performance","author":[{"dropping-particle":"","family":"Tseng","given":"Shu-Mei","non-dropping-particle":"","parse-names":false,"suffix":""},{"dropping-particle":"","family":"Lee","given":"Pei-Shan","non-dropping-particle":"","parse-names":false,"suffix":""}],"container-title":"Journal of Enterprise Information Management","id":"ITEM-1","issue":"2","issued":{"date-parts":[["2014","2","4"]]},"page":"158-179","title":"The effect of knowledge management capability and dynamic capability on organizational performance","type":"article-journal","volume":"27"},"suppress-author":1,"uris":["http://www.mendeley.com/documents/?uuid=6f3139a4-59e8-4c26-896c-f1fda060a8d8"]}],"mendeley":{"formattedCitation":"(2014)","plainTextFormattedCitation":"(2014)","previouslyFormattedCitation":"(2014)"},"properties":{"noteIndex":0},"schema":"https://github.com/citation-style-language/schema/raw/master/csl-citation.json"}</w:instrText>
            </w:r>
            <w:r w:rsidRPr="002A7627">
              <w:rPr>
                <w:rFonts w:asciiTheme="majorBidi" w:hAnsiTheme="majorBidi" w:cstheme="majorBidi"/>
                <w:color w:val="auto"/>
                <w:sz w:val="20"/>
                <w:szCs w:val="20"/>
              </w:rPr>
              <w:fldChar w:fldCharType="separate"/>
            </w:r>
            <w:r w:rsidRPr="002A7627">
              <w:rPr>
                <w:rFonts w:asciiTheme="majorBidi" w:hAnsiTheme="majorBidi" w:cstheme="majorBidi"/>
                <w:noProof/>
                <w:color w:val="auto"/>
                <w:sz w:val="20"/>
                <w:szCs w:val="20"/>
              </w:rPr>
              <w:t>(2014)</w:t>
            </w:r>
            <w:r w:rsidRPr="002A7627">
              <w:rPr>
                <w:rFonts w:asciiTheme="majorBidi" w:hAnsiTheme="majorBidi" w:cstheme="majorBidi"/>
                <w:color w:val="auto"/>
                <w:sz w:val="20"/>
                <w:szCs w:val="20"/>
              </w:rPr>
              <w:fldChar w:fldCharType="end"/>
            </w:r>
          </w:p>
          <w:p w14:paraId="4A7768D7" w14:textId="77777777" w:rsidR="00571997" w:rsidRPr="002A7627" w:rsidRDefault="00571997" w:rsidP="00571997">
            <w:pPr>
              <w:widowControl/>
              <w:autoSpaceDE/>
              <w:autoSpaceDN/>
              <w:adjustRightInd/>
              <w:jc w:val="lowKashida"/>
              <w:rPr>
                <w:rFonts w:asciiTheme="majorBidi" w:hAnsiTheme="majorBidi" w:cstheme="majorBidi"/>
                <w:color w:val="auto"/>
                <w:sz w:val="20"/>
                <w:szCs w:val="20"/>
              </w:rPr>
            </w:pPr>
          </w:p>
          <w:p w14:paraId="61FDE8B4" w14:textId="77777777" w:rsidR="00571997" w:rsidRPr="002A7627" w:rsidRDefault="00571997" w:rsidP="00571997">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 xml:space="preserve">Liu et al. </w:t>
            </w:r>
            <w:r w:rsidRPr="002A7627">
              <w:rPr>
                <w:rFonts w:asciiTheme="majorBidi" w:hAnsiTheme="majorBidi" w:cstheme="majorBidi"/>
                <w:color w:val="auto"/>
                <w:sz w:val="20"/>
                <w:szCs w:val="20"/>
              </w:rPr>
              <w:fldChar w:fldCharType="begin" w:fldLock="1"/>
            </w:r>
            <w:r w:rsidRPr="002A7627">
              <w:rPr>
                <w:rFonts w:asciiTheme="majorBidi" w:hAnsiTheme="majorBidi" w:cstheme="majorBidi"/>
                <w:color w:val="auto"/>
                <w:sz w:val="20"/>
                <w:szCs w:val="20"/>
              </w:rPr>
              <w:instrText>ADDIN CSL_CITATION {"citationItems":[{"id":"ITEM-1","itemData":{"DOI":"10.1016/j.dss.2012.12.016","ISSN":"01679236","abstract":"Researchers and practitioners regard information technology (IT) as a competitive tool. However, current knowledge on IT capability mechanisms that affect firm performance remains unclear. Based on the dynamic capabilities perspective and the view of a hierarchy of capabilities, this article proposes a model to examine how IT capabilities (i.e., flexible IT infrastructure and IT assimilation) affect firm performance through absorptive capacity and supply chain agility in the supply chain context. Survey data show that absorptive capacity and supply chain agility fully mediate the influences of IT capabilities on firm performance. In addition to the direct effects, absorptive capacity also has indirect effects on firm performance by shaping supply chain agility. We conclude with implications and suggestions for future research. © 2012 Elsevier B.V.","author":[{"dropping-particle":"","family":"Liu","given":"Hefu","non-dropping-particle":"","parse-names":false,"suffix":""},{"dropping-particle":"","family":"Ke","given":"Weiling","non-dropping-particle":"","parse-names":false,"suffix":""},{"dropping-particle":"","family":"Wei","given":"Kwok Kee","non-dropping-particle":"","parse-names":false,"suffix":""},{"dropping-particle":"","family":"Hua","given":"Zhongsheng","non-dropping-particle":"","parse-names":false,"suffix":""}],"container-title":"Decision Support Systems","id":"ITEM-1","issue":"3","issued":{"date-parts":[["2013","2"]]},"page":"1452-1462","title":"The impact of IT capabilities on firm performance: The mediating roles of absorptive capacity and supply chain agility","type":"article-journal","volume":"54"},"suppress-author":1,"uris":["http://www.mendeley.com/documents/?uuid=e1c33cd3-c54d-425c-923c-0d89c06d131f"]}],"mendeley":{"formattedCitation":"(2013)","plainTextFormattedCitation":"(2013)","previouslyFormattedCitation":"(2013)"},"properties":{"noteIndex":0},"schema":"https://github.com/citation-style-language/schema/raw/master/csl-citation.json"}</w:instrText>
            </w:r>
            <w:r w:rsidRPr="002A7627">
              <w:rPr>
                <w:rFonts w:asciiTheme="majorBidi" w:hAnsiTheme="majorBidi" w:cstheme="majorBidi"/>
                <w:color w:val="auto"/>
                <w:sz w:val="20"/>
                <w:szCs w:val="20"/>
              </w:rPr>
              <w:fldChar w:fldCharType="separate"/>
            </w:r>
            <w:r w:rsidRPr="002A7627">
              <w:rPr>
                <w:rFonts w:asciiTheme="majorBidi" w:hAnsiTheme="majorBidi" w:cstheme="majorBidi"/>
                <w:noProof/>
                <w:color w:val="auto"/>
                <w:sz w:val="20"/>
                <w:szCs w:val="20"/>
              </w:rPr>
              <w:t>(2013)</w:t>
            </w:r>
            <w:r w:rsidRPr="002A7627">
              <w:rPr>
                <w:rFonts w:asciiTheme="majorBidi" w:hAnsiTheme="majorBidi" w:cstheme="majorBidi"/>
                <w:color w:val="auto"/>
                <w:sz w:val="20"/>
                <w:szCs w:val="20"/>
              </w:rPr>
              <w:fldChar w:fldCharType="end"/>
            </w:r>
          </w:p>
          <w:p w14:paraId="445151AF" w14:textId="45F7816C" w:rsidR="00571997" w:rsidRPr="002A7627" w:rsidRDefault="00571997">
            <w:pPr>
              <w:rPr>
                <w:lang w:bidi="en-US"/>
              </w:rPr>
            </w:pPr>
            <w:r w:rsidRPr="002A7627">
              <w:rPr>
                <w:rFonts w:asciiTheme="majorBidi" w:hAnsiTheme="majorBidi" w:cstheme="majorBidi"/>
                <w:color w:val="auto"/>
                <w:sz w:val="20"/>
                <w:szCs w:val="20"/>
              </w:rPr>
              <w:t>Park</w:t>
            </w:r>
            <w:r w:rsidR="00633308">
              <w:rPr>
                <w:rFonts w:asciiTheme="majorBidi" w:hAnsiTheme="majorBidi" w:cstheme="majorBidi"/>
                <w:color w:val="auto"/>
                <w:sz w:val="20"/>
                <w:szCs w:val="20"/>
              </w:rPr>
              <w:t xml:space="preserve"> et al.</w:t>
            </w:r>
            <w:r w:rsidRPr="002A7627">
              <w:rPr>
                <w:rFonts w:asciiTheme="majorBidi" w:hAnsiTheme="majorBidi" w:cstheme="majorBidi"/>
                <w:color w:val="auto"/>
                <w:sz w:val="20"/>
                <w:szCs w:val="20"/>
              </w:rPr>
              <w:t xml:space="preserve"> </w:t>
            </w:r>
            <w:r w:rsidRPr="002A7627">
              <w:rPr>
                <w:rFonts w:asciiTheme="majorBidi" w:hAnsiTheme="majorBidi" w:cstheme="majorBidi"/>
                <w:color w:val="auto"/>
                <w:sz w:val="20"/>
                <w:szCs w:val="20"/>
              </w:rPr>
              <w:fldChar w:fldCharType="begin" w:fldLock="1"/>
            </w:r>
            <w:r w:rsidRPr="002A7627">
              <w:rPr>
                <w:rFonts w:asciiTheme="majorBidi" w:hAnsiTheme="majorBidi" w:cstheme="majorBidi"/>
                <w:color w:val="auto"/>
                <w:sz w:val="20"/>
                <w:szCs w:val="20"/>
              </w:rPr>
              <w:instrText>ADDIN CSL_CITATION {"citationItems":[{"id":"ITEM-1","itemData":{"DOI":"10.1016/j.im.2007.02.001","ISSN":"03787206","abstract":"We examined the effect of absorptive capacity of users on their use of ERP in a Korean context. The three components considered were understanding, assimilating, and applying ERP knowledge. We found that the capacities of users to assimilate and apply the knowledge had both direct and indirect effects on its value. The users' ability to understand ERP knowledge was found to influence its performance by their assimilating and applying the knowledge. We also found that organizational support moderated the relationship between their absorptive capacity and performance. © 2007 Elsevier B.V. All rights reserved.","author":[{"dropping-particle":"","family":"Park","given":"Jong-Hun","non-dropping-particle":"","parse-names":false,"suffix":""},{"dropping-particle":"","family":"Suh","given":"Hyun-Ju","non-dropping-particle":"","parse-names":false,"suffix":""},{"dropping-particle":"","family":"Yang","given":"Hee-Dong","non-dropping-particle":"","parse-names":false,"suffix":""}],"container-title":"Information and Management","id":"ITEM-1","issue":"3","issued":{"date-parts":[["2007","4"]]},"page":"300-312","title":"Perceived absorptive capacity of individual users in performance of Enterprise Resource Planning (ERP) usage: The case for Korean firms","type":"article-journal","volume":"44"},"suppress-author":1,"uris":["http://www.mendeley.com/documents/?uuid=80d4d432-7d83-4f99-a068-cae74993c0f7"]}],"mendeley":{"formattedCitation":"(2007)","plainTextFormattedCitation":"(2007)","previouslyFormattedCitation":"(2007)"},"properties":{"noteIndex":0},"schema":"https://github.com/citation-style-language/schema/raw/master/csl-citation.json"}</w:instrText>
            </w:r>
            <w:r w:rsidRPr="002A7627">
              <w:rPr>
                <w:rFonts w:asciiTheme="majorBidi" w:hAnsiTheme="majorBidi" w:cstheme="majorBidi"/>
                <w:color w:val="auto"/>
                <w:sz w:val="20"/>
                <w:szCs w:val="20"/>
              </w:rPr>
              <w:fldChar w:fldCharType="separate"/>
            </w:r>
            <w:r w:rsidRPr="002A7627">
              <w:rPr>
                <w:rFonts w:asciiTheme="majorBidi" w:hAnsiTheme="majorBidi" w:cstheme="majorBidi"/>
                <w:noProof/>
                <w:color w:val="auto"/>
                <w:sz w:val="20"/>
                <w:szCs w:val="20"/>
              </w:rPr>
              <w:t>(2007)</w:t>
            </w:r>
            <w:r w:rsidRPr="002A7627">
              <w:rPr>
                <w:rFonts w:asciiTheme="majorBidi" w:hAnsiTheme="majorBidi" w:cstheme="majorBidi"/>
                <w:color w:val="auto"/>
                <w:sz w:val="20"/>
                <w:szCs w:val="20"/>
              </w:rPr>
              <w:fldChar w:fldCharType="end"/>
            </w:r>
          </w:p>
        </w:tc>
      </w:tr>
      <w:tr w:rsidR="00571997" w:rsidRPr="002A7627" w14:paraId="5A1933D5" w14:textId="77777777" w:rsidTr="00571997">
        <w:tc>
          <w:tcPr>
            <w:tcW w:w="1405" w:type="dxa"/>
          </w:tcPr>
          <w:p w14:paraId="5EAF8C3C" w14:textId="61C9D257" w:rsidR="00571997" w:rsidRPr="002A7627" w:rsidRDefault="00571997" w:rsidP="00571997">
            <w:pPr>
              <w:rPr>
                <w:lang w:bidi="en-US"/>
              </w:rPr>
            </w:pPr>
            <w:r w:rsidRPr="002A7627">
              <w:rPr>
                <w:rFonts w:asciiTheme="majorBidi" w:hAnsiTheme="majorBidi" w:cstheme="majorBidi"/>
                <w:color w:val="auto"/>
                <w:sz w:val="20"/>
                <w:szCs w:val="20"/>
              </w:rPr>
              <w:t>Extrinsic motivation</w:t>
            </w:r>
          </w:p>
        </w:tc>
        <w:tc>
          <w:tcPr>
            <w:tcW w:w="1405" w:type="dxa"/>
          </w:tcPr>
          <w:p w14:paraId="0FA3B271" w14:textId="157776A3" w:rsidR="00571997" w:rsidRPr="002A7627" w:rsidRDefault="00571997">
            <w:pPr>
              <w:rPr>
                <w:lang w:bidi="en-US"/>
              </w:rPr>
            </w:pPr>
            <w:r w:rsidRPr="002A7627">
              <w:rPr>
                <w:rFonts w:asciiTheme="majorBidi" w:hAnsiTheme="majorBidi" w:cstheme="majorBidi"/>
                <w:color w:val="auto"/>
                <w:sz w:val="20"/>
                <w:szCs w:val="20"/>
              </w:rPr>
              <w:t xml:space="preserve">Self-determination </w:t>
            </w:r>
            <w:r w:rsidR="00805E42">
              <w:rPr>
                <w:rFonts w:asciiTheme="majorBidi" w:hAnsiTheme="majorBidi" w:cstheme="majorBidi"/>
                <w:color w:val="auto"/>
                <w:sz w:val="20"/>
                <w:szCs w:val="20"/>
              </w:rPr>
              <w:t>t</w:t>
            </w:r>
            <w:r w:rsidRPr="002A7627">
              <w:rPr>
                <w:rFonts w:asciiTheme="majorBidi" w:hAnsiTheme="majorBidi" w:cstheme="majorBidi"/>
                <w:color w:val="auto"/>
                <w:sz w:val="20"/>
                <w:szCs w:val="20"/>
              </w:rPr>
              <w:t>heory</w:t>
            </w:r>
          </w:p>
        </w:tc>
        <w:tc>
          <w:tcPr>
            <w:tcW w:w="1420" w:type="dxa"/>
          </w:tcPr>
          <w:p w14:paraId="444956F6" w14:textId="230F15FF" w:rsidR="00571997" w:rsidRPr="002A7627" w:rsidRDefault="00571997" w:rsidP="00571997">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 xml:space="preserve">Deci and Ryan </w:t>
            </w:r>
            <w:r w:rsidRPr="002A7627">
              <w:rPr>
                <w:rFonts w:asciiTheme="majorBidi" w:hAnsiTheme="majorBidi" w:cstheme="majorBidi"/>
                <w:color w:val="auto"/>
                <w:sz w:val="20"/>
                <w:szCs w:val="20"/>
              </w:rPr>
              <w:fldChar w:fldCharType="begin" w:fldLock="1"/>
            </w:r>
            <w:r w:rsidRPr="002A7627">
              <w:rPr>
                <w:rFonts w:asciiTheme="majorBidi" w:hAnsiTheme="majorBidi" w:cstheme="majorBidi"/>
                <w:color w:val="auto"/>
                <w:sz w:val="20"/>
                <w:szCs w:val="20"/>
              </w:rPr>
              <w:instrText>ADDIN CSL_CITATION {"citationItems":[{"id":"ITEM-1","itemData":{"DOI":"10.1016/0092-6566(85)90023-6","ISSN":"00926566","abstract":"This paper describes the development and validation of a general causality orientations scale. Causality orientations are conceptualized as relatively enduring aspects of people that characterize the source of initiation and regulation, and thus the degree of self-determination, of their behavior. Three orientations-autonomy, control, and impersonal-are measured by the three subscales of the instrument. Individuals are given a score on each orientation, thus allowing the use of the theoretically appropriate subscale (or, in some cases, a combination of subscales) to predict affects, cognitions, and behaviors. The scale was shown to have internal consistency and temporal stability. The orientations were shown to fit appropriately into a nomological network of constructs and to relate to various behaviors that were hypothesized to be theoretically relevant. © 1985.","author":[{"dropping-particle":"","family":"Deci","given":"Edward L.","non-dropping-particle":"","parse-names":false,"suffix":""},{"dropping-particle":"","family":"Ryan","given":"Richard M.","non-dropping-particle":"","parse-names":false,"suffix":""}],"container-title":"Journal of Research in Personality","id":"ITEM-1","issue":"2","issued":{"date-parts":[["1985","6"]]},"page":"109-134","title":"The general causality orientations scale: Self-determination in personality","type":"article-journal","volume":"19"},"suppress-author":1,"uris":["http://www.mendeley.com/documents/?uuid=d6d722fb-e03a-4519-8cad-c2ed98ed1422"]}],"mendeley":{"formattedCitation":"(1985)","plainTextFormattedCitation":"(1985)","previouslyFormattedCitation":"(1985)"},"properties":{"noteIndex":0},"schema":"https://github.com/citation-style-language/schema/raw/master/csl-citation.json"}</w:instrText>
            </w:r>
            <w:r w:rsidRPr="002A7627">
              <w:rPr>
                <w:rFonts w:asciiTheme="majorBidi" w:hAnsiTheme="majorBidi" w:cstheme="majorBidi"/>
                <w:color w:val="auto"/>
                <w:sz w:val="20"/>
                <w:szCs w:val="20"/>
              </w:rPr>
              <w:fldChar w:fldCharType="separate"/>
            </w:r>
            <w:r w:rsidRPr="002A7627">
              <w:rPr>
                <w:rFonts w:asciiTheme="majorBidi" w:hAnsiTheme="majorBidi" w:cstheme="majorBidi"/>
                <w:noProof/>
                <w:color w:val="auto"/>
                <w:sz w:val="20"/>
                <w:szCs w:val="20"/>
              </w:rPr>
              <w:t>(1985)</w:t>
            </w:r>
            <w:r w:rsidRPr="002A7627">
              <w:rPr>
                <w:rFonts w:asciiTheme="majorBidi" w:hAnsiTheme="majorBidi" w:cstheme="majorBidi"/>
                <w:color w:val="auto"/>
                <w:sz w:val="20"/>
                <w:szCs w:val="20"/>
              </w:rPr>
              <w:fldChar w:fldCharType="end"/>
            </w:r>
          </w:p>
          <w:p w14:paraId="160147F5" w14:textId="77777777" w:rsidR="00571997" w:rsidRPr="002A7627" w:rsidRDefault="00571997" w:rsidP="00571997">
            <w:pPr>
              <w:rPr>
                <w:lang w:bidi="en-US"/>
              </w:rPr>
            </w:pPr>
          </w:p>
        </w:tc>
        <w:tc>
          <w:tcPr>
            <w:tcW w:w="2469" w:type="dxa"/>
          </w:tcPr>
          <w:p w14:paraId="4A32509A" w14:textId="4C99EE9D" w:rsidR="00571997" w:rsidRPr="002A7627" w:rsidRDefault="00571997" w:rsidP="00141425">
            <w:pPr>
              <w:jc w:val="lowKashida"/>
              <w:rPr>
                <w:lang w:bidi="en-US"/>
              </w:rPr>
            </w:pPr>
            <w:r w:rsidRPr="002A7627">
              <w:rPr>
                <w:rFonts w:asciiTheme="majorBidi" w:eastAsia="Times New Roman" w:hAnsiTheme="majorBidi" w:cstheme="majorBidi"/>
                <w:color w:val="auto"/>
                <w:sz w:val="20"/>
                <w:szCs w:val="20"/>
              </w:rPr>
              <w:t>There are two kinds of motivation, intrinsic and extrinsic. Extrinsic includes the external benefits employees gain when engaging in particular behavior.</w:t>
            </w:r>
          </w:p>
        </w:tc>
        <w:tc>
          <w:tcPr>
            <w:tcW w:w="1995" w:type="dxa"/>
          </w:tcPr>
          <w:p w14:paraId="3814CE1C" w14:textId="77777777" w:rsidR="00571997" w:rsidRPr="002A7627" w:rsidRDefault="00571997" w:rsidP="00571997">
            <w:pPr>
              <w:widowControl/>
              <w:autoSpaceDE/>
              <w:autoSpaceDN/>
              <w:adjustRightInd/>
              <w:jc w:val="lowKashida"/>
              <w:rPr>
                <w:rFonts w:eastAsia="Times New Roman" w:cs="Times New Roman"/>
                <w:sz w:val="20"/>
                <w:szCs w:val="20"/>
              </w:rPr>
            </w:pPr>
            <w:r w:rsidRPr="002A7627">
              <w:rPr>
                <w:rFonts w:eastAsia="Times New Roman" w:cs="Times New Roman"/>
                <w:color w:val="000000" w:themeColor="text1"/>
                <w:sz w:val="20"/>
                <w:szCs w:val="20"/>
              </w:rPr>
              <w:fldChar w:fldCharType="begin" w:fldLock="1"/>
            </w:r>
            <w:r w:rsidRPr="002A7627">
              <w:rPr>
                <w:rFonts w:eastAsia="Times New Roman" w:cs="Times New Roman"/>
                <w:color w:val="000000" w:themeColor="text1"/>
                <w:sz w:val="20"/>
                <w:szCs w:val="20"/>
              </w:rPr>
              <w:instrText>ADDIN CSL_CITATION {"citationItems":[{"id":"ITEM-1","itemData":{"DOI":"10.1108/BIJ-06-2016-0081","ISSN":"1463-5771","abstract":"Purpose The purpose of this paper is to examine the positive effect of organizational culture on knowledge management (KM) by clarifying the mediating effect of job satisfaction on the banking sector in Jordan. The study was conducted on Jordanian banks to develop the organizational culture concept to be reflected in the bank activities. The population of this study consists of junior and senior customer service and administrative employees working at Jordanian banks in Jordan. Design/methodology/approach The sample of this research is purposive one because the research cannot get a list containing names of customer service employees for privacy reasons. Various statistical tests were employed to test the research hypotheses. The study utilized two statistical packages – Statistical Package for Social Sciences (SPSS) and SPSS-AMOS – for analyzing the data. Findings The development of organizational culture at banks in Jordan is still not stable and efficient. This may be affected by the management style and teamwork spirit in Jordan and other factors related to bank culture and how it will be reflected in customer service. The creation and application of KM at banks in Jordan is still modest. Knowledge is mainly shared internally within the bank with little efforts dedicated to soliciting knowledge from the external environment including customers. The job satisfaction at banks in Jordan is still modest. Originality/value The purpose of this study is to investigate how the organizational culture can improve job satisfaction for efficient work knowledge. The relationship between organizational culture and KM of organizational members is developed and analyzed herein by proposing a mediating role of job satisfaction. Few research papers have focused on job satisfaction and its mechanism contributing to individual effectiveness in the Jordanian market, and many ignored the benefits of KM and value of culture in many sectors.","author":[{"dropping-particle":"","family":"Al-Abdullat","given":"Bayan M.","non-dropping-particle":"","parse-names":false,"suffix":""},{"dropping-particle":"","family":"Dababneh","given":"Amr","non-dropping-particle":"","parse-names":false,"suffix":""}],"container-title":"Benchmarking","id":"ITEM-1","issue":"2","issued":{"date-parts":[["2018","3","5"]]},"page":"517-544","title":"The mediating effect of job satisfaction on the relationship between organizational culture and knowledge management in Jordanian banking sector","type":"article-journal","volume":"25"},"uris":["http://www.mendeley.com/documents/?uuid=0c294c9f-1b8e-4288-a57f-0ef7713b5f4a"]}],"mendeley":{"formattedCitation":"(Al-Abdullat &amp; Dababneh, 2018)","manualFormatting":"Al-Abdullat and Dababneh (2018)","plainTextFormattedCitation":"(Al-Abdullat &amp; Dababneh, 2018)","previouslyFormattedCitation":"(Al-Abdullat &amp; Dababneh, 2018)"},"properties":{"noteIndex":0},"schema":"https://github.com/citation-style-language/schema/raw/master/csl-citation.json"}</w:instrText>
            </w:r>
            <w:r w:rsidRPr="002A7627">
              <w:rPr>
                <w:rFonts w:eastAsia="Times New Roman" w:cs="Times New Roman"/>
                <w:color w:val="000000" w:themeColor="text1"/>
                <w:sz w:val="20"/>
                <w:szCs w:val="20"/>
              </w:rPr>
              <w:fldChar w:fldCharType="separate"/>
            </w:r>
            <w:r w:rsidRPr="002A7627">
              <w:rPr>
                <w:rFonts w:eastAsia="Times New Roman" w:cs="Times New Roman"/>
                <w:noProof/>
                <w:sz w:val="20"/>
                <w:szCs w:val="20"/>
              </w:rPr>
              <w:t>Al-Abdullat and Dababneh (2018)</w:t>
            </w:r>
            <w:r w:rsidRPr="002A7627">
              <w:rPr>
                <w:rFonts w:eastAsia="Times New Roman" w:cs="Times New Roman"/>
                <w:color w:val="000000" w:themeColor="text1"/>
                <w:sz w:val="20"/>
                <w:szCs w:val="20"/>
              </w:rPr>
              <w:fldChar w:fldCharType="end"/>
            </w:r>
          </w:p>
          <w:p w14:paraId="1133DBCC" w14:textId="77777777" w:rsidR="00571997" w:rsidRPr="002A7627" w:rsidRDefault="00571997" w:rsidP="00571997">
            <w:pPr>
              <w:widowControl/>
              <w:autoSpaceDE/>
              <w:autoSpaceDN/>
              <w:adjustRightInd/>
              <w:jc w:val="lowKashida"/>
              <w:rPr>
                <w:rFonts w:eastAsia="Times New Roman" w:cs="Times New Roman"/>
                <w:sz w:val="20"/>
                <w:szCs w:val="20"/>
              </w:rPr>
            </w:pP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{"citationItems":[{"id":"ITEM-1","itemData":{"ISSN":"1099-050X","author":[{"dropping-particle":"","family":"Gagné","given":"Marylène","non-dropping-particle":"","parse-names":false,"suffix":""}],"container-title":"Human Resource Management","id":"ITEM-1","issue":"4","issued":{"date-parts":[["2009"]]},"page":"571-589","title":"A model of knowledge‐sharing motivation","type":"article-journal","volume":"48"},"uris":["http://www.mendeley.com/documents/?uuid=20689c01-ad42-4a45-b239-c3208357affa"]}],"mendeley":{"formattedCitation":"(Gagné, 2009)","manualFormatting":"Gagné (2009)","plainTextFormattedCitation":"(Gagné, 2009)","previouslyFormattedCitation":"(Gagné, 2009)"},"properties":{"noteIndex":0},"schema":"https://github.com/citation-style-language/schema/raw/master/csl-citation.json"}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Gagné (2009)</w:t>
            </w:r>
            <w:r w:rsidRPr="002A7627">
              <w:rPr>
                <w:rFonts w:eastAsia="Times New Roman" w:cs="Times New Roman"/>
                <w:sz w:val="20"/>
                <w:szCs w:val="20"/>
              </w:rPr>
              <w:fldChar w:fldCharType="end"/>
            </w:r>
          </w:p>
          <w:p w14:paraId="0D83C980" w14:textId="741BB5CE" w:rsidR="00571997" w:rsidRPr="002A7627" w:rsidRDefault="00571997" w:rsidP="00571997">
            <w:pPr>
              <w:widowControl/>
              <w:autoSpaceDE/>
              <w:autoSpaceDN/>
              <w:adjustRightInd/>
              <w:jc w:val="lowKashida"/>
              <w:rPr>
                <w:rFonts w:eastAsia="Times New Roman" w:cs="Times New Roman"/>
                <w:sz w:val="20"/>
                <w:szCs w:val="20"/>
              </w:rPr>
            </w:pPr>
            <w:r w:rsidRPr="002A7627">
              <w:rPr>
                <w:rFonts w:eastAsia="Times New Roman" w:cs="Times New Roman"/>
                <w:sz w:val="20"/>
                <w:szCs w:val="20"/>
              </w:rPr>
              <w:fldChar w:fldCharType="begin" w:fldLock="1"/>
            </w:r>
            <w:r w:rsidRPr="002A7627">
              <w:rPr>
                <w:rFonts w:eastAsia="Times New Roman" w:cs="Times New Roman"/>
                <w:sz w:val="20"/>
                <w:szCs w:val="20"/>
              </w:rPr>
              <w:instrText>ADDIN CSL_CITATION {"citationItems":[{"id":"ITEM-1","itemData":{"ISSN":"1047-7039","author":[{"dropping-particle":"","family":"Osterloh","given":"Margit","non-dropping-particle":"","parse-names":false,"suffix":""},{"dropping-particle":"","family":"Frey","given":"Bruno S","non-dropping-particle":"","parse-names":false,"suffix":""}],"container-title":"Organization science","id":"ITEM-1","issue":"5","issued":{"date-parts":[["2000"]]},"page":"538-550","publisher":"INFORMS","title":"Motivation, knowledge transfer, and organizational forms","type":"article-journal","volume":"11"},"uris":["http://www.mendeley.com/documents/?uuid=2d98b875-a322-4278-97eb-c9bf87bafbab"]}],"mendeley":{"formattedCitation":"(Osterloh &amp; Frey, 2000)","manualFormatting":"Osterloh and Frey (2000)","plainTextFormattedCitation":"(Osterloh &amp; Frey, 2000)","previouslyFormattedCitation":"(Osterloh &amp; Frey, 2000)"},"properties":{"noteIndex":0},"schema":"https://github.com/citation-style-language/schema/raw/master/csl-citation.json"}</w:instrText>
            </w:r>
            <w:r w:rsidRPr="002A7627">
              <w:rPr>
                <w:rFonts w:eastAsia="Times New Roman" w:cs="Times New Roman"/>
                <w:sz w:val="20"/>
                <w:szCs w:val="20"/>
              </w:rPr>
              <w:fldChar w:fldCharType="separate"/>
            </w:r>
            <w:r w:rsidRPr="002A7627">
              <w:rPr>
                <w:rFonts w:eastAsia="Times New Roman" w:cs="Times New Roman"/>
                <w:noProof/>
                <w:sz w:val="20"/>
                <w:szCs w:val="20"/>
              </w:rPr>
              <w:t>Osterloh and Frey (2000)</w:t>
            </w:r>
            <w:r w:rsidRPr="002A7627">
              <w:rPr>
                <w:rFonts w:eastAsia="Times New Roman" w:cs="Times New Roman"/>
                <w:sz w:val="20"/>
                <w:szCs w:val="20"/>
              </w:rPr>
              <w:fldChar w:fldCharType="end"/>
            </w:r>
          </w:p>
          <w:p w14:paraId="074B128B" w14:textId="019D955B" w:rsidR="00571997" w:rsidRPr="002A7627" w:rsidRDefault="00571997" w:rsidP="00571997">
            <w:pPr>
              <w:rPr>
                <w:lang w:bidi="en-US"/>
              </w:rPr>
            </w:pPr>
            <w:r w:rsidRPr="002A7627">
              <w:rPr>
                <w:rFonts w:eastAsia="Times New Roman" w:cs="Times New Roman"/>
                <w:noProof/>
                <w:sz w:val="20"/>
                <w:szCs w:val="20"/>
              </w:rPr>
              <w:t>Ryan and Deci (2000)</w:t>
            </w:r>
          </w:p>
        </w:tc>
      </w:tr>
      <w:tr w:rsidR="00571997" w:rsidRPr="002A7627" w14:paraId="0CC789B2" w14:textId="77777777" w:rsidTr="00571997">
        <w:tc>
          <w:tcPr>
            <w:tcW w:w="1405" w:type="dxa"/>
          </w:tcPr>
          <w:p w14:paraId="053AC868" w14:textId="6F593485" w:rsidR="00571997" w:rsidRPr="002A7627" w:rsidRDefault="00571997" w:rsidP="00571997">
            <w:pPr>
              <w:rPr>
                <w:lang w:bidi="en-US"/>
              </w:rPr>
            </w:pPr>
            <w:r w:rsidRPr="002A7627">
              <w:rPr>
                <w:rFonts w:asciiTheme="majorBidi" w:hAnsiTheme="majorBidi" w:cstheme="majorBidi"/>
                <w:color w:val="auto"/>
                <w:sz w:val="20"/>
                <w:szCs w:val="20"/>
              </w:rPr>
              <w:t>Intrinsic motivation</w:t>
            </w:r>
          </w:p>
        </w:tc>
        <w:tc>
          <w:tcPr>
            <w:tcW w:w="1405" w:type="dxa"/>
          </w:tcPr>
          <w:p w14:paraId="3B2700B1" w14:textId="432CF895" w:rsidR="00571997" w:rsidRPr="002A7627" w:rsidRDefault="00571997" w:rsidP="00571997">
            <w:pPr>
              <w:rPr>
                <w:lang w:bidi="en-US"/>
              </w:rPr>
            </w:pPr>
            <w:r w:rsidRPr="002A7627">
              <w:rPr>
                <w:rFonts w:asciiTheme="majorBidi" w:eastAsia="Times New Roman" w:hAnsiTheme="majorBidi" w:cstheme="majorBidi"/>
                <w:color w:val="000000" w:themeColor="text1"/>
                <w:sz w:val="20"/>
                <w:szCs w:val="20"/>
              </w:rPr>
              <w:t>Social exchange theory</w:t>
            </w:r>
          </w:p>
        </w:tc>
        <w:tc>
          <w:tcPr>
            <w:tcW w:w="1420" w:type="dxa"/>
          </w:tcPr>
          <w:p w14:paraId="62526801" w14:textId="695B3DCB" w:rsidR="00571997" w:rsidRPr="002A7627" w:rsidRDefault="00571997" w:rsidP="00571997">
            <w:pPr>
              <w:rPr>
                <w:lang w:bidi="en-US"/>
              </w:rPr>
            </w:pPr>
            <w:r w:rsidRPr="002A7627">
              <w:rPr>
                <w:rFonts w:asciiTheme="majorBidi" w:hAnsiTheme="majorBidi" w:cstheme="majorBidi"/>
                <w:color w:val="auto"/>
                <w:sz w:val="20"/>
                <w:szCs w:val="20"/>
              </w:rPr>
              <w:t xml:space="preserve">Blau </w:t>
            </w:r>
            <w:r w:rsidRPr="002A7627">
              <w:rPr>
                <w:rFonts w:asciiTheme="majorBidi" w:hAnsiTheme="majorBidi" w:cstheme="majorBidi"/>
                <w:color w:val="auto"/>
                <w:sz w:val="20"/>
                <w:szCs w:val="20"/>
              </w:rPr>
              <w:fldChar w:fldCharType="begin" w:fldLock="1"/>
            </w:r>
            <w:r w:rsidRPr="002A7627">
              <w:rPr>
                <w:rFonts w:asciiTheme="majorBidi" w:hAnsiTheme="majorBidi" w:cstheme="majorBidi"/>
                <w:color w:val="auto"/>
                <w:sz w:val="20"/>
                <w:szCs w:val="20"/>
              </w:rPr>
              <w:instrText>ADDIN CSL_CITATION {"citationItems":[{"id":"ITEM-1","itemData":{"ISBN":"2219-1933","abstract":"In this paper, we investigated social exchange theory (SET) and its underlying mechanism of obligation feeling in light of potential context effects. To date, the bulk of the research on SET has been based on North American samples, with little understanding whether the theory transcends cultural contexts in its ability to explain and effectively predict. Thus, in order to expand our knowledge in this area, we examined SET in a Swedish sample. Using 402 professional employees, we tested whether felt obligation mediated the relationships between perceived organizational support and both affective organizational commitment and personal initiative. The results partially confirmed the applicability of SET in a Swedish context. The paper makes a contribution to the literature by extending empirical research on SET and its applications in a non-U.S. environment, and thus, highlighting the increased importance of context in organizational science research today.","author":[{"dropping-particle":"","family":"Blau","given":"P.","non-dropping-particle":"","parse-names":false,"suffix":""}],"id":"ITEM-1","issued":{"date-parts":[["1964"]]},"publisher":"John Wiley &amp; Sons","publisher-place":"New York, NY","title":"Power and exchange in social life","type":"book"},"suppress-author":1,"uris":["http://www.mendeley.com/documents/?uuid=3340002c-a5d0-4d69-bca6-01dd53991553"]}],"mendeley":{"formattedCitation":"(1964)","plainTextFormattedCitation":"(1964)","previouslyFormattedCitation":"(1964)"},"properties":{"noteIndex":0},"schema":"https://github.com/citation-style-language/schema/raw/master/csl-citation.json"}</w:instrText>
            </w:r>
            <w:r w:rsidRPr="002A7627">
              <w:rPr>
                <w:rFonts w:asciiTheme="majorBidi" w:hAnsiTheme="majorBidi" w:cstheme="majorBidi"/>
                <w:color w:val="auto"/>
                <w:sz w:val="20"/>
                <w:szCs w:val="20"/>
              </w:rPr>
              <w:fldChar w:fldCharType="separate"/>
            </w:r>
            <w:r w:rsidRPr="002A7627">
              <w:rPr>
                <w:rFonts w:asciiTheme="majorBidi" w:hAnsiTheme="majorBidi" w:cstheme="majorBidi"/>
                <w:noProof/>
                <w:color w:val="auto"/>
                <w:sz w:val="20"/>
                <w:szCs w:val="20"/>
              </w:rPr>
              <w:t>(1964)</w:t>
            </w:r>
            <w:r w:rsidRPr="002A7627">
              <w:rPr>
                <w:rFonts w:asciiTheme="majorBidi" w:hAnsiTheme="majorBidi" w:cstheme="majorBidi"/>
                <w:color w:val="auto"/>
                <w:sz w:val="20"/>
                <w:szCs w:val="20"/>
              </w:rPr>
              <w:fldChar w:fldCharType="end"/>
            </w:r>
          </w:p>
        </w:tc>
        <w:tc>
          <w:tcPr>
            <w:tcW w:w="2469" w:type="dxa"/>
          </w:tcPr>
          <w:p w14:paraId="0E6CE92D" w14:textId="6C5E73E7" w:rsidR="00571997" w:rsidRPr="002A7627" w:rsidRDefault="00571997" w:rsidP="00141425">
            <w:pPr>
              <w:jc w:val="lowKashida"/>
              <w:rPr>
                <w:lang w:bidi="en-US"/>
              </w:rPr>
            </w:pPr>
            <w:r w:rsidRPr="002A7627">
              <w:rPr>
                <w:rFonts w:asciiTheme="majorBidi" w:eastAsia="Times New Roman" w:hAnsiTheme="majorBidi" w:cstheme="majorBidi"/>
                <w:color w:val="000000" w:themeColor="text1"/>
                <w:sz w:val="20"/>
                <w:szCs w:val="20"/>
              </w:rPr>
              <w:t>Employees have high intrinsic motivation and show positive attitudes towards knowledge sharing regardless of the external rewards available</w:t>
            </w:r>
          </w:p>
        </w:tc>
        <w:tc>
          <w:tcPr>
            <w:tcW w:w="1995" w:type="dxa"/>
          </w:tcPr>
          <w:p w14:paraId="7E9158FA" w14:textId="3B56B42D" w:rsidR="00571997" w:rsidRPr="002A7627" w:rsidRDefault="00571997" w:rsidP="00571997">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Alshamsi</w:t>
            </w:r>
            <w:r w:rsidR="00633308">
              <w:rPr>
                <w:rFonts w:asciiTheme="majorBidi" w:hAnsiTheme="majorBidi" w:cstheme="majorBidi"/>
                <w:color w:val="auto"/>
                <w:sz w:val="20"/>
                <w:szCs w:val="20"/>
              </w:rPr>
              <w:t xml:space="preserve"> et al.</w:t>
            </w:r>
            <w:r w:rsidRPr="002A7627">
              <w:rPr>
                <w:rFonts w:asciiTheme="majorBidi" w:hAnsiTheme="majorBidi" w:cstheme="majorBidi"/>
                <w:color w:val="auto"/>
                <w:sz w:val="20"/>
                <w:szCs w:val="20"/>
              </w:rPr>
              <w:t xml:space="preserve"> </w:t>
            </w:r>
            <w:r w:rsidRPr="002A7627">
              <w:rPr>
                <w:rFonts w:asciiTheme="majorBidi" w:hAnsiTheme="majorBidi" w:cstheme="majorBidi"/>
                <w:color w:val="auto"/>
                <w:sz w:val="20"/>
                <w:szCs w:val="20"/>
              </w:rPr>
              <w:fldChar w:fldCharType="begin" w:fldLock="1"/>
            </w:r>
            <w:r w:rsidRPr="002A7627">
              <w:rPr>
                <w:rFonts w:asciiTheme="majorBidi" w:hAnsiTheme="majorBidi" w:cstheme="majorBidi"/>
                <w:color w:val="auto"/>
                <w:sz w:val="20"/>
                <w:szCs w:val="20"/>
              </w:rPr>
              <w:instrText>ADDIN CSL_CITATION {"citationItems":[{"id":"ITEM-1","itemData":{"DOI":"10.1504/ijkl.2017.10009133","ISSN":"1741-1009","abstract":"Copyright © 2017 Inderscience Enterprises Ltd. The primary motive behind this study is to enhance understanding of the relationship between organisational practices and knowledge sharing among employees. A quantitative approach is used to examine the relationship between organisational practices and knowledge sharing among the employees in an organisation. Exploratory factor analysis (EFA) and confirmatory factor analysis (CFA) were used to assess the impact of organisational practices on knowledge sharing by selecting an appropriate conceptual model that fits the study premise and results in better findings. The outcome of this research clarifies that organisational practices, such as collaboration, learning cultures, and management support, significantly impact knowledge sharing among employees at the workplace. This study can improve an organisation's understanding of the internal culture enhancement in regard to organisational practices, collaboration, management support, and learning cultures, affect knowledge sharing among employees. Moreover, this study can help an organisation create effective strategies to develop knowledge sharing mechanisms in their organisations.","author":[{"dropping-particle":"","family":"Alshamsi","given":"Omran","non-dropping-particle":"","parse-names":false,"suffix":""},{"dropping-particle":"","family":"Khan","given":"Mehmood","non-dropping-particle":"","parse-names":false,"suffix":""},{"dropping-particle":"","family":"Ajmal","given":"Mian M.","non-dropping-particle":"","parse-names":false,"suffix":""}],"container-title":"International Journal of Knowledge and Learning","id":"ITEM-1","issue":"1","issued":{"date-parts":[["2017"]]},"page":"74","title":"Impact of organisational practices on knowledge sharing: An empirical study","type":"article-journal","volume":"12"},"suppress-author":1,"uris":["http://www.mendeley.com/documents/?uuid=ac351090-9822-4010-bada-e060c4016ceb"]}],"mendeley":{"formattedCitation":"(2017)","plainTextFormattedCitation":"(2017)","previouslyFormattedCitation":"(2017)"},"properties":{"noteIndex":0},"schema":"https://github.com/citation-style-language/schema/raw/master/csl-citation.json"}</w:instrText>
            </w:r>
            <w:r w:rsidRPr="002A7627">
              <w:rPr>
                <w:rFonts w:asciiTheme="majorBidi" w:hAnsiTheme="majorBidi" w:cstheme="majorBidi"/>
                <w:color w:val="auto"/>
                <w:sz w:val="20"/>
                <w:szCs w:val="20"/>
              </w:rPr>
              <w:fldChar w:fldCharType="separate"/>
            </w:r>
            <w:r w:rsidRPr="002A7627">
              <w:rPr>
                <w:rFonts w:asciiTheme="majorBidi" w:hAnsiTheme="majorBidi" w:cstheme="majorBidi"/>
                <w:noProof/>
                <w:color w:val="auto"/>
                <w:sz w:val="20"/>
                <w:szCs w:val="20"/>
              </w:rPr>
              <w:t>(2017)</w:t>
            </w:r>
            <w:r w:rsidRPr="002A7627">
              <w:rPr>
                <w:rFonts w:asciiTheme="majorBidi" w:hAnsiTheme="majorBidi" w:cstheme="majorBidi"/>
                <w:color w:val="auto"/>
                <w:sz w:val="20"/>
                <w:szCs w:val="20"/>
              </w:rPr>
              <w:fldChar w:fldCharType="end"/>
            </w:r>
            <w:r w:rsidRPr="002A7627">
              <w:rPr>
                <w:rFonts w:asciiTheme="majorBidi" w:hAnsiTheme="majorBidi" w:cstheme="majorBidi"/>
                <w:color w:val="auto"/>
                <w:sz w:val="20"/>
                <w:szCs w:val="20"/>
              </w:rPr>
              <w:t xml:space="preserve"> </w:t>
            </w:r>
          </w:p>
          <w:p w14:paraId="290F7CF6" w14:textId="77777777" w:rsidR="00571997" w:rsidRPr="002A7627" w:rsidRDefault="00571997" w:rsidP="00571997">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 xml:space="preserve">Kuvaas et al. </w:t>
            </w:r>
            <w:r w:rsidRPr="002A7627">
              <w:rPr>
                <w:rFonts w:asciiTheme="majorBidi" w:hAnsiTheme="majorBidi" w:cstheme="majorBidi"/>
                <w:color w:val="auto"/>
                <w:sz w:val="20"/>
                <w:szCs w:val="20"/>
              </w:rPr>
              <w:fldChar w:fldCharType="begin" w:fldLock="1"/>
            </w:r>
            <w:r w:rsidRPr="002A7627">
              <w:rPr>
                <w:rFonts w:asciiTheme="majorBidi" w:hAnsiTheme="majorBidi" w:cstheme="majorBidi"/>
                <w:color w:val="auto"/>
                <w:sz w:val="20"/>
                <w:szCs w:val="20"/>
              </w:rPr>
              <w:instrText>ADDIN CSL_CITATION {"citationItems":[{"id":"ITEM-1","itemData":{"DOI":"10.1002/hrm.21464","ISSN":"00904848","author":[{"dropping-particle":"","family":"Kuvaas","given":"Bård","non-dropping-particle":"","parse-names":false,"suffix":""},{"dropping-particle":"","family":"Buch","given":"Robert","non-dropping-particle":"","parse-names":false,"suffix":""},{"dropping-particle":"","family":"Dysvik","given":"Anders","non-dropping-particle":"","parse-names":false,"suffix":""}],"container-title":"Human Resource Management","id":"ITEM-1","issue":"2","issued":{"date-parts":[["2012","3"]]},"page":"167-187","title":"Perceived training intensity and knowledge sharing: Sharing for intrinsic and prosocial reasons","type":"article-journal","volume":"51"},"suppress-author":1,"uris":["http://www.mendeley.com/documents/?uuid=f14bfd1c-e11e-4a76-b810-0d418d656618"]}],"mendeley":{"formattedCitation":"(2012)","plainTextFormattedCitation":"(2012)","previouslyFormattedCitation":"(2012)"},"properties":{"noteIndex":0},"schema":"https://github.com/citation-style-language/schema/raw/master/csl-citation.json"}</w:instrText>
            </w:r>
            <w:r w:rsidRPr="002A7627">
              <w:rPr>
                <w:rFonts w:asciiTheme="majorBidi" w:hAnsiTheme="majorBidi" w:cstheme="majorBidi"/>
                <w:color w:val="auto"/>
                <w:sz w:val="20"/>
                <w:szCs w:val="20"/>
              </w:rPr>
              <w:fldChar w:fldCharType="separate"/>
            </w:r>
            <w:r w:rsidRPr="002A7627">
              <w:rPr>
                <w:rFonts w:asciiTheme="majorBidi" w:hAnsiTheme="majorBidi" w:cstheme="majorBidi"/>
                <w:noProof/>
                <w:color w:val="auto"/>
                <w:sz w:val="20"/>
                <w:szCs w:val="20"/>
              </w:rPr>
              <w:t>(2012)</w:t>
            </w:r>
            <w:r w:rsidRPr="002A7627">
              <w:rPr>
                <w:rFonts w:asciiTheme="majorBidi" w:hAnsiTheme="majorBidi" w:cstheme="majorBidi"/>
                <w:color w:val="auto"/>
                <w:sz w:val="20"/>
                <w:szCs w:val="20"/>
              </w:rPr>
              <w:fldChar w:fldCharType="end"/>
            </w:r>
          </w:p>
          <w:p w14:paraId="5239B2DF" w14:textId="0E9D09BC" w:rsidR="00571997" w:rsidRPr="002A7627" w:rsidRDefault="00571997" w:rsidP="00571997">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Wu</w:t>
            </w:r>
            <w:r w:rsidR="00633308">
              <w:rPr>
                <w:rFonts w:asciiTheme="majorBidi" w:hAnsiTheme="majorBidi" w:cstheme="majorBidi"/>
                <w:color w:val="auto"/>
                <w:sz w:val="20"/>
                <w:szCs w:val="20"/>
              </w:rPr>
              <w:t xml:space="preserve"> and Lee</w:t>
            </w:r>
            <w:r w:rsidRPr="002A7627">
              <w:rPr>
                <w:rFonts w:asciiTheme="majorBidi" w:hAnsiTheme="majorBidi" w:cstheme="majorBidi"/>
                <w:color w:val="auto"/>
                <w:sz w:val="20"/>
                <w:szCs w:val="20"/>
              </w:rPr>
              <w:t xml:space="preserve"> </w:t>
            </w:r>
            <w:r w:rsidRPr="002A7627">
              <w:rPr>
                <w:rFonts w:asciiTheme="majorBidi" w:hAnsiTheme="majorBidi" w:cstheme="majorBidi"/>
                <w:color w:val="auto"/>
                <w:sz w:val="20"/>
                <w:szCs w:val="20"/>
              </w:rPr>
              <w:fldChar w:fldCharType="begin" w:fldLock="1"/>
            </w:r>
            <w:r w:rsidRPr="002A7627">
              <w:rPr>
                <w:rFonts w:asciiTheme="majorBidi" w:hAnsiTheme="majorBidi" w:cstheme="majorBidi"/>
                <w:color w:val="auto"/>
                <w:sz w:val="20"/>
                <w:szCs w:val="20"/>
              </w:rPr>
              <w:instrText>ADDIN CSL_CITATION {"citationItems":[{"id":"ITEM-1","itemData":{"DOI":"10.1108/JKM-08-2016-0318","ISSN":"1367-3270","abstract":"© 2017, © Emerald Publishing Limited. Purpose: Knowledge sharing usually happens in a work group context, but it is rarely know how group leaders influence their members’ knowledge-sharing performance. Based on social exchange theory (SET) and the perspective of positive organizational behavior (POB), this study aims to argue that a group leader’s positive leadership (e.g. empowering leadership) can help group members develop positive psychological capital which can increase their knowledge sharing. Design/methodology/approach: The authors conduct a multilevel analysis to explore the interrelationship among empowering leadership, psychological capital and knowledge sharing. The sample includes 64 work groups consisting of 537 group members, and empirical testing is carried out by hierarchical linear modeling. Findings: The results show that empowering leadership in a work group has a direct cross-level impact on members’ knowledge sharing and that psychological capital partially mediates the relationship between empowering leadership and knowledge sharing. As a result, this study shows that group leaders with positive leadership can help their members develop better positive psychological resources, which should lead to better knowledge sharing. Originality/value: Based on the multilevel perspective and SET, this is the first study to explore how group leaders’ empowering leadership influences members’knowledge sharing. Depending on integrating the POB perspective into SET, this study is also the first one that connects two emerging and important research issues – POB and knowledge sharing.","author":[{"dropping-particle":"","family":"Wu","given":"Wei-Li","non-dropping-particle":"","parse-names":false,"suffix":""},{"dropping-particle":"","family":"Lee","given":"Yi-Chih","non-dropping-particle":"","parse-names":false,"suffix":""}],"container-title":"Journal of Knowledge Management","id":"ITEM-1","issue":"2","issued":{"date-parts":[["2017","4","3"]]},"page":"474-491","title":"Empowering group leaders encourages knowledge sharing: Integrating the social exchange theory and positive organizational behavior perspective","type":"article-journal","volume":"21"},"suppress-author":1,"uris":["http://www.mendeley.com/documents/?uuid=2b89fe80-1864-4a27-b3be-f2792f6922d4"]}],"mendeley":{"formattedCitation":"(2017)","plainTextFormattedCitation":"(2017)","previouslyFormattedCitation":"(2017)"},"properties":{"noteIndex":0},"schema":"https://github.com/citation-style-language/schema/raw/master/csl-citation.json"}</w:instrText>
            </w:r>
            <w:r w:rsidRPr="002A7627">
              <w:rPr>
                <w:rFonts w:asciiTheme="majorBidi" w:hAnsiTheme="majorBidi" w:cstheme="majorBidi"/>
                <w:color w:val="auto"/>
                <w:sz w:val="20"/>
                <w:szCs w:val="20"/>
              </w:rPr>
              <w:fldChar w:fldCharType="separate"/>
            </w:r>
            <w:r w:rsidRPr="002A7627">
              <w:rPr>
                <w:rFonts w:asciiTheme="majorBidi" w:hAnsiTheme="majorBidi" w:cstheme="majorBidi"/>
                <w:noProof/>
                <w:color w:val="auto"/>
                <w:sz w:val="20"/>
                <w:szCs w:val="20"/>
              </w:rPr>
              <w:t>(2017)</w:t>
            </w:r>
            <w:r w:rsidRPr="002A7627">
              <w:rPr>
                <w:rFonts w:asciiTheme="majorBidi" w:hAnsiTheme="majorBidi" w:cstheme="majorBidi"/>
                <w:color w:val="auto"/>
                <w:sz w:val="20"/>
                <w:szCs w:val="20"/>
              </w:rPr>
              <w:fldChar w:fldCharType="end"/>
            </w:r>
          </w:p>
          <w:p w14:paraId="033A0BAA" w14:textId="77777777" w:rsidR="00571997" w:rsidRPr="002A7627" w:rsidRDefault="00571997" w:rsidP="00571997">
            <w:pPr>
              <w:rPr>
                <w:lang w:bidi="en-US"/>
              </w:rPr>
            </w:pPr>
          </w:p>
        </w:tc>
      </w:tr>
      <w:tr w:rsidR="00571997" w:rsidRPr="002A7627" w14:paraId="099DDD8E" w14:textId="77777777" w:rsidTr="00571997">
        <w:tc>
          <w:tcPr>
            <w:tcW w:w="1405" w:type="dxa"/>
          </w:tcPr>
          <w:p w14:paraId="38BB9DD6" w14:textId="0A8FF61F" w:rsidR="00571997" w:rsidRPr="002A7627" w:rsidRDefault="00571997" w:rsidP="00571997">
            <w:pPr>
              <w:rPr>
                <w:lang w:bidi="en-US"/>
              </w:rPr>
            </w:pPr>
            <w:r w:rsidRPr="002A7627">
              <w:rPr>
                <w:rFonts w:asciiTheme="majorBidi" w:hAnsiTheme="majorBidi" w:cstheme="majorBidi"/>
                <w:color w:val="auto"/>
                <w:sz w:val="20"/>
                <w:szCs w:val="20"/>
              </w:rPr>
              <w:t>Opportunities and abilities</w:t>
            </w:r>
          </w:p>
        </w:tc>
        <w:tc>
          <w:tcPr>
            <w:tcW w:w="1405" w:type="dxa"/>
          </w:tcPr>
          <w:p w14:paraId="4FE1C652" w14:textId="77777777" w:rsidR="00571997" w:rsidRPr="002A7627" w:rsidRDefault="00571997" w:rsidP="00571997">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Self-efficacy theory</w:t>
            </w:r>
          </w:p>
          <w:p w14:paraId="10A2EE84" w14:textId="77777777" w:rsidR="00571997" w:rsidRPr="002A7627" w:rsidRDefault="00571997" w:rsidP="00571997">
            <w:pPr>
              <w:rPr>
                <w:lang w:bidi="en-US"/>
              </w:rPr>
            </w:pPr>
          </w:p>
        </w:tc>
        <w:tc>
          <w:tcPr>
            <w:tcW w:w="1420" w:type="dxa"/>
          </w:tcPr>
          <w:p w14:paraId="55A4F446" w14:textId="2382276F" w:rsidR="00571997" w:rsidRPr="002A7627" w:rsidRDefault="00571997" w:rsidP="00571997">
            <w:pPr>
              <w:rPr>
                <w:lang w:bidi="en-US"/>
              </w:rPr>
            </w:pPr>
            <w:r w:rsidRPr="002A7627">
              <w:rPr>
                <w:rFonts w:asciiTheme="majorBidi" w:hAnsiTheme="majorBidi" w:cstheme="majorBidi"/>
                <w:sz w:val="20"/>
                <w:szCs w:val="20"/>
              </w:rPr>
              <w:t xml:space="preserve">Bandura </w:t>
            </w:r>
            <w:r w:rsidRPr="002A7627">
              <w:rPr>
                <w:rFonts w:asciiTheme="majorBidi" w:hAnsiTheme="majorBidi" w:cstheme="majorBidi"/>
                <w:sz w:val="20"/>
                <w:szCs w:val="20"/>
              </w:rPr>
              <w:fldChar w:fldCharType="begin" w:fldLock="1"/>
            </w:r>
            <w:r w:rsidRPr="002A7627">
              <w:rPr>
                <w:rFonts w:asciiTheme="majorBidi" w:hAnsiTheme="majorBidi" w:cstheme="majorBidi"/>
                <w:sz w:val="20"/>
                <w:szCs w:val="20"/>
              </w:rPr>
              <w:instrText>ADDIN CSL_CITATION {"citationItems":[{"id":"ITEM-1","itemData":{"ISBN":"0761972706","ISSN":"03637425","PMID":"212","author":[{"dropping-particle":"","family":"Bandura","given":"Albert","non-dropping-particle":"","parse-names":false,"suffix":""}],"container-title":"Academy of Management Review","id":"ITEM-1","issued":{"date-parts":[["1986"]]},"publisher":"Prentice-Hall","publisher-place":"Englewood Cliffs, NJ","title":"Social Foundations of Thought and Action: A Social-Cognitive View","type":"book"},"suppress-author":1,"uris":["http://www.mendeley.com/documents/?uuid=0c996392-4003-4d79-ab6a-2cc110709b2f"]}],"mendeley":{"formattedCitation":"(1986a)","plainTextFormattedCitation":"(1986a)","previouslyFormattedCitation":"(1986a)"},"properties":{"noteIndex":0},"schema":"https://github.com/citation-style-language/schema/raw/master/csl-citation.json"}</w:instrText>
            </w:r>
            <w:r w:rsidRPr="002A7627">
              <w:rPr>
                <w:rFonts w:asciiTheme="majorBidi" w:hAnsiTheme="majorBidi" w:cstheme="majorBidi"/>
                <w:sz w:val="20"/>
                <w:szCs w:val="20"/>
              </w:rPr>
              <w:fldChar w:fldCharType="separate"/>
            </w:r>
            <w:r w:rsidRPr="002A7627">
              <w:rPr>
                <w:rFonts w:asciiTheme="majorBidi" w:hAnsiTheme="majorBidi" w:cstheme="majorBidi"/>
                <w:noProof/>
                <w:sz w:val="20"/>
                <w:szCs w:val="20"/>
              </w:rPr>
              <w:t>(1986a)</w:t>
            </w:r>
            <w:r w:rsidRPr="002A7627">
              <w:rPr>
                <w:rFonts w:asciiTheme="majorBidi" w:hAnsiTheme="majorBidi" w:cstheme="majorBidi"/>
                <w:sz w:val="20"/>
                <w:szCs w:val="20"/>
              </w:rPr>
              <w:fldChar w:fldCharType="end"/>
            </w:r>
          </w:p>
        </w:tc>
        <w:tc>
          <w:tcPr>
            <w:tcW w:w="2469" w:type="dxa"/>
          </w:tcPr>
          <w:p w14:paraId="343C15B8" w14:textId="270E63CA" w:rsidR="00571997" w:rsidRPr="002A7627" w:rsidRDefault="00571997">
            <w:pPr>
              <w:jc w:val="lowKashida"/>
              <w:rPr>
                <w:lang w:bidi="en-US"/>
              </w:rPr>
            </w:pPr>
            <w:r w:rsidRPr="002A7627">
              <w:rPr>
                <w:rFonts w:asciiTheme="majorBidi" w:eastAsia="Times New Roman" w:hAnsiTheme="majorBidi" w:cstheme="majorBidi"/>
                <w:color w:val="000000" w:themeColor="text1"/>
                <w:sz w:val="20"/>
                <w:szCs w:val="20"/>
              </w:rPr>
              <w:t xml:space="preserve">The most important requirement for behavioral change can be defined as </w:t>
            </w:r>
            <w:r w:rsidR="00805E42">
              <w:rPr>
                <w:rFonts w:asciiTheme="majorBidi" w:eastAsia="Times New Roman" w:hAnsiTheme="majorBidi" w:cstheme="majorBidi"/>
                <w:color w:val="000000" w:themeColor="text1"/>
                <w:sz w:val="20"/>
                <w:szCs w:val="20"/>
              </w:rPr>
              <w:t>personal</w:t>
            </w:r>
            <w:r w:rsidRPr="002A7627">
              <w:rPr>
                <w:rFonts w:asciiTheme="majorBidi" w:eastAsia="Times New Roman" w:hAnsiTheme="majorBidi" w:cstheme="majorBidi"/>
                <w:color w:val="000000" w:themeColor="text1"/>
                <w:sz w:val="20"/>
                <w:szCs w:val="20"/>
              </w:rPr>
              <w:t xml:space="preserve"> belief that </w:t>
            </w:r>
            <w:r w:rsidR="00805E42">
              <w:rPr>
                <w:rFonts w:asciiTheme="majorBidi" w:eastAsia="Times New Roman" w:hAnsiTheme="majorBidi" w:cstheme="majorBidi"/>
                <w:color w:val="000000" w:themeColor="text1"/>
                <w:sz w:val="20"/>
                <w:szCs w:val="20"/>
              </w:rPr>
              <w:t>the individual</w:t>
            </w:r>
            <w:r w:rsidR="00805E42" w:rsidRPr="002A7627">
              <w:rPr>
                <w:rFonts w:asciiTheme="majorBidi" w:eastAsia="Times New Roman" w:hAnsiTheme="majorBidi" w:cstheme="majorBidi"/>
                <w:color w:val="000000" w:themeColor="text1"/>
                <w:sz w:val="20"/>
                <w:szCs w:val="20"/>
              </w:rPr>
              <w:t xml:space="preserve"> </w:t>
            </w:r>
            <w:r w:rsidRPr="002A7627">
              <w:rPr>
                <w:rFonts w:asciiTheme="majorBidi" w:eastAsia="Times New Roman" w:hAnsiTheme="majorBidi" w:cstheme="majorBidi"/>
                <w:color w:val="000000" w:themeColor="text1"/>
                <w:sz w:val="20"/>
                <w:szCs w:val="20"/>
              </w:rPr>
              <w:t>possess</w:t>
            </w:r>
            <w:r w:rsidR="00805E42">
              <w:rPr>
                <w:rFonts w:asciiTheme="majorBidi" w:eastAsia="Times New Roman" w:hAnsiTheme="majorBidi" w:cstheme="majorBidi"/>
                <w:color w:val="000000" w:themeColor="text1"/>
                <w:sz w:val="20"/>
                <w:szCs w:val="20"/>
              </w:rPr>
              <w:t>es</w:t>
            </w:r>
            <w:r w:rsidRPr="002A7627">
              <w:rPr>
                <w:rFonts w:asciiTheme="majorBidi" w:eastAsia="Times New Roman" w:hAnsiTheme="majorBidi" w:cstheme="majorBidi"/>
                <w:color w:val="000000" w:themeColor="text1"/>
                <w:sz w:val="20"/>
                <w:szCs w:val="20"/>
              </w:rPr>
              <w:t xml:space="preserve"> the required skills and abilities to produce a particular outcome </w:t>
            </w:r>
          </w:p>
        </w:tc>
        <w:tc>
          <w:tcPr>
            <w:tcW w:w="1995" w:type="dxa"/>
          </w:tcPr>
          <w:p w14:paraId="64219F77" w14:textId="6E16F40D" w:rsidR="00571997" w:rsidRPr="002A7627" w:rsidRDefault="00571997" w:rsidP="00571997">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Hsu</w:t>
            </w:r>
            <w:r w:rsidR="00633308">
              <w:rPr>
                <w:rFonts w:asciiTheme="majorBidi" w:hAnsiTheme="majorBidi" w:cstheme="majorBidi"/>
                <w:color w:val="auto"/>
                <w:sz w:val="20"/>
                <w:szCs w:val="20"/>
              </w:rPr>
              <w:t>, Ju, Yen and Chang</w:t>
            </w:r>
            <w:r w:rsidRPr="002A7627">
              <w:rPr>
                <w:rFonts w:asciiTheme="majorBidi" w:hAnsiTheme="majorBidi" w:cstheme="majorBidi"/>
                <w:color w:val="auto"/>
                <w:sz w:val="20"/>
                <w:szCs w:val="20"/>
              </w:rPr>
              <w:t xml:space="preserve"> </w:t>
            </w:r>
            <w:r w:rsidRPr="002A7627">
              <w:rPr>
                <w:rFonts w:asciiTheme="majorBidi" w:hAnsiTheme="majorBidi" w:cstheme="majorBidi"/>
                <w:color w:val="auto"/>
                <w:sz w:val="20"/>
                <w:szCs w:val="20"/>
              </w:rPr>
              <w:fldChar w:fldCharType="begin" w:fldLock="1"/>
            </w:r>
            <w:r w:rsidRPr="002A7627">
              <w:rPr>
                <w:rFonts w:asciiTheme="majorBidi" w:hAnsiTheme="majorBidi" w:cstheme="majorBidi"/>
                <w:color w:val="auto"/>
                <w:sz w:val="20"/>
                <w:szCs w:val="20"/>
              </w:rPr>
              <w:instrText>ADDIN CSL_CITATION {"citationItems":[{"id":"ITEM-1","itemData":{"DOI":"10.1016/j.ijhcs.2006.09.003","ISBN":"1071-5819","ISSN":"10715819","PMID":"9456257","abstract":"There has been a growing interest in examining the factors that support or hinder one's knowledge sharing behavior in the virtual communities. However, still very few studies examined them from both personal and environmental perspectives. In order to explore the knowledge sharing behaviors within the virtual communities of professional societies, this study proposed a social cognitive theory (SCT)-based model that includes knowledge sharing self-efficacy and outcome expectations for personal influences, and multi-dimensional trusts for environmental influences. The proposed research model was then evaluated with structural equation modeling, and confirmatory factor analysis was also applied to test if the empirical data conform to the proposed model. © 2006 Elsevier Ltd. All rights reserved.","author":[{"dropping-particle":"","family":"Hsu","given":"Meng-Hsiang","non-dropping-particle":"","parse-names":false,"suffix":""},{"dropping-particle":"","family":"Ju","given":"Teresa L.","non-dropping-particle":"","parse-names":false,"suffix":""},{"dropping-particle":"","family":"Yen","given":"Chia-Hui","non-dropping-particle":"","parse-names":false,"suffix":""},{"dropping-particle":"","family":"Chang","given":"Chun-Ming","non-dropping-particle":"","parse-names":false,"suffix":""}],"container-title":"International Journal of Human-Computer Studies","id":"ITEM-1","issue":"2","issued":{"date-parts":[["2007","2"]]},"page":"153-169","title":"Knowledge sharing behavior in virtual communities: The relationship between trust, self-efficacy, and outcome expectations","type":"article-journal","volume":"65"},"suppress-author":1,"uris":["http://www.mendeley.com/documents/?uuid=8d476c8e-b5e7-45c5-8ccf-a2aa5cefe45f"]}],"mendeley":{"formattedCitation":"(2007)","plainTextFormattedCitation":"(2007)","previouslyFormattedCitation":"(2007)"},"properties":{"noteIndex":0},"schema":"https://github.com/citation-style-language/schema/raw/master/csl-citation.json"}</w:instrText>
            </w:r>
            <w:r w:rsidRPr="002A7627">
              <w:rPr>
                <w:rFonts w:asciiTheme="majorBidi" w:hAnsiTheme="majorBidi" w:cstheme="majorBidi"/>
                <w:color w:val="auto"/>
                <w:sz w:val="20"/>
                <w:szCs w:val="20"/>
              </w:rPr>
              <w:fldChar w:fldCharType="separate"/>
            </w:r>
            <w:r w:rsidRPr="002A7627">
              <w:rPr>
                <w:rFonts w:asciiTheme="majorBidi" w:hAnsiTheme="majorBidi" w:cstheme="majorBidi"/>
                <w:noProof/>
                <w:color w:val="auto"/>
                <w:sz w:val="20"/>
                <w:szCs w:val="20"/>
              </w:rPr>
              <w:t>(2007)</w:t>
            </w:r>
            <w:r w:rsidRPr="002A7627">
              <w:rPr>
                <w:rFonts w:asciiTheme="majorBidi" w:hAnsiTheme="majorBidi" w:cstheme="majorBidi"/>
                <w:color w:val="auto"/>
                <w:sz w:val="20"/>
                <w:szCs w:val="20"/>
              </w:rPr>
              <w:fldChar w:fldCharType="end"/>
            </w:r>
          </w:p>
          <w:p w14:paraId="78EF86BF" w14:textId="5B76C34E" w:rsidR="00571997" w:rsidRPr="002A7627" w:rsidRDefault="00571997" w:rsidP="00571997">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Hussein</w:t>
            </w:r>
            <w:r w:rsidR="00633308">
              <w:rPr>
                <w:rFonts w:asciiTheme="majorBidi" w:hAnsiTheme="majorBidi" w:cstheme="majorBidi"/>
                <w:color w:val="auto"/>
                <w:sz w:val="20"/>
                <w:szCs w:val="20"/>
              </w:rPr>
              <w:t xml:space="preserve"> et al.</w:t>
            </w:r>
            <w:r w:rsidRPr="002A7627">
              <w:rPr>
                <w:rFonts w:asciiTheme="majorBidi" w:hAnsiTheme="majorBidi" w:cstheme="majorBidi"/>
                <w:color w:val="auto"/>
                <w:sz w:val="20"/>
                <w:szCs w:val="20"/>
              </w:rPr>
              <w:t xml:space="preserve"> </w:t>
            </w:r>
            <w:r w:rsidRPr="002A7627">
              <w:rPr>
                <w:rFonts w:asciiTheme="majorBidi" w:hAnsiTheme="majorBidi" w:cstheme="majorBidi"/>
                <w:color w:val="auto"/>
                <w:sz w:val="20"/>
                <w:szCs w:val="20"/>
              </w:rPr>
              <w:fldChar w:fldCharType="begin" w:fldLock="1"/>
            </w:r>
            <w:r w:rsidRPr="002A7627">
              <w:rPr>
                <w:rFonts w:asciiTheme="majorBidi" w:hAnsiTheme="majorBidi" w:cstheme="majorBidi"/>
                <w:color w:val="auto"/>
                <w:sz w:val="20"/>
                <w:szCs w:val="20"/>
              </w:rPr>
              <w:instrText>ADDIN CSL_CITATION {"citationItems":[{"id":"ITEM-1","itemData":{"DOI":"10.1108/JWL-05-2016-0041","ISSN":"1366-5626","abstract":"Purpose This paper aims to examine a research model that links knowledge sharing enablers, processes and outcome dimensions in law enforcement in the United Arab Emirates (UAE). It attempts to examine the impact of knowledge self-efficacy and top management support on knowledge donating and collecting. It also attempts to examine the effect of these two aspects of knowledge sharing on firm innovation capability. Design/methodology/approach This study used a quantitative approach, with data collected by questionnaire from 685 police officers in a law enforcement agency in the UAE. Findings Knowledge self-efficacy and top management support have a positive impact on knowledge donating and collecting. Only knowledge collecting, however, had a positive effect on firm innovation capability. Research limitations/implications The study has significant academic and practical implications. It supports a previous research model that links enablers, processes and outcomes of knowledge sharing, and confirms them in the context of law enforcement in the UAE. It could also help law enforcement agencies to promote a knowledge sharing culture to support innovation in the UAE. Originality/value The research model is likely to be particularly valuable in knowledge-intensive organizations such as the law enforcement sector. Knowledge sharing is often overlooked by organizations in the UAE because there has to date been little research in this field.","author":[{"dropping-particle":"","family":"Hussein","given":"AlShaima Taleb Taleb","non-dropping-particle":"","parse-names":false,"suffix":""},{"dropping-particle":"","family":"Singh","given":"Sanjay Kumar","non-dropping-particle":"","parse-names":false,"suffix":""},{"dropping-particle":"","family":"Farouk","given":"Sherine","non-dropping-particle":"","parse-names":false,"suffix":""},{"dropping-particle":"","family":"Sohal","given":"Amrik S.","non-dropping-particle":"","parse-names":false,"suffix":""}],"container-title":"Journal of Workplace Learning","id":"ITEM-1","issue":"8","issued":{"date-parts":[["2016","10","10"]]},"page":"484-495","title":"Knowledge sharing enablers, processes and firm innovation capability","type":"article-journal","volume":"28"},"suppress-author":1,"uris":["http://www.mendeley.com/documents/?uuid=6cc4e2c3-3f32-43e9-bcbb-5cbc898f37e1"]}],"mendeley":{"formattedCitation":"(2016)","plainTextFormattedCitation":"(2016)","previouslyFormattedCitation":"(2016)"},"properties":{"noteIndex":0},"schema":"https://github.com/citation-style-language/schema/raw/master/csl-citation.json"}</w:instrText>
            </w:r>
            <w:r w:rsidRPr="002A7627">
              <w:rPr>
                <w:rFonts w:asciiTheme="majorBidi" w:hAnsiTheme="majorBidi" w:cstheme="majorBidi"/>
                <w:color w:val="auto"/>
                <w:sz w:val="20"/>
                <w:szCs w:val="20"/>
              </w:rPr>
              <w:fldChar w:fldCharType="separate"/>
            </w:r>
            <w:r w:rsidRPr="002A7627">
              <w:rPr>
                <w:rFonts w:asciiTheme="majorBidi" w:hAnsiTheme="majorBidi" w:cstheme="majorBidi"/>
                <w:noProof/>
                <w:color w:val="auto"/>
                <w:sz w:val="20"/>
                <w:szCs w:val="20"/>
              </w:rPr>
              <w:t>(2016)</w:t>
            </w:r>
            <w:r w:rsidRPr="002A7627">
              <w:rPr>
                <w:rFonts w:asciiTheme="majorBidi" w:hAnsiTheme="majorBidi" w:cstheme="majorBidi"/>
                <w:color w:val="auto"/>
                <w:sz w:val="20"/>
                <w:szCs w:val="20"/>
              </w:rPr>
              <w:fldChar w:fldCharType="end"/>
            </w:r>
          </w:p>
          <w:p w14:paraId="001A0A17" w14:textId="77777777" w:rsidR="00571997" w:rsidRPr="002A7627" w:rsidRDefault="00571997" w:rsidP="00571997">
            <w:pPr>
              <w:rPr>
                <w:lang w:bidi="en-US"/>
              </w:rPr>
            </w:pPr>
          </w:p>
        </w:tc>
      </w:tr>
      <w:tr w:rsidR="00571997" w:rsidRPr="002A7627" w14:paraId="6B214873" w14:textId="77777777" w:rsidTr="00571997">
        <w:tc>
          <w:tcPr>
            <w:tcW w:w="1405" w:type="dxa"/>
          </w:tcPr>
          <w:p w14:paraId="19C0A387" w14:textId="18114A85" w:rsidR="00571997" w:rsidRPr="002A7627" w:rsidRDefault="00571997" w:rsidP="00571997">
            <w:pPr>
              <w:rPr>
                <w:lang w:bidi="en-US"/>
              </w:rPr>
            </w:pPr>
            <w:r w:rsidRPr="002A7627">
              <w:rPr>
                <w:rFonts w:asciiTheme="majorBidi" w:hAnsiTheme="majorBidi" w:cstheme="majorBidi"/>
                <w:color w:val="auto"/>
                <w:sz w:val="20"/>
                <w:szCs w:val="20"/>
              </w:rPr>
              <w:t>Organizational learning</w:t>
            </w:r>
          </w:p>
        </w:tc>
        <w:tc>
          <w:tcPr>
            <w:tcW w:w="1405" w:type="dxa"/>
          </w:tcPr>
          <w:p w14:paraId="0E4E3CAA" w14:textId="6A6490FA" w:rsidR="00571997" w:rsidRPr="002A7627" w:rsidRDefault="00571997" w:rsidP="00571997">
            <w:pPr>
              <w:rPr>
                <w:lang w:bidi="en-US"/>
              </w:rPr>
            </w:pPr>
            <w:r w:rsidRPr="002A7627">
              <w:rPr>
                <w:rFonts w:asciiTheme="majorBidi" w:hAnsiTheme="majorBidi" w:cstheme="majorBidi"/>
                <w:color w:val="auto"/>
                <w:sz w:val="20"/>
                <w:szCs w:val="20"/>
              </w:rPr>
              <w:t>Organizational learning theory</w:t>
            </w:r>
          </w:p>
        </w:tc>
        <w:tc>
          <w:tcPr>
            <w:tcW w:w="1420" w:type="dxa"/>
          </w:tcPr>
          <w:p w14:paraId="2F1ABDA8" w14:textId="661AA2A9" w:rsidR="00571997" w:rsidRPr="002A7627" w:rsidRDefault="00571997" w:rsidP="00571997">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 xml:space="preserve">Cyert and March </w:t>
            </w:r>
          </w:p>
          <w:p w14:paraId="6A79F60C" w14:textId="2FEAB305" w:rsidR="00571997" w:rsidRPr="002A7627" w:rsidRDefault="00571997" w:rsidP="00571997">
            <w:pPr>
              <w:rPr>
                <w:lang w:bidi="en-US"/>
              </w:rPr>
            </w:pPr>
            <w:r w:rsidRPr="002A7627">
              <w:rPr>
                <w:rFonts w:asciiTheme="majorBidi" w:hAnsiTheme="majorBidi" w:cstheme="majorBidi"/>
                <w:color w:val="auto"/>
                <w:sz w:val="20"/>
                <w:szCs w:val="20"/>
              </w:rPr>
              <w:fldChar w:fldCharType="begin" w:fldLock="1"/>
            </w:r>
            <w:r w:rsidRPr="002A7627">
              <w:rPr>
                <w:rFonts w:asciiTheme="majorBidi" w:hAnsiTheme="majorBidi" w:cstheme="majorBidi"/>
                <w:color w:val="auto"/>
                <w:sz w:val="20"/>
                <w:szCs w:val="20"/>
              </w:rPr>
              <w:instrText>ADDIN CSL_CITATION {"citationItems":[{"id":"ITEM-1","itemData":{"abstract":"A Behavioral Theory of the Firm attempts to integrate the theory of the firm and organization theory. It relates internal factors such as organizational structure and decision-making processes to economic actions such as pricing. The theory also emphasizes such factors as organizational learning and organizational slack to the economic decisions of the firm. The Science Citation Index (SCI) and the Social Sciences Citation Index (SSCITM) indicate that this book has been cited over 770 times since 1963.","author":[{"dropping-particle":"","family":"Cyert","given":"Richard M.","non-dropping-particle":"","parse-names":false,"suffix":""},{"dropping-particle":"","family":"March","given":"James G.","non-dropping-particle":"","parse-names":false,"suffix":""}],"container-title":"A behavioral theory of the firm","id":"ITEM-1","issued":{"date-parts":[["1963"]]},"publisher":"Prentice-Hall","publisher-place":"Englewood Cliffs, NJ","title":"A summary of basic concepts in the behavioral theory of the firm","type":"chapter"},"suppress-author":1,"uris":["http://www.mendeley.com/documents/?uuid=46b9b3ac-4449-46ca-bab6-c95ab5e67e88"]}],"mendeley":{"formattedCitation":"(1963)","plainTextFormattedCitation":"(1963)","previouslyFormattedCitation":"(1963)"},"properties":{"noteIndex":0},"schema":"https://github.com/citation-style-language/schema/raw/master/csl-citation.json"}</w:instrText>
            </w:r>
            <w:r w:rsidRPr="002A7627">
              <w:rPr>
                <w:rFonts w:asciiTheme="majorBidi" w:hAnsiTheme="majorBidi" w:cstheme="majorBidi"/>
                <w:color w:val="auto"/>
                <w:sz w:val="20"/>
                <w:szCs w:val="20"/>
              </w:rPr>
              <w:fldChar w:fldCharType="separate"/>
            </w:r>
            <w:r w:rsidRPr="002A7627">
              <w:rPr>
                <w:rFonts w:asciiTheme="majorBidi" w:hAnsiTheme="majorBidi" w:cstheme="majorBidi"/>
                <w:noProof/>
                <w:color w:val="auto"/>
                <w:sz w:val="20"/>
                <w:szCs w:val="20"/>
              </w:rPr>
              <w:t>(1963)</w:t>
            </w:r>
            <w:r w:rsidRPr="002A7627">
              <w:rPr>
                <w:rFonts w:asciiTheme="majorBidi" w:hAnsiTheme="majorBidi" w:cstheme="majorBidi"/>
                <w:color w:val="auto"/>
                <w:sz w:val="20"/>
                <w:szCs w:val="20"/>
              </w:rPr>
              <w:fldChar w:fldCharType="end"/>
            </w:r>
          </w:p>
        </w:tc>
        <w:tc>
          <w:tcPr>
            <w:tcW w:w="2469" w:type="dxa"/>
          </w:tcPr>
          <w:p w14:paraId="63E119F7" w14:textId="26DF0CEE" w:rsidR="00571997" w:rsidRPr="002A7627" w:rsidRDefault="00571997" w:rsidP="00141425">
            <w:pPr>
              <w:jc w:val="lowKashida"/>
              <w:rPr>
                <w:lang w:bidi="en-US"/>
              </w:rPr>
            </w:pPr>
            <w:r w:rsidRPr="002A7627">
              <w:rPr>
                <w:rFonts w:asciiTheme="majorBidi" w:hAnsiTheme="majorBidi" w:cstheme="majorBidi"/>
                <w:color w:val="000000" w:themeColor="text1"/>
                <w:sz w:val="20"/>
                <w:szCs w:val="20"/>
              </w:rPr>
              <w:t>Employees share knowledge with each other to produce excellent ideas to enhance firm innovation and creativity. The process involves data acquisition and process interpretation and adaptation to build organizational memory. The firm’s knowledge base is updated to include the new knowledge and ideas.</w:t>
            </w:r>
          </w:p>
        </w:tc>
        <w:tc>
          <w:tcPr>
            <w:tcW w:w="1995" w:type="dxa"/>
          </w:tcPr>
          <w:p w14:paraId="127B0B7A" w14:textId="14CBA142" w:rsidR="00571997" w:rsidRPr="002A7627" w:rsidRDefault="00571997" w:rsidP="00571997">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noProof/>
                <w:color w:val="auto"/>
                <w:sz w:val="20"/>
                <w:szCs w:val="20"/>
              </w:rPr>
              <w:t>Real, Roldán, and Leal</w:t>
            </w:r>
            <w:r w:rsidR="00633308">
              <w:rPr>
                <w:rFonts w:asciiTheme="majorBidi" w:hAnsiTheme="majorBidi" w:cstheme="majorBidi"/>
                <w:noProof/>
                <w:color w:val="auto"/>
                <w:sz w:val="20"/>
                <w:szCs w:val="20"/>
              </w:rPr>
              <w:t xml:space="preserve"> </w:t>
            </w:r>
            <w:r w:rsidRPr="002A7627">
              <w:rPr>
                <w:rFonts w:asciiTheme="majorBidi" w:hAnsiTheme="majorBidi" w:cstheme="majorBidi"/>
                <w:color w:val="auto"/>
                <w:sz w:val="20"/>
                <w:szCs w:val="20"/>
              </w:rPr>
              <w:fldChar w:fldCharType="begin" w:fldLock="1"/>
            </w:r>
            <w:r w:rsidRPr="002A7627">
              <w:rPr>
                <w:rFonts w:asciiTheme="majorBidi" w:hAnsiTheme="majorBidi" w:cstheme="majorBidi" w:hint="eastAsia"/>
                <w:color w:val="auto"/>
                <w:sz w:val="20"/>
                <w:szCs w:val="20"/>
              </w:rPr>
              <w:instrText>ADDIN CSL_CITATION {"citationItems":[{"id":"ITEM-1","itemData":{"DOI":"10.1111/j.1467-8551.2012.00848.x","ISSN":"10453172","abstract":"Following the organizational learning theory and the knowledge</w:instrText>
            </w:r>
            <w:r w:rsidRPr="002A7627">
              <w:rPr>
                <w:rFonts w:asciiTheme="majorBidi" w:hAnsiTheme="majorBidi" w:cstheme="majorBidi" w:hint="eastAsia"/>
                <w:color w:val="auto"/>
                <w:sz w:val="20"/>
                <w:szCs w:val="20"/>
              </w:rPr>
              <w:instrText>‐</w:instrText>
            </w:r>
            <w:r w:rsidRPr="002A7627">
              <w:rPr>
                <w:rFonts w:asciiTheme="majorBidi" w:hAnsiTheme="majorBidi" w:cstheme="majorBidi" w:hint="eastAsia"/>
                <w:color w:val="auto"/>
                <w:sz w:val="20"/>
                <w:szCs w:val="20"/>
              </w:rPr>
              <w:instrText xml:space="preserve">based view approach, this contribution aims to study the </w:instrText>
            </w:r>
            <w:r w:rsidRPr="002A7627">
              <w:rPr>
                <w:rFonts w:asciiTheme="majorBidi" w:hAnsiTheme="majorBidi" w:cstheme="majorBidi"/>
                <w:color w:val="auto"/>
                <w:sz w:val="20"/>
                <w:szCs w:val="20"/>
              </w:rPr>
              <w:instrText>influence of entrepreneurial orientation and learning orientation on organizational learning, considering the latter as a mediating variable in the relationships between both antecedent cultural values and business performance. We also analyse the moderat</w:instrText>
            </w:r>
            <w:r w:rsidRPr="002A7627">
              <w:rPr>
                <w:rFonts w:asciiTheme="majorBidi" w:hAnsiTheme="majorBidi" w:cstheme="majorBidi" w:hint="eastAsia"/>
                <w:color w:val="auto"/>
                <w:sz w:val="20"/>
                <w:szCs w:val="20"/>
              </w:rPr>
              <w:instrText>ing role of organizational size on these previous relationships. The hypotheses proposed in our research model are tested on a sample of 140 Spanish industrial companies, applying variance</w:instrText>
            </w:r>
            <w:r w:rsidRPr="002A7627">
              <w:rPr>
                <w:rFonts w:asciiTheme="majorBidi" w:hAnsiTheme="majorBidi" w:cstheme="majorBidi" w:hint="eastAsia"/>
                <w:color w:val="auto"/>
                <w:sz w:val="20"/>
                <w:szCs w:val="20"/>
              </w:rPr>
              <w:instrText>‐</w:instrText>
            </w:r>
            <w:r w:rsidRPr="002A7627">
              <w:rPr>
                <w:rFonts w:asciiTheme="majorBidi" w:hAnsiTheme="majorBidi" w:cstheme="majorBidi" w:hint="eastAsia"/>
                <w:color w:val="auto"/>
                <w:sz w:val="20"/>
                <w:szCs w:val="20"/>
              </w:rPr>
              <w:instrText>based structural equation modelling: partial least squares. In order to assess the moderating effects of organizational size, we adopt a multi</w:instrText>
            </w:r>
            <w:r w:rsidRPr="002A7627">
              <w:rPr>
                <w:rFonts w:asciiTheme="majorBidi" w:hAnsiTheme="majorBidi" w:cstheme="majorBidi" w:hint="eastAsia"/>
                <w:color w:val="auto"/>
                <w:sz w:val="20"/>
                <w:szCs w:val="20"/>
              </w:rPr>
              <w:instrText>‐</w:instrText>
            </w:r>
            <w:r w:rsidRPr="002A7627">
              <w:rPr>
                <w:rFonts w:asciiTheme="majorBidi" w:hAnsiTheme="majorBidi" w:cstheme="majorBidi" w:hint="eastAsia"/>
                <w:color w:val="auto"/>
                <w:sz w:val="20"/>
                <w:szCs w:val="20"/>
              </w:rPr>
              <w:instrText>group approach using two subsamples with large firms and small and medium</w:instrText>
            </w:r>
            <w:r w:rsidRPr="002A7627">
              <w:rPr>
                <w:rFonts w:asciiTheme="majorBidi" w:hAnsiTheme="majorBidi" w:cstheme="majorBidi" w:hint="eastAsia"/>
                <w:color w:val="auto"/>
                <w:sz w:val="20"/>
                <w:szCs w:val="20"/>
              </w:rPr>
              <w:instrText>‐</w:instrText>
            </w:r>
            <w:r w:rsidRPr="002A7627">
              <w:rPr>
                <w:rFonts w:asciiTheme="majorBidi" w:hAnsiTheme="majorBidi" w:cstheme="majorBidi" w:hint="eastAsia"/>
                <w:color w:val="auto"/>
                <w:sz w:val="20"/>
                <w:szCs w:val="20"/>
              </w:rPr>
              <w:instrText>sized enterprises (SMEs). Our findings indicate that organizational learning partially mediates the rela</w:instrText>
            </w:r>
            <w:r w:rsidRPr="002A7627">
              <w:rPr>
                <w:rFonts w:asciiTheme="majorBidi" w:hAnsiTheme="majorBidi" w:cstheme="majorBidi"/>
                <w:color w:val="auto"/>
                <w:sz w:val="20"/>
                <w:szCs w:val="20"/>
              </w:rPr>
              <w:instrText>tionship between entrepreneurial orientation and performance and fully mediates the link between learning orientation and performance. Likewise, the results reveal that the relationship established between entrepreneurial orientation and organizational learning is more intense for the group of large firms than for the group of SMEs. Moreover, the influence of learning orientation on organizational learning is greater in SMEs than in large firms.","author":[{"dropping-particle":"","family":"Real","given":"Juan C.","non-dropping-particle":"","parse-names":false,"suffix":""},{"dropping-particle":"","family":"Roldán","given":"José L.","non-dropping-particle":"","parse-names":false,"suffix":""},{"dropping-particle":"","family":"Leal","given":"Antonio","non-dropping-particle":"","parse-names":false,"suffix":""}],"container-title":"British Journal of Management","id":"ITEM-1","issue":"2","issued":{"date-parts":[["2014","4"]]},"page":"186-208","title":"From entrepreneurial orientation and learning orientation to business performance: Analysing the mediating role of organizational learning and the moderating effects of organizational size","type":"article-journal","volume":"25"},"uris":["http://www.mendeley.com/documents/?uuid=75dc3a3e-334e-45a0-8daa-bed897e443b6"]}],"mendeley":{"formattedCitation":"(Real, Roldán, &amp; Leal, 2014)","manualFormatting":"(2014)","plainTextFormattedCitation":"(Real, Roldán, &amp; Leal, 2014)","previouslyFormattedCitation":"(Real, Roldán, &amp; Leal, 2014)"},"properties":{"noteIndex":0},"schema":"https://github.com/citation-style-language/schema/raw/master/csl-citation.json"}</w:instrText>
            </w:r>
            <w:r w:rsidRPr="002A7627">
              <w:rPr>
                <w:rFonts w:asciiTheme="majorBidi" w:hAnsiTheme="majorBidi" w:cstheme="majorBidi"/>
                <w:color w:val="auto"/>
                <w:sz w:val="20"/>
                <w:szCs w:val="20"/>
              </w:rPr>
              <w:fldChar w:fldCharType="separate"/>
            </w:r>
            <w:r w:rsidRPr="002A7627">
              <w:rPr>
                <w:rFonts w:asciiTheme="majorBidi" w:hAnsiTheme="majorBidi" w:cstheme="majorBidi"/>
                <w:noProof/>
                <w:color w:val="auto"/>
                <w:sz w:val="20"/>
                <w:szCs w:val="20"/>
              </w:rPr>
              <w:t>(2014)</w:t>
            </w:r>
            <w:r w:rsidRPr="002A7627">
              <w:rPr>
                <w:rFonts w:asciiTheme="majorBidi" w:hAnsiTheme="majorBidi" w:cstheme="majorBidi"/>
                <w:color w:val="auto"/>
                <w:sz w:val="20"/>
                <w:szCs w:val="20"/>
              </w:rPr>
              <w:fldChar w:fldCharType="end"/>
            </w:r>
          </w:p>
          <w:p w14:paraId="1573F242" w14:textId="62F612FD" w:rsidR="00571997" w:rsidRPr="002A7627" w:rsidRDefault="00396C8B" w:rsidP="00571997">
            <w:pPr>
              <w:widowControl/>
              <w:autoSpaceDE/>
              <w:autoSpaceDN/>
              <w:adjustRightInd/>
              <w:jc w:val="lowKashida"/>
              <w:rPr>
                <w:rFonts w:asciiTheme="majorBidi" w:hAnsiTheme="majorBidi" w:cstheme="majorBidi"/>
                <w:color w:val="auto"/>
                <w:sz w:val="20"/>
                <w:szCs w:val="20"/>
              </w:rPr>
            </w:pPr>
            <w:r>
              <w:rPr>
                <w:rFonts w:asciiTheme="majorBidi" w:hAnsiTheme="majorBidi" w:cstheme="majorBidi"/>
                <w:color w:val="auto"/>
                <w:sz w:val="20"/>
                <w:szCs w:val="20"/>
              </w:rPr>
              <w:t xml:space="preserve">Gilson and </w:t>
            </w:r>
            <w:r w:rsidR="00571997" w:rsidRPr="002A7627">
              <w:rPr>
                <w:rFonts w:asciiTheme="majorBidi" w:hAnsiTheme="majorBidi" w:cstheme="majorBidi"/>
                <w:color w:val="auto"/>
                <w:sz w:val="20"/>
                <w:szCs w:val="20"/>
              </w:rPr>
              <w:t xml:space="preserve">Shalley </w:t>
            </w:r>
            <w:r w:rsidR="00571997" w:rsidRPr="002A7627">
              <w:rPr>
                <w:rFonts w:asciiTheme="majorBidi" w:hAnsiTheme="majorBidi" w:cstheme="majorBidi"/>
                <w:color w:val="auto"/>
                <w:sz w:val="20"/>
                <w:szCs w:val="20"/>
              </w:rPr>
              <w:fldChar w:fldCharType="begin" w:fldLock="1"/>
            </w:r>
            <w:r w:rsidR="00571997" w:rsidRPr="002A7627">
              <w:rPr>
                <w:rFonts w:asciiTheme="majorBidi" w:hAnsiTheme="majorBidi" w:cstheme="majorBidi"/>
                <w:color w:val="auto"/>
                <w:sz w:val="20"/>
                <w:szCs w:val="20"/>
              </w:rPr>
              <w:instrText>ADDIN CSL_CITATION {"citationItems":[{"id":"ITEM-1","itemData":{"DOI":"10.1016/j.jm.2003.07.001","ISBN":"0149-2063","ISSN":"0149-2063","PMID":"13367413","abstract":"Using surveys and interview data this research examines teams' engagement in creative processes. Results of cluster analysis indicated that the more creative teams were those that perceived that their tasks required high levels of creativity, were working on jobs with high task interdependence, were high on shared goals, valued participative problem-solving, and had a climate supportive of creativity. In addition, members of the more creative teams spent more time socializing with each other and had moderate amounts of organizational tenure. Implications for management are discussed. © 2004 Elsevier Inc. All rights reserved.","author":[{"dropping-particle":"","family":"Gilson","given":"Lucy L.","non-dropping-particle":"","parse-names":false,"suffix":""},{"dropping-particle":"","family":"Shalley","given":"Christina E.","non-dropping-particle":"","parse-names":false,"suffix":""}],"container-title":"Journal of Management","id":"ITEM-1","issue":"4","issued":{"date-parts":[["2004","8","24"]]},"page":"453-470","title":"A little creativity goes a long way: An examination of teams’ engagement in creative processes","type":"article-journal","volume":"30"},"suppress-author":1,"uris":["http://www.mendeley.com/documents/?uuid=04ab552f-546e-4455-893b-95ba029199d3"]}],"mendeley":{"formattedCitation":"(2004)","plainTextFormattedCitation":"(2004)","previouslyFormattedCitation":"(2004)"},"properties":{"noteIndex":0},"schema":"https://github.com/citation-style-language/schema/raw/master/csl-citation.json"}</w:instrText>
            </w:r>
            <w:r w:rsidR="00571997" w:rsidRPr="002A7627">
              <w:rPr>
                <w:rFonts w:asciiTheme="majorBidi" w:hAnsiTheme="majorBidi" w:cstheme="majorBidi"/>
                <w:color w:val="auto"/>
                <w:sz w:val="20"/>
                <w:szCs w:val="20"/>
              </w:rPr>
              <w:fldChar w:fldCharType="separate"/>
            </w:r>
            <w:r w:rsidR="00571997" w:rsidRPr="002A7627">
              <w:rPr>
                <w:rFonts w:asciiTheme="majorBidi" w:hAnsiTheme="majorBidi" w:cstheme="majorBidi"/>
                <w:noProof/>
                <w:color w:val="auto"/>
                <w:sz w:val="20"/>
                <w:szCs w:val="20"/>
              </w:rPr>
              <w:t>(2004)</w:t>
            </w:r>
            <w:r w:rsidR="00571997" w:rsidRPr="002A7627">
              <w:rPr>
                <w:rFonts w:asciiTheme="majorBidi" w:hAnsiTheme="majorBidi" w:cstheme="majorBidi"/>
                <w:color w:val="auto"/>
                <w:sz w:val="20"/>
                <w:szCs w:val="20"/>
              </w:rPr>
              <w:fldChar w:fldCharType="end"/>
            </w:r>
          </w:p>
          <w:p w14:paraId="1C218487" w14:textId="696E8D88" w:rsidR="00571997" w:rsidRPr="002A7627" w:rsidRDefault="00571997" w:rsidP="00571997">
            <w:pPr>
              <w:widowControl/>
              <w:autoSpaceDE/>
              <w:autoSpaceDN/>
              <w:adjustRightInd/>
              <w:jc w:val="lowKashida"/>
              <w:rPr>
                <w:rFonts w:asciiTheme="majorBidi" w:hAnsiTheme="majorBidi" w:cstheme="majorBidi"/>
                <w:color w:val="auto"/>
                <w:sz w:val="20"/>
                <w:szCs w:val="20"/>
              </w:rPr>
            </w:pPr>
            <w:r w:rsidRPr="002A7627">
              <w:rPr>
                <w:rFonts w:asciiTheme="majorBidi" w:hAnsiTheme="majorBidi" w:cstheme="majorBidi"/>
                <w:color w:val="auto"/>
                <w:sz w:val="20"/>
                <w:szCs w:val="20"/>
              </w:rPr>
              <w:t xml:space="preserve">Zhang and Kwan </w:t>
            </w:r>
            <w:r w:rsidRPr="002A7627">
              <w:rPr>
                <w:rFonts w:asciiTheme="majorBidi" w:hAnsiTheme="majorBidi" w:cstheme="majorBidi"/>
                <w:color w:val="auto"/>
                <w:sz w:val="20"/>
                <w:szCs w:val="20"/>
              </w:rPr>
              <w:fldChar w:fldCharType="begin" w:fldLock="1"/>
            </w:r>
            <w:r w:rsidRPr="002A7627">
              <w:rPr>
                <w:rFonts w:asciiTheme="majorBidi" w:hAnsiTheme="majorBidi" w:cstheme="majorBidi"/>
                <w:color w:val="auto"/>
                <w:sz w:val="20"/>
                <w:szCs w:val="20"/>
              </w:rPr>
              <w:instrText>ADDIN CSL_CITATION {"citationItems":[{"id":"ITEM-1","itemData":{"ISBN":"9781351362283","abstract":"Integrating leadership and creativity theories, we tested a model that links empowering leadership with team creativity. Using longitudinal data from 102 R&amp;D teams across three IT companies, we found empowering leadership positively influenced team creativity via team learning behavior and team creative efficacy. And team task complexity strengthened these relationships. [ABSTRACT FROM AUTHOR] Copyright of Academy of Management Annual Meeting Proceedings is the property of Academy of Management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Abstracts.)","author":[{"dropping-particle":"","family":"Zhang","given":"X.","non-dropping-particle":"","parse-names":false,"suffix":""},{"dropping-particle":"","family":"Kwan","given":"Ho Kwong","non-dropping-particle":"","parse-names":false,"suffix":""}],"container-title":"Creative Leadership: Contexts and Prospects","editor":[{"dropping-particle":"","family":"Mainemeli","given":"Charalampos","non-dropping-particle":"","parse-names":false,"suffix":""},{"dropping-particle":"","family":"Epitropaki","given":"Olga","non-dropping-particle":"","parse-names":false,"suffix":""}],"id":"ITEM-1","issued":{"date-parts":[["2018"]]},"page":"95-121","publisher":"Routledge","publisher-place":"London, UK","title":"Empowering leadership and team creativity: The roles of team learning behavior, team creative efficacy, and team task complexity","type":"chapter"},"suppress-author":1,"uris":["http://www.mendeley.com/documents/?uuid=6abeb1e3-2bf1-4d4e-87fe-384df104a8c2"]}],"mendeley":{"formattedCitation":"(2018)","plainTextFormattedCitation":"(2018)","previouslyFormattedCitation":"(2018)"},"properties":{"noteIndex":0},"schema":"https://github.com/citation-style-language/schema/raw/master/csl-citation.json"}</w:instrText>
            </w:r>
            <w:r w:rsidRPr="002A7627">
              <w:rPr>
                <w:rFonts w:asciiTheme="majorBidi" w:hAnsiTheme="majorBidi" w:cstheme="majorBidi"/>
                <w:color w:val="auto"/>
                <w:sz w:val="20"/>
                <w:szCs w:val="20"/>
              </w:rPr>
              <w:fldChar w:fldCharType="separate"/>
            </w:r>
            <w:r w:rsidRPr="002A7627">
              <w:rPr>
                <w:rFonts w:asciiTheme="majorBidi" w:hAnsiTheme="majorBidi" w:cstheme="majorBidi"/>
                <w:noProof/>
                <w:color w:val="auto"/>
                <w:sz w:val="20"/>
                <w:szCs w:val="20"/>
              </w:rPr>
              <w:t>(2018)</w:t>
            </w:r>
            <w:r w:rsidRPr="002A7627">
              <w:rPr>
                <w:rFonts w:asciiTheme="majorBidi" w:hAnsiTheme="majorBidi" w:cstheme="majorBidi"/>
                <w:color w:val="auto"/>
                <w:sz w:val="20"/>
                <w:szCs w:val="20"/>
              </w:rPr>
              <w:fldChar w:fldCharType="end"/>
            </w:r>
          </w:p>
          <w:p w14:paraId="4DADF498" w14:textId="77777777" w:rsidR="00571997" w:rsidRPr="002A7627" w:rsidRDefault="00571997" w:rsidP="00571997">
            <w:pPr>
              <w:rPr>
                <w:lang w:bidi="en-US"/>
              </w:rPr>
            </w:pPr>
          </w:p>
        </w:tc>
      </w:tr>
      <w:tr w:rsidR="00571997" w:rsidRPr="002A7627" w14:paraId="269841AD" w14:textId="77777777" w:rsidTr="00571997">
        <w:tc>
          <w:tcPr>
            <w:tcW w:w="1405" w:type="dxa"/>
          </w:tcPr>
          <w:p w14:paraId="35D8F68E" w14:textId="4CE5EB82" w:rsidR="00571997" w:rsidRPr="002A7627" w:rsidRDefault="00571997" w:rsidP="00571997">
            <w:pPr>
              <w:rPr>
                <w:lang w:bidi="en-US"/>
              </w:rPr>
            </w:pPr>
            <w:r w:rsidRPr="002A7627">
              <w:rPr>
                <w:rFonts w:asciiTheme="majorBidi" w:hAnsiTheme="majorBidi" w:cstheme="majorBidi"/>
                <w:color w:val="auto"/>
                <w:sz w:val="20"/>
                <w:szCs w:val="20"/>
              </w:rPr>
              <w:t xml:space="preserve">Knowledge management benefit </w:t>
            </w:r>
          </w:p>
        </w:tc>
        <w:tc>
          <w:tcPr>
            <w:tcW w:w="1405" w:type="dxa"/>
          </w:tcPr>
          <w:p w14:paraId="5F777DED" w14:textId="2B88CA79" w:rsidR="00571997" w:rsidRPr="002A7627" w:rsidRDefault="00571997" w:rsidP="00571997">
            <w:pPr>
              <w:rPr>
                <w:lang w:bidi="en-US"/>
              </w:rPr>
            </w:pPr>
            <w:r w:rsidRPr="002A7627">
              <w:rPr>
                <w:rFonts w:asciiTheme="majorBidi" w:eastAsia="Times New Roman" w:hAnsiTheme="majorBidi" w:cstheme="majorBidi"/>
                <w:color w:val="000000" w:themeColor="text1"/>
                <w:sz w:val="20"/>
                <w:szCs w:val="20"/>
              </w:rPr>
              <w:t>The knowledge-based theory</w:t>
            </w:r>
          </w:p>
        </w:tc>
        <w:tc>
          <w:tcPr>
            <w:tcW w:w="1420" w:type="dxa"/>
          </w:tcPr>
          <w:p w14:paraId="0626CCDC" w14:textId="705A0D98" w:rsidR="00571997" w:rsidRPr="002A7627" w:rsidRDefault="00571997">
            <w:pPr>
              <w:rPr>
                <w:lang w:bidi="en-US"/>
              </w:rPr>
            </w:pPr>
            <w:r w:rsidRPr="002A7627">
              <w:rPr>
                <w:rFonts w:asciiTheme="majorBidi" w:hAnsiTheme="majorBidi" w:cstheme="majorBidi"/>
                <w:color w:val="auto"/>
                <w:sz w:val="20"/>
                <w:szCs w:val="20"/>
              </w:rPr>
              <w:t xml:space="preserve">Grant </w:t>
            </w:r>
            <w:r w:rsidRPr="002A7627">
              <w:rPr>
                <w:rFonts w:asciiTheme="majorBidi" w:hAnsiTheme="majorBidi" w:cstheme="majorBidi"/>
                <w:color w:val="auto"/>
                <w:sz w:val="20"/>
                <w:szCs w:val="20"/>
              </w:rPr>
              <w:fldChar w:fldCharType="begin" w:fldLock="1"/>
            </w:r>
            <w:r w:rsidRPr="002A7627">
              <w:rPr>
                <w:rFonts w:asciiTheme="majorBidi" w:hAnsiTheme="majorBidi" w:cstheme="majorBidi"/>
                <w:color w:val="auto"/>
                <w:sz w:val="20"/>
                <w:szCs w:val="20"/>
              </w:rPr>
              <w:instrText>ADDIN CSL_CITATION {"citationItems":[{"id":"ITEM-1","itemData":{"DOI":"10.1002/smj.4250171110","ISBN":"01432095","ISSN":"01432095","PMID":"10906095","abstract":"Given assumptions about the characteristics of knowledge and the knowledge requirements of production, the firm is conceptualized as an institution for integrating knowledge. The primary contribution of the paper is in exploring the coordination mechanisms through which firms integrate the specialist knowledge of their members. In contrast to earlier literature, knowledge is viewed as residing within the individual, and the primary role of the organization is knowledge application rather than knowledge creation. The resulting theory has implications for the basis of organizational capability, the principles of organization design (in particular, the analysis of hierarchy and the distribution of decision-making authority), and the determinants of the horizontal and vertical boundaries of the firm. More generally, the knowledge-based approach sheds new light upon current organizational innovations and trends and has far- reaching implications for management practice.","author":[{"dropping-particle":"","family":"Grant","given":"Robert M.","non-dropping-particle":"","parse-names":false,"suffix":""}],"container-title":"Strategic Management Journal","id":"ITEM-1","issue":"S2","issued":{"date-parts":[["1996","12"]]},"page":"109-122","title":"Toward a knowledge-based theory of the firm","type":"article-journal","volume":"17"},"suppress-author":1,"uris":["http://www.mendeley.com/documents/?uuid=7ee0f3cc-7756-4424-b4e4-e76452fb510a"]}],"mendeley":{"formattedCitation":"(1996)","plainTextFormattedCitation":"(1996)","previouslyFormattedCitation":"(1996)"},"properties":{"noteIndex":0},"schema":"https://github.com/citation-style-language/schema/raw/master/csl-citation.json"}</w:instrText>
            </w:r>
            <w:r w:rsidRPr="002A7627">
              <w:rPr>
                <w:rFonts w:asciiTheme="majorBidi" w:hAnsiTheme="majorBidi" w:cstheme="majorBidi"/>
                <w:color w:val="auto"/>
                <w:sz w:val="20"/>
                <w:szCs w:val="20"/>
              </w:rPr>
              <w:fldChar w:fldCharType="separate"/>
            </w:r>
            <w:r w:rsidRPr="002A7627">
              <w:rPr>
                <w:rFonts w:asciiTheme="majorBidi" w:hAnsiTheme="majorBidi" w:cstheme="majorBidi"/>
                <w:noProof/>
                <w:color w:val="auto"/>
                <w:sz w:val="20"/>
                <w:szCs w:val="20"/>
              </w:rPr>
              <w:t>(1996)</w:t>
            </w:r>
            <w:r w:rsidRPr="002A7627">
              <w:rPr>
                <w:rFonts w:asciiTheme="majorBidi" w:hAnsiTheme="majorBidi" w:cstheme="majorBidi"/>
                <w:color w:val="auto"/>
                <w:sz w:val="20"/>
                <w:szCs w:val="20"/>
              </w:rPr>
              <w:fldChar w:fldCharType="end"/>
            </w:r>
          </w:p>
        </w:tc>
        <w:tc>
          <w:tcPr>
            <w:tcW w:w="2469" w:type="dxa"/>
          </w:tcPr>
          <w:p w14:paraId="198DCCA5" w14:textId="6B072887" w:rsidR="00571997" w:rsidRPr="002A7627" w:rsidRDefault="00571997" w:rsidP="00141425">
            <w:pPr>
              <w:jc w:val="lowKashida"/>
              <w:rPr>
                <w:lang w:bidi="en-US"/>
              </w:rPr>
            </w:pPr>
            <w:r w:rsidRPr="002A7627">
              <w:rPr>
                <w:rFonts w:asciiTheme="majorBidi" w:hAnsiTheme="majorBidi" w:cstheme="majorBidi"/>
                <w:color w:val="auto"/>
                <w:sz w:val="20"/>
                <w:szCs w:val="20"/>
              </w:rPr>
              <w:t>Knowledge is the most important strategic resource to enhance benefits such as competitive advantage and productivity</w:t>
            </w:r>
          </w:p>
        </w:tc>
        <w:tc>
          <w:tcPr>
            <w:tcW w:w="1995" w:type="dxa"/>
          </w:tcPr>
          <w:p w14:paraId="067F7CF4" w14:textId="0729924B" w:rsidR="002E14B4" w:rsidRDefault="002E14B4" w:rsidP="002E14B4">
            <w:pPr>
              <w:widowControl/>
              <w:autoSpaceDE/>
              <w:autoSpaceDN/>
              <w:adjustRightInd/>
              <w:jc w:val="lowKashida"/>
              <w:rPr>
                <w:rFonts w:asciiTheme="majorBidi" w:hAnsiTheme="majorBidi" w:cstheme="majorBidi"/>
                <w:color w:val="000000" w:themeColor="text1"/>
                <w:sz w:val="20"/>
                <w:szCs w:val="20"/>
              </w:rPr>
            </w:pPr>
            <w:bookmarkStart w:id="125" w:name="bbb0060"/>
            <w:r>
              <w:rPr>
                <w:rFonts w:asciiTheme="majorBidi" w:hAnsiTheme="majorBidi" w:cstheme="majorBidi"/>
                <w:color w:val="000000" w:themeColor="text1"/>
                <w:sz w:val="20"/>
                <w:szCs w:val="20"/>
              </w:rPr>
              <w:t>Donate and Pablo (2015)</w:t>
            </w:r>
          </w:p>
          <w:p w14:paraId="0BDDB2FC" w14:textId="628AEBA8" w:rsidR="00571997" w:rsidRDefault="002E14B4" w:rsidP="00571997">
            <w:pPr>
              <w:widowControl/>
              <w:autoSpaceDE/>
              <w:autoSpaceDN/>
              <w:adjustRightInd/>
              <w:jc w:val="lowKashida"/>
              <w:rPr>
                <w:rFonts w:asciiTheme="majorBidi" w:hAnsiTheme="majorBidi" w:cstheme="majorBidi"/>
                <w:color w:val="000000" w:themeColor="text1"/>
                <w:sz w:val="20"/>
                <w:szCs w:val="20"/>
              </w:rPr>
            </w:pPr>
            <w:r w:rsidRPr="002E14B4">
              <w:rPr>
                <w:rFonts w:asciiTheme="majorBidi" w:hAnsiTheme="majorBidi" w:cstheme="majorBidi"/>
                <w:color w:val="000000" w:themeColor="text1"/>
                <w:sz w:val="20"/>
                <w:szCs w:val="20"/>
              </w:rPr>
              <w:t>Gavrilova</w:t>
            </w:r>
            <w:r>
              <w:rPr>
                <w:rFonts w:asciiTheme="majorBidi" w:hAnsiTheme="majorBidi" w:cstheme="majorBidi"/>
                <w:color w:val="000000" w:themeColor="text1"/>
                <w:sz w:val="20"/>
                <w:szCs w:val="20"/>
              </w:rPr>
              <w:t xml:space="preserve"> and</w:t>
            </w:r>
            <w:r w:rsidRPr="002A7627">
              <w:rPr>
                <w:rFonts w:asciiTheme="majorBidi" w:hAnsiTheme="majorBidi" w:cstheme="majorBidi"/>
                <w:color w:val="000000" w:themeColor="text1"/>
                <w:sz w:val="20"/>
                <w:szCs w:val="20"/>
              </w:rPr>
              <w:t xml:space="preserve"> </w:t>
            </w:r>
            <w:r w:rsidR="00571997" w:rsidRPr="002A7627">
              <w:rPr>
                <w:rFonts w:asciiTheme="majorBidi" w:hAnsiTheme="majorBidi" w:cstheme="majorBidi"/>
                <w:color w:val="000000" w:themeColor="text1"/>
                <w:sz w:val="20"/>
                <w:szCs w:val="20"/>
              </w:rPr>
              <w:t xml:space="preserve">Andreeva </w:t>
            </w:r>
            <w:r w:rsidR="00571997" w:rsidRPr="002A7627">
              <w:rPr>
                <w:rFonts w:asciiTheme="majorBidi" w:hAnsiTheme="majorBidi" w:cstheme="majorBidi"/>
                <w:color w:val="000000" w:themeColor="text1"/>
                <w:sz w:val="20"/>
                <w:szCs w:val="20"/>
              </w:rPr>
              <w:fldChar w:fldCharType="begin" w:fldLock="1"/>
            </w:r>
            <w:r w:rsidR="00571997" w:rsidRPr="002A7627">
              <w:rPr>
                <w:rFonts w:asciiTheme="majorBidi" w:hAnsiTheme="majorBidi" w:cstheme="majorBidi"/>
                <w:color w:val="000000" w:themeColor="text1"/>
                <w:sz w:val="20"/>
                <w:szCs w:val="20"/>
              </w:rPr>
              <w:instrText>ADDIN CSL_CITATION {"citationItems":[{"id":"ITEM-1","itemData":{"DOI":"10.1108/13673271211246185","ISBN":"1367327121","ISSN":"1367-3270","PMID":"1023897605","abstract":"Structured Abstract: Purpose – While nowadays an extensive literature promoting knowledge management (KM) exists, there is a worrying shortage of empirical studies demonstrating an actual connection between KM activities and organizational outcomes. To bridge this gap, we examine the link between KM practices, firm competitiveness and economic performance. Design/methodology/approach – This paper proposes a framework of KM practices consisting of HRM and ICT. These both are hypothesised to impact competitiveness and economic performance of the firm. Hypotheses are then tested with structural equation modelling by using a survey dataset of 234 companies. Findings – The results show that HRM and ICT practices for managing knowledge are quite strongly correlated and have a statistically significant influence on both financial performance and competitiveness of the firm. The findings also indicate that ICT practices improve financial performance only when they are coupled with HRM practices. Research limitations – The data is limited to companies from Finland, Russia and China. Originality/value – This paper contributes to the literature on knowledge-based organizing by empirically analyzing the performance impact of various areas of KM. It thereby tests the proposition put forth in many previous theoretical and case-based studies that KM promotes high 'This article is © Emerald Group Publishing and permission has been granted for this version to appear here Practical implications – The paper contributes to managerial practice by pointing out the importance of utilizing a combination of both social and technical means for KM and illustrating that they do matter for the company bottom line.","author":[{"dropping-particle":"","family":"Andreeva","given":"Tatiana","non-dropping-particle":"","parse-names":false,"suffix":""},{"dropping-particle":"","family":"Kianto","given":"Aino","non-dropping-particle":"","parse-names":false,"suffix":""}],"container-title":"Journal of Knowledge Management","editor":[{"dropping-particle":"","family":"Schiuma","given":"Giovanni","non-dropping-particle":"","parse-names":false,"suffix":""}],"id":"ITEM-1","issue":"4","issued":{"date-parts":[["2012","7","13"]]},"page":"617-636","title":"Does knowledge management really matter? Linking knowledge management practices, competitiveness and economic performance","type":"article-journal","volume":"16"},"suppress-author":1,"uris":["http://www.mendeley.com/documents/?uuid=957e032d-4a89-4923-906c-ac8173c1f799"]}],"mendeley":{"formattedCitation":"(2012)","plainTextFormattedCitation":"(2012)","previouslyFormattedCitation":"(2012)"},"properties":{"noteIndex":0},"schema":"https://github.com/citation-style-language/schema/raw/master/csl-citation.json"}</w:instrText>
            </w:r>
            <w:r w:rsidR="00571997" w:rsidRPr="002A7627">
              <w:rPr>
                <w:rFonts w:asciiTheme="majorBidi" w:hAnsiTheme="majorBidi" w:cstheme="majorBidi"/>
                <w:color w:val="000000" w:themeColor="text1"/>
                <w:sz w:val="20"/>
                <w:szCs w:val="20"/>
              </w:rPr>
              <w:fldChar w:fldCharType="separate"/>
            </w:r>
            <w:r w:rsidR="00571997" w:rsidRPr="002A7627">
              <w:rPr>
                <w:rFonts w:asciiTheme="majorBidi" w:hAnsiTheme="majorBidi" w:cstheme="majorBidi"/>
                <w:noProof/>
                <w:color w:val="000000" w:themeColor="text1"/>
                <w:sz w:val="20"/>
                <w:szCs w:val="20"/>
              </w:rPr>
              <w:t>(2012)</w:t>
            </w:r>
            <w:r w:rsidR="00571997" w:rsidRPr="002A7627">
              <w:rPr>
                <w:rFonts w:asciiTheme="majorBidi" w:hAnsiTheme="majorBidi" w:cstheme="majorBidi"/>
                <w:color w:val="000000" w:themeColor="text1"/>
                <w:sz w:val="20"/>
                <w:szCs w:val="20"/>
              </w:rPr>
              <w:fldChar w:fldCharType="end"/>
            </w:r>
          </w:p>
          <w:p w14:paraId="532829A3" w14:textId="55A6E7C8" w:rsidR="00571997" w:rsidRPr="002A7627" w:rsidRDefault="00571997" w:rsidP="00571997">
            <w:pPr>
              <w:widowControl/>
              <w:autoSpaceDE/>
              <w:autoSpaceDN/>
              <w:adjustRightInd/>
              <w:jc w:val="lowKashida"/>
              <w:rPr>
                <w:rFonts w:asciiTheme="majorBidi" w:hAnsiTheme="majorBidi" w:cstheme="majorBidi"/>
                <w:color w:val="000000" w:themeColor="text1"/>
                <w:sz w:val="20"/>
                <w:szCs w:val="20"/>
              </w:rPr>
            </w:pPr>
            <w:r w:rsidRPr="002A7627">
              <w:rPr>
                <w:rFonts w:asciiTheme="majorBidi" w:hAnsiTheme="majorBidi" w:cstheme="majorBidi"/>
                <w:color w:val="000000" w:themeColor="text1"/>
                <w:sz w:val="20"/>
                <w:szCs w:val="20"/>
              </w:rPr>
              <w:t xml:space="preserve">Pee </w:t>
            </w:r>
            <w:r w:rsidR="009D52E4">
              <w:rPr>
                <w:rFonts w:asciiTheme="majorBidi" w:hAnsiTheme="majorBidi" w:cstheme="majorBidi"/>
                <w:color w:val="000000" w:themeColor="text1"/>
                <w:sz w:val="20"/>
                <w:szCs w:val="20"/>
              </w:rPr>
              <w:t xml:space="preserve">and </w:t>
            </w:r>
            <w:r w:rsidR="009D52E4" w:rsidRPr="009D52E4">
              <w:rPr>
                <w:rFonts w:asciiTheme="majorBidi" w:hAnsiTheme="majorBidi" w:cstheme="majorBidi"/>
                <w:color w:val="000000" w:themeColor="text1"/>
                <w:sz w:val="20"/>
                <w:szCs w:val="20"/>
              </w:rPr>
              <w:t>Kankanhalli</w:t>
            </w:r>
            <w:r w:rsidR="009D52E4" w:rsidRPr="002A7627">
              <w:rPr>
                <w:rFonts w:asciiTheme="majorBidi" w:hAnsiTheme="majorBidi" w:cstheme="majorBidi"/>
                <w:color w:val="000000" w:themeColor="text1"/>
                <w:sz w:val="20"/>
                <w:szCs w:val="20"/>
              </w:rPr>
              <w:t xml:space="preserve"> </w:t>
            </w:r>
            <w:r w:rsidRPr="002A7627">
              <w:rPr>
                <w:rFonts w:asciiTheme="majorBidi" w:hAnsiTheme="majorBidi" w:cstheme="majorBidi"/>
                <w:color w:val="000000" w:themeColor="text1"/>
                <w:sz w:val="20"/>
                <w:szCs w:val="20"/>
              </w:rPr>
              <w:fldChar w:fldCharType="begin" w:fldLock="1"/>
            </w:r>
            <w:r w:rsidRPr="002A7627">
              <w:rPr>
                <w:rFonts w:asciiTheme="majorBidi" w:hAnsiTheme="majorBidi" w:cstheme="majorBidi"/>
                <w:color w:val="000000" w:themeColor="text1"/>
                <w:sz w:val="20"/>
                <w:szCs w:val="20"/>
              </w:rPr>
              <w:instrText>ADDIN CSL_CITATION {"citationItems":[{"id":"ITEM-1","itemData":{"DOI":"10.1016/j.giq.2015.06.002","ISSN":"0740624X","abstract":"In public administration, knowledge management (KM) is increasingly advocated for improving novelty and agility in policy development and service delivery. This study identifies factors influencing KM, theorizes their interaction effects based on the resource-based view, and assesses the impact of KM on organizational effectiveness. Physical resources invested specifically to promote KM (e.g., KM technology) are hypothesized to interact with organizational and human resources to influence public organizations' KM capability in capturing, sharing, applying, and creating knowledge. Data collected from 101 public organizations indicate that senior management championship, social capital, and employees' job expertise enhance the effectiveness of physical KM resources while organizational structure has a suppressing effect. Among them, senior management championship has the strongest enhancing effect. The findings also support the general expectation that developing a strong KM capability improves organizational effectiveness. Clarifying the interaction effects has important implications for the theoretical understanding of KM in public administration, while providing empirical evidence for the performance impact of KM informs public management.","author":[{"dropping-particle":"","family":"Pee","given":"L.G.","non-dropping-particle":"","parse-names":false,"suffix":""},{"dropping-particle":"","family":"Kankanhalli","given":"A.","non-dropping-particle":"","parse-names":false,"suffix":""}],"container-title":"Government Information Quarterly","id":"ITEM-1","issue":"1","issued":{"date-parts":[["2016","1","1"]]},"note":"findings also support the general expectation that developing a strong KM capability improves organizational effectiveness.","page":"188-199","title":"Interactions among factors influencing knowledge management in public-sector organizations: A resource-based view","type":"article-journal","volume":"33"},"suppress-author":1,"uris":["http://www.mendeley.com/documents/?uuid=348a46f3-da8a-335d-b3f5-977129ba8f03"]}],"mendeley":{"formattedCitation":"(2016)","plainTextFormattedCitation":"(2016)","previouslyFormattedCitation":"(2016)"},"properties":{"noteIndex":0},"schema":"https://github.com/citation-style-language/schema/raw/master/csl-citation.json"}</w:instrText>
            </w:r>
            <w:r w:rsidRPr="002A7627">
              <w:rPr>
                <w:rFonts w:asciiTheme="majorBidi" w:hAnsiTheme="majorBidi" w:cstheme="majorBidi"/>
                <w:color w:val="000000" w:themeColor="text1"/>
                <w:sz w:val="20"/>
                <w:szCs w:val="20"/>
              </w:rPr>
              <w:fldChar w:fldCharType="separate"/>
            </w:r>
            <w:r w:rsidRPr="002A7627">
              <w:rPr>
                <w:rFonts w:asciiTheme="majorBidi" w:hAnsiTheme="majorBidi" w:cstheme="majorBidi"/>
                <w:color w:val="000000" w:themeColor="text1"/>
                <w:sz w:val="20"/>
                <w:szCs w:val="20"/>
              </w:rPr>
              <w:t>(2016)</w:t>
            </w:r>
            <w:r w:rsidRPr="002A7627">
              <w:rPr>
                <w:rFonts w:asciiTheme="majorBidi" w:hAnsiTheme="majorBidi" w:cstheme="majorBidi"/>
                <w:color w:val="000000" w:themeColor="text1"/>
                <w:sz w:val="20"/>
                <w:szCs w:val="20"/>
              </w:rPr>
              <w:fldChar w:fldCharType="end"/>
            </w:r>
          </w:p>
          <w:bookmarkEnd w:id="125"/>
          <w:p w14:paraId="6FF09CAC" w14:textId="77777777" w:rsidR="00571997" w:rsidRPr="002A7627" w:rsidRDefault="00571997" w:rsidP="00571997">
            <w:pPr>
              <w:rPr>
                <w:lang w:bidi="en-US"/>
              </w:rPr>
            </w:pPr>
          </w:p>
        </w:tc>
      </w:tr>
    </w:tbl>
    <w:p w14:paraId="56B98E45" w14:textId="77777777" w:rsidR="00EE00BF" w:rsidRPr="002A7627" w:rsidRDefault="00EE00BF" w:rsidP="00EE00BF">
      <w:pPr>
        <w:spacing w:line="480" w:lineRule="auto"/>
        <w:jc w:val="lowKashida"/>
      </w:pPr>
    </w:p>
    <w:p w14:paraId="2793E062" w14:textId="2B8567B9" w:rsidR="00EE00BF" w:rsidRPr="002A7627" w:rsidRDefault="007D7779" w:rsidP="0017121F">
      <w:pPr>
        <w:pStyle w:val="Heading1"/>
        <w:rPr>
          <w:color w:val="000000"/>
          <w:sz w:val="24"/>
          <w:rtl/>
        </w:rPr>
      </w:pPr>
      <w:bookmarkStart w:id="126" w:name="_Toc13959631"/>
      <w:bookmarkStart w:id="127" w:name="_Toc22331665"/>
      <w:r>
        <w:rPr>
          <w:color w:val="000000"/>
        </w:rPr>
        <w:t xml:space="preserve">3.2. </w:t>
      </w:r>
      <w:r w:rsidR="00EE00BF" w:rsidRPr="002A7627">
        <w:rPr>
          <w:color w:val="000000"/>
        </w:rPr>
        <w:t xml:space="preserve">Knowledge </w:t>
      </w:r>
      <w:r w:rsidR="002C4A1A" w:rsidRPr="002A7627">
        <w:rPr>
          <w:color w:val="000000"/>
        </w:rPr>
        <w:t xml:space="preserve">Management Capabilities </w:t>
      </w:r>
      <w:r w:rsidR="00EE00BF" w:rsidRPr="002A7627">
        <w:rPr>
          <w:color w:val="000000"/>
        </w:rPr>
        <w:t xml:space="preserve">and </w:t>
      </w:r>
      <w:r w:rsidR="002C4A1A" w:rsidRPr="002A7627">
        <w:rPr>
          <w:color w:val="000000"/>
        </w:rPr>
        <w:t>Benefits</w:t>
      </w:r>
      <w:bookmarkEnd w:id="126"/>
      <w:bookmarkEnd w:id="127"/>
    </w:p>
    <w:p w14:paraId="6F13D7FB" w14:textId="33B280FB" w:rsidR="00EE00BF" w:rsidRPr="002A7627" w:rsidRDefault="00EE00BF" w:rsidP="002C4A1A">
      <w:pPr>
        <w:pStyle w:val="AAAAAAA"/>
      </w:pPr>
      <w:r w:rsidRPr="00452851">
        <w:rPr>
          <w:color w:val="000000" w:themeColor="text1"/>
        </w:rPr>
        <w:t xml:space="preserve">The </w:t>
      </w:r>
      <w:r w:rsidR="00544048" w:rsidRPr="00452851">
        <w:rPr>
          <w:color w:val="000000" w:themeColor="text1"/>
        </w:rPr>
        <w:t>effectiveness</w:t>
      </w:r>
      <w:r w:rsidRPr="00452851">
        <w:rPr>
          <w:color w:val="000000" w:themeColor="text1"/>
        </w:rPr>
        <w:t xml:space="preserve"> </w:t>
      </w:r>
      <w:r w:rsidRPr="002A7627">
        <w:t>of knowledge management initiatives depend</w:t>
      </w:r>
      <w:r w:rsidR="00193A9C" w:rsidRPr="002A7627">
        <w:t>s</w:t>
      </w:r>
      <w:r w:rsidRPr="002A7627">
        <w:t xml:space="preserve"> on the assessment of preconditions that are important for organizations to flourish.</w:t>
      </w:r>
      <w:r w:rsidRPr="002A7627">
        <w:rPr>
          <w:rFonts w:asciiTheme="minorHAnsi" w:hAnsiTheme="minorHAnsi" w:cstheme="minorBidi"/>
          <w:sz w:val="18"/>
          <w:szCs w:val="18"/>
        </w:rPr>
        <w:t xml:space="preserve"> </w:t>
      </w:r>
      <w:r w:rsidRPr="002A7627">
        <w:t xml:space="preserve">These preconditions are the capabilities or resources within the organization </w:t>
      </w:r>
      <w:r w:rsidRPr="002A7627">
        <w:rPr>
          <w:noProof/>
        </w:rPr>
        <w:t>(Lee &amp; Lee, 2007)</w:t>
      </w:r>
      <w:r w:rsidRPr="002A7627">
        <w:t xml:space="preserve">. The resource-based view suggests that knowledge management capability can be defined as an organization’s ability to capture, share, exploit and deploy resources to enhance knowledge management </w:t>
      </w:r>
      <w:r w:rsidRPr="002A7627">
        <w:fldChar w:fldCharType="begin" w:fldLock="1"/>
      </w:r>
      <w:r w:rsidR="004C27D4" w:rsidRPr="002A7627">
        <w:instrText>ADDIN CSL_CITATION {"citationItems":[{"id":"ITEM-1","itemData":{"DOI":"10.1002/jhrm.20064","ISBN":"0-7695-0001-3","ISSN":"1074-4797","PMID":"21506198","abstract":"The knowledge-based theory of the firm suggests that knowledge is the organizational asset that enables sustainable competitive advantage in hypercompetitive environments. The emphasis on knowledge in today’s organizations is based on the assumption that barriers to the transfer and replication of knowledge endow it with strategic importance. Many organizations are developing information systems designed specifically to facilitate the sharing and integration of knowledge. Such systems are referred to as Knowledge Management System (KMS). Because KMS are just beginning to appear in organizations, little research and field data exists to guide the development and implementation of such systems or to guide expectations of the potential benefits of such systems. This study provides an analysis of current practices and outcomes of KMS and the nature of KMS as they are evolving in fifty organizations. The findings suggest that interest in KMS across a variety of industries is very high, the technological foundations are varied, and the major concerns revolve around achieving the correct amount and type of accurate knowledge and garnering support for contributing to the KMS. Implications for practice and suggestions for future research are drawn from the study findings.","author":[{"dropping-particle":"","family":"Alavi","given":"Maryam","non-dropping-particle":"","parse-names":false,"suffix":""},{"dropping-particle":"","family":"Leidner","given":"Dorothy E.","non-dropping-particle":"","parse-names":false,"suffix":""}],"container-title":"Communications of the AIS","id":"ITEM-1","issue":"7","issued":{"date-parts":[["1999"]]},"page":"1-37","title":"Knowledge management systems: Issues, challenges, and benefits","type":"article-journal","volume":"1"},"uris":["http://www.mendeley.com/documents/?uuid=5a7ac1ad-915e-4e97-a86f-b16cf142b712"]},{"id":"ITEM-2","itemData":{"DOI":"10.1080/07421222.2001.11045669","ISSN":"07421222","abstract":"A hallmark of the new economy is the ability of organizations to realize economic value from their collection of knowledge assets as well as their assets of information, production distribution, and affiliation. Despite the competitive necessity of becoming a knowledge-based organization, senior managers have found it difficult to transform their firms through programs of knowledge management. This is particularly true if their organizations have long histories of process and a tradition of business success. This research examines the issue of effective knowledge management from the perspective of organizational capabilities. This perspective suggests that a knowledge infrastructure consisting of technology, structure, and culture along with a knowledge process architecture of acquisition, conversion, application, and protection are essential organizational capabilities or \"preconditions\" for effective knowledge management. Through analysis of surveys collected from over 300 senior executives, this research empirically models and uncovers key aspects of these dimensions. The results provide a basis for understanding the competitive predisposition of a firm as it enters a program of knowledge management.","author":[{"dropping-particle":"","family":"Gold","given":"Andrew H.","non-dropping-particle":"","parse-names":false,"suffix":""},{"dropping-particle":"","family":"Malhotra","given":"Arvind","non-dropping-particle":"","parse-names":false,"suffix":""},{"dropping-particle":"","family":"Segars","given":"Albert H.","non-dropping-particle":"","parse-names":false,"suffix":""}],"container-title":"Journal of Management Information Systems","id":"ITEM-2","issue":"1","issued":{"date-parts":[["2001"]]},"page":"185–214","title":"Knowledge management: An organizational capabilities perspective","type":"article-journal","volume":"18"},"uris":["http://www.mendeley.com/documents/?uuid=8b28cae1-41b6-477b-9137-a41900d8e27d"]},{"id":"ITEM-3","itemData":{"DOI":"10.2307/25148681","ISSN":"02767783","abstract":"Business value of information technology is an enduring research question. The elusive link between IT and financial firm performance calls for further research into intermediate organizational variables through which IT may influence firm performance. This study proposes that knowledge management (KM) is a critical organizational capability through which IT influences firm performance. In the context of multibusiness firms, the study examines how the IT resources of a firm should be organized and managed to enhance the firm's KM capability, and whether and how KM capability influences firm performance. The study develops two hypothesizes: (1) IT relatedness of the firm's business units enhances cross-unit KM capability: (2) KM capability, in turn, leads to superior firm performance. Data from 250 Fortune 1000 firms provide empirical support for these hypotheses. IT relatedness of business units enhances the cross-unit KM capability of the firm. The KM capability creates and exploits cross-unit synergies from the product, customer, and managerial knowledge resources of the firm. These synergies increase the financial performance of the firm. IT relatedness also has significant indirect effects on firm performance through the mediation of KM capability.ABSTRACT FROM AUTHOR","author":[{"dropping-particle":"","family":"Tanriverdi","given":"","non-dropping-particle":"","parse-names":false,"suffix":""}],"container-title":"MIS Quarterly","id":"ITEM-3","issue":"2","issued":{"date-parts":[["2005"]]},"page":"311","title":"Information technology relatedness, knowledge management capability, and performance of multibusiness firms","type":"article-journal","volume":"29"},"uris":["http://www.mendeley.com/documents/?uuid=8aa43bc9-341a-41be-a7e2-362e8f137bb3"]}],"mendeley":{"formattedCitation":"(Alavi &amp; Leidner, 1999; Gold et al., 2001; Tanriverdi, 2005)","plainTextFormattedCitation":"(Alavi &amp; Leidner, 1999; Gold et al., 2001; Tanriverdi, 2005)","previouslyFormattedCitation":"(Alavi &amp; Leidner, 1999; Gold et al., 2001; Tanriverdi, 2005)"},"properties":{"noteIndex":0},"schema":"https://github.com/citation-style-language/schema/raw/master/csl-citation.json"}</w:instrText>
      </w:r>
      <w:r w:rsidRPr="002A7627">
        <w:fldChar w:fldCharType="separate"/>
      </w:r>
      <w:r w:rsidR="00E24626" w:rsidRPr="002A7627">
        <w:rPr>
          <w:noProof/>
        </w:rPr>
        <w:t>(Alavi &amp; Leidner, 1999; Gold et al., 2001; Tanriverdi, 2005)</w:t>
      </w:r>
      <w:r w:rsidRPr="002A7627">
        <w:fldChar w:fldCharType="end"/>
      </w:r>
      <w:r w:rsidRPr="002A7627">
        <w:t xml:space="preserve">. These capabilities can be enhanced by the use of IT to transmit and create knowledge </w:t>
      </w:r>
      <w:r w:rsidR="00F31753" w:rsidRPr="002A7627">
        <w:rPr>
          <w:noProof/>
        </w:rPr>
        <w:t>(Lee &amp; Choi, 2003; Ryan et al., 2010)</w:t>
      </w:r>
      <w:r w:rsidRPr="002A7627">
        <w:t>. IT is</w:t>
      </w:r>
      <w:r w:rsidR="00054373" w:rsidRPr="002A7627">
        <w:t xml:space="preserve">, therefore, </w:t>
      </w:r>
      <w:r w:rsidRPr="002A7627">
        <w:t xml:space="preserve">considered essential to creating useful knowledge </w:t>
      </w:r>
      <w:r w:rsidRPr="002A7627">
        <w:fldChar w:fldCharType="begin" w:fldLock="1"/>
      </w:r>
      <w:r w:rsidR="00E24626" w:rsidRPr="002A7627">
        <w:instrText>ADDIN CSL_CITATION {"citationItems":[{"id":"ITEM-1","itemData":{"DOI":"10.1108/10662241211199942","ISSN":"1066-2243","abstract":"Purpose – The purpose of this study is to propose a conceptual structural equation model to, first, investigate the relationships among knowledge management (KM) system quality, employees' self-perceived social identification, trust at workplace as well as online knowledge sharing behaviors, and, second, demonstrate the direct and indirect effect of social identification and trust at workplace on online knowledge sharing from the perspective of KM system quality. Design/methodology/approach – A questionnaire was distributed to 437 full-time employees (n ¼ 437) from three technology companies in Taiwan. These companies have had years of experience in implementing KM systems. Data were analyzed by employing structural equation modeling. Findings – The results show that: social identification and trust at workplace have a mediating effect on online knowledge sharing within organizations; trust at workplace is the stronger mediator than social identification; social identification has a positive and significant impact on trust at workplace; and there is significant correlation between KM system quality and social identification as well as trust. Practical implications – Based on these findings, organizations in Taiwan that aim to maximize the effectiveness and efficiency of KM systems should find ways to enhance employees' self-awareness on social identification and trust in the workplace. Originality/value – The conceptual model provides useful information for managers to enhance knowledge sharing through the formation of social identification and promotion of trust at workplaces.","author":[{"dropping-particle":"","family":"Ho","g</w:instrText>
      </w:r>
      <w:r w:rsidR="00E24626" w:rsidRPr="002A7627">
        <w:rPr>
          <w:rFonts w:hint="eastAsia"/>
        </w:rPr>
        <w:instrText>iven":"Li</w:instrText>
      </w:r>
      <w:r w:rsidR="00E24626" w:rsidRPr="002A7627">
        <w:rPr>
          <w:rFonts w:hint="eastAsia"/>
        </w:rPr>
        <w:instrText>‐</w:instrText>
      </w:r>
      <w:r w:rsidR="00E24626" w:rsidRPr="002A7627">
        <w:rPr>
          <w:rFonts w:hint="eastAsia"/>
        </w:rPr>
        <w:instrText>An","non-dropping-particle":"","parse-names":false,"suffix":""},{"dropping-particle":"","family":"Kuo","given":"Tsung</w:instrText>
      </w:r>
      <w:r w:rsidR="00E24626" w:rsidRPr="002A7627">
        <w:rPr>
          <w:rFonts w:hint="eastAsia"/>
        </w:rPr>
        <w:instrText>‐</w:instrText>
      </w:r>
      <w:r w:rsidR="00E24626" w:rsidRPr="002A7627">
        <w:rPr>
          <w:rFonts w:hint="eastAsia"/>
        </w:rPr>
        <w:instrText>Hsien","non-dropping-particle":"","parse-names":false,"suffix":""},{"dropping-particle":"","family":"Lin","given":"Binshan","no</w:instrText>
      </w:r>
      <w:r w:rsidR="00E24626" w:rsidRPr="002A7627">
        <w:instrText>n-dropping-particle":"","parse-names":false,"suffix":""}],"container-title":"Internet Research","id":"ITEM-1","issue":"1","issued":{"date-parts":[["2012","1","27"]]},"page":"4-28","title":"How social identification and trust influence organizational online knowledge sharing","type":"article-journal","volume":"22"},"uris":["http://www.mendeley.com/documents/?uuid=51a492cf-54ed-4692-b151-0e6e518e990a"]},{"id":"ITEM-2","itemData":{"DOI":"10.1016/j.ijinfomgt.2016.07.001","ISSN":"02684012","author":[{"dropping-particle":"","family":"Mao","given":"Hongyi","non-dropping-particle":"","parse-names":false,"suffix":""},{"dropping-particle":"","family":"Liu","given":"Shan","non-dropping-particle":"","parse-names":false,"suffix":""},{"dropping-particle":"","family":"Zhang","given":"Jinlong","non-dropping-particle":"","parse-names":false,"suffix":""},{"dropping-particle":"","family":"Deng","given":"Zhaohua","non-dropping-particle":"","parse-names":false,"suffix":""}],"container-title":"International Journal of Information Management","id":"ITEM-2","issue":"6","issued":{"date-parts":[["2016","12"]]},"page":"1062-1074","title":"Information technology resource, knowledge management capability, and competitive advantage: The moderating role of resource commitment","type":"article-journal","volume":"36"},"uris":["http://www.mendeley.com/documents/?uuid=f4b33ae6-823b-40bd-ab25-1538058e5e73"]}],"mendeley":{"formattedCitation":"(Ho et al., 2012; Mao et al., 2016)","plainTextFormattedCitation":"(Ho et al., 2012; Mao et al., 2016)","previouslyFormattedCitation":"(Ho et al., 2012; Mao et al., 2016)"},"properties":{"noteIndex":0},"schema":"https://github.com/citation-style-language/schema/raw/master/csl-citation.json"}</w:instrText>
      </w:r>
      <w:r w:rsidRPr="002A7627">
        <w:fldChar w:fldCharType="separate"/>
      </w:r>
      <w:r w:rsidR="00F31753" w:rsidRPr="002A7627">
        <w:rPr>
          <w:noProof/>
        </w:rPr>
        <w:t>(Ho et al., 2012; Mao et al., 2016)</w:t>
      </w:r>
      <w:r w:rsidRPr="002A7627">
        <w:fldChar w:fldCharType="end"/>
      </w:r>
      <w:r w:rsidRPr="002A7627">
        <w:t xml:space="preserve"> as well as allowing extensive knowledge to be shared </w:t>
      </w:r>
      <w:r w:rsidRPr="002A7627">
        <w:fldChar w:fldCharType="begin" w:fldLock="1"/>
      </w:r>
      <w:r w:rsidR="004C27D4" w:rsidRPr="002A7627">
        <w:instrText>ADDIN CSL_CITATION {"citationItems":[{"id":"ITEM-1","itemData":{"DOI":"10.1287/orsc.1070.0286","ISSN":"1047-7039","abstract":"T his study investigates the effects of information technology (IT) on exploration and exploitation in organizational learning (OL). We use qualitative evidence from previously published case studies of a single organization to extend an earlier computational model of organizational learning (March 1991) by introducing IT-enabled learning mechanisms: communication technology (e-mail), knowledge repositories of best practices, and groupware. We find that each of these IT-enabled learning mechanisms enable capabilities that have a distinct effect on the exploration and exploitation learning dynamics in the organization. We also find that this effect is dependent on organizational and environmental conditions, as well as on the interaction effects between the various mechanisms when used in combination with one another. We explore the implications of our results for the use of IT to support organizational learning.","author":[{"dropping-particle":"","family":"Kane","given":"Gerald C.","non-dropping-particle":"","parse-names":false,"suffix":""},{"dropping-particle":"","family":"Alavi","given":"Maryam","non-dropping-particle":"","parse-names":false,"suffix":""}],"container-title":"Organization Science","id":"ITEM-1","issue":"5","issued":{"date-parts":[["2007","10"]]},"page":"796-812","title":"Information technology and organizational learning: An investigation of exploration and exploitation processes","type":"article-journal","volume":"18"},"uris":["http://www.mendeley.com/documents/?uuid=7316d078-a33a-48c5-b609-e28811c0425c"]},{"id":"ITEM-2","itemData":{"DOI":"10.2307/25148626","ISSN":"02767783","abstract":"Information systems researchers have a long tra-dition of drawing on theories from disciplines such as economics, computer science, psychology, and general management and using them in their own research. Because of this, the information sys-tems field has become a rich tapestry of theore-1 Jane Webster was the accepting senior editor for this paper. tical and conceptual foundations. As new theories are brought into the field, particularly theories that have become dominant in other areas, there may be a benefit in pausing to assess their use and contribution in an IS context. The purpose of this paper is to explore and critically evaluate use of the resource-based view of the firm (RBV) by IS researchers. The paper provides a brief review of resource-based theory and then suggests extensions to make the RBV more useful for empirical IS research. First, a typology of key IS resources is presented, and these are then described using six traditional resource attributes. Second, we em-phasize the particular importance of looking at both resource complementarity and moderating factors when studying IS resource effects on firm performance. Finally, we discuss three consi-derations that IS researchers need to address when using the RBV empirically. Eight sets of propositions are advanced to help guide future research.","author":[{"dropping-particle":"","family":"Wade","given":"","non-dropping-particle":"","parse-names":false,"suffix":""},{"dropping-particle":"","family":"Hulland","given":"","non-dropping-particle":"","parse-names":false,"suffix":""}],"container-title":"MIS Quarterly","id":"ITEM-2","issue":"1","issued":{"date-parts":[["2004"]]},"page":"107","title":"Review: The resource-based view and information systems research: Review, extension, and suggestions for future research","type":"article-journal","volume":"28"},"uris":["http://www.mendeley.com/documents/?uuid=42b6c6a0-6856-4b59-bd45-f71902ca654d"]}],"mendeley":{"formattedCitation":"(Kane &amp; Alavi, 2007; Wade &amp; Hulland, 2004)","plainTextFormattedCitation":"(Kane &amp; Alavi, 2007; Wade &amp; Hulland, 2004)","previouslyFormattedCitation":"(Kane &amp; Alavi, 2007; Wade &amp; Hulland, 2004)"},"properties":{"noteIndex":0},"schema":"https://github.com/citation-style-language/schema/raw/master/csl-citation.json"}</w:instrText>
      </w:r>
      <w:r w:rsidRPr="002A7627">
        <w:fldChar w:fldCharType="separate"/>
      </w:r>
      <w:r w:rsidR="00E24626" w:rsidRPr="002A7627">
        <w:rPr>
          <w:noProof/>
        </w:rPr>
        <w:t>(Kane &amp; Alavi, 2007; Wade &amp; Hulland, 2004)</w:t>
      </w:r>
      <w:r w:rsidRPr="002A7627">
        <w:fldChar w:fldCharType="end"/>
      </w:r>
      <w:r w:rsidRPr="002A7627">
        <w:t xml:space="preserve">. </w:t>
      </w:r>
    </w:p>
    <w:p w14:paraId="6751A3DA" w14:textId="64B39DF2" w:rsidR="00EE00BF" w:rsidRPr="002A7627" w:rsidRDefault="00EE00BF" w:rsidP="002C4A1A">
      <w:pPr>
        <w:pStyle w:val="AAAAAAA"/>
        <w:rPr>
          <w:rFonts w:eastAsia="Times New Roman"/>
        </w:rPr>
      </w:pPr>
      <w:r w:rsidRPr="002A7627">
        <w:rPr>
          <w:rFonts w:eastAsia="Times New Roman"/>
        </w:rPr>
        <w:t>Technology infrastructure</w:t>
      </w:r>
      <w:r w:rsidR="00054373" w:rsidRPr="002A7627">
        <w:rPr>
          <w:rFonts w:eastAsia="Times New Roman"/>
        </w:rPr>
        <w:t xml:space="preserve"> therefore </w:t>
      </w:r>
      <w:r w:rsidRPr="002A7627">
        <w:rPr>
          <w:rFonts w:eastAsia="Times New Roman"/>
        </w:rPr>
        <w:t xml:space="preserve">plays a vital role in organizational knowledge management systems </w:t>
      </w:r>
      <w:r w:rsidR="00F31753" w:rsidRPr="002A7627">
        <w:rPr>
          <w:rFonts w:eastAsia="Times New Roman"/>
          <w:noProof/>
        </w:rPr>
        <w:t>(Ryan et al., 2010)</w:t>
      </w:r>
      <w:r w:rsidRPr="002A7627">
        <w:t xml:space="preserve">. </w:t>
      </w:r>
      <w:r w:rsidRPr="002A7627">
        <w:rPr>
          <w:rFonts w:eastAsia="Times New Roman"/>
        </w:rPr>
        <w:t>Technological infrastructure capabilities include database</w:t>
      </w:r>
      <w:r w:rsidR="00805E42">
        <w:rPr>
          <w:rFonts w:eastAsia="Times New Roman"/>
        </w:rPr>
        <w:t>s</w:t>
      </w:r>
      <w:r w:rsidRPr="002A7627">
        <w:rPr>
          <w:rFonts w:eastAsia="Times New Roman"/>
        </w:rPr>
        <w:t>, software, hardware, systems</w:t>
      </w:r>
      <w:r w:rsidR="00193A9C" w:rsidRPr="002A7627">
        <w:rPr>
          <w:rFonts w:eastAsia="Times New Roman"/>
        </w:rPr>
        <w:t>,</w:t>
      </w:r>
      <w:r w:rsidRPr="002A7627">
        <w:rPr>
          <w:rFonts w:eastAsia="Times New Roman"/>
        </w:rPr>
        <w:t xml:space="preserve"> and networks </w:t>
      </w:r>
      <w:r w:rsidRPr="002A7627">
        <w:rPr>
          <w:rFonts w:eastAsia="Times New Roman"/>
        </w:rPr>
        <w:fldChar w:fldCharType="begin" w:fldLock="1"/>
      </w:r>
      <w:r w:rsidRPr="002A7627">
        <w:rPr>
          <w:rFonts w:eastAsia="Times New Roman"/>
        </w:rPr>
        <w:instrText>ADDIN CSL_CITATION {"citationItems":[{"id":"ITEM-1","itemData":{"ISSN":"0165-5515","author":[{"dropping-particle":"","family":"Yang","given":"Chyan","non-dropping-particle":"","parse-names":false,"suffix":""},{"dropping-particle":"","family":"Chen","given":"Liang-Chu","non-dropping-particle":"","parse-names":false,"suffix":""}],"container-title":"Journal of Information Science","id":"ITEM-1","issue":"1","issued":{"date-parts":[["2007"]]},"page":"95-109","publisher":"Sage Publications Sage CA: Thousand Oaks, CA","title":"Can organizational knowledge capabilities affect knowledge sharing behavior?","type":"article-journal","volume":"33"},"uris":["http://www.mendeley.com/documents/?uuid=ac611e70-b95e-4075-b182-188b4e5e13e6"]}],"mendeley":{"formattedCitation":"(Yang &amp; Chen, 2007)","plainTextFormattedCitation":"(Yang &amp; Chen, 2007)","previouslyFormattedCitation":"(Yang &amp; Chen, 2007)"},"properties":{"noteIndex":0},"schema":"https://github.com/citation-style-language/schema/raw/master/csl-citation.json"}</w:instrText>
      </w:r>
      <w:r w:rsidRPr="002A7627">
        <w:rPr>
          <w:rFonts w:eastAsia="Times New Roman"/>
        </w:rPr>
        <w:fldChar w:fldCharType="separate"/>
      </w:r>
      <w:r w:rsidRPr="002A7627">
        <w:rPr>
          <w:rFonts w:eastAsia="Times New Roman"/>
          <w:noProof/>
        </w:rPr>
        <w:t>(Yang &amp; Chen, 2007)</w:t>
      </w:r>
      <w:r w:rsidRPr="002A7627">
        <w:rPr>
          <w:rFonts w:eastAsia="Times New Roman"/>
        </w:rPr>
        <w:fldChar w:fldCharType="end"/>
      </w:r>
      <w:r w:rsidRPr="002A7627">
        <w:rPr>
          <w:rFonts w:eastAsia="Times New Roman"/>
        </w:rPr>
        <w:t xml:space="preserve"> that enhance knowledge management </w:t>
      </w:r>
      <w:r w:rsidRPr="002A7627">
        <w:rPr>
          <w:rFonts w:eastAsia="Times New Roman"/>
        </w:rPr>
        <w:fldChar w:fldCharType="begin" w:fldLock="1"/>
      </w:r>
      <w:r w:rsidR="004C27D4" w:rsidRPr="002A7627">
        <w:rPr>
          <w:rFonts w:eastAsia="Times New Roman"/>
        </w:rPr>
        <w:instrText>ADDIN CSL_CITATION {"citationItems":[{"id":"ITEM-1","itemData":{"DOI":"10.25300/MISQ/2015/39.3.05","ISBN":"02767783","ISSN":"02767783","PMID":"108873991","abstract":"This study aims to contribute to the literature through the theoretical development and empirical investigation of the role of information technology use in organizational learning. We develop a theoretical framework that unpacks organizational learning into mechanisms and outcomes. The outcomes of organizational learning are distinguished at two levels: first-order and second-order. Based on the framework, we propose a research model set in the franchising context. We conceptualize franchisee use of IT provided by the franchisor as an important learning mechanism that impacts knowledge transfer effectiveness (first-order outcome) and absorptive capacity (second-order outcome). Further, the influence of IT use on financial performance is mediated through absorptive capacity. The model was tested on a sample of 783 independently owned real estate franchisees using a comprehensive dataset comprised of primary and secondary data. The results indicate that IT use is an important learning mechanism for franchisees by impacting knowledge transfer effectiveness and absorptive capacity. In turn, absorptive capacity mediates the relationship between IT use and financial performance. The empirical support for the research model serves to affirm the underlying learning mechanisms–outcomes framework. The results are stable across the choice of statistical method and the operationalization of financial performance. Theoretical contributions, implications for practice, and limitations of the study are discussed. [ABSTRACT FROM AUTHOR]","author":[{"dropping-particle":"","family":"Iyengar","given":"Kishen","non-dropping-particle":"","parse-names":false,"suffix":""},{"dropping-particle":"","family":"Sweeney","given":"Jeffrey R.","non-dropping-particle":"","parse-names":false,"suffix":""},{"dropping-particle":"","family":"Montealegre","given":"Ramiro","non-dropping-particle":"","parse-names":false,"suffix":""}],"container-title":"MIS Quarterly","id":"ITEM-1","issue":"3","issued":{"date-parts":[["2015","3","3"]]},"page":"615-641","title":"Information technology use as a learning mechanism: The impact of it use on knowledge transfer effectiveness, absorptive capacity, and franchisee performance.","type":"article-journal","volume":"39"},"uris":["http://www.mendeley.com/documents/?uuid=1d84f3f6-512a-48ee-b63b-ad999092d34d"]}],"mendeley":{"formattedCitation":"(Iyengar, Sweeney, &amp; Montealegre, 2015)","plainTextFormattedCitation":"(Iyengar, Sweeney, &amp; Montealegre, 2015)","previouslyFormattedCitation":"(Iyengar, Sweeney, &amp; Montealegre, 2015)"},"properties":{"noteIndex":0},"schema":"https://github.com/citation-style-language/schema/raw/master/csl-citation.json"}</w:instrText>
      </w:r>
      <w:r w:rsidRPr="002A7627">
        <w:rPr>
          <w:rFonts w:eastAsia="Times New Roman"/>
        </w:rPr>
        <w:fldChar w:fldCharType="separate"/>
      </w:r>
      <w:r w:rsidR="00E24626" w:rsidRPr="002A7627">
        <w:rPr>
          <w:rFonts w:eastAsia="Times New Roman"/>
          <w:noProof/>
        </w:rPr>
        <w:t>(Iyengar, Sweeney, &amp; Montealegre, 2015)</w:t>
      </w:r>
      <w:r w:rsidRPr="002A7627">
        <w:rPr>
          <w:rFonts w:eastAsia="Times New Roman"/>
        </w:rPr>
        <w:fldChar w:fldCharType="end"/>
      </w:r>
      <w:r w:rsidRPr="002A7627">
        <w:rPr>
          <w:rFonts w:eastAsia="Times New Roman"/>
        </w:rPr>
        <w:t xml:space="preserve">. Sharing existing knowledge through technology helps employees to create and share new knowledge </w:t>
      </w:r>
      <w:r w:rsidRPr="002A7627">
        <w:rPr>
          <w:rFonts w:eastAsia="Times New Roman"/>
        </w:rPr>
        <w:fldChar w:fldCharType="begin" w:fldLock="1"/>
      </w:r>
      <w:r w:rsidRPr="002A7627">
        <w:rPr>
          <w:rFonts w:eastAsia="Times New Roman"/>
        </w:rPr>
        <w:instrText>ADDIN CSL_CITATION {"citationItems":[{"id":"ITEM-1","itemData":{"DOI":"10.1108/10662241211199942","ISSN":"1066-2243","abstract":"Purpose – The purpose of this study is to propose a conceptual structural equation model to, first, investigate the relationships among knowledge management (KM) system quality, employees' self-perceived social identification, trust at workplace as well as online knowledge sharing behaviors, and, second, demonstrate the direct and indirect effect of social identification and trust at workplace on online knowledge sharing from the perspective of KM system quality. Design/methodology/approach – A questionnaire was distributed to 437 full-time employees (n ¼ 437) from three technology companies in Taiwan. These companies have had years of experience in implementing KM systems. Data were analyzed by employing structural equation modeling. Findings – The results show that: social identification and trust at workplace have a mediating effect on online knowledge sharing within organizations; trust at workplace is the stronger mediator than social identification; social identification has a positive and significant impact on trust at workplace; and there is significant correlation between KM system quality and social identification as well as trust. Practical implications – Based on these findings, organizations in Taiwan that aim to maximize the effectiveness and efficiency of KM systems should find ways to enhance employees' self-awareness on social identification and trust in the workplace. Originality/value – The conceptual model provides useful information for managers to enhance knowledge sharing through the formation of social identification and promotion of trust at workplaces.","author":[{"dropping-particle":"","family":"Ho","given":"Li‐An","non-dropping-particle":"","parse-names":false,"suffix":""},{"dropping-particle":"","family":"Kuo","given":"Tsung‐Hsien","non-dropping-particle":"","parse-names":false,"suffix":""},{"dropping-particle":"","family":"Lin","given":"Binshan","non-dropping-particle":"","parse-names":false,"suffix":""}],"container-title":"Internet Research","id":"ITEM-1","issue":"1","issued":{"date-parts":[["2012","1","27"]]},"page":"4-28","title":"How social identification and trust influence organizational online knowledge sharing","type":"article-journal","volume":"22"},"uris":["http://www.mendeley.com/documents/?uuid=51a492cf-54ed-4692-b151-0e6e518e990a"]}],"mendeley":{"formattedCitation":"(Ho et al., 2012)","plainTextFormattedCitation":"(Ho et al., 2012)","previouslyFormattedCitation":"(Ho et al., 2012)"},"properties":{"noteIndex":0},"schema":"https://github.com/citation-style-language/schema/raw/master/csl-citation.json"}</w:instrText>
      </w:r>
      <w:r w:rsidRPr="002A7627">
        <w:rPr>
          <w:rFonts w:eastAsia="Times New Roman"/>
        </w:rPr>
        <w:fldChar w:fldCharType="separate"/>
      </w:r>
      <w:r w:rsidRPr="002A7627">
        <w:rPr>
          <w:rFonts w:eastAsia="Times New Roman"/>
          <w:noProof/>
        </w:rPr>
        <w:t>(Ho et al., 2012)</w:t>
      </w:r>
      <w:r w:rsidRPr="002A7627">
        <w:rPr>
          <w:rFonts w:eastAsia="Times New Roman"/>
        </w:rPr>
        <w:fldChar w:fldCharType="end"/>
      </w:r>
      <w:r w:rsidRPr="002A7627">
        <w:rPr>
          <w:rFonts w:eastAsia="Times New Roman"/>
        </w:rPr>
        <w:t xml:space="preserve">. For example, intranet-based systems allow people to collaborate and convert individual knowledge into organizational knowledge </w:t>
      </w:r>
      <w:r w:rsidR="00F31753" w:rsidRPr="002A7627">
        <w:rPr>
          <w:rFonts w:eastAsia="Times New Roman"/>
          <w:noProof/>
        </w:rPr>
        <w:t>(Ryan et al., 2010)</w:t>
      </w:r>
      <w:r w:rsidRPr="002A7627">
        <w:rPr>
          <w:rFonts w:eastAsia="Times New Roman"/>
        </w:rPr>
        <w:t xml:space="preserve">. Recent technological advances have increased the scope for knowledge management with increased connectivity </w:t>
      </w:r>
      <w:r w:rsidRPr="002A7627">
        <w:rPr>
          <w:rFonts w:eastAsia="Times New Roman"/>
        </w:rPr>
        <w:fldChar w:fldCharType="begin" w:fldLock="1"/>
      </w:r>
      <w:r w:rsidR="00E24626" w:rsidRPr="002A7627">
        <w:rPr>
          <w:rFonts w:eastAsia="Times New Roman"/>
        </w:rPr>
        <w:instrText>ADDIN CSL_CITATION {"citationItems":[{"id":"ITEM-1","itemData":{"author":[{"dropping-particle":"","family":"Bouthillier","given":"France","non-dropping-particle":"","parse-names":false,"suffix":""},{"dropping-particle":"","family":"Dalkir","given":"Kimiz","non-dropping-particle":"","parse-names":false,"suffix":""}],"container-title":"Knowledge management: Nurturing culture, innovation, and technology","editor":[{"dropping-particle":"","family":"Hawamdeh","given":"Suliman","non-dropping-particle":"","parse-names":false,"suffix":""}],"id":"ITEM-1","issued":{"date-parts":[["2005"]]},"page":"603-610","publisher":"World Scientific","publisher-place":"New York, NY","title":"Knowledge management and competitive intelligence: Examination of similarities, differences and intersections","type":"chapter"},"uris":["http://www.mendeley.com/documents/?uuid=47f69665-21d1-4354-a748-596f20273c31"]}],"mendeley":{"formattedCitation":"(Bouthillier &amp; Dalkir, 2005)","plainTextFormattedCitation":"(Bouthillier &amp; Dalkir, 2005)","previouslyFormattedCitation":"(Bouthillier &amp; Dalkir, 2005)"},"properties":{"noteIndex":0},"schema":"https://github.com/citation-style-language/schema/raw/master/csl-citation.json"}</w:instrText>
      </w:r>
      <w:r w:rsidRPr="002A7627">
        <w:rPr>
          <w:rFonts w:eastAsia="Times New Roman"/>
        </w:rPr>
        <w:fldChar w:fldCharType="separate"/>
      </w:r>
      <w:r w:rsidRPr="002A7627">
        <w:rPr>
          <w:rFonts w:eastAsia="Times New Roman"/>
          <w:noProof/>
        </w:rPr>
        <w:t>(Bouthillier &amp; Dalkir, 2005)</w:t>
      </w:r>
      <w:r w:rsidRPr="002A7627">
        <w:rPr>
          <w:rFonts w:eastAsia="Times New Roman"/>
        </w:rPr>
        <w:fldChar w:fldCharType="end"/>
      </w:r>
      <w:r w:rsidRPr="002A7627">
        <w:rPr>
          <w:rFonts w:eastAsia="Times New Roman"/>
        </w:rPr>
        <w:t xml:space="preserve">, and also increased the </w:t>
      </w:r>
      <w:r w:rsidRPr="002A7627">
        <w:t xml:space="preserve">emphasis on IT-enabled knowledge management capabilities and their effect on knowledge management benefits </w:t>
      </w:r>
      <w:r w:rsidRPr="002A7627">
        <w:fldChar w:fldCharType="begin" w:fldLock="1"/>
      </w:r>
      <w:r w:rsidR="00E24626" w:rsidRPr="002A7627">
        <w:instrText>ADDIN CSL_CITATION {"citationItems":[{"id":"ITEM-1","itemData":{"DOI":"10.1016/j.ijpe.2014.04.009","ISSN":"09255273","abstract":"Nowadays, the business environment has become more turbulent and more competitive; hence, supplier relationships have become strategic assets for firm survival. Furthermore, this relationship has become an important issue for understanding how firms apply knowledge management capabilities (KMC) to initiate, enhance, and maintain supplier relationships, as well as enhance corporate performance. However, few attempts have been made to explore the relation between KMC, supplier relationship management (SRM) and corporate performance. To address this lack of knowledge, the present study employed a questionnaire and statistical analytical techniques to explore the impact of KMC and SRM on corporate performance. Results indicate that KMC has a positive influence on corporate performance, while SRM is the partial intervening variable between KMC and corporate performance. This approach provides valuable suggestions that allow firms to better their KMC and enhance their supplier relationships and corporate performance. © 2014 Elsevier B.V.","author":[{"dropping-particle":"","family":"Tseng","given":"Shu-Mei","non-dropping-particle":"","parse-names":false,"suffix":""}],"container-title":"International Journal of Production Economics","id":"ITEM-1","issued":{"date-parts":[["2014","8"]]},"page":"39-47","title":"The impact of knowledge management capabilities and supplier relationship management on corporate performance","type":"article-journal","volume":"154"},"uris":["http://www.mendeley.com/documents/?uuid=28a3d79f-6186-44a7-b599-1c2d55a90b16"]},{"id":"ITEM-2","itemData":{"DOI":"10.1287/isre.1090.0247","ISSN":"1047-7047","abstract":"Although many organizations are implementing knowledge management systems (KMS), there is little empirical evidence about whether KMS use can improve individual performance, and how time and experience influence the value derived from KMS use. Using hierarchical linear modeling (HLM) statistical analysis, we examined the impact of using a codification-based KMS on the sales performance of 2,154 sales representatives in a pharmaceutical firm over a 24-month period. We found that KMS had significant positive impacts on individual performance and that these performance benefits grew over time. Moreover, experience moderated the relationship between KMS use and individual performance. Knowledge workers with more experience were able to more quickly absorb and apply the knowledge from the KMS than were those with less experience, who took longer to benefit from KMS use. However, over time experience played a diminishing role in leveraging performance gains from KMS use, and knowledge workers with less experience eventually derived similar performance benefits as those of their more experienced counterparts. © 2011 INFORMS.","author":[{"dropping-particle":"","family":"Ko","given":"Dong-Gil","non-dropping-particle":"","parse-names":false,"suffix":""},{"dropping-particle":"","family":"Dennis","given":"Alan R.","non-dropping-particle":"","parse-names":false,"suffix":""}],"container-title":"Information Systems Research","id":"ITEM-2","issue":"1","issued":{"date-parts":[["2011","3"]]},"page":"134-152","title":"Profiting from knowledge management: The impact of time and experience","type":"article-journal","volume":"22"},"uris":["http://www.mendeley.com/documents/?uuid=ee7a5309-71d5-45d1-a797-8adbaf70e716"]}],"mendeley":{"formattedCitation":"(Ko &amp; Dennis, 2011; Tseng, 2014)","plainTextFormattedCitation":"(Ko &amp; Dennis, 2011; Tseng, 2014)","previouslyFormattedCitation":"(Ko &amp; Dennis, 2011; Tseng, 2014)"},"properties":{"noteIndex":0},"schema":"https://github.com/citation-style-language/schema/raw/master/csl-citation.json"}</w:instrText>
      </w:r>
      <w:r w:rsidRPr="002A7627">
        <w:fldChar w:fldCharType="separate"/>
      </w:r>
      <w:r w:rsidRPr="002A7627">
        <w:rPr>
          <w:noProof/>
        </w:rPr>
        <w:t>(Ko &amp; Dennis, 2011; Tseng, 2014)</w:t>
      </w:r>
      <w:r w:rsidRPr="002A7627">
        <w:fldChar w:fldCharType="end"/>
      </w:r>
      <w:r w:rsidRPr="002A7627">
        <w:t>. In the UAE, t</w:t>
      </w:r>
      <w:r w:rsidRPr="002A7627">
        <w:rPr>
          <w:rFonts w:eastAsia="Times New Roman"/>
        </w:rPr>
        <w:t xml:space="preserve">echnology infrastructure is considered an important enabling factor in achieving the vision of a knowledge-based economy </w:t>
      </w:r>
      <w:r w:rsidRPr="002A7627">
        <w:rPr>
          <w:rFonts w:eastAsia="Times New Roman"/>
        </w:rPr>
        <w:fldChar w:fldCharType="begin" w:fldLock="1"/>
      </w:r>
      <w:r w:rsidRPr="002A7627">
        <w:rPr>
          <w:rFonts w:eastAsia="Times New Roman"/>
        </w:rPr>
        <w:instrText>ADDIN CSL_CITATION {"citationItems":[{"id":"ITEM-1","itemData":{"URL":"https://uaecabinet.ae/en/uae-vision","accessed":{"date-parts":[["2019","7","3"]]},"author":[{"dropping-particle":"","family":"UAECabinet","given":"","non-dropping-particle":"","parse-names":false,"suffix":""}],"container-title":"uaecabinet","id":"ITEM-1","issued":{"date-parts":[["2019"]]},"title":"UAE Vision","type":"webpage"},"uris":["http://www.mendeley.com/documents/?uuid=dabb14dd-b4d5-4bfd-b2ea-2f245b9b94d7"]}],"mendeley":{"formattedCitation":"(UAECabinet, 2019)","manualFormatting":"(UAE Cabinet, 2019)","plainTextFormattedCitation":"(UAECabinet, 2019)","previouslyFormattedCitation":"(UAECabinet, 2019)"},"properties":{"noteIndex":0},"schema":"https://github.com/citation-style-language/schema/raw/master/csl-citation.json"}</w:instrText>
      </w:r>
      <w:r w:rsidRPr="002A7627">
        <w:rPr>
          <w:rFonts w:eastAsia="Times New Roman"/>
        </w:rPr>
        <w:fldChar w:fldCharType="separate"/>
      </w:r>
      <w:r w:rsidRPr="002A7627">
        <w:rPr>
          <w:rFonts w:eastAsia="Times New Roman"/>
          <w:noProof/>
        </w:rPr>
        <w:t>(UAE Cabinet, 2019)</w:t>
      </w:r>
      <w:r w:rsidRPr="002A7627">
        <w:rPr>
          <w:rFonts w:eastAsia="Times New Roman"/>
        </w:rPr>
        <w:fldChar w:fldCharType="end"/>
      </w:r>
      <w:r w:rsidRPr="002A7627">
        <w:rPr>
          <w:rFonts w:eastAsia="Times New Roman"/>
        </w:rPr>
        <w:t xml:space="preserve">. It enables organizations to manage knowledge and improve efficiency </w:t>
      </w:r>
      <w:r w:rsidRPr="002A7627">
        <w:fldChar w:fldCharType="begin" w:fldLock="1"/>
      </w:r>
      <w:r w:rsidR="00E24626" w:rsidRPr="002A7627">
        <w:instrText>ADDIN CSL_CITATION {"citationItems":[{"id":"ITEM-1","itemData":{"abstract":"Resource-based view is the theory that has been applied to analyze the impact of information technology on business performance. Its main argument is that competitive advantages are determined by the unique valuable resources controlled by an organization. IT as a valuable asset will have positive effect on firm performance. However, previous research on the issue is inconsistent. This paper reports a meta-analysis of 42 papers published in major journals in information systems. Our findings indicate that the capability mediated model is better than the direct effect model and the major impact of IT is on efficiency indicators.","author":[{"dropping-particle":"","family":"Liang","given":"Ting-peng","non-dropping-particle":"","parse-names":false,"suffix":""},{"dropping-particle":"","family":"You","given":"Jun-jer","non-dropping-particle":"","parse-names":false,"suffix":""}],"container-title":"Pacific Asia Conference on Information Systems Proceedings","id":"ITEM-1","issued":{"date-parts":[["2009"]]},"publisher":"Association for Information Systems","publisher-place":"China","title":"Resource-based view in information systems research : A meta-analysis resource-based view in information systems","type":"paper-conference"},"uris":["http://www.mendeley.com/documents/?uuid=6fdbe0d8-08e1-42a5-91e5-bf8733c93330"]}],"mendeley":{"formattedCitation":"(Liang &amp; You, 2009)","plainTextFormattedCitation":"(Liang &amp; You, 2009)","previouslyFormattedCitation":"(Liang &amp; You, 2009)"},"properties":{"noteIndex":0},"schema":"https://github.com/citation-style-language/schema/raw/master/csl-citation.json"}</w:instrText>
      </w:r>
      <w:r w:rsidRPr="002A7627">
        <w:fldChar w:fldCharType="separate"/>
      </w:r>
      <w:r w:rsidRPr="002A7627">
        <w:rPr>
          <w:noProof/>
        </w:rPr>
        <w:t>(Liang &amp; You, 2009)</w:t>
      </w:r>
      <w:r w:rsidRPr="002A7627">
        <w:fldChar w:fldCharType="end"/>
      </w:r>
      <w:r w:rsidRPr="002A7627">
        <w:t>.</w:t>
      </w:r>
      <w:r w:rsidRPr="002A7627">
        <w:rPr>
          <w:rFonts w:eastAsia="Times New Roman"/>
        </w:rPr>
        <w:t xml:space="preserve"> </w:t>
      </w:r>
    </w:p>
    <w:p w14:paraId="4207E326" w14:textId="0418FECF" w:rsidR="00EE00BF" w:rsidRPr="002A7627" w:rsidRDefault="00EE00BF" w:rsidP="002C4A1A">
      <w:pPr>
        <w:pStyle w:val="AAAAAAA"/>
        <w:rPr>
          <w:rFonts w:eastAsia="Times New Roman"/>
        </w:rPr>
      </w:pPr>
      <w:r w:rsidRPr="002A7627">
        <w:rPr>
          <w:rFonts w:eastAsia="Times New Roman"/>
        </w:rPr>
        <w:t xml:space="preserve">Technology is considered an enabling factor for knowledge management because it offers storage for information and easy retrieval to leverage innovation </w:t>
      </w:r>
      <w:r w:rsidR="0075026B" w:rsidRPr="002A7627">
        <w:rPr>
          <w:rFonts w:eastAsia="Times New Roman"/>
          <w:noProof/>
        </w:rPr>
        <w:t>(Lee &amp; Choi, 2003; Soon, Fisher, &amp; Zainol, 2017; Veer Ramjeawon &amp; Rowley, 2017)</w:t>
      </w:r>
      <w:r w:rsidRPr="002A7627">
        <w:rPr>
          <w:rFonts w:eastAsia="Times New Roman"/>
        </w:rPr>
        <w:t xml:space="preserve">. </w:t>
      </w:r>
      <w:r w:rsidR="006B227A" w:rsidRPr="002A7627">
        <w:rPr>
          <w:rFonts w:eastAsia="Times New Roman"/>
        </w:rPr>
        <w:fldChar w:fldCharType="begin" w:fldLock="1"/>
      </w:r>
      <w:r w:rsidR="0075026B" w:rsidRPr="002A7627">
        <w:rPr>
          <w:rFonts w:eastAsia="Times New Roman"/>
        </w:rPr>
        <w:instrText>ADDIN CSL_CITATION {"citationItems":[{"id":"ITEM-1","itemData":{"author":[{"dropping-particle":"","family":"Soon","given":"TT","non-dropping-particle":"","parse-names":false,"suffix":""},{"dropping-particle":"","family":"Fisher","given":"J","non-dropping-particle":"","parse-names":false,"suffix":""},{"dropping-particle":"","family":"Zainol","given":"FA","non-dropping-particle":"","parse-names":false,"suffix":""}],"container-title":"Asian Journal of Knowledge Management","id":"ITEM-1","issue":"1","issued":{"date-parts":[["2017"]]},"page":"13-52","title":"An integrated view of knowledge management enablers, process and organizational performance in Malaysian enterprise","type":"article-journal","volume":"1"},"uris":["http://www.mendeley.com/documents/?uuid=f3a66b32-57fe-3754-92da-9fee53710dd9"]}],"mendeley":{"formattedCitation":"(Soon et al., 2017)","manualFormatting":"Soon et al. (2014)","plainTextFormattedCitation":"(Soon et al., 2017)","previouslyFormattedCitation":"(Soon et al., 2017)"},"properties":{"noteIndex":0},"schema":"https://github.com/citation-style-language/schema/raw/master/csl-citation.json"}</w:instrText>
      </w:r>
      <w:r w:rsidR="006B227A" w:rsidRPr="002A7627">
        <w:rPr>
          <w:rFonts w:eastAsia="Times New Roman"/>
        </w:rPr>
        <w:fldChar w:fldCharType="separate"/>
      </w:r>
      <w:r w:rsidR="006B227A" w:rsidRPr="002A7627">
        <w:rPr>
          <w:rFonts w:eastAsia="Times New Roman"/>
          <w:noProof/>
        </w:rPr>
        <w:t>Soon et al. (</w:t>
      </w:r>
      <w:r w:rsidR="0069071B" w:rsidRPr="002A7627">
        <w:rPr>
          <w:rFonts w:eastAsia="Times New Roman"/>
          <w:noProof/>
        </w:rPr>
        <w:t>201</w:t>
      </w:r>
      <w:r w:rsidR="0069071B">
        <w:rPr>
          <w:rFonts w:eastAsia="Times New Roman"/>
          <w:noProof/>
        </w:rPr>
        <w:t>7</w:t>
      </w:r>
      <w:r w:rsidR="006B227A" w:rsidRPr="002A7627">
        <w:rPr>
          <w:rFonts w:eastAsia="Times New Roman"/>
          <w:noProof/>
        </w:rPr>
        <w:t>)</w:t>
      </w:r>
      <w:r w:rsidR="006B227A" w:rsidRPr="002A7627">
        <w:rPr>
          <w:rFonts w:eastAsia="Times New Roman"/>
        </w:rPr>
        <w:fldChar w:fldCharType="end"/>
      </w:r>
      <w:r w:rsidRPr="002A7627">
        <w:rPr>
          <w:rFonts w:eastAsia="Times New Roman"/>
        </w:rPr>
        <w:t xml:space="preserve"> </w:t>
      </w:r>
      <w:r w:rsidR="00544048" w:rsidRPr="00EB0C76">
        <w:rPr>
          <w:rFonts w:eastAsia="Times New Roman"/>
          <w:color w:val="000000" w:themeColor="text1"/>
        </w:rPr>
        <w:t xml:space="preserve">examined </w:t>
      </w:r>
      <w:r w:rsidRPr="002A7627">
        <w:rPr>
          <w:rFonts w:eastAsia="Times New Roman"/>
        </w:rPr>
        <w:t>the impact of IT on knowledge creation and found a positive relationship and positive support for knowledge management practices includ</w:t>
      </w:r>
      <w:r w:rsidR="00805E42">
        <w:rPr>
          <w:rFonts w:eastAsia="Times New Roman"/>
        </w:rPr>
        <w:t>ing</w:t>
      </w:r>
      <w:r w:rsidRPr="002A7627">
        <w:rPr>
          <w:rFonts w:eastAsia="Times New Roman"/>
        </w:rPr>
        <w:t xml:space="preserve"> searching, accessing, simulation and stor</w:t>
      </w:r>
      <w:r w:rsidR="00805E42">
        <w:rPr>
          <w:rFonts w:eastAsia="Times New Roman"/>
        </w:rPr>
        <w:t>age</w:t>
      </w:r>
      <w:r w:rsidRPr="002A7627">
        <w:rPr>
          <w:rFonts w:eastAsia="Times New Roman"/>
        </w:rPr>
        <w:t xml:space="preserve"> </w:t>
      </w:r>
      <w:r w:rsidR="006B227A" w:rsidRPr="002A7627">
        <w:rPr>
          <w:rFonts w:eastAsia="Times New Roman"/>
          <w:noProof/>
        </w:rPr>
        <w:t>(Lee &amp; Choi, 2003)</w:t>
      </w:r>
      <w:r w:rsidRPr="002A7627">
        <w:rPr>
          <w:rFonts w:eastAsia="Times New Roman"/>
        </w:rPr>
        <w:t>. Akram</w:t>
      </w:r>
      <w:r w:rsidR="006274E5">
        <w:rPr>
          <w:rFonts w:eastAsia="Times New Roman"/>
        </w:rPr>
        <w:t>, Goraya, Malik and Aljarallah</w:t>
      </w:r>
      <w:r w:rsidRPr="002A7627">
        <w:rPr>
          <w:rFonts w:eastAsia="Times New Roman"/>
        </w:rPr>
        <w:t xml:space="preserve"> </w:t>
      </w:r>
      <w:r w:rsidRPr="002A7627">
        <w:rPr>
          <w:rFonts w:eastAsia="Times New Roman"/>
        </w:rPr>
        <w:fldChar w:fldCharType="begin" w:fldLock="1"/>
      </w:r>
      <w:r w:rsidR="00E24626" w:rsidRPr="002A7627">
        <w:rPr>
          <w:rFonts w:eastAsia="Times New Roman"/>
        </w:rPr>
        <w:instrText>ADDIN CSL_CITATION {"citationItems":[{"id":"ITEM-1","itemData":{"DOI":"10.3390/su10103816","ISSN":"2071-1050","abstract":"This study explores the effects of organizational information technology (IT) capability in determining organizational performance and sustainable competitive advantage. Building on the resource-based and knowledge-based views of a firm, the study proposes a theoretical framework. In this framework, organizational IT capability is theorized to strengthen organizational performance and sustainable competitive advantage, directly and indirectly, through organizational knowledge management capabilities. Data collected from the middle and senior managers of diverse organizations in an emerging economy have been used to test the relationships in the framework. To estimate the proposed relationships in the conceptual model, we use structural equation modeling through SmartPLS 3.2. The results confirm that organizational IT capability significantly impacts organizational performance and sustainable competitive advantage. Additionally, organizational knowledge management capabilities partially mediate the relationship between IT capability and the outcomes (i.e., organizational performance and sustainable competitive advantage). The study concludes with a discussion of the implications for academicians and managers.","author":[{"dropping-particle":"","family":"Akram","given":"M.","non-dropping-particle":"","parse-names":false,"suffix":""},{"dropping-particle":"","family":"Goraya","given":"M.","non-dropping-particle":"","parse-names":false,"suffix":""},{"dropping-particle":"","family":"Malik","given":"Aneela","non-dropping-particle":"","parse-names":false,"suffix":""},{"dropping-particle":"","family":"Aljarallah","given":"Amer","non-dropping-particle":"","parse-names":false,"suffix":""}],"container-title":"Sustainability","id":"ITEM-1","issue":"10","issued":{"date-parts":[["2018","10","22"]]},"page":"3816","title":"Organizational performance and sustainability: Exploring the roles of it capabilities and knowledge management capabilities","type":"article-journal","volume":"10"},"suppress-author":1,"uris":["http://www.mendeley.com/documents/?uuid=5f42a3d1-f971-4d54-8ee0-56c1e0d2d72f"]}],"mendeley":{"formattedCitation":"(2018)","plainTextFormattedCitation":"(2018)","previouslyFormattedCitation":"(2018)"},"properties":{"noteIndex":0},"schema":"https://github.com/citation-style-language/schema/raw/master/csl-citation.json"}</w:instrText>
      </w:r>
      <w:r w:rsidRPr="002A7627">
        <w:rPr>
          <w:rFonts w:eastAsia="Times New Roman"/>
        </w:rPr>
        <w:fldChar w:fldCharType="separate"/>
      </w:r>
      <w:r w:rsidRPr="002A7627">
        <w:rPr>
          <w:rFonts w:eastAsia="Times New Roman"/>
          <w:noProof/>
        </w:rPr>
        <w:t>(2018)</w:t>
      </w:r>
      <w:r w:rsidRPr="002A7627">
        <w:rPr>
          <w:rFonts w:eastAsia="Times New Roman"/>
        </w:rPr>
        <w:fldChar w:fldCharType="end"/>
      </w:r>
      <w:r w:rsidRPr="002A7627">
        <w:rPr>
          <w:rFonts w:eastAsia="Times New Roman"/>
        </w:rPr>
        <w:t xml:space="preserve"> conﬁrmed that IT capability significantly affects organizational performance and sustainable competitive advantage. IT and digital librar</w:t>
      </w:r>
      <w:r w:rsidR="00805E42">
        <w:rPr>
          <w:rFonts w:eastAsia="Times New Roman"/>
        </w:rPr>
        <w:t>ies</w:t>
      </w:r>
      <w:r w:rsidRPr="002A7627">
        <w:rPr>
          <w:rFonts w:eastAsia="Times New Roman"/>
        </w:rPr>
        <w:t xml:space="preserve"> w</w:t>
      </w:r>
      <w:r w:rsidR="00193A9C" w:rsidRPr="002A7627">
        <w:rPr>
          <w:rFonts w:eastAsia="Times New Roman"/>
        </w:rPr>
        <w:t>ere</w:t>
      </w:r>
      <w:r w:rsidRPr="002A7627">
        <w:rPr>
          <w:rFonts w:eastAsia="Times New Roman"/>
        </w:rPr>
        <w:t xml:space="preserve"> found to be enabler</w:t>
      </w:r>
      <w:r w:rsidR="00805E42">
        <w:rPr>
          <w:rFonts w:eastAsia="Times New Roman"/>
        </w:rPr>
        <w:t>s</w:t>
      </w:r>
      <w:r w:rsidRPr="002A7627">
        <w:rPr>
          <w:rFonts w:eastAsia="Times New Roman"/>
        </w:rPr>
        <w:t xml:space="preserve"> for knowledge management in an academic university in Mauritius </w:t>
      </w:r>
      <w:r w:rsidRPr="002A7627">
        <w:rPr>
          <w:rFonts w:eastAsia="Times New Roman"/>
        </w:rPr>
        <w:fldChar w:fldCharType="begin" w:fldLock="1"/>
      </w:r>
      <w:r w:rsidR="00E24626" w:rsidRPr="002A7627">
        <w:rPr>
          <w:rFonts w:eastAsia="Times New Roman"/>
        </w:rPr>
        <w:instrText>ADDIN CSL_CITATION {"citationItems":[{"id":"ITEM-1","itemData":{"DOI":"10.1108/TLO-03-2017-0030","ISSN":"0969-6474","abstract":"© 2017, © Emerald Publishing Limited. Purpose: The purpose of this study is to contribute to research on knowledge management in higher education institutions (HEIs), by studying the enablers and barriers to knowledge management in a country with a developing higher education sector, Mauritius. Design/methodology/approach: Semi-structured interviews were conducted with senior staff in the main public and private HEIs in Mauritius. Questions focused on knowledge management, including relevant barriers and enabling factors to knowledge creation, knowledge sharing and knowledge transfer. Findings: Although participants were able to discuss knowledge management, none of the universities had a knowledge management strategy. Moreover, more barriers than enablers to knowledge management were identified. Barriers included: a lack of policies and reward mechanisms, resources, data, funding and time for research, coupled with frequent leadership changes, a lack of a knowledge-sharing culture and research repositories and weak industry–academia linkages. Enablers were perceived to be: qualified and experienced academic staff in public HEIs, information technology (IT) infrastructure and library/digital library and some incentives for knowledge creation and transfer. Originality/value: Previous research on knowledge management in universities has focused on countries with a relatively well-developed higher education sector. This research contributes by focusing on the perceived barriers and enablers to knowledge management in a country with a small and developing higher education sector.","author":[{"dropping-particle":"","family":"Veer Ramjeawon","given":"Poonam","non-dropping-particle":"","parse-names":false,"suffix":""},{"dropping-particle":"","family":"Rowley","given":"Jennifer","non-dropping-particle":"","parse-names":false,"suffix":""}],"container-title":"The Learning Organization","id":"ITEM-1","issue":"5","issued":{"date-parts":[["2017","7","10"]]},"page":"366-377","title":"Knowledge management in higher education institutions: Enablers and barriers in Mauritius","type":"article-journal","volume":"24"},"uris":["http://www.mendeley.com/documents/?uuid=d6e56a44-21cb-4e90-b32a-279fc9c96852"]}],"mendeley":{"formattedCitation":"(Veer Ramjeawon &amp; Rowley, 2017)","plainTextFormattedCitation":"(Veer Ramjeawon &amp; Rowley, 2017)","previouslyFormattedCitation":"(Veer Ramjeawon &amp; Rowley, 2017)"},"properties":{"noteIndex":0},"schema":"https://github.com/citation-style-language/schema/raw/master/csl-citation.json"}</w:instrText>
      </w:r>
      <w:r w:rsidRPr="002A7627">
        <w:rPr>
          <w:rFonts w:eastAsia="Times New Roman"/>
        </w:rPr>
        <w:fldChar w:fldCharType="separate"/>
      </w:r>
      <w:r w:rsidRPr="002A7627">
        <w:rPr>
          <w:rFonts w:eastAsia="Times New Roman"/>
          <w:noProof/>
        </w:rPr>
        <w:t>(Veer Ramjeawon &amp; Rowley, 2017)</w:t>
      </w:r>
      <w:r w:rsidRPr="002A7627">
        <w:rPr>
          <w:rFonts w:eastAsia="Times New Roman"/>
        </w:rPr>
        <w:fldChar w:fldCharType="end"/>
      </w:r>
      <w:r w:rsidRPr="002A7627">
        <w:rPr>
          <w:rFonts w:eastAsia="Times New Roman"/>
        </w:rPr>
        <w:t xml:space="preserve">. </w:t>
      </w:r>
    </w:p>
    <w:p w14:paraId="43A1F36F" w14:textId="54BA4D83" w:rsidR="00EE00BF" w:rsidRPr="002A7627" w:rsidRDefault="00EE00BF" w:rsidP="002C4A1A">
      <w:pPr>
        <w:pStyle w:val="AAAAAAA"/>
        <w:rPr>
          <w:rFonts w:eastAsia="Times New Roman"/>
        </w:rPr>
      </w:pPr>
      <w:r w:rsidRPr="002A7627">
        <w:rPr>
          <w:rFonts w:eastAsia="Times New Roman"/>
        </w:rPr>
        <w:t>One study found that t</w:t>
      </w:r>
      <w:r w:rsidRPr="002A7627">
        <w:rPr>
          <w:lang w:bidi="ar-AE"/>
        </w:rPr>
        <w:t xml:space="preserve">imely access to IT can enhance knowledge management benefits by facilitating organizational decision-making </w:t>
      </w:r>
      <w:r w:rsidRPr="002A7627">
        <w:rPr>
          <w:lang w:bidi="ar-AE"/>
        </w:rPr>
        <w:fldChar w:fldCharType="begin" w:fldLock="1"/>
      </w:r>
      <w:r w:rsidR="004C27D4" w:rsidRPr="002A7627">
        <w:rPr>
          <w:lang w:bidi="ar-AE"/>
        </w:rPr>
        <w:instrText>ADDIN CSL_CITATION {"citationItems":[{"id":"ITEM-1","itemData":{"DOI":"10.1109/ICARCV.2016.7838750","ISSN":"10870091","abstract":"OBJECTIVES:\\nTo examine five areas that we will be central to informatics research in the years to come: changing provider behavior and improving outcomes, secondary uses of clinical data, using health information technology to improve patient safety, personal health records, and clinical data exchange.\\nMETHODS:\\nPotential articles were identified through Medline and Internet searches and were selected for inclusion in this review by the authors.\\nRESULTS:\\nWe review highlights from the literature in these areas over the past year, drawing attention to key points and opportunities for future work.\\nCONCLUSIONS:\\nInformatics may be a key tool for helping to improve patient care quality, safety, and efficiency. However, questions remain about how best to use existing technologies, deploy new ones, and to evaluate the effects. A great deal of research has been done on changing provider behavior, but most work to date has shown that process benefits are easier to achieve than outcomes benefits, especially for chronic diseases. Use of secondary data (data warehouses and disease registries) has enormous potential, though published research is scarce. It is now clear in most nations that one of the key tools for improving patient safety will be information technology--many more studies of different approaches are needed in this area. Finally, both personal health records and clinical data exchange appear to be potentially transformative developments, but much of the published research to date on these topics appears to be taking place in the U.S.--more research from other nations is needed.","author":[{"dropping-particle":"","family":"Harrison","given":"J. P.","non-dropping-particle":"","parse-names":false,"suffix":""},{"dropping-particle":"","family":"Daly","given":"M. A.","non-dropping-particle":"","parse-names":false,"suffix":""}],"container-title":"Public Administration and Management","id":"ITEM-1","issue":"1","issued":{"date-parts":[["2009"]]},"page":"218-237","title":"Leveraging health information technology to improve patient safety","type":"article-journal","volume":"14"},"uris":["http://www.mendeley.com/documents/?uuid=ea6564a2-11e5-3375-87a5-0f1a0146abed"]}],"mendeley":{"formattedCitation":"(Harrison &amp; Daly, 2009)","plainTextFormattedCitation":"(Harrison &amp; Daly, 2009)","previouslyFormattedCitation":"(Harrison &amp; Daly, 2009)"},"properties":{"noteIndex":0},"schema":"https://github.com/citation-style-language/schema/raw/master/csl-citation.json"}</w:instrText>
      </w:r>
      <w:r w:rsidRPr="002A7627">
        <w:rPr>
          <w:lang w:bidi="ar-AE"/>
        </w:rPr>
        <w:fldChar w:fldCharType="separate"/>
      </w:r>
      <w:r w:rsidR="00E24626" w:rsidRPr="002A7627">
        <w:rPr>
          <w:noProof/>
          <w:lang w:bidi="ar-AE"/>
        </w:rPr>
        <w:t>(Harrison &amp; Daly, 2009)</w:t>
      </w:r>
      <w:r w:rsidRPr="002A7627">
        <w:rPr>
          <w:lang w:bidi="ar-AE"/>
        </w:rPr>
        <w:fldChar w:fldCharType="end"/>
      </w:r>
      <w:r w:rsidRPr="002A7627">
        <w:rPr>
          <w:lang w:bidi="ar-AE"/>
        </w:rPr>
        <w:t xml:space="preserve">. </w:t>
      </w:r>
      <w:r w:rsidRPr="002A7627">
        <w:rPr>
          <w:rFonts w:eastAsia="Times New Roman"/>
        </w:rPr>
        <w:t xml:space="preserve">However, other studies </w:t>
      </w:r>
      <w:r w:rsidR="00805E42">
        <w:rPr>
          <w:rFonts w:eastAsia="Times New Roman"/>
        </w:rPr>
        <w:t xml:space="preserve">have failed </w:t>
      </w:r>
      <w:r w:rsidRPr="002A7627">
        <w:rPr>
          <w:rFonts w:eastAsia="Times New Roman"/>
        </w:rPr>
        <w:t xml:space="preserve">to find a positive relationship between IT and organizational performance </w:t>
      </w:r>
      <w:r w:rsidRPr="002A7627">
        <w:rPr>
          <w:rFonts w:eastAsia="Times New Roman"/>
        </w:rPr>
        <w:fldChar w:fldCharType="begin" w:fldLock="1"/>
      </w:r>
      <w:r w:rsidR="00E24626" w:rsidRPr="002A7627">
        <w:rPr>
          <w:rFonts w:eastAsia="Times New Roman"/>
        </w:rPr>
        <w:instrText>ADDIN CSL_CITATION {"citationItems":[{"id":"ITEM-1","itemData":{"DOI":"10.1016/j.im.2017.10.001","ISSN":"03787206","abstract":"Despite several calls for considering industry in the IS value research, few studies investigated the relationship between benefits of IT and industries. This study extends Chae et al. (2014) by investigating how industry influences the relationship between IT capability and business performance. Unexpectedly, it finds that the control group in the industries in which the “transform” IT strategic role dominates showed superior performance than the IT leader. Also, the IT leaders in the “automate” IT strategic industry did not exhibit better business performance than the control firms. We discuss the implications of these findings.","author":[{"dropping-particle":"","family":"Chae","given":"Ho-Chang","non-dropping-particle":"","parse-names":false,"suffix":""},{"dropping-particle":"","family":"Koh","given":"Chang E.","non-dropping-particle":"","parse-names":false,"suffix":""},{"dropping-particle":"","family":"Park","given":"Kwang O.","non-dropping-particle":"","parse-names":false,"suffix":""}],"container-title":"Information and Management","id":"ITEM-1","issue":"5","issued":{"date-parts":[["2018","7"]]},"page":"525-546","title":"Information technology capability and firm performance: Role of industry","type":"article-journal","volume":"55"},"uris":["http://www.mendeley.com/documents/?uuid=707f5a29-eb95-4b97-933f-0c0c0ab0836c"]}],"mendeley":{"formattedCitation":"(Chae, Koh, &amp; Park, 2018)","plainTextFormattedCitation":"(Chae, Koh, &amp; Park, 2018)","previouslyFormattedCitation":"(Chae, Koh, &amp; Park, 2018)"},"properties":{"noteIndex":0},"schema":"https://github.com/citation-style-language/schema/raw/master/csl-citation.json"}</w:instrText>
      </w:r>
      <w:r w:rsidRPr="002A7627">
        <w:rPr>
          <w:rFonts w:eastAsia="Times New Roman"/>
        </w:rPr>
        <w:fldChar w:fldCharType="separate"/>
      </w:r>
      <w:r w:rsidRPr="002A7627">
        <w:rPr>
          <w:rFonts w:eastAsia="Times New Roman"/>
          <w:noProof/>
        </w:rPr>
        <w:t>(Chae, Koh, &amp; Park, 2018)</w:t>
      </w:r>
      <w:r w:rsidRPr="002A7627">
        <w:rPr>
          <w:rFonts w:eastAsia="Times New Roman"/>
        </w:rPr>
        <w:fldChar w:fldCharType="end"/>
      </w:r>
      <w:r w:rsidRPr="002A7627">
        <w:rPr>
          <w:rFonts w:eastAsia="Times New Roman"/>
        </w:rPr>
        <w:t xml:space="preserve">. Lack of employee skills to use the IT systems to share information effectively will increase resistance to change and use of technology may become </w:t>
      </w:r>
      <w:bookmarkStart w:id="128" w:name="bbib16"/>
      <w:r w:rsidRPr="002A7627">
        <w:t xml:space="preserve">problematic </w:t>
      </w:r>
      <w:r w:rsidRPr="002A7627">
        <w:fldChar w:fldCharType="begin" w:fldLock="1"/>
      </w:r>
      <w:r w:rsidR="005A37E4" w:rsidRPr="002A7627">
        <w:instrText>ADDIN CSL_CITATION {"citationItems":[{"id":"ITEM-1","itemData":{"DOI":"10.1080/15391523.2017.1343691","ISBN":"1051-7200","ISSN":"1539-1523","abstract":"This study examines university teachers' beliefs about the role of technology in achieving the pedagogical aims of learning within teaching development initiatives at a Finnish university. The initiatives targeted technology adoption in teaching and learning and were enhanced within teacher groups, with support from a university-level network program. Thematic interviews were conducted with the members of 11 initiative groups, covering 18 teachers from various disciplines. The qualitative content analysis revealed diverse belief groups. Technology was perceived as a tool for the promotion of self-paced studying without explicit learning aims; for active and interactive learning; for integrative learning with continuous assessment; and for meaningful learning. The study highlights the need for a more systematic explication of teacher beliefs and the acknowledgment of alternative ways of thinking in teacher developmental programs.","author":[{"dropping-particle":"","family":"Jääskelä","given":"Päivikki","non-dropping-particle":"","parse-names":false,"suffix":""},{"dropping-particle":"","family":"Häkkinen","given":"Päivi","non-dropping-particle":"","parse-names":false,"suffix":""},{"dropping-particle":"","family":"Rasku-Puttonen","given":"Helena","non-dropping-particle":"","parse-names":false,"suffix":""}],"container-title":"Journal of Research on Technology in Education","id":"ITEM-1","issue":"3-4","issued":{"date-parts":[["2017","10","2"]]},"page":"198-211","title":"Teacher beliefs regarding learning, pedagogy, and the use of technology in higher education","type":"article-journal","volume":"49"},"uris":["http://www.mendeley.com/documents/?uuid=2c8296a8-7f15-46c3-8256-9fac3a461947"]}],"mendeley":{"formattedCitation":"(Jääskelä, Häkkinen, &amp; Rasku-Puttonen, 2017)","manualFormatting":"(Jääskelä, Häkkinen, &amp; Rasku-Puttonen, 2017;","plainTextFormattedCitation":"(Jääskelä, Häkkinen, &amp; Rasku-Puttonen, 2017)","previouslyFormattedCitation":"(Jääskelä, Häkkinen, &amp; Rasku-Puttonen, 2017)"},"properties":{"noteIndex":0},"schema":"https://github.com/citation-style-language/schema/raw/master/csl-citation.json"}</w:instrText>
      </w:r>
      <w:r w:rsidRPr="002A7627">
        <w:fldChar w:fldCharType="separate"/>
      </w:r>
      <w:r w:rsidRPr="002A7627">
        <w:rPr>
          <w:noProof/>
        </w:rPr>
        <w:t>(Jääskelä, Häkkinen, &amp; Rasku-Puttonen, 2017</w:t>
      </w:r>
      <w:r w:rsidR="005A37E4" w:rsidRPr="002A7627">
        <w:rPr>
          <w:noProof/>
        </w:rPr>
        <w:t>;</w:t>
      </w:r>
      <w:r w:rsidRPr="002A7627">
        <w:fldChar w:fldCharType="end"/>
      </w:r>
      <w:bookmarkEnd w:id="128"/>
      <w:r w:rsidRPr="002A7627">
        <w:t xml:space="preserve"> </w:t>
      </w:r>
      <w:r w:rsidRPr="002A7627">
        <w:fldChar w:fldCharType="begin" w:fldLock="1"/>
      </w:r>
      <w:r w:rsidR="005A37E4" w:rsidRPr="002A7627">
        <w:instrText>ADDIN CSL_CITATION {"citationItems":[{"id":"ITEM-1","itemData":{"DOI":"10.1080/1475939X.2016.1174730","ISBN":"1475-939X","ISSN":"1475-939X","abstract":"This study examines if and how five teacher education institutes are helping students to develop the technological pedagogical content knowledge needed to effectively use technology for early literacy. Focus group discussions were held with teacher educators in which their responses to expert recommendations were probed. Findings indicate that, currently, very little attention is specifically given to the knowledge that teachers need to foster early literacy through the use of technology. This is due to multiple factors, including the conviction that many new technologies (e.g. tablets) are not used much in schools. Additionally, teacher educators themselves struggle with effective use of technology in their own courses. And although technological and early literacy specialists are available in teacher training colleges, pre-service educators note a distinct lack of integrated expertise in their institutions. Based on these findings, recommendations are given for research, policy and practice.","author":[{"dropping-particle":"","family":"Voogt","given":"Joke","non-dropping-particle":"","parse-names":false,"suffix":""},{"dropping-particle":"","family":"McKenney","given":"Susan","non-dropping-particle":"","parse-names":false,"suffix":""}],"container-title":"Technology, Pedagogy and Education","id":"ITEM-1","issue":"1","issued":{"date-parts":[["2017","1","4"]]},"page":"69-83","title":"TPACK in teacher education: Are we preparing teachers to use technology for early literacy?","type":"article-journal","volume":"26"},"uris":["http://www.mendeley.com/documents/?uuid=577c627a-b0a9-488c-8d09-cb144ac75d83"]}],"mendeley":{"formattedCitation":"(Voogt &amp; McKenney, 2017)","manualFormatting":"Voogt &amp; McKenney, 2017)","plainTextFormattedCitation":"(Voogt &amp; McKenney, 2017)","previouslyFormattedCitation":"(Voogt &amp; McKenney, 2017)"},"properties":{"noteIndex":0},"schema":"https://github.com/citation-style-language/schema/raw/master/csl-citation.json"}</w:instrText>
      </w:r>
      <w:r w:rsidRPr="002A7627">
        <w:fldChar w:fldCharType="separate"/>
      </w:r>
      <w:r w:rsidRPr="002A7627">
        <w:rPr>
          <w:noProof/>
        </w:rPr>
        <w:t>Voogt &amp; McKenney, 2017)</w:t>
      </w:r>
      <w:r w:rsidRPr="002A7627">
        <w:fldChar w:fldCharType="end"/>
      </w:r>
      <w:r w:rsidRPr="002A7627">
        <w:t>. Use of IT should</w:t>
      </w:r>
      <w:r w:rsidR="00054373" w:rsidRPr="002A7627">
        <w:t xml:space="preserve">, therefore, </w:t>
      </w:r>
      <w:r w:rsidRPr="002A7627">
        <w:t xml:space="preserve">be coupled with </w:t>
      </w:r>
      <w:r w:rsidRPr="002A7627">
        <w:rPr>
          <w:rFonts w:eastAsia="Times New Roman"/>
        </w:rPr>
        <w:t xml:space="preserve">the development of other capabilities such as HR skills and opportunities. This study hypothesized: </w:t>
      </w:r>
    </w:p>
    <w:p w14:paraId="3704BFDE" w14:textId="77777777" w:rsidR="00EE00BF" w:rsidRPr="002A7627" w:rsidRDefault="00EE00BF" w:rsidP="002C4A1A">
      <w:pPr>
        <w:widowControl/>
        <w:autoSpaceDE/>
        <w:autoSpaceDN/>
        <w:adjustRightInd/>
        <w:spacing w:after="160" w:line="480" w:lineRule="auto"/>
        <w:ind w:left="720"/>
        <w:jc w:val="lowKashida"/>
        <w:rPr>
          <w:rFonts w:asciiTheme="majorBidi" w:eastAsiaTheme="minorEastAsia" w:hAnsiTheme="majorBidi" w:cstheme="majorBidi"/>
          <w:szCs w:val="24"/>
        </w:rPr>
      </w:pPr>
      <w:r w:rsidRPr="002A7627">
        <w:rPr>
          <w:rFonts w:asciiTheme="majorBidi" w:eastAsiaTheme="minorEastAsia" w:hAnsiTheme="majorBidi" w:cstheme="majorBidi"/>
          <w:b/>
          <w:bCs/>
          <w:szCs w:val="24"/>
        </w:rPr>
        <w:t>H1:</w:t>
      </w:r>
      <w:r w:rsidRPr="002A7627">
        <w:rPr>
          <w:rFonts w:asciiTheme="majorBidi" w:eastAsiaTheme="minorEastAsia" w:hAnsiTheme="majorBidi" w:cstheme="majorBidi"/>
          <w:szCs w:val="24"/>
        </w:rPr>
        <w:t xml:space="preserve"> Knowledge management capabilities have a direct positive relationship with knowledge management benefits.</w:t>
      </w:r>
    </w:p>
    <w:p w14:paraId="4C41799F" w14:textId="685B93B6" w:rsidR="00EE00BF" w:rsidRPr="002A7627" w:rsidRDefault="007D7779" w:rsidP="0017121F">
      <w:pPr>
        <w:pStyle w:val="Heading1"/>
        <w:rPr>
          <w:color w:val="000000"/>
        </w:rPr>
      </w:pPr>
      <w:bookmarkStart w:id="129" w:name="_Toc13959632"/>
      <w:bookmarkStart w:id="130" w:name="_Toc22331666"/>
      <w:r>
        <w:rPr>
          <w:color w:val="000000"/>
        </w:rPr>
        <w:t xml:space="preserve">3.3. </w:t>
      </w:r>
      <w:r w:rsidR="00EE00BF" w:rsidRPr="002A7627">
        <w:rPr>
          <w:color w:val="000000"/>
        </w:rPr>
        <w:t xml:space="preserve">HR practices for </w:t>
      </w:r>
      <w:r w:rsidR="002C4A1A" w:rsidRPr="002A7627">
        <w:rPr>
          <w:color w:val="000000"/>
        </w:rPr>
        <w:t xml:space="preserve">Knowledge Sharing </w:t>
      </w:r>
      <w:r w:rsidR="00EE00BF" w:rsidRPr="002A7627">
        <w:rPr>
          <w:color w:val="000000"/>
        </w:rPr>
        <w:t xml:space="preserve">and </w:t>
      </w:r>
      <w:r w:rsidR="002C4A1A" w:rsidRPr="002A7627">
        <w:rPr>
          <w:color w:val="000000"/>
        </w:rPr>
        <w:t>Knowledge Management Benefits</w:t>
      </w:r>
      <w:bookmarkEnd w:id="129"/>
      <w:bookmarkEnd w:id="130"/>
    </w:p>
    <w:p w14:paraId="06E397AA" w14:textId="403CEAC2" w:rsidR="00EE00BF" w:rsidRPr="002A7627" w:rsidRDefault="00EE00BF" w:rsidP="002C4A1A">
      <w:pPr>
        <w:pStyle w:val="AAAAAAA"/>
      </w:pPr>
      <w:r w:rsidRPr="002A7627">
        <w:t xml:space="preserve">HR practices are the </w:t>
      </w:r>
      <w:r w:rsidR="00544048" w:rsidRPr="00EB0C76">
        <w:rPr>
          <w:color w:val="000000" w:themeColor="text1"/>
        </w:rPr>
        <w:t>main resources</w:t>
      </w:r>
      <w:r w:rsidRPr="00EB0C76">
        <w:rPr>
          <w:color w:val="000000" w:themeColor="text1"/>
        </w:rPr>
        <w:t xml:space="preserve"> </w:t>
      </w:r>
      <w:r w:rsidR="0028348C" w:rsidRPr="00EB0C76">
        <w:rPr>
          <w:color w:val="000000" w:themeColor="text1"/>
        </w:rPr>
        <w:t xml:space="preserve">used </w:t>
      </w:r>
      <w:r w:rsidRPr="002A7627">
        <w:t>by organization</w:t>
      </w:r>
      <w:r w:rsidR="0028348C">
        <w:t>s to</w:t>
      </w:r>
      <w:r w:rsidRPr="002A7627">
        <w:t xml:space="preserve"> manage employees</w:t>
      </w:r>
      <w:r w:rsidR="0028348C">
        <w:t>. They are</w:t>
      </w:r>
      <w:r w:rsidR="00054373" w:rsidRPr="002A7627">
        <w:t xml:space="preserve"> therefore</w:t>
      </w:r>
      <w:r w:rsidR="0028348C">
        <w:t xml:space="preserve"> designed to</w:t>
      </w:r>
      <w:r w:rsidR="00054373" w:rsidRPr="002A7627">
        <w:t xml:space="preserve"> </w:t>
      </w:r>
      <w:r w:rsidRPr="002A7627">
        <w:t>enhance</w:t>
      </w:r>
      <w:r w:rsidR="0028348C">
        <w:t xml:space="preserve"> employee</w:t>
      </w:r>
      <w:r w:rsidRPr="002A7627">
        <w:t xml:space="preserve"> skills and motivate them to share knowledge </w:t>
      </w:r>
      <w:r w:rsidR="005A37E4" w:rsidRPr="002A7627">
        <w:rPr>
          <w:noProof/>
        </w:rPr>
        <w:t>(Currie &amp; Kerrin, 2003; Edvardsson, 2008; Kamoche &amp; Mueller, 1998; López</w:t>
      </w:r>
      <w:r w:rsidR="0028348C">
        <w:rPr>
          <w:noProof/>
        </w:rPr>
        <w:t>-</w:t>
      </w:r>
      <w:r w:rsidR="005A37E4" w:rsidRPr="002A7627">
        <w:rPr>
          <w:noProof/>
        </w:rPr>
        <w:t>Cabrales, Real, &amp; Valle, 2011)</w:t>
      </w:r>
      <w:r w:rsidRPr="002A7627">
        <w:t xml:space="preserve">. HR solutions rely on organizational learning and HR practices to capture and use tacit knowledge </w:t>
      </w:r>
      <w:r w:rsidRPr="002A7627">
        <w:fldChar w:fldCharType="begin" w:fldLock="1"/>
      </w:r>
      <w:r w:rsidR="005A37E4" w:rsidRPr="002A7627">
        <w:instrText>ADDIN CSL_CITATION {"citationItems":[{"id":"ITEM-1","itemData":{"DOI":"10.1108/01425450810888303","ISBN":"1367327051061","ISSN":"0142-5455","abstract":"This paper sets out, first, to integrate HR strategies into knowledge management (KM) systems; second, to examine the type of HR strategies to be pursued and third, it looks at the probable behaviour effects of such a strategy in the creation, distribution and use of knowledge.","author":[{"dropping-particle":"","family":"Edvardsson","given":"Ingi Runar","non-dropping-particle":"","parse-names":false,"suffix":""}],"container-title":"Employee Relations","id":"ITEM-1","issue":"5","issued":{"date-parts":[["2008","8","15"]]},"page":"553-561","title":"HRM and knowledge management","type":"article-journal","volume":"30"},"uris":["http://www.mendeley.com/documents/?uuid=2c07da39-35a8-45fa-956c-e063715cd676"]}],"mendeley":{"formattedCitation":"(Edvardsson, 2008)","plainTextFormattedCitation":"(Edvardsson, 2008)","previouslyFormattedCitation":"(Edvardsson, 2008)"},"properties":{"noteIndex":0},"schema":"https://github.com/citation-style-language/schema/raw/master/csl-citation.json"}</w:instrText>
      </w:r>
      <w:r w:rsidRPr="002A7627">
        <w:fldChar w:fldCharType="separate"/>
      </w:r>
      <w:r w:rsidRPr="002A7627">
        <w:rPr>
          <w:noProof/>
        </w:rPr>
        <w:t>(Edvardsson, 2008)</w:t>
      </w:r>
      <w:r w:rsidRPr="002A7627">
        <w:fldChar w:fldCharType="end"/>
      </w:r>
      <w:r w:rsidRPr="002A7627">
        <w:t>. Organizations encourage employees to interact, share knowledge</w:t>
      </w:r>
      <w:r w:rsidR="00193A9C" w:rsidRPr="002A7627">
        <w:t>,</w:t>
      </w:r>
      <w:r w:rsidRPr="002A7627">
        <w:t xml:space="preserve"> and achieve organizational goals </w:t>
      </w:r>
      <w:r w:rsidRPr="002A7627">
        <w:rPr>
          <w:noProof/>
        </w:rPr>
        <w:t>(A</w:t>
      </w:r>
      <w:r w:rsidR="00805E42">
        <w:rPr>
          <w:noProof/>
        </w:rPr>
        <w:t>l</w:t>
      </w:r>
      <w:r w:rsidRPr="002A7627">
        <w:rPr>
          <w:noProof/>
        </w:rPr>
        <w:t>-T</w:t>
      </w:r>
      <w:r w:rsidR="00805E42">
        <w:rPr>
          <w:noProof/>
        </w:rPr>
        <w:t>it</w:t>
      </w:r>
      <w:r w:rsidRPr="002A7627">
        <w:rPr>
          <w:noProof/>
        </w:rPr>
        <w:t xml:space="preserve"> </w:t>
      </w:r>
      <w:r w:rsidR="005A37E4" w:rsidRPr="002A7627">
        <w:rPr>
          <w:noProof/>
        </w:rPr>
        <w:t>&amp;</w:t>
      </w:r>
      <w:r w:rsidRPr="002A7627">
        <w:rPr>
          <w:noProof/>
        </w:rPr>
        <w:t xml:space="preserve"> Hunitie, 2015; Fong et al., 2011)</w:t>
      </w:r>
      <w:r w:rsidRPr="002A7627">
        <w:t>. Knowledge management means capturing, organizing, sharing, applying</w:t>
      </w:r>
      <w:r w:rsidR="00193A9C" w:rsidRPr="002A7627">
        <w:t>,</w:t>
      </w:r>
      <w:r w:rsidRPr="002A7627">
        <w:t xml:space="preserve"> and exploiting knowledge to enhance innovation, and employees play a central role in this process </w:t>
      </w:r>
      <w:r w:rsidRPr="002A7627">
        <w:fldChar w:fldCharType="begin" w:fldLock="1"/>
      </w:r>
      <w:r w:rsidRPr="002A7627">
        <w:instrText>ADDIN CSL_CITATION {"citationItems":[{"id":"ITEM-1","itemData":{"DOI":"10.1073/pnas.041603898","ISBN":"1522-0222","ISSN":"0027-8424","PMID":"11226294","abstract":"The emergence of knowledge-based economies has placed an importance on effective management of knowledge. The effective management of knowledge has been described as a critical ingredient for organisation seeking to ensure sustainable strategic competitive advantage. This paper reviews literature in the area of knowledge management to bring out the importance of knowledge management in organisation. The paper is able to demonstrate that knowledge management is a key driver of organisational performance and a critical tool for organisational survival, competitiveness and profitability. Therefore creating, managing, sharing and utilizing knowledge effectively is vital for organisations to take full advantage of the value of knowledge. The paper also contributes that, in order for organisations to manage knowledge effectively, attention must be paid on three key components - people, processes and technology. In essence, to ensure organisation’s success, the focus should be to connect people, processes, and technology for the purpose of leveraging knowledge.","author":[{"dropping-particle":"","family":"Fiorucci","given":"S.","non-dropping-particle":"","parse-names":false,"suffix":""},{"dropping-particle":"","family":"Mencarelli","given":"A.","non-dropping-particle":"","parse-names":false,"suffix":""},{"dropping-particle":"","family":"Palazzetti","given":"B.","non-dropping-particle":"","parse-names":false,"suffix":""},{"dropping-particle":"","family":"Soldato","given":"P.","non-dropping-particle":"Del","parse-names":false,"suffix":""},{"dropping-particle":"","family":"Morelli","given":"A.","non-dropping-particle":"","parse-names":false,"suffix":""},{"dropping-particle":"","family":"Ignarro","given":"L. J.","non-dropping-particle":"","parse-names":false,"suffix":""}],"container-title":"Proceedings of the National Academy of Sciences","id":"ITEM-1","issue":"5","issued":{"date-parts":[["2001","2","27"]]},"page":"2652-2657","title":"An NO derivative of ursodeoxycholic acid protects against Fas-mediated liver injury by inhibiting caspase activity","type":"article-journal","volume":"98"},"uris":["http://www.mendeley.com/documents/?uuid=75afe7d7-4b67-4116-845f-743545c5eb88"]},{"id":"ITEM-2","itemData":{"DOI":"10.1108/BJM-10-2014-0178","ISSN":"1746-5265","author":[{"dropping-particle":"","family":"Inkinen","given":"Henri Tapio","non-dropping-particle":"","parse-names":false,"suffix":""},{"dropping-particle":"","family":"Kianto","given":"Aino","non-dropping-particle":"","parse-names":false,"suffix":""},{"dropping-particle":"","family":"Vanhala","given":"Mika","non-dropping-particle":"","parse-names":false,"suffix":""}],"container-title":"Baltic Journal of Management","editor":[{"dropping-particle":"","family":"Vesna Bosilj Vukšić and Professor M","given":"Professor","non-dropping-particle":"","parse-names":false,"suffix":""}],"id":"ITEM-2","issue":"4","issued":{"date-parts":[["2015","10","5"]]},"page":"432-455","title":"Knowledge management practices and innovation performance in Finland","type":"article-journal","volume":"10"},"uris":["http://www.mendeley.com/documents/?uuid=9d14c910-5c04-32a0-9768-9e2f14028661"]}],"mendeley":{"formattedCitation":"(Fiorucci et al., 2001; Inkinen, Kianto, &amp; Vanhala, 2015)","manualFormatting":"(Inkinen, Kianto, &amp; Vanhala, 2015)","plainTextFormattedCitation":"(Fiorucci et al., 2001; Inkinen, Kianto, &amp; Vanhala, 2015)","previouslyFormattedCitation":"(Fiorucci et al., 2001; Inkinen, Kianto, &amp; Vanhala, 2015)"},"properties":{"noteIndex":0},"schema":"https://github.com/citation-style-language/schema/raw/master/csl-citation.json"}</w:instrText>
      </w:r>
      <w:r w:rsidRPr="002A7627">
        <w:fldChar w:fldCharType="separate"/>
      </w:r>
      <w:r w:rsidRPr="002A7627">
        <w:rPr>
          <w:noProof/>
        </w:rPr>
        <w:t>(Inkinen, Kianto, &amp; Vanhala, 2015)</w:t>
      </w:r>
      <w:r w:rsidRPr="002A7627">
        <w:fldChar w:fldCharType="end"/>
      </w:r>
      <w:r w:rsidRPr="002A7627">
        <w:t>.</w:t>
      </w:r>
    </w:p>
    <w:p w14:paraId="643E127F" w14:textId="4C328989" w:rsidR="00EE00BF" w:rsidRPr="002A7627" w:rsidRDefault="00EE00BF" w:rsidP="002C4A1A">
      <w:pPr>
        <w:pStyle w:val="AAAAAAA"/>
      </w:pPr>
      <w:r w:rsidRPr="002A7627">
        <w:t xml:space="preserve">Many HR activities give employees opportunities to interact and enhance their skills through knowledge sharing. For example, HR practices such as evaluation and reward were reported to enhance knowledge sharing behavior in the private sector in China, which in turn improved knowledge management </w:t>
      </w:r>
      <w:r w:rsidRPr="002A7627">
        <w:fldChar w:fldCharType="begin" w:fldLock="1"/>
      </w:r>
      <w:r w:rsidR="00783FD6" w:rsidRPr="002A7627">
        <w:instrText>ADDIN CSL_CITATION {"citationItems":[{"id":"ITEM-1","itemData":{"DOI":"10.1177/0149206311412192","ISSN":"0149-2063","abstract":"Many organizations are using knowledge management systems (KMSs) to facilitate knowledge sharing. However, few studies have empirically investigated how individual characteristics and organizational work practices influence knowledge sharing. Based on accountability theory, the person-situation interactional psychology perspective, and the five-factor model of personality, this study uses a quasi-experimental design to investigate how two accountability-inducing management practices--evaluation and evaluation plus reward--and their interactions with personality characteristics influence knowledge sharing using a KMS. One hundred employees from a Chinese software company participated in the study. The authors found that both evaluation and evaluation plus reward had a positive relationship with knowledge sharing. Greater levels of knowledge sharing occurred in the evaluation-plus-reward condition compared with the evaluation condition. Also, knowledge sharing was influenced by the interaction between evaluation plus reward and conscientiousness, neuroticism, and openness to experience. Implications of the study results for research and practice are discussed.","author":[{"dropping-particle":"","family":"Wang","given":"Sheng","non-dropping-particle":"","parse-names":false,"suffix":""},{"dropping-particle":"","family":"Noe","given":"Raymond A.","non-dropping-particle":"","parse-names":false,"suffix":""},{"dropping-particle":"","family":"Wang","given":"Zhong-Ming","non-dropping-particle":"","parse-names":false,"suffix":""}],"container-title":"Journal of Management","id":"ITEM-1","issue":"4","issued":{"date-parts":[["2014","5","28"]]},"page":"978-1009","title":"Motivating Knowledge Sharing in Knowledge Management Systems","type":"article-journal","volume":"40"},"uris":["http://www.mendeley.com/documents/?uuid=fef41009-8f45-45f5-9286-f47c9300e55b"]}],"mendeley":{"formattedCitation":"(S. Wang, Noe, &amp; Wang, 2014)","manualFormatting":"(Wang, Noe, &amp; Wang, 2014)","plainTextFormattedCitation":"(S. Wang, Noe, &amp; Wang, 2014)","previouslyFormattedCitation":"(S. Wang, Noe, &amp; Wang, 2014)"},"properties":{"noteIndex":0},"schema":"https://github.com/citation-style-language/schema/raw/master/csl-citation.json"}</w:instrText>
      </w:r>
      <w:r w:rsidRPr="002A7627">
        <w:fldChar w:fldCharType="separate"/>
      </w:r>
      <w:r w:rsidRPr="002A7627">
        <w:rPr>
          <w:noProof/>
        </w:rPr>
        <w:t xml:space="preserve">(Wang, Noe, </w:t>
      </w:r>
      <w:r w:rsidR="005A37E4" w:rsidRPr="002A7627">
        <w:rPr>
          <w:noProof/>
        </w:rPr>
        <w:t>&amp;</w:t>
      </w:r>
      <w:r w:rsidRPr="002A7627">
        <w:rPr>
          <w:noProof/>
        </w:rPr>
        <w:t xml:space="preserve"> Wang, 2014)</w:t>
      </w:r>
      <w:r w:rsidRPr="002A7627">
        <w:fldChar w:fldCharType="end"/>
      </w:r>
      <w:r w:rsidRPr="002A7627">
        <w:t xml:space="preserve">. However, different HR practices have different effects on knowledge management </w:t>
      </w:r>
      <w:r w:rsidR="007C79F2" w:rsidRPr="002A7627">
        <w:rPr>
          <w:noProof/>
        </w:rPr>
        <w:t xml:space="preserve">(Bierly &amp; Daly, 2002; </w:t>
      </w:r>
      <w:r w:rsidR="005C775D">
        <w:rPr>
          <w:noProof/>
        </w:rPr>
        <w:t xml:space="preserve">Jain, 2005; </w:t>
      </w:r>
      <w:r w:rsidR="007C79F2" w:rsidRPr="002A7627">
        <w:rPr>
          <w:noProof/>
        </w:rPr>
        <w:t>Lin, 2011; Prieto &amp; Pérez Santana, 2012)</w:t>
      </w:r>
      <w:r w:rsidRPr="002A7627">
        <w:t xml:space="preserve"> and associated benefits. Many researchers have suggested that HR management can be used to enhance knowledge management to achieve business success </w:t>
      </w:r>
      <w:r w:rsidRPr="002A7627">
        <w:fldChar w:fldCharType="begin" w:fldLock="1"/>
      </w:r>
      <w:r w:rsidR="005A37E4" w:rsidRPr="002A7627">
        <w:instrText>ADDIN CSL_CITATION {"citationItems":[{"id":"ITEM-1","itemData":{"DOI":"10.1108/01425450810888303","ISBN":"1367327051061","ISSN":"0142-5455","abstract":"This paper sets out, first, to integrate HR strategies into knowledge management (KM) systems; second, to examine the type of HR strategies to be pursued and third, it looks at the probable behaviour effects of such a strategy in the creation, distribution and use of knowledge.","author":[{"dropping-particle":"","family":"Edvardsson","given":"Ingi Runar","non-dropping-particle":"","parse-names":false,"suffix":""}],"container-title":"Employee Relations","id":"ITEM-1","issue":"5","issued":{"date-parts":[["2008","8","15"]]},"page":"553-561","title":"HRM and knowledge management","type":"article-journal","volume":"30"},"uris":["http://www.mendeley.com/documents/?uuid=2c07da39-35a8-45fa-956c-e063715cd676"]},{"id":"ITEM-2","itemData":{"author":[{"dropping-particle":"","family":"Mohanapriya","given":"G.","non-dropping-particle":"","parse-names":false,"suffix":""},{"dropping-particle":"","family":"Sasikala","given":"P.","non-dropping-particle":"","parse-names":false,"suffix":""}],"container-title":"International Research Journal of Management Science and Technology","id":"ITEM-2","issue":"10","issued":{"date-parts":[["2015"]]},"page":"127-132","title":"HRM in knowledge management","type":"article-journal","volume":"6"},"uris":["http://www.mendeley.com/documents/?uuid=a5a2266d-83b2-3bb9-82fa-93081ac3e4af"]},{"id":"ITEM-3","itemData":{"DOI":"10.1108/JSTP-12-2014-0269","ISSN":"2055-6225","abstract":"Purpose – The purpose of this paper is to explain and empirically test the dependence of organizational processes related to knowledge on the nature of assumptions operating in processes of human resource management (HRM) in organizations. It concentrates on practices related to training, career development and retention. Design/methodology/approach – This empirical study as a quantitative nature and the sample is made up of 5,306 collaborators in 634 organizations belonging to an economic group in the banking sub-sector. Data were collected through two questionnaires: human resource management practices questionnaire and knowledge management questionnaire – short form. The model was tested by applying univariate and multivariate multiple regression analyses. Findings – Findings provide support for the proposed model and show the predictive capacity of the HRM practices regarding knowledge management (KM) processes, revealing a strong direct relationship between the two constructs. It stands out that the ...","author":[{"dropping-particle":"","family":"Figueiredo","given":"Elisa","non-dropping-particle":"","parse-names":false,"suffix":""},{"dropping-particle":"","family":"Pais","given":"Leonor","non-dropping-particle":"","parse-names":false,"suffix":""},{"dropping-particle":"","family":"Monteiro","given":"Samuel","non-dropping-particle":"","parse-names":false,"suffix":""},{"dropping-particle":"","family":"Mónico","given":"Lisete","non-dropping-particle":"","parse-names":false,"suffix":""}],"container-title":"Journal of Service Theory and Practice","id":"ITEM-3","issue":"4","issued":{"date-parts":[["2016","7","11"]]},"page":"497-528","title":"Human resource management impact on knowledge management","type":"article-journal","volume":"26"},"uris":["http://www.mendeley.com/documents/?uuid=03a3af7c-bd5f-44bd-aae2-2c882137dc8c"]}],"mendeley":{"formattedCitation":"(Edvardsson, 2008; Figueiredo, Pais, Monteiro, &amp; Mónico, 2016; Mohanapriya &amp; Sasikala, 2015)","plainTextFormattedCitation":"(Edvardsson, 2008; Figueiredo, Pais, Monteiro, &amp; Mónico, 2016; Mohanapriya &amp; Sasikala, 2015)","previouslyFormattedCitation":"(Edvardsson, 2008; Figueiredo, Pais, Monteiro, &amp; Mónico, 2016; Mohanapriya &amp; Sasikala, 2015)"},"properties":{"noteIndex":0},"schema":"https://github.com/citation-style-language/schema/raw/master/csl-citation.json"}</w:instrText>
      </w:r>
      <w:r w:rsidRPr="002A7627">
        <w:fldChar w:fldCharType="separate"/>
      </w:r>
      <w:r w:rsidRPr="002A7627">
        <w:rPr>
          <w:noProof/>
        </w:rPr>
        <w:t>(Edvardsson, 2008; Figueiredo, Pais, Monteiro, &amp; Mónico, 2016; Mohanapriya &amp; Sasikala, 2015)</w:t>
      </w:r>
      <w:r w:rsidRPr="002A7627">
        <w:fldChar w:fldCharType="end"/>
      </w:r>
      <w:r w:rsidRPr="002A7627">
        <w:t xml:space="preserve">. For example, HR management practices may encourage employees to share ideas, opinions and experiences </w:t>
      </w:r>
      <w:r w:rsidRPr="002A7627">
        <w:fldChar w:fldCharType="begin" w:fldLock="1"/>
      </w:r>
      <w:r w:rsidR="00E24626" w:rsidRPr="002A7627">
        <w:instrText>ADDIN CSL_CITATION {"citationItems":[{"id":"ITEM-1","itemData":{"DOI":"10.1108/17515631011013096","ISSN":"1751-5637","abstract":"The purpose of this paper is to investigate the relations between people development management (PDM) as independent variable and knowledge management (KM) as dependent variable, in some Iranian healthcare centers. Design/methodology/approach Applying the structural equation model (SEM) approach. Investigating causal relations of the variables through Lisrel software. Findings Findings show that in the researched organizations there is a significant positive relation between PDM and its components, and KM. PDM have direct significant effect (0.85) on KM. The relation between the factor titled as learning needs analysis and induction?, and KM is fairly more important than the other factors. Research limitations/implications More research needs to be done in the same areas to judge about the effect of human assets strategies on KM. In case of the surveyed organization, it seems there is a vital need to review the PDM and KM strategies and develop some procedures to improve and keep the business up. Practical implications Although the proposed model has proved no causal relation between PDM components and KM, except in the case of learning needs analysis and induction?, it does not mean that no correction action is needed in other dimensions. In other words, it is necessary to expand a well-developed people development management project to meet a successful knowledge Our conceptual model of research has two dimensions. In one side we chose Newman's model of knowledge management, On the other side we consider a comprehensive pattern of people development management, named People Developer Standard. Through this model an appropriate framework to manage and develop the human assets and a series of developer activities will be formed to achieve people excellence.","author":[{"dropping-particle":"","family":"Monavvarian","given":"Abbas","non-dropping-particle":"","parse-names":false,"suffix":""},{"dropping-particle":"","family":"Khamda","given":"Zahra","non-dropping-particle":"","parse-names":false,"suffix":""}],"container-title":"Business Strategy Series","id":"ITEM-1","issue":"1","issued":{"date-parts":[["2010","1","12"]]},"page":"20-42","title":"Towards successful knowledge management: People development approach","type":"article-journal","volume":"11"},"uris":["http://www.mendeley.com/documents/?uuid=0d456d16-5288-411f-93f9-299623d54ccc"]},{"id":"ITEM-2","itemData":{"DOI":"10.1108/ER-02-2013-0025","ISBN":"0142-5455","ISSN":"0142-5455","PMID":"42012058","abstract":"Purpose – The purpose of this paper is to empirically examine the relationships between best human resource management (HRM) practices, knowledge management (KM), organization learning and organizational capabilities (OC), as well as their impact on organizational performance. Design/methodology/approach – To carry out this research, a structured questionnaire was designed and distributed to 212 manufacturing firms which employ at least 50 employees. The final sample consists of 138 useable questionnaires. Findings – Results indicate that manufacturing firms pursuing best HRM practices achieve higher performance through the interaction of these practices withKMand organizational learning capability and the creation of OC. Research limitations/implications – Possible limitations of the study include the measurement of OC, the use of subjective performance indicators and the data collection approach reflecting mainly HRM managers’ perceptions. Practical implications – HR practitioners and/or managers should focus on establishing the appropriate mechanisms for integrating “best HRM practices” with learning, knowledge and OC in order to improve performance. Originality/value – This paper empirically tests a new composite model which elaborates upon the mechanisms that seem to intervene between the best HRM practices – performance relationship. Moreover, the value of the human factor in KM and organizational learning initiatives, as well as on OC, is explored. While this has already been underlined in the past, there is still no complete model simultaneously describing and testing all those relationships.","author":[{"dropping-particle":"","family":"Theriou","given":"Georgios N.","non-dropping-particle":"","parse-names":false,"suffix":""},{"dropping-particle":"","family":"Chatzoglou","given":"Prodromos","non-dropping-particle":"","parse-names":false,"suffix":""}],"container-title":"Employee Relations","id":"ITEM-2","issue":"5","issued":{"date-parts":[["2014","7","29"]]},"page":"535-561","title":"The impact of best HRM practices on performance – identifying enabling factors","type":"article-journal","volume":"36"},"uris":["http://www.mendeley.com/documents/?uuid=6f8faeec-884c-4948-b03c-5aaa066b33a9"]}],"mendeley":{"formattedCitation":"(Monavvarian &amp; Khamda, 2010; Theriou &amp; Chatzoglou, 2014)","plainTextFormattedCitation":"(Monavvarian &amp; Khamda, 2010; Theriou &amp; Chatzoglou, 2014)","previouslyFormattedCitation":"(Monavvarian &amp; Khamda, 2010; Theriou &amp; Chatzoglou, 2014)"},"properties":{"noteIndex":0},"schema":"https://github.com/citation-style-language/schema/raw/master/csl-citation.json"}</w:instrText>
      </w:r>
      <w:r w:rsidRPr="002A7627">
        <w:fldChar w:fldCharType="separate"/>
      </w:r>
      <w:r w:rsidRPr="002A7627">
        <w:rPr>
          <w:noProof/>
        </w:rPr>
        <w:t>(Monavvarian &amp; Khamda, 2010; Theriou &amp; Chatzoglou, 2014)</w:t>
      </w:r>
      <w:r w:rsidRPr="002A7627">
        <w:fldChar w:fldCharType="end"/>
      </w:r>
      <w:r w:rsidRPr="002A7627">
        <w:t xml:space="preserve">, or support changes in operations such as involving stakeholders </w:t>
      </w:r>
      <w:r w:rsidRPr="002A7627">
        <w:rPr>
          <w:noProof/>
        </w:rPr>
        <w:t>(Schuler &amp; Jackson, 2014)</w:t>
      </w:r>
      <w:r w:rsidRPr="002A7627">
        <w:t>. A study in Malaysia found that HR practices affected the building of a learning organization by influencing the performance of employees and their abilities to create and use knowledge through training, rewards</w:t>
      </w:r>
      <w:r w:rsidR="00193A9C" w:rsidRPr="002A7627">
        <w:t>,</w:t>
      </w:r>
      <w:r w:rsidRPr="002A7627">
        <w:t xml:space="preserve"> and recognition.</w:t>
      </w:r>
      <w:r w:rsidRPr="002A7627">
        <w:rPr>
          <w:rFonts w:eastAsia="Times New Roman"/>
        </w:rPr>
        <w:t xml:space="preserve"> </w:t>
      </w:r>
      <w:r w:rsidRPr="002A7627">
        <w:rPr>
          <w:rFonts w:eastAsia="Times New Roman"/>
        </w:rPr>
        <w:fldChar w:fldCharType="begin" w:fldLock="1"/>
      </w:r>
      <w:r w:rsidRPr="002A7627">
        <w:rPr>
          <w:rFonts w:eastAsia="Times New Roman"/>
        </w:rPr>
        <w:instrText>ADDIN CSL_CITATION {"citationItems":[{"id":"ITEM-1","itemData":{"DOI":"10.1108/ER-02-2013-0025","ISBN":"0142-5455","ISSN":"0142-5455","PMID":"42012058","abstract":"Purpose – The purpose of this paper is to empirically examine the relationships between best human resource management (HRM) practices, knowledge management (KM), organization learning and organizational capabilities (OC), as well as their impact on organizational performance. Design/methodology/approach – To carry out this research, a structured questionnaire was designed and distributed to 212 manufacturing firms which employ at least 50 employees. The final sample consists of 138 useable questionnaires. Findings – Results indicate that manufacturing firms pursuing best HRM practices achieve higher performance through the interaction of these practices withKMand organizational learning capability and the creation of OC. Research limitations/implications – Possible limitations of the study include the measurement of OC, the use of subjective performance indicators and the data collection approach reflecting mainly HRM managers’ perceptions. Practical implications – HR practitioners and/or managers should focus on establishing the appropriate mechanisms for integrating “best HRM practices” with learning, knowledge and OC in order to improve performance. Originality/value – This paper empirically tests a new composite model which elaborates upon the mechanisms that seem to intervene between the best HRM practices – performance relationship. Moreover, the value of the human factor in KM and organizational learning initiatives, as well as on OC, is explored. While this has already been underlined in the past, there is still no complete model simultaneously describing and testing all those relationships.","author":[{"dropping-particle":"","family":"Theriou","given":"Georgios N.","non-dropping-particle":"","parse-names":false,"suffix":""},{"dropping-particle":"","family":"Chatzoglou","given":"Prodromos","non-dropping-particle":"","parse-names":false,"suffix":""}],"container-title":"Employee Relations","id":"ITEM-1","issue":"5","issued":{"date-parts":[["2014","7","29"]]},"page":"535-561","title":"The impact of best HRM practices on performance – identifying enabling factors","type":"article-journal","volume":"36"},"uris":["http://www.mendeley.com/documents/?uuid=6f8faeec-884c-4948-b03c-5aaa066b33a9"]}],"mendeley":{"formattedCitation":"(Theriou &amp; Chatzoglou, 2014)","manualFormatting":"Theriou and Chatzoglou (2014)","plainTextFormattedCitation":"(Theriou &amp; Chatzoglou, 2014)","previouslyFormattedCitation":"(Theriou &amp; Chatzoglou, 2014)"},"properties":{"noteIndex":0},"schema":"https://github.com/citation-style-language/schema/raw/master/csl-citation.json"}</w:instrText>
      </w:r>
      <w:r w:rsidRPr="002A7627">
        <w:rPr>
          <w:rFonts w:eastAsia="Times New Roman"/>
        </w:rPr>
        <w:fldChar w:fldCharType="separate"/>
      </w:r>
      <w:r w:rsidRPr="002A7627">
        <w:rPr>
          <w:rFonts w:eastAsia="Times New Roman"/>
          <w:noProof/>
        </w:rPr>
        <w:t>Theriou and Chatzoglou (2014)</w:t>
      </w:r>
      <w:r w:rsidRPr="002A7627">
        <w:rPr>
          <w:rFonts w:eastAsia="Times New Roman"/>
        </w:rPr>
        <w:fldChar w:fldCharType="end"/>
      </w:r>
      <w:r w:rsidRPr="002A7627">
        <w:rPr>
          <w:rFonts w:eastAsia="Times New Roman"/>
        </w:rPr>
        <w:t xml:space="preserve"> found that HR best practices had a positive impact on the knowledge management process and organizational learning capabilities in Greece. HR practices include job design, training and monetary rewards </w:t>
      </w:r>
      <w:r w:rsidRPr="002A7627">
        <w:rPr>
          <w:rFonts w:eastAsia="Times New Roman"/>
        </w:rPr>
        <w:fldChar w:fldCharType="begin" w:fldLock="1"/>
      </w:r>
      <w:r w:rsidR="00E24626" w:rsidRPr="002A7627">
        <w:rPr>
          <w:rFonts w:eastAsia="Times New Roman"/>
        </w:rPr>
        <w:instrText>ADDIN CSL_CITATION {"citationItems":[{"id":"ITEM-1","itemData":{"DOI":"10.2307/25148669","ISBN":"02767783","ISSN":"02767783","PMID":"16313366","abstract":"Individuals' knowledge does not transform easily into organizational knowledge even with the implementation of knowledge repositories. Rather, individuals tend to hoard knowledge for various reasons. The aim of this study is to develop an integrative understanding of the factors supporting or inhibiting individuals' knowledge-sharing inten tions. We employ as our theoretical framework the theory of reasoned action (TRA), and augment it with extrinsic motivators, social-psychological forces and organizational climate factors that are believed to influence individuals' knowledge sharing intentions.","author":[{"dropping-particle":"","family":"Bock","given":"Gee Woo","non-dropping-particle":"","parse-names":false,"suffix":""},{"dropping-particle":"","family":"Zmud","given":"Robert W.","non-dropping-particle":"","parse-names":false,"suffix":""},{"dropping-particle":"","family":"Kim","given":"Young-Gul","non-dropping-particle":"","parse-names":false,"suffix":""},{"dropping-particle":"","family":"Lee","given":"Jae Nam","non-dropping-particle":"","parse-names":false,"suffix":""}],"container-title":"MIS Quarterly","id":"ITEM-1","issue":"1","issued":{"date-parts":[["2005"]]},"page":"87","title":"Behavioral intention formation in knowledge sharing: Examining the roles of extrinsic motivators, social-psychological forces, and organizational climate","type":"article-journal","volume":"29"},"uris":["http://www.mendeley.com/documents/?uuid=8f6ee5d7-f628-46b6-be41-e7095a4c5fd7"]},{"id":"ITEM-2","itemData":{"DOI":"10.1002/hrm.21464","ISSN":"00904848","author":[{"dropping-particle":"","family":"Kuvaas","given":"Bård","non-dropping-particle":"","parse-names":false,"suffix":""},{"dropping-particle":"","family":"Buch","given":"Robert","non-dropping-particle":"","parse-names":false,"suffix":""},{"dropping-particle":"","family":"Dysvik","given":"Anders","non-dropping-particle":"","parse-names":false,"suffix":""}],"container-title":"Human Resource Management","id":"ITEM-2","issue":"2","issued":{"date-parts":[["2012","3"]]},"page":"167-187","title":"Perceived training intensity and knowledge sharing: Sharing for intrinsic and prosocial reasons","type":"article-journal","volume":"51"},"uris":["http://www.mendeley.com/documents/?uuid=f14bfd1c-e11e-4a76-b810-0d418d656618"]},{"id":"ITEM-3","itemData":{"ISSN":"1748-8583","author":[{"dropping-particle":"","family":"Swart","given":"Juani","non-dropping-particle":"","parse-names":false,"suffix":""},{"dropping-particle":"","family":"Kinnie","given":"Nicholas","non-dropping-particle":"","parse-names":false,"suffix":""}],"container-title":"Human Resource Management Journal","id":"ITEM-3","issue":"2","issued":{"date-parts":[["2013"]]},"page":"160-179","publisher":"Wiley Online Library","title":"Managing multidimensional knowledge assets: HR configurations in professional service firms","type":"article-journal","volume":"23"},"uris":["http://www.mendeley.com/documents/?uuid=8581f3ec-9776-431a-bbe0-c248267f72db"]},{"id":"ITEM-4","itemData":{"ISSN":"0001-4273","author":[{"dropping-particle":"","family":"Reinholt","given":"M I A","non-dropping-particle":"","parse-names":false,"suffix":""},{"dropping-particle":"","family":"Pedersen","given":"Torben","non-dropping-particle":"","parse-names":false,"suffix":""},{"dropping-particle":"","family":"Foss","given":"Nicolai J","non-dropping-particle":"","parse-names":false,"suffix":""}],"container-title":"Academy of Management Journal","id":"ITEM-4","issue":"6","issued":{"date-parts":[["2011"]]},"page":"1277-1297","title":"Why a central network position isn't enough: The role of motivation and ability for knowledge sharing in employee networks","type":"article-journal","volume":"54"},"uris":["http://www.mendeley.com/documents/?uuid=fae8512a-6845-4f98-8098-69edd142a7ac"]}],"mendeley":{"formattedCitation":"(Bock, Zmud, Kim, &amp; Lee, 2005; Kuvaas et al., 2012; Reinholt, Pedersen, &amp; Foss, 2011; Swart &amp; Kinnie, 2013)","plainTextFormattedCitation":"(Bock, Zmud, Kim, &amp; Lee, 2005; Kuvaas et al., 2012; Reinholt, Pedersen, &amp; Foss, 2011; Swart &amp; Kinnie, 2013)","previouslyFormattedCitation":"(Bock, Zmud, Kim, &amp; Lee, 2005; Kuvaas et al., 2012; Reinholt, Pedersen, &amp; Foss, 2011; Swart &amp; Kinnie, 2013)"},"properties":{"noteIndex":0},"schema":"https://github.com/citation-style-language/schema/raw/master/csl-citation.json"}</w:instrText>
      </w:r>
      <w:r w:rsidRPr="002A7627">
        <w:rPr>
          <w:rFonts w:eastAsia="Times New Roman"/>
        </w:rPr>
        <w:fldChar w:fldCharType="separate"/>
      </w:r>
      <w:r w:rsidRPr="002A7627">
        <w:rPr>
          <w:rFonts w:eastAsia="Times New Roman"/>
          <w:noProof/>
        </w:rPr>
        <w:t>(Bock, Zmud, Kim, &amp; Lee, 2005; Kuvaas et al., 2012; Reinholt, Pedersen, &amp; Foss, 2011; Swart &amp; Kinnie, 2013)</w:t>
      </w:r>
      <w:r w:rsidRPr="002A7627">
        <w:rPr>
          <w:rFonts w:eastAsia="Times New Roman"/>
        </w:rPr>
        <w:fldChar w:fldCharType="end"/>
      </w:r>
      <w:r w:rsidRPr="002A7627">
        <w:rPr>
          <w:rFonts w:eastAsia="Times New Roman"/>
        </w:rPr>
        <w:t xml:space="preserve">. Most previous studies examining HR practices and knowledge sharing have focused on knowledge sharing behavior </w:t>
      </w:r>
      <w:r w:rsidRPr="002A7627">
        <w:rPr>
          <w:rFonts w:eastAsia="Times New Roman"/>
        </w:rPr>
        <w:fldChar w:fldCharType="begin" w:fldLock="1"/>
      </w:r>
      <w:r w:rsidR="004C27D4" w:rsidRPr="002A7627">
        <w:rPr>
          <w:rFonts w:eastAsia="Times New Roman"/>
        </w:rPr>
        <w:instrText>ADDIN CSL_CITATION {"citationItems":[{"id":"ITEM-1","itemData":{"ISSN":"1099-050X","author":[{"dropping-particle":"","family":"Minbaeva","given":"Dana B","non-dropping-particle":"","parse-names":false,"suffix":""},{"dropping-particle":"","family":"Mäkelä","given":"Kristiina","non-dropping-particle":"","parse-names":false,"suffix":""},{"dropping-particle":"","family":"Rabbiosi","given":"Larissa","non-dropping-particle":"","parse-names":false,"suffix":""}],"container-title":"Human Resource Management","id":"ITEM-1","issue":"3","issued":{"date-parts":[["2012"]]},"page":"387-405","publisher":"Wiley Online Library","title":"Linking HRM and knowledge transfer via individual‐level mechanisms","type":"article-journal","volume":"51"},"uris":["http://www.mendeley.com/documents/?uuid=326574c2-a2b5-4b16-b62b-17af08e5f2d6"]},{"id":"ITEM-2","itemData":{"DOI":"10.1057/emr.2009.2","ISBN":"1740-4754","ISSN":"17404754","abstract":"The emergence over the last two decades or so of ‘knowledge’ as an important part of the explanatory structure of management research is an intellectual breakthrough that is comparable in terms of its transforming impact to the behavioral revolution of the 1960s. A veritable ‘knowledge movement’ has emerged that spans several fields in management. I take stock on alternative research strategies with that movement, distinguishing between ‘capabilities first,’ ‘networks first’ and ‘individuals first’ strategies. Reasons are given why more research attention needs to be allocated to the latter strategy if the knowledge movement is to continue making progress. However, the aim should ultimately be to reach towards multi-level research that combines aggregate constructs with top-down processes and bottom-up processes.","author":[{"dropping-particle":"","family":"Foss","given":"Nicolai J","non-dropping-particle":"","parse-names":false,"suffix":""}],"container-title":"European Management Review","id":"ITEM-2","issue":"1","issued":{"date-parts":[["2009"]]},"page":"16-28","title":"Alternative research strategies in the knowledge movement: From macro bias to micro-foundations and multi-level explanation","type":"article-journal","volume":"6"},"uris":["http://www.mendeley.com/documents/?uuid=bff3d312-4a9c-477f-8d44-6e684335a960"]},{"id":"ITEM-3","itemData":{"ISSN":"0001-4273","author":[{"dropping-particle":"","family":"Reinholt","given":"M I A","non-dropping-particle":"","parse-names":false,"suffix":""},{"dropping-particle":"","family":"Pedersen","given":"Torben","non-dropping-particle":"","parse-names":false,"suffix":""},{"dropping-particle":"","family":"Foss","given":"Nicolai J","non-dropping-particle":"","parse-names":false,"suffix":""}],"container-title":"Academy of Management Journal","id":"ITEM-3","issue":"6","issued":{"date-parts":[["2011"]]},"page":"1277-1297","title":"Why a central network position isn't enough: The role of motivation and ability for knowledge sharing in employee networks","type":"article-journal","volume":"54"},"uris":["http://www.mendeley.com/documents/?uuid=fae8512a-6845-4f98-8098-69edd142a7ac"]},{"id":"ITEM-4","itemData":{"DOI":"10.1002/hrm.21464","ISSN":"00904848","author":[{"dropping-particle":"","family":"Kuvaas","given":"Bård","non-dropping-particle":"","parse-names":false,"suffix":""},{"dropping-particle":"","family":"Buch","given":"Robert","non-dropping-particle":"","parse-names":false,"suffix":""},{"dropping-particle":"","family":"Dysvik","given":"Anders","non-dropping-particle":"","parse-names":false,"suffix":""}],"container-title":"Human Resource Management","id":"ITEM-4","issue":"2","issued":{"date-parts":[["2012","3"]]},"page":"167-187","title":"Perceived training intensity and knowledge sharing: Sharing for intrinsic and prosocial reasons","type":"article-journal","volume":"51"},"uris":["http://www.mendeley.com/documents/?uuid=f14bfd1c-e11e-4a76-b810-0d418d656618"]}],"mendeley":{"formattedCitation":"(Foss, 2009; Kuvaas et al., 2012; Minbaeva, Mäkelä, &amp; Rabbiosi, 2012; Reinholt et al., 2011)","plainTextFormattedCitation":"(Foss, 2009; Kuvaas et al., 2012; Minbaeva, Mäkelä, &amp; Rabbiosi, 2012; Reinholt et al., 2011)","previouslyFormattedCitation":"(Foss, 2009; Kuvaas et al., 2012; Minbaeva, Mäkelä, &amp; Rabbiosi, 2012; Reinholt et al., 2011)"},"properties":{"noteIndex":0},"schema":"https://github.com/citation-style-language/schema/raw/master/csl-citation.json"}</w:instrText>
      </w:r>
      <w:r w:rsidRPr="002A7627">
        <w:rPr>
          <w:rFonts w:eastAsia="Times New Roman"/>
        </w:rPr>
        <w:fldChar w:fldCharType="separate"/>
      </w:r>
      <w:r w:rsidR="00E24626" w:rsidRPr="002A7627">
        <w:rPr>
          <w:rFonts w:eastAsia="Times New Roman"/>
          <w:noProof/>
        </w:rPr>
        <w:t>(Foss, 2009; Kuvaas et al., 2012; Minbaeva, Mäkelä, &amp; Rabbiosi, 2012; Reinholt et al., 2011)</w:t>
      </w:r>
      <w:r w:rsidRPr="002A7627">
        <w:rPr>
          <w:rFonts w:eastAsia="Times New Roman"/>
        </w:rPr>
        <w:fldChar w:fldCharType="end"/>
      </w:r>
      <w:r w:rsidRPr="002A7627">
        <w:rPr>
          <w:rFonts w:eastAsia="Times New Roman"/>
        </w:rPr>
        <w:t xml:space="preserve"> rather than outcomes.</w:t>
      </w:r>
      <w:r w:rsidRPr="002A7627">
        <w:t xml:space="preserve"> </w:t>
      </w:r>
    </w:p>
    <w:p w14:paraId="3C5885C0" w14:textId="542E40EF" w:rsidR="00EE00BF" w:rsidRPr="002A7627" w:rsidRDefault="00EE00BF" w:rsidP="002C4A1A">
      <w:pPr>
        <w:pStyle w:val="AAAAAAA"/>
        <w:rPr>
          <w:rFonts w:eastAsia="Times New Roman"/>
        </w:rPr>
      </w:pPr>
      <w:r w:rsidRPr="002A7627">
        <w:t xml:space="preserve">Researchers have studied the relationship between HR practices and knowledge management capacity </w:t>
      </w:r>
      <w:r w:rsidRPr="002A7627">
        <w:rPr>
          <w:noProof/>
        </w:rPr>
        <w:t>(Gope</w:t>
      </w:r>
      <w:r w:rsidR="004324A1">
        <w:rPr>
          <w:noProof/>
        </w:rPr>
        <w:t xml:space="preserve"> et al.</w:t>
      </w:r>
      <w:r w:rsidRPr="002A7627">
        <w:rPr>
          <w:noProof/>
        </w:rPr>
        <w:t>, 2018</w:t>
      </w:r>
      <w:r w:rsidR="00EB0C76">
        <w:rPr>
          <w:noProof/>
        </w:rPr>
        <w:t>)</w:t>
      </w:r>
      <w:r w:rsidRPr="002A7627">
        <w:t xml:space="preserve">. However, this area still demands additional research to investigate the relationships between a range of HR practices and other knowledge management outcomes or benefits </w:t>
      </w:r>
      <w:r w:rsidRPr="002A7627">
        <w:rPr>
          <w:rFonts w:eastAsia="Times New Roman"/>
        </w:rPr>
        <w:fldChar w:fldCharType="begin" w:fldLock="1"/>
      </w:r>
      <w:r w:rsidRPr="002A7627">
        <w:rPr>
          <w:rFonts w:eastAsia="Times New Roman"/>
        </w:rPr>
        <w:instrText>ADDIN CSL_CITATION {"citationItems":[{"id":"ITEM-1","itemData":{"DOI":"10.1111/1748-8583.12100","ISSN":"17488583","abstract":"This article examines how individual-level antecedents such as motivation and ability to share knowledge mediate the relationship between HR practices and knowledge-sharing behaviour. The results of a survey of 329 secondary school teachers reveal the contradictory effects of different HR practices on the mediating roles of intrinsic and extrinsic motivation to share knowledge and subsequent knowledge-sharing behaviour of teachers. The study demonstrates that opportunity-enhancing HR practices act as a moderating condition that activates either intrinsic or extrinsic motivation to share knowledge and may completely offset the effect of motivation-enhancing HR practices. The study makes a distinctive contribution by demonstrating how certain combinations of HR practices aimed to enhance knowledge sharing might in fact be a costly solution for organisations, as they activate different mediating mechanisms in the HRM–knowledge-sharing behaviour link.","author":[{"dropping-particle":"","family":"Andreeva","given":"Tatiana","non-dropping-particle":"","parse-names":false,"suffix":""},{"dropping-particle":"","family":"Sergeeva","given":"Anastasia","non-dropping-particle":"","parse-names":false,"suffix":""}],"container-title":"Human Resource Management Journal","id":"ITEM-1","issue":"2","issued":{"date-parts":[["2016","4","1"]]},"page":"151-171","publisher":"Blackwell Publishing Ltd","title":"The more the better .. or is it? The contradictory effects of HR practices on knowledge-sharing motivation and behaviour","type":"article-journal","volume":"26"},"uris":["http://www.mendeley.com/documents/?uuid=3fc63dfe-0dba-33b3-8a6d-3e39ff842349"]}],"mendeley":{"formattedCitation":"(Andreeva &amp; Sergeeva, 2016)","plainTextFormattedCitation":"(Andreeva &amp; Sergeeva, 2016)","previouslyFormattedCitation":"(Andreeva &amp; Sergeeva, 2016)"},"properties":{"noteIndex":0},"schema":"https://github.com/citation-style-language/schema/raw/master/csl-citation.json"}</w:instrText>
      </w:r>
      <w:r w:rsidRPr="002A7627">
        <w:rPr>
          <w:rFonts w:eastAsia="Times New Roman"/>
        </w:rPr>
        <w:fldChar w:fldCharType="separate"/>
      </w:r>
      <w:r w:rsidRPr="002A7627">
        <w:rPr>
          <w:rFonts w:eastAsia="Times New Roman"/>
          <w:noProof/>
        </w:rPr>
        <w:t>(Andreeva &amp; Sergeeva, 2016)</w:t>
      </w:r>
      <w:r w:rsidRPr="002A7627">
        <w:rPr>
          <w:rFonts w:eastAsia="Times New Roman"/>
        </w:rPr>
        <w:fldChar w:fldCharType="end"/>
      </w:r>
      <w:r w:rsidRPr="002A7627">
        <w:rPr>
          <w:rFonts w:eastAsia="Times New Roman"/>
        </w:rPr>
        <w:t xml:space="preserve">, </w:t>
      </w:r>
      <w:r w:rsidRPr="002A7627">
        <w:t>especially for policing organizations.</w:t>
      </w:r>
      <w:r w:rsidRPr="002A7627">
        <w:rPr>
          <w:rFonts w:eastAsia="Times New Roman"/>
        </w:rPr>
        <w:t xml:space="preserve"> Previous studies have suggested that HR practices can be grouped into four categories: </w:t>
      </w:r>
      <w:r w:rsidR="00544048" w:rsidRPr="00EB0C76">
        <w:rPr>
          <w:rFonts w:eastAsia="Times New Roman"/>
          <w:color w:val="000000" w:themeColor="text1"/>
        </w:rPr>
        <w:t xml:space="preserve">improving </w:t>
      </w:r>
      <w:r w:rsidRPr="00EB0C76">
        <w:rPr>
          <w:rFonts w:eastAsia="Times New Roman"/>
          <w:color w:val="000000" w:themeColor="text1"/>
        </w:rPr>
        <w:t xml:space="preserve">employees’ abilities, </w:t>
      </w:r>
      <w:r w:rsidR="00FD3710" w:rsidRPr="00EB0C76">
        <w:rPr>
          <w:rFonts w:eastAsia="Times New Roman"/>
          <w:color w:val="000000" w:themeColor="text1"/>
        </w:rPr>
        <w:t xml:space="preserve">encouraging </w:t>
      </w:r>
      <w:r w:rsidRPr="00EB0C76">
        <w:rPr>
          <w:rFonts w:eastAsia="Times New Roman"/>
          <w:color w:val="000000" w:themeColor="text1"/>
        </w:rPr>
        <w:t xml:space="preserve">extrinsic and intrinsic motivation and </w:t>
      </w:r>
      <w:r w:rsidR="00544048" w:rsidRPr="00EB0C76">
        <w:rPr>
          <w:rFonts w:eastAsia="Times New Roman"/>
          <w:color w:val="000000" w:themeColor="text1"/>
        </w:rPr>
        <w:t xml:space="preserve">offering </w:t>
      </w:r>
      <w:r w:rsidRPr="00EB0C76">
        <w:rPr>
          <w:rFonts w:eastAsia="Times New Roman"/>
          <w:color w:val="000000" w:themeColor="text1"/>
        </w:rPr>
        <w:t xml:space="preserve">opportunities for employees </w:t>
      </w:r>
      <w:r w:rsidRPr="00EB0C76">
        <w:rPr>
          <w:rFonts w:eastAsia="Times New Roman"/>
          <w:noProof/>
          <w:color w:val="000000" w:themeColor="text1"/>
        </w:rPr>
        <w:t>(Andreeva</w:t>
      </w:r>
      <w:r w:rsidR="006274E5" w:rsidRPr="00EB0C76">
        <w:rPr>
          <w:rFonts w:eastAsia="Times New Roman"/>
          <w:noProof/>
          <w:color w:val="000000" w:themeColor="text1"/>
        </w:rPr>
        <w:t xml:space="preserve"> and Sergeeva</w:t>
      </w:r>
      <w:r w:rsidRPr="00EB0C76">
        <w:rPr>
          <w:rFonts w:eastAsia="Times New Roman"/>
          <w:noProof/>
          <w:color w:val="000000" w:themeColor="text1"/>
        </w:rPr>
        <w:t>, 2016; Jiang, Lepak, Hu, &amp; Baer, 2012; Lepak, Liao, Chung, &amp; Harden, 2006)</w:t>
      </w:r>
      <w:r w:rsidRPr="002A7627">
        <w:rPr>
          <w:rFonts w:eastAsia="Times New Roman"/>
          <w:sz w:val="22"/>
        </w:rPr>
        <w:t xml:space="preserve">. </w:t>
      </w:r>
    </w:p>
    <w:p w14:paraId="1F1D308E" w14:textId="2A1096B6" w:rsidR="00EE00BF" w:rsidRPr="002A7627" w:rsidRDefault="007D7779" w:rsidP="002C4A1A">
      <w:pPr>
        <w:pStyle w:val="AAAAAAA"/>
      </w:pPr>
      <w:bookmarkStart w:id="131" w:name="_Toc13959633"/>
      <w:bookmarkStart w:id="132" w:name="_Toc22331667"/>
      <w:r>
        <w:rPr>
          <w:rStyle w:val="Heading2Char"/>
          <w:color w:val="000000"/>
          <w:u w:val="none"/>
        </w:rPr>
        <w:t xml:space="preserve">3.3.1. </w:t>
      </w:r>
      <w:r w:rsidR="00EE00BF" w:rsidRPr="002A7627">
        <w:rPr>
          <w:rStyle w:val="Heading2Char"/>
          <w:color w:val="000000"/>
          <w:u w:val="none"/>
        </w:rPr>
        <w:t xml:space="preserve">Motivation-enhancing HR practices and </w:t>
      </w:r>
      <w:r w:rsidR="005F6EC8">
        <w:rPr>
          <w:rStyle w:val="Heading2Char"/>
          <w:color w:val="000000"/>
          <w:u w:val="none"/>
        </w:rPr>
        <w:t>k</w:t>
      </w:r>
      <w:r w:rsidR="00EE00BF" w:rsidRPr="002A7627">
        <w:rPr>
          <w:rStyle w:val="Heading2Char"/>
          <w:color w:val="000000"/>
          <w:u w:val="none"/>
        </w:rPr>
        <w:t>nowledge management benefits</w:t>
      </w:r>
      <w:bookmarkEnd w:id="131"/>
      <w:r w:rsidR="002C4A1A" w:rsidRPr="002A7627">
        <w:rPr>
          <w:rStyle w:val="Heading2Char"/>
          <w:color w:val="000000"/>
          <w:u w:val="none"/>
        </w:rPr>
        <w:t>.</w:t>
      </w:r>
      <w:bookmarkEnd w:id="132"/>
      <w:r w:rsidR="002C4A1A" w:rsidRPr="002A7627">
        <w:t xml:space="preserve"> </w:t>
      </w:r>
      <w:r w:rsidR="00EE00BF" w:rsidRPr="002A7627">
        <w:t>Self-determination theory describes two kinds of motivation, intrinsic and extrinsic</w:t>
      </w:r>
      <w:r w:rsidR="00781ECB" w:rsidRPr="002A7627">
        <w:t xml:space="preserve"> </w:t>
      </w:r>
      <w:r w:rsidR="003625C0" w:rsidRPr="002A7627">
        <w:t>(</w:t>
      </w:r>
      <w:r w:rsidR="00E24626" w:rsidRPr="002A7627">
        <w:rPr>
          <w:noProof/>
        </w:rPr>
        <w:t xml:space="preserve">Chen &amp; Hsieh, 2015; Foss et al., 2009; Gagné, 2009; Lin, 2007; </w:t>
      </w:r>
      <w:r w:rsidR="003625C0" w:rsidRPr="002A7627">
        <w:rPr>
          <w:noProof/>
        </w:rPr>
        <w:fldChar w:fldCharType="begin" w:fldLock="1"/>
      </w:r>
      <w:r w:rsidR="003625C0" w:rsidRPr="002A7627">
        <w:rPr>
          <w:noProof/>
        </w:rPr>
        <w:instrText>ADDIN CSL_CITATION {"citationItems":[{"id":"ITEM-1","itemData":{"DOI":"10.2307/2070638","ISBN":"978-1-4899-2273-1","ISSN":"00943061","PMID":"25246403","abstract":"Deci, E. L. and Ryan, R. M. (1985) Intrinsic Motivation and Self-determination in Human Behavior (New York: Plenum Press)","author":[{"dropping-particle":"","family":"Miller","given":"Karen A.","non-dropping-particle":"","parse-names":false,"suffix":""},{"dropping-particle":"","family":"Deci","given":"Edward L.","non-dropping-particle":"","parse-names":false,"suffix":""},{"dropping-particle":"","family":"Ryan","given":"Richard M.","non-dropping-particle":"","parse-names":false,"suffix":""}],"container-title":"Contemporary Sociology","id":"ITEM-1","issue":"2","issued":{"date-parts":[["1988","3"]]},"page":"253","title":"Intrinsic Motivation and Self-Determination in Human Behavior","type":"article-journal","volume":"17"},"uris":["http://www.mendeley.com/documents/?uuid=be572a10-ee00-4b0b-9c99-78baad1d0341"]}],"mendeley":{"formattedCitation":"(K. A. Miller, Deci, &amp; Ryan, 1988)","manualFormatting":"K. A. Miller, Deci, &amp; Ryan, 1988","plainTextFormattedCitation":"(K. A. Miller, Deci, &amp; Ryan, 1988)","previouslyFormattedCitation":"(K. A. Miller, Deci, &amp; Ryan, 1988)"},"properties":{"noteIndex":0},"schema":"https://github.com/citation-style-language/schema/raw/master/csl-citation.json"}</w:instrText>
      </w:r>
      <w:r w:rsidR="003625C0" w:rsidRPr="002A7627">
        <w:rPr>
          <w:noProof/>
        </w:rPr>
        <w:fldChar w:fldCharType="separate"/>
      </w:r>
      <w:r w:rsidR="003625C0" w:rsidRPr="002A7627">
        <w:rPr>
          <w:noProof/>
        </w:rPr>
        <w:t>Miller, Deci, &amp; Ryan, 1988</w:t>
      </w:r>
      <w:r w:rsidR="003625C0" w:rsidRPr="002A7627">
        <w:rPr>
          <w:noProof/>
        </w:rPr>
        <w:fldChar w:fldCharType="end"/>
      </w:r>
      <w:r w:rsidR="003625C0" w:rsidRPr="002A7627">
        <w:rPr>
          <w:noProof/>
        </w:rPr>
        <w:t xml:space="preserve">; </w:t>
      </w:r>
      <w:r w:rsidR="00E24626" w:rsidRPr="002A7627">
        <w:rPr>
          <w:noProof/>
        </w:rPr>
        <w:t>Osterloh &amp; Frey, 2000; Popaitoon &amp; Popaitoon, 2016)</w:t>
      </w:r>
      <w:r w:rsidR="00EE00BF" w:rsidRPr="002A7627">
        <w:rPr>
          <w:rFonts w:eastAsiaTheme="minorEastAsia"/>
        </w:rPr>
        <w:t>. Intrinsic motivation is the internal satisfaction and feeling of enjoyment from a particular activity. In knowledge sharing terms, it</w:t>
      </w:r>
      <w:r w:rsidR="00054373" w:rsidRPr="002A7627">
        <w:rPr>
          <w:rFonts w:eastAsiaTheme="minorEastAsia"/>
        </w:rPr>
        <w:t xml:space="preserve"> therefore </w:t>
      </w:r>
      <w:r w:rsidR="00EE00BF" w:rsidRPr="002A7627">
        <w:rPr>
          <w:rFonts w:eastAsiaTheme="minorEastAsia"/>
        </w:rPr>
        <w:t xml:space="preserve">arises when helping others, including by sharing knowledge </w:t>
      </w:r>
      <w:r w:rsidR="00EE00BF" w:rsidRPr="002A7627">
        <w:rPr>
          <w:rFonts w:eastAsiaTheme="minorEastAsia"/>
        </w:rPr>
        <w:fldChar w:fldCharType="begin" w:fldLock="1"/>
      </w:r>
      <w:r w:rsidR="00EE00BF" w:rsidRPr="002A7627">
        <w:rPr>
          <w:rFonts w:eastAsiaTheme="minorEastAsia"/>
        </w:rPr>
        <w:instrText>ADDIN CSL_CITATION {"citationItems":[{"id":"ITEM-1","itemData":{"DOI":"10.1002/hrm.21464","ISSN":"00904848","author":[{"dropping-particle":"","family":"Kuvaas","given":"Bård","non-dropping-particle":"","parse-names":false,"suffix":""},{"dropping-particle":"","family":"Buch","given":"Robert","non-dropping-particle":"","parse-names":false,"suffix":""},{"dropping-particle":"","family":"Dysvik","given":"Anders","non-dropping-particle":"","parse-names":false,"suffix":""}],"container-title":"Human Resource Management","id":"ITEM-1","issue":"2","issued":{"date-parts":[["2012","3"]]},"page":"167-187","title":"Perceived training intensity and knowledge sharing: Sharing for intrinsic and prosocial reasons","type":"article-journal","volume":"51"},"uris":["http://www.mendeley.com/documents/?uuid=f14bfd1c-e11e-4a76-b810-0d418d656618"]}],"mendeley":{"formattedCitation":"(Kuvaas et al., 2012)","plainTextFormattedCitation":"(Kuvaas et al., 2012)","previouslyFormattedCitation":"(Kuvaas et al., 2012)"},"properties":{"noteIndex":0},"schema":"https://github.com/citation-style-language/schema/raw/master/csl-citation.json"}</w:instrText>
      </w:r>
      <w:r w:rsidR="00EE00BF" w:rsidRPr="002A7627">
        <w:rPr>
          <w:rFonts w:eastAsiaTheme="minorEastAsia"/>
        </w:rPr>
        <w:fldChar w:fldCharType="separate"/>
      </w:r>
      <w:r w:rsidR="00EE00BF" w:rsidRPr="002A7627">
        <w:rPr>
          <w:rFonts w:eastAsiaTheme="minorEastAsia"/>
          <w:noProof/>
        </w:rPr>
        <w:t>(Kuvaas et al., 2012)</w:t>
      </w:r>
      <w:r w:rsidR="00EE00BF" w:rsidRPr="002A7627">
        <w:rPr>
          <w:rFonts w:eastAsiaTheme="minorEastAsia"/>
        </w:rPr>
        <w:fldChar w:fldCharType="end"/>
      </w:r>
      <w:r w:rsidR="00EE00BF" w:rsidRPr="002A7627">
        <w:rPr>
          <w:rFonts w:eastAsiaTheme="minorEastAsia"/>
        </w:rPr>
        <w:t xml:space="preserve">. </w:t>
      </w:r>
      <w:r w:rsidR="00EE00BF" w:rsidRPr="002A7627">
        <w:t xml:space="preserve">Extrinsic motivation is derived from external benefits such as pay or other rewards for particular behavior </w:t>
      </w:r>
      <w:r w:rsidR="00EE00BF" w:rsidRPr="002A7627">
        <w:fldChar w:fldCharType="begin" w:fldLock="1"/>
      </w:r>
      <w:r w:rsidR="004C27D4" w:rsidRPr="002A7627">
        <w:instrText>ADDIN CSL_CITATION {"citationItems":[{"id":"ITEM-1","itemData":{"DOI":"10.1057/emr.2009.2","ISBN":"1740-4754","ISSN":"17404754","abstract":"The emergence over the last two decades or so of ‘knowledge’ as an important part of the explanatory structure of management research is an intellectual breakthrough that is comparable in terms of its transforming impact to the behavioral revolution of the 1960s. A veritable ‘knowledge movement’ has emerged that spans several fields in management. I take stock on alternative research strategies with that movement, distinguishing between ‘capabilities first,’ ‘networks first’ and ‘individuals first’ strategies. Reasons are given why more research attention needs to be allocated to the latter strategy if the knowledge movement is to continue making progress. However, the aim should ultimately be to reach towards multi-level research that combines aggregate constructs with top-down processes and bottom-up processes.","author":[{"dropping-particle":"","family":"Foss","given":"Nicolai J","non-dropping-particle":"","parse-names":false,"suffix":""}],"container-title":"European Management Review","id":"ITEM-1","issue":"1","issued":{"date-parts":[["2009"]]},"page":"16-28","title":"Alternative research strategies in the knowledge movement: From macro bias to micro-foundations and multi-level explanation","type":"article-journal","volume":"6"},"uris":["http://www.mendeley.com/documents/?uuid=bff3d312-4a9c-477f-8d44-6e684335a960"]}],"mendeley":{"formattedCitation":"(Foss, 2009)","plainTextFormattedCitation":"(Foss, 2009)","previouslyFormattedCitation":"(Foss, 2009)"},"properties":{"noteIndex":0},"schema":"https://github.com/citation-style-language/schema/raw/master/csl-citation.json"}</w:instrText>
      </w:r>
      <w:r w:rsidR="00EE00BF" w:rsidRPr="002A7627">
        <w:fldChar w:fldCharType="separate"/>
      </w:r>
      <w:r w:rsidR="00E24626" w:rsidRPr="002A7627">
        <w:rPr>
          <w:noProof/>
        </w:rPr>
        <w:t>(Foss, 2009)</w:t>
      </w:r>
      <w:r w:rsidR="00EE00BF" w:rsidRPr="002A7627">
        <w:fldChar w:fldCharType="end"/>
      </w:r>
      <w:r w:rsidR="00EE00BF" w:rsidRPr="002A7627">
        <w:t xml:space="preserve">, or reciprocity </w:t>
      </w:r>
      <w:r w:rsidR="00E24626" w:rsidRPr="002A7627">
        <w:rPr>
          <w:rFonts w:eastAsiaTheme="minorEastAsia"/>
          <w:noProof/>
        </w:rPr>
        <w:t>(Bock et al., 2005; Kankanhalli, Tan, &amp; Wei, 2017; Lin</w:t>
      </w:r>
      <w:r w:rsidR="006274E5">
        <w:rPr>
          <w:rFonts w:eastAsiaTheme="minorEastAsia"/>
          <w:noProof/>
        </w:rPr>
        <w:t>, Hung &amp; Chen</w:t>
      </w:r>
      <w:r w:rsidR="00E24626" w:rsidRPr="002A7627">
        <w:rPr>
          <w:rFonts w:eastAsiaTheme="minorEastAsia"/>
          <w:noProof/>
        </w:rPr>
        <w:t>, 2009)</w:t>
      </w:r>
      <w:r w:rsidR="00EE00BF" w:rsidRPr="002A7627">
        <w:t>. Intrinsic motivation can take different forms</w:t>
      </w:r>
      <w:r w:rsidR="007413AA" w:rsidRPr="002A7627">
        <w:t>,</w:t>
      </w:r>
      <w:r w:rsidR="00EE00BF" w:rsidRPr="002A7627">
        <w:t xml:space="preserve"> such </w:t>
      </w:r>
      <w:r w:rsidR="00EE00BF" w:rsidRPr="00EB0C76">
        <w:rPr>
          <w:color w:val="000000" w:themeColor="text1"/>
        </w:rPr>
        <w:t xml:space="preserve">as </w:t>
      </w:r>
      <w:r w:rsidR="00544048" w:rsidRPr="00EB0C76">
        <w:rPr>
          <w:color w:val="000000" w:themeColor="text1"/>
        </w:rPr>
        <w:t xml:space="preserve">enjoyment </w:t>
      </w:r>
      <w:r w:rsidR="00FD3710" w:rsidRPr="00EB0C76">
        <w:rPr>
          <w:color w:val="000000" w:themeColor="text1"/>
        </w:rPr>
        <w:t xml:space="preserve">of </w:t>
      </w:r>
      <w:r w:rsidR="00544048" w:rsidRPr="00EB0C76">
        <w:rPr>
          <w:color w:val="000000" w:themeColor="text1"/>
        </w:rPr>
        <w:t>helping people and self-efficacy</w:t>
      </w:r>
      <w:r w:rsidR="00EE00BF" w:rsidRPr="00EB0C76">
        <w:rPr>
          <w:color w:val="000000" w:themeColor="text1"/>
        </w:rPr>
        <w:t xml:space="preserve"> </w:t>
      </w:r>
      <w:r w:rsidR="00EE00BF" w:rsidRPr="00EB0C76">
        <w:rPr>
          <w:color w:val="000000" w:themeColor="text1"/>
        </w:rPr>
        <w:fldChar w:fldCharType="begin"/>
      </w:r>
      <w:r w:rsidR="00EE00BF" w:rsidRPr="00EB0C76">
        <w:rPr>
          <w:color w:val="000000" w:themeColor="text1"/>
        </w:rPr>
        <w:instrText>ADDIN RW.CITE{{204 Mansor, Zuraina 2015}}</w:instrText>
      </w:r>
      <w:r w:rsidR="00EE00BF" w:rsidRPr="00EB0C76">
        <w:rPr>
          <w:color w:val="000000" w:themeColor="text1"/>
        </w:rPr>
        <w:fldChar w:fldCharType="separate"/>
      </w:r>
      <w:r w:rsidR="00EE00BF" w:rsidRPr="00EB0C76">
        <w:rPr>
          <w:color w:val="000000" w:themeColor="text1"/>
        </w:rPr>
        <w:t>(Mansor &amp; Saparudin, 2015)</w:t>
      </w:r>
      <w:r w:rsidR="00EE00BF" w:rsidRPr="00EB0C76">
        <w:rPr>
          <w:color w:val="000000" w:themeColor="text1"/>
        </w:rPr>
        <w:fldChar w:fldCharType="end"/>
      </w:r>
      <w:r w:rsidR="00EE00BF" w:rsidRPr="00EB0C76">
        <w:rPr>
          <w:color w:val="000000" w:themeColor="text1"/>
        </w:rPr>
        <w:t>. It may</w:t>
      </w:r>
      <w:r w:rsidR="00054373" w:rsidRPr="00EB0C76">
        <w:rPr>
          <w:color w:val="000000" w:themeColor="text1"/>
        </w:rPr>
        <w:t xml:space="preserve">, therefore, </w:t>
      </w:r>
      <w:r w:rsidR="00EE00BF" w:rsidRPr="00EB0C76">
        <w:rPr>
          <w:color w:val="000000" w:themeColor="text1"/>
        </w:rPr>
        <w:t xml:space="preserve">give </w:t>
      </w:r>
      <w:r w:rsidR="00EE00BF" w:rsidRPr="00EB0C76">
        <w:rPr>
          <w:rFonts w:eastAsiaTheme="minorEastAsia"/>
          <w:color w:val="000000" w:themeColor="text1"/>
        </w:rPr>
        <w:t xml:space="preserve">employees confidence to </w:t>
      </w:r>
      <w:r w:rsidR="00544048" w:rsidRPr="00EB0C76">
        <w:rPr>
          <w:rFonts w:eastAsiaTheme="minorEastAsia"/>
          <w:color w:val="000000" w:themeColor="text1"/>
        </w:rPr>
        <w:t>share knowledge and experience</w:t>
      </w:r>
      <w:r w:rsidR="00EE00BF" w:rsidRPr="00EB0C76">
        <w:rPr>
          <w:rFonts w:eastAsiaTheme="minorEastAsia"/>
          <w:color w:val="000000" w:themeColor="text1"/>
        </w:rPr>
        <w:t xml:space="preserve"> </w:t>
      </w:r>
      <w:r w:rsidR="00EE00BF" w:rsidRPr="002A7627">
        <w:rPr>
          <w:rFonts w:eastAsiaTheme="minorEastAsia"/>
        </w:rPr>
        <w:fldChar w:fldCharType="begin" w:fldLock="1"/>
      </w:r>
      <w:r w:rsidR="00E24626" w:rsidRPr="002A7627">
        <w:rPr>
          <w:rFonts w:eastAsiaTheme="minorEastAsia"/>
        </w:rPr>
        <w:instrText>ADDIN CSL_CITATION {"citationItems":[{"id":"ITEM-1","itemData":{"DOI":"10.1016/j.ijhcs.2006.09.003","ISBN":"1071-5819","ISSN":"10715819","PMID":"9456257","abstract":"There has been a growing interest in examining the factors that support or hinder one's knowledge sharing behavior in the virtual communities. However, still very few studies examined them from both personal and environmental perspectives. In order to explore the knowledge sharing behaviors within the virtual communities of professional societies, this study proposed a social cognitive theory (SCT)-based model that includes knowledge sharing self-efficacy and outcome expectations for personal influences, and multi-dimensional trusts for environmental influences. The proposed research model was then evaluated with structural equation modeling, and confirmatory factor analysis was also applied to test if the empirical data conform to the proposed model. © 2006 Elsevier Ltd. All rights reserved.","author":[{"dropping-particle":"","family":"Hsu","given":"Meng-Hsiang","non-dropping-particle":"","parse-names":false,"suffix":""},{"dropping-particle":"","family":"Ju","given":"Teresa L.","non-dropping-particle":"","parse-names":false,"suffix":""},{"dropping-particle":"","family":"Yen","given":"Chia-Hui","non-dropping-particle":"","parse-names":false,"suffix":""},{"dropping-particle":"","family":"Chang","given":"Chun-Ming","non-dropping-particle":"","parse-names":false,"suffix":""}],"container-title":"International Journal of Human-Computer Studies","id":"ITEM-1","issue":"2","issued":{"date-parts":[["2007","2"]]},"page":"153-169","title":"Knowledge sharing behavior in virtual communities: The relationship between trust, self-efficacy, and outcome expectations","type":"article-journal","volume":"65"},"uris":["http://www.mendeley.com/documents/?uuid=8d476c8e-b5e7-45c5-8ccf-a2aa5cefe45f"]}],"mendeley":{"formattedCitation":"(Hsu et al., 2007)","plainTextFormattedCitation":"(Hsu et al., 2007)","previouslyFormattedCitation":"(Hsu et al., 2007)"},"properties":{"noteIndex":0},"schema":"https://github.com/citation-style-language/schema/raw/master/csl-citation.json"}</w:instrText>
      </w:r>
      <w:r w:rsidR="00EE00BF" w:rsidRPr="002A7627">
        <w:rPr>
          <w:rFonts w:eastAsiaTheme="minorEastAsia"/>
        </w:rPr>
        <w:fldChar w:fldCharType="separate"/>
      </w:r>
      <w:r w:rsidR="00EE00BF" w:rsidRPr="002A7627">
        <w:rPr>
          <w:rFonts w:eastAsiaTheme="minorEastAsia"/>
          <w:noProof/>
        </w:rPr>
        <w:t>(Hsu et al., 2007)</w:t>
      </w:r>
      <w:r w:rsidR="00EE00BF" w:rsidRPr="002A7627">
        <w:rPr>
          <w:rFonts w:eastAsiaTheme="minorEastAsia"/>
        </w:rPr>
        <w:fldChar w:fldCharType="end"/>
      </w:r>
      <w:r w:rsidR="00EE00BF" w:rsidRPr="002A7627">
        <w:rPr>
          <w:rFonts w:eastAsiaTheme="minorEastAsia"/>
        </w:rPr>
        <w:t>. It can also include increased self-worth, reputation</w:t>
      </w:r>
      <w:r w:rsidR="00715CBC" w:rsidRPr="002A7627">
        <w:rPr>
          <w:rFonts w:eastAsiaTheme="minorEastAsia"/>
        </w:rPr>
        <w:t>,</w:t>
      </w:r>
      <w:r w:rsidR="00EE00BF" w:rsidRPr="002A7627">
        <w:rPr>
          <w:rFonts w:eastAsiaTheme="minorEastAsia"/>
        </w:rPr>
        <w:t xml:space="preserve"> or pride </w:t>
      </w:r>
      <w:r w:rsidR="00EE00BF" w:rsidRPr="002A7627">
        <w:rPr>
          <w:rFonts w:eastAsiaTheme="minorEastAsia"/>
        </w:rPr>
        <w:fldChar w:fldCharType="begin" w:fldLock="1"/>
      </w:r>
      <w:r w:rsidR="00E24626" w:rsidRPr="002A7627">
        <w:rPr>
          <w:rFonts w:eastAsiaTheme="minorEastAsia"/>
        </w:rPr>
        <w:instrText>ADDIN CSL_CITATION {"citationItems":[{"id":"ITEM-1","itemData":{"DOI":"10.2307/25148669","ISBN":"02767783","ISSN":"02767783","PMID":"16313366","abstract":"Individuals' knowledge does not transform easily into organizational knowledge even with the implementation of knowledge repositories. Rather, individuals tend to hoard knowledge for various reasons. The aim of this study is to develop an integrative understanding of the factors supporting or inhibiting individuals' knowledge-sharing inten tions. We employ as our theoretical framework the theory of reasoned action (TRA), and augment it with extrinsic motivators, social-psychological forces and organizational climate factors that are believed to influence individuals' knowledge sharing intentions.","author":[{"dropping-particle":"","family":"Bock","given":"Gee Woo","non-dropping-particle":"","parse-names":false,"suffix":""},{"dropping-particle":"","family":"Zmud","given":"Robert W.","non-dropping-particle":"","parse-names":false,"suffix":""},{"dropping-particle":"","family":"Kim","given":"Young-Gul","non-dropping-particle":"","parse-names":false,"suffix":""},{"dropping-particle":"","family":"Lee","given":"Jae Nam","non-dropping-particle":"","parse-names":false,"suffix":""}],"container-title":"MIS Quarterly","id":"ITEM-1","issue":"1","issued":{"date-parts":[["2005"]]},"page":"87","title":"Behavioral intention formation in knowledge sharing: Examining the roles of extrinsic motivators, social-psychological forces, and organizational climate","type":"article-journal","volume":"29"},"uris":["http://www.mendeley.com/documents/?uuid=8f6ee5d7-f628-46b6-be41-e7095a4c5fd7"]}],"mendeley":{"formattedCitation":"(Bock et al., 2005)","plainTextFormattedCitation":"(Bock et al., 2005)","previouslyFormattedCitation":"(Bock et al., 2005)"},"properties":{"noteIndex":0},"schema":"https://github.com/citation-style-language/schema/raw/master/csl-citation.json"}</w:instrText>
      </w:r>
      <w:r w:rsidR="00EE00BF" w:rsidRPr="002A7627">
        <w:rPr>
          <w:rFonts w:eastAsiaTheme="minorEastAsia"/>
        </w:rPr>
        <w:fldChar w:fldCharType="separate"/>
      </w:r>
      <w:r w:rsidR="00EE00BF" w:rsidRPr="002A7627">
        <w:rPr>
          <w:rFonts w:eastAsiaTheme="minorEastAsia"/>
          <w:noProof/>
        </w:rPr>
        <w:t>(Bock et al., 2005)</w:t>
      </w:r>
      <w:r w:rsidR="00EE00BF" w:rsidRPr="002A7627">
        <w:rPr>
          <w:rFonts w:eastAsiaTheme="minorEastAsia"/>
        </w:rPr>
        <w:fldChar w:fldCharType="end"/>
      </w:r>
      <w:r w:rsidR="00EE00BF" w:rsidRPr="002A7627">
        <w:rPr>
          <w:rFonts w:eastAsiaTheme="minorEastAsia"/>
        </w:rPr>
        <w:t>. HR practices to enhance motivation for knowledge sharing</w:t>
      </w:r>
      <w:r w:rsidR="00054373" w:rsidRPr="002A7627">
        <w:rPr>
          <w:rFonts w:eastAsiaTheme="minorEastAsia"/>
        </w:rPr>
        <w:t xml:space="preserve"> therefore </w:t>
      </w:r>
      <w:r w:rsidR="00EE00BF" w:rsidRPr="002A7627">
        <w:rPr>
          <w:rFonts w:eastAsiaTheme="minorEastAsia"/>
        </w:rPr>
        <w:t xml:space="preserve">include direct rewards for sharing information with others (extrinsic) and encouraging people to think about their contribution to the organization (intrinsic). A study in the </w:t>
      </w:r>
      <w:r w:rsidR="00EE00BF" w:rsidRPr="002A7627">
        <w:t xml:space="preserve">public sector in Taiwan found that the main motivations for knowledge sharing were </w:t>
      </w:r>
      <w:r w:rsidR="007413AA" w:rsidRPr="002A7627">
        <w:t xml:space="preserve">a </w:t>
      </w:r>
      <w:r w:rsidR="00EE00BF" w:rsidRPr="002A7627">
        <w:rPr>
          <w:rFonts w:eastAsiaTheme="minorEastAsia"/>
        </w:rPr>
        <w:t xml:space="preserve">commitment to the public interest, self-sacrifice, and attraction to policymaking </w:t>
      </w:r>
      <w:r w:rsidR="00EE00BF" w:rsidRPr="002A7627">
        <w:rPr>
          <w:rFonts w:eastAsiaTheme="minorEastAsia"/>
          <w:noProof/>
        </w:rPr>
        <w:t>(Chen &amp; Hsieh, 2015)</w:t>
      </w:r>
      <w:r w:rsidR="00EE00BF" w:rsidRPr="002A7627">
        <w:rPr>
          <w:rFonts w:eastAsiaTheme="minorEastAsia"/>
        </w:rPr>
        <w:t xml:space="preserve">. </w:t>
      </w:r>
    </w:p>
    <w:p w14:paraId="3DDC6D3C" w14:textId="020E53F1" w:rsidR="00EE00BF" w:rsidRPr="00EB0C76" w:rsidRDefault="00FD3710" w:rsidP="002C4A1A">
      <w:pPr>
        <w:pStyle w:val="AAAAAAA"/>
        <w:rPr>
          <w:color w:val="000000" w:themeColor="text1"/>
        </w:rPr>
      </w:pPr>
      <w:r>
        <w:t>A</w:t>
      </w:r>
      <w:r w:rsidR="00EE00BF" w:rsidRPr="002A7627">
        <w:t xml:space="preserve"> link between rewards and knowledge sharing </w:t>
      </w:r>
      <w:r>
        <w:t>has been</w:t>
      </w:r>
      <w:r w:rsidRPr="002A7627">
        <w:t xml:space="preserve"> </w:t>
      </w:r>
      <w:r w:rsidR="00EE00BF" w:rsidRPr="002A7627">
        <w:t xml:space="preserve">found </w:t>
      </w:r>
      <w:r w:rsidR="00EE00BF" w:rsidRPr="002A7627">
        <w:fldChar w:fldCharType="begin" w:fldLock="1"/>
      </w:r>
      <w:r w:rsidR="004C27D4" w:rsidRPr="002A7627">
        <w:instrText>ADDIN CSL_CITATION {"citationItems":[{"id":"ITEM-1","itemData":{"author":[{"dropping-particle":"","family":"Masa’deh","given":"R.","non-dropping-particle":"","parse-names":false,"suffix":""},{"dropping-particle":"","family":"Gharaibeh","given":"A.","non-dropping-particle":"","parse-names":false,"suffix":""},{"dropping-particle":"","family":"Maqableh","given":"M.","non-dropping-particle":"","parse-names":false,"suffix":""},{"dropping-particle":"","family":"Karajeh","given":"H.","non-dropping-particle":"","parse-names":false,"suffix":""}],"container-title":"Life Science Journal","id":"ITEM-1","issue":"4","issued":{"date-parts":[["2013"]]},"page":"2284-2296","title":"An empirical study of antecedents and outcomes of knowledge sharing capability in Jordanian telecommunication firms: A structural equation modeling approach","type":"article-journal","volume":"10"},"uris":["http://www.mendeley.com/documents/?uuid=75ac3ed7-5f68-4366-bd64-92ea49429445"]}],"mendeley":{"formattedCitation":"(Masa’deh, Gharaibeh, Maqableh, &amp; Karajeh, 2013)","plainTextFormattedCitation":"(Masa’deh, Gharaibeh, Maqableh, &amp; Karajeh, 2013)","previouslyFormattedCitation":"(Masa’deh, Gharaibeh, Maqableh, &amp; Karajeh, 2013)"},"properties":{"noteIndex":0},"schema":"https://github.com/citation-style-language/schema/raw/master/csl-citation.json"}</w:instrText>
      </w:r>
      <w:r w:rsidR="00EE00BF" w:rsidRPr="002A7627">
        <w:fldChar w:fldCharType="separate"/>
      </w:r>
      <w:r w:rsidR="00E24626" w:rsidRPr="002A7627">
        <w:rPr>
          <w:noProof/>
        </w:rPr>
        <w:t>(Masa’deh, Gharaibeh, Maqableh, &amp; Karajeh, 2013)</w:t>
      </w:r>
      <w:r w:rsidR="00EE00BF" w:rsidRPr="002A7627">
        <w:fldChar w:fldCharType="end"/>
      </w:r>
      <w:r w:rsidR="00EE00BF" w:rsidRPr="002A7627">
        <w:t xml:space="preserve">. For the reward system to support </w:t>
      </w:r>
      <w:r w:rsidR="00EE00BF" w:rsidRPr="00EB0C76">
        <w:rPr>
          <w:color w:val="000000" w:themeColor="text1"/>
        </w:rPr>
        <w:t xml:space="preserve">knowledge management initiatives, it must be designed to recognize the </w:t>
      </w:r>
      <w:r w:rsidR="0047799D" w:rsidRPr="00EB0C76">
        <w:rPr>
          <w:color w:val="000000" w:themeColor="text1"/>
        </w:rPr>
        <w:t>involvement</w:t>
      </w:r>
      <w:r w:rsidR="00EE00BF" w:rsidRPr="00EB0C76">
        <w:rPr>
          <w:color w:val="000000" w:themeColor="text1"/>
        </w:rPr>
        <w:t xml:space="preserve"> of employees who </w:t>
      </w:r>
      <w:r w:rsidRPr="00EB0C76">
        <w:rPr>
          <w:color w:val="000000" w:themeColor="text1"/>
        </w:rPr>
        <w:t xml:space="preserve">have </w:t>
      </w:r>
      <w:r w:rsidR="00EE00BF" w:rsidRPr="00EB0C76">
        <w:rPr>
          <w:color w:val="000000" w:themeColor="text1"/>
        </w:rPr>
        <w:t>create</w:t>
      </w:r>
      <w:r w:rsidR="0047799D" w:rsidRPr="00EB0C76">
        <w:rPr>
          <w:color w:val="000000" w:themeColor="text1"/>
        </w:rPr>
        <w:t>d</w:t>
      </w:r>
      <w:r w:rsidR="00EE00BF" w:rsidRPr="00EB0C76">
        <w:rPr>
          <w:color w:val="000000" w:themeColor="text1"/>
        </w:rPr>
        <w:t>, share</w:t>
      </w:r>
      <w:r w:rsidR="0047799D" w:rsidRPr="00EB0C76">
        <w:rPr>
          <w:color w:val="000000" w:themeColor="text1"/>
        </w:rPr>
        <w:t>d</w:t>
      </w:r>
      <w:r w:rsidR="00EE00BF" w:rsidRPr="00EB0C76">
        <w:rPr>
          <w:color w:val="000000" w:themeColor="text1"/>
        </w:rPr>
        <w:t>, and gain</w:t>
      </w:r>
      <w:r w:rsidR="0047799D" w:rsidRPr="00EB0C76">
        <w:rPr>
          <w:color w:val="000000" w:themeColor="text1"/>
        </w:rPr>
        <w:t>ed</w:t>
      </w:r>
      <w:r w:rsidR="00EE00BF" w:rsidRPr="00EB0C76">
        <w:rPr>
          <w:color w:val="000000" w:themeColor="text1"/>
        </w:rPr>
        <w:t xml:space="preserve"> knowledge </w:t>
      </w:r>
      <w:r w:rsidR="00EE00BF" w:rsidRPr="00EB0C76">
        <w:rPr>
          <w:color w:val="000000" w:themeColor="text1"/>
        </w:rPr>
        <w:fldChar w:fldCharType="begin"/>
      </w:r>
      <w:r w:rsidR="00EE00BF" w:rsidRPr="00EB0C76">
        <w:rPr>
          <w:color w:val="000000" w:themeColor="text1"/>
        </w:rPr>
        <w:instrText>ADDIN RW.CITE{{80 Bollinger, Audrey S 2001}}</w:instrText>
      </w:r>
      <w:r w:rsidR="00EE00BF" w:rsidRPr="00EB0C76">
        <w:rPr>
          <w:color w:val="000000" w:themeColor="text1"/>
        </w:rPr>
        <w:fldChar w:fldCharType="separate"/>
      </w:r>
      <w:r w:rsidR="00EE00BF" w:rsidRPr="00EB0C76">
        <w:rPr>
          <w:color w:val="000000" w:themeColor="text1"/>
        </w:rPr>
        <w:t>(Bollinger &amp; Smith, 2001)</w:t>
      </w:r>
      <w:r w:rsidR="00EE00BF" w:rsidRPr="00EB0C76">
        <w:rPr>
          <w:color w:val="000000" w:themeColor="text1"/>
        </w:rPr>
        <w:fldChar w:fldCharType="end"/>
      </w:r>
      <w:r w:rsidR="00EE00BF" w:rsidRPr="00EB0C76">
        <w:rPr>
          <w:color w:val="000000" w:themeColor="text1"/>
        </w:rPr>
        <w:t xml:space="preserve">. Correctly designed, organizational culture and rewards can both be positively associated with knowledge sharing and knowledge gaining </w:t>
      </w:r>
      <w:r w:rsidR="00EE00BF" w:rsidRPr="00EB0C76">
        <w:rPr>
          <w:color w:val="000000" w:themeColor="text1"/>
        </w:rPr>
        <w:fldChar w:fldCharType="begin" w:fldLock="1"/>
      </w:r>
      <w:r w:rsidR="00EE00BF" w:rsidRPr="00EB0C76">
        <w:rPr>
          <w:color w:val="000000" w:themeColor="text1"/>
        </w:rPr>
        <w:instrText>ADDIN CSL_CITATION {"citationItems":[{"id":"ITEM-1","itemData":{"DOI":"10.1108/JKM-05-2013-0183","ISBN":"13673270","ISSN":"1367-3270","PMID":"1508269088","abstract":"Purpose: The purpose of this paper is to clarify the role of organizational culture and rewards in stimulating the sharing and gaining of knowledge. Design/methodology/approach: Hierarchical regression using survey data. Findings: The analyses show that rewards and organizational culture of knowledge transfer influence the knowledge shared and knowledge gained. Moreover, culture and rewards interact to influence knowledge gained, but not knowledge shared which leads to the conclusion knowledge gaining can be induced by rewards, even in the absence of a supportive culture. Research limitations/implications: The findings are consistent with socio-technical theory (STT) and the discussion positions this perspective as useful for future knowledge management studies. This research confirms that knowledge sharing and gaining are uniquely different activities that respond differently to culture and rewards. Originality/value: This study combines the work of different fields by focusing on knowledge sharing and gaining in a single study. Through this process, a bridge between organizational learning theory and STT is revealed. © Emerald Group Publishing Limited.","author":[{"dropping-particle":"","family":"Durmusoglu","given":"Serdar","non-dropping-particle":"","parse-names":false,"suffix":""},{"dropping-particle":"","family":"Jacobs","given":"Mark","non-dropping-particle":"","parse-names":false,"suffix":""},{"dropping-particle":"","family":"Zamantili Nayir","given":"Dilek","non-dropping-particle":"","parse-names":false,"suffix":""},{"dropping-particle":"","family":"Khilji","given":"Shaista","non-dropping-particle":"","parse-names":false,"suffix":""},{"dropping-particle":"","family":"Wang","given":"Xiaoyun","non-dropping-particle":"","parse-names":false,"suffix":""}],"container-title":"Journal of Knowledge Management","id":"ITEM-1","issue":"1","issued":{"date-parts":[["2014"]]},"page":"19-37","title":"The quasi-moderating role of organizational culture in the relationship between rewards and knowledge shared and gained","type":"article-journal","volume":"18"},"uris":["http://www.mendeley.com/documents/?uuid=b55d7489-ecb9-4751-98d4-117d4fe3beff"]}],"mendeley":{"formattedCitation":"(Durmusoglu, Jacobs, Zamantili Nayir, Khilji, &amp; Wang, 2014)","plainTextFormattedCitation":"(Durmusoglu, Jacobs, Zamantili Nayir, Khilji, &amp; Wang, 2014)","previouslyFormattedCitation":"(Durmusoglu, Jacobs, Zamantili Nayir, Khilji, &amp; Wang, 2014)"},"properties":{"noteIndex":0},"schema":"https://github.com/citation-style-language/schema/raw/master/csl-citation.json"}</w:instrText>
      </w:r>
      <w:r w:rsidR="00EE00BF" w:rsidRPr="00EB0C76">
        <w:rPr>
          <w:color w:val="000000" w:themeColor="text1"/>
        </w:rPr>
        <w:fldChar w:fldCharType="separate"/>
      </w:r>
      <w:r w:rsidR="00EE00BF" w:rsidRPr="00EB0C76">
        <w:rPr>
          <w:noProof/>
          <w:color w:val="000000" w:themeColor="text1"/>
        </w:rPr>
        <w:t>(Durmusoglu, Jacobs, Zamantili Nayir, Khilji, &amp; Wang, 2014)</w:t>
      </w:r>
      <w:r w:rsidR="00EE00BF" w:rsidRPr="00EB0C76">
        <w:rPr>
          <w:color w:val="000000" w:themeColor="text1"/>
        </w:rPr>
        <w:fldChar w:fldCharType="end"/>
      </w:r>
      <w:r w:rsidR="00EE00BF" w:rsidRPr="00EB0C76">
        <w:rPr>
          <w:color w:val="000000" w:themeColor="text1"/>
        </w:rPr>
        <w:t xml:space="preserve">. However, studies in both developed </w:t>
      </w:r>
      <w:r w:rsidR="00E24626" w:rsidRPr="00EB0C76">
        <w:rPr>
          <w:noProof/>
          <w:color w:val="000000" w:themeColor="text1"/>
        </w:rPr>
        <w:t>(Chuang, Jackson, &amp; Jiang, 2016; Cruz, 2013)</w:t>
      </w:r>
      <w:r w:rsidR="00EE00BF" w:rsidRPr="00EB0C76">
        <w:rPr>
          <w:color w:val="000000" w:themeColor="text1"/>
        </w:rPr>
        <w:t xml:space="preserve"> and developing countries </w:t>
      </w:r>
      <w:r w:rsidR="00EE00BF" w:rsidRPr="00EB0C76">
        <w:rPr>
          <w:color w:val="000000" w:themeColor="text1"/>
        </w:rPr>
        <w:fldChar w:fldCharType="begin" w:fldLock="1"/>
      </w:r>
      <w:r w:rsidR="004C27D4" w:rsidRPr="00EB0C76">
        <w:rPr>
          <w:color w:val="000000" w:themeColor="text1"/>
        </w:rPr>
        <w:instrText>ADDIN CSL_CITATION {"citationItems":[{"id":"ITEM-1","itemData":{"DOI":"10.18848/1833-1882/cgp/v05i05/51708","ISSN":"1833-1882","abstract":"Knowledge sharing is playing an increasingly important role in the knowledge management domain and is a key to leveraging experiences and expertise from overseas. Today, electronics enterprises have to acquire the latest knowledge and know-how effectively and efficiently. With more than half of the world's electronics produced in southern China by family owned enterprises, there is a good reason for Chinese electronics enterprises to adapt effective knowledge sharing practices. Therefore, family ownership was hypothesized to be a critical factor infuencing knowledge sharing. In the past decade, a number of empirical studies have investigated the effect of family ownership in western countries. Incentive and Reward system was identifed as one of critical successful factors (CSFs) by these studies. This study investigated the direct effect of family ownership and the mediating effect of the incentive system on knowledge sharing in electronics enterprises in southern China. The research results indicate that 'family-owned' factor signifcantly infuences knowledge sharing. Incentive and reward system was found to be a signifcant mediator on the relationship between 'family-owned' factor and knowledge sharing. The outcome of the study provides insights into the influence of family ownership on knowledge sharing through either a direct effect or a mediating effect. The research provides some empirical evidence that may contribute to China maintaining its effective and efficient share of the world's electronics products. The study is unique in that it investigated the mediating effects of incentive system on the ownership and knowledge sharing relationship in southern China. © Common Ground, Sheung Chun Lai, Canon Tong, All Rights Reserved.","author":[{"dropping-particle":"","family":"Lai","given":"Sheung Chun","non-dropping-particle":"","parse-names":false,"suffix":""},{"dropping-particle":"","family":"Tong","given":"Canon","non-dropping-particle":"","parse-names":false,"suffix":""}],"container-title":"The International Journal of Interdisciplinary Social Sciences","id":"ITEM-1","issue":"5","issued":{"date-parts":[["2016"]]},"page":"399-422","title":"The mediating effect of incentive and reward system on the relationship between enterprise ownership and knowledge sharing in electronic industry in southern China","type":"article-journal","volume":"5"},"uris":["http://www.mendeley.com/documents/?uuid=5b7c041c-98b9-44d6-8931-49a292bac7f5"]},{"id":"ITEM-2","itemData":{"ISSN":"0128-7702","author":[{"dropping-particle":"","family":"Mansor","given":"Z D","non-dropping-particle":"","parse-names":false,"suffix":""},{"dropping-particle":"","family":"Saparudin","given":"I N","non-dropping-particle":"","parse-names":false,"suffix":""}],"container-title":"Pertanika Journal of Social Sciences and Humanities","id":"ITEM-2","issued":{"date-parts":[["2015"]]},"page":"101-116","title":"Motivational factors for academicians in private universities to participate in knowledge-sharing activities","type":"article-journal","volume":"23"},"uris":["http://www.mendeley.com/documents/?uuid=61a19ee7-f7bd-40ec-85e7-ab81366c14dc"]}],"mendeley":{"formattedCitation":"(Lai &amp; Tong, 2016; Mansor &amp; Saparudin, 2015)","manualFormatting":"(Lai &amp; Tong, 2010; Mansor &amp; Saparudin, 2015)","plainTextFormattedCitation":"(Lai &amp; Tong, 2016; Mansor &amp; Saparudin, 2015)","previouslyFormattedCitation":"(Lai &amp; Tong, 2016; Mansor &amp; Saparudin, 2015)"},"properties":{"noteIndex":0},"schema":"https://github.com/citation-style-language/schema/raw/master/csl-citation.json"}</w:instrText>
      </w:r>
      <w:r w:rsidR="00EE00BF" w:rsidRPr="00EB0C76">
        <w:rPr>
          <w:color w:val="000000" w:themeColor="text1"/>
        </w:rPr>
        <w:fldChar w:fldCharType="separate"/>
      </w:r>
      <w:r w:rsidR="00EE00BF" w:rsidRPr="00EB0C76">
        <w:rPr>
          <w:noProof/>
          <w:color w:val="000000" w:themeColor="text1"/>
        </w:rPr>
        <w:t>(Lai &amp; Tong, 2010; Mansor &amp; Saparudin, 2015)</w:t>
      </w:r>
      <w:r w:rsidR="00EE00BF" w:rsidRPr="00EB0C76">
        <w:rPr>
          <w:color w:val="000000" w:themeColor="text1"/>
        </w:rPr>
        <w:fldChar w:fldCharType="end"/>
      </w:r>
      <w:r w:rsidR="00EE00BF" w:rsidRPr="00EB0C76">
        <w:rPr>
          <w:color w:val="000000" w:themeColor="text1"/>
        </w:rPr>
        <w:t xml:space="preserve"> have reported both positive and negative </w:t>
      </w:r>
      <w:r w:rsidR="0047799D" w:rsidRPr="00EB0C76">
        <w:rPr>
          <w:color w:val="000000" w:themeColor="text1"/>
        </w:rPr>
        <w:t>impact</w:t>
      </w:r>
      <w:r w:rsidRPr="00EB0C76">
        <w:rPr>
          <w:color w:val="000000" w:themeColor="text1"/>
        </w:rPr>
        <w:t>s</w:t>
      </w:r>
      <w:r w:rsidR="0047799D" w:rsidRPr="00EB0C76">
        <w:rPr>
          <w:color w:val="000000" w:themeColor="text1"/>
        </w:rPr>
        <w:t xml:space="preserve"> </w:t>
      </w:r>
      <w:r w:rsidR="00EE00BF" w:rsidRPr="00EB0C76">
        <w:rPr>
          <w:color w:val="000000" w:themeColor="text1"/>
        </w:rPr>
        <w:t xml:space="preserve">of rewards on knowledge sharing. </w:t>
      </w:r>
    </w:p>
    <w:p w14:paraId="4C5772BC" w14:textId="768A64BF" w:rsidR="00EE00BF" w:rsidRPr="002A7627" w:rsidRDefault="00EE00BF" w:rsidP="00B4028A">
      <w:pPr>
        <w:pStyle w:val="AAAAAAA"/>
      </w:pPr>
      <w:r w:rsidRPr="00EB0C76">
        <w:rPr>
          <w:color w:val="000000" w:themeColor="text1"/>
        </w:rPr>
        <w:t xml:space="preserve">A recent study in China found a difference between incremental and decremental rewards </w:t>
      </w:r>
      <w:r w:rsidRPr="00EB0C76">
        <w:rPr>
          <w:color w:val="000000" w:themeColor="text1"/>
        </w:rPr>
        <w:fldChar w:fldCharType="begin"/>
      </w:r>
      <w:r w:rsidRPr="00EB0C76">
        <w:rPr>
          <w:color w:val="000000" w:themeColor="text1"/>
        </w:rPr>
        <w:instrText>ADDIN RW.CITE{{134 Liu, Haixin 2017}}</w:instrText>
      </w:r>
      <w:r w:rsidRPr="00EB0C76">
        <w:rPr>
          <w:color w:val="000000" w:themeColor="text1"/>
        </w:rPr>
        <w:fldChar w:fldCharType="separate"/>
      </w:r>
      <w:r w:rsidRPr="00EB0C76">
        <w:rPr>
          <w:color w:val="000000" w:themeColor="text1"/>
        </w:rPr>
        <w:t>(Liu &amp; Li, 2017)</w:t>
      </w:r>
      <w:r w:rsidRPr="00EB0C76">
        <w:rPr>
          <w:color w:val="000000" w:themeColor="text1"/>
        </w:rPr>
        <w:fldChar w:fldCharType="end"/>
      </w:r>
      <w:r w:rsidRPr="00EB0C76">
        <w:rPr>
          <w:color w:val="000000" w:themeColor="text1"/>
        </w:rPr>
        <w:t>. Incremental rewards allow an individual to receive a portion of the reward initially and the remaining reward when the task performance reache</w:t>
      </w:r>
      <w:r w:rsidR="00FD3710" w:rsidRPr="00EB0C76">
        <w:rPr>
          <w:color w:val="000000" w:themeColor="text1"/>
        </w:rPr>
        <w:t>s</w:t>
      </w:r>
      <w:r w:rsidRPr="00EB0C76">
        <w:rPr>
          <w:color w:val="000000" w:themeColor="text1"/>
        </w:rPr>
        <w:t xml:space="preserve"> a certain </w:t>
      </w:r>
      <w:r w:rsidR="0071314D" w:rsidRPr="00EB0C76">
        <w:rPr>
          <w:color w:val="000000" w:themeColor="text1"/>
        </w:rPr>
        <w:t>level</w:t>
      </w:r>
      <w:r w:rsidR="00FD3710" w:rsidRPr="00EB0C76">
        <w:rPr>
          <w:color w:val="000000" w:themeColor="text1"/>
        </w:rPr>
        <w:t>.</w:t>
      </w:r>
      <w:r w:rsidRPr="00EB0C76">
        <w:rPr>
          <w:color w:val="000000" w:themeColor="text1"/>
        </w:rPr>
        <w:t xml:space="preserve"> </w:t>
      </w:r>
      <w:r w:rsidR="00FD3710" w:rsidRPr="00EB0C76">
        <w:rPr>
          <w:color w:val="000000" w:themeColor="text1"/>
        </w:rPr>
        <w:t xml:space="preserve">Where </w:t>
      </w:r>
      <w:r w:rsidRPr="00EB0C76">
        <w:rPr>
          <w:color w:val="000000" w:themeColor="text1"/>
        </w:rPr>
        <w:t xml:space="preserve">the work </w:t>
      </w:r>
      <w:r w:rsidR="00FD3710" w:rsidRPr="00EB0C76">
        <w:rPr>
          <w:color w:val="000000" w:themeColor="text1"/>
        </w:rPr>
        <w:t xml:space="preserve">is </w:t>
      </w:r>
      <w:r w:rsidRPr="002A7627">
        <w:t xml:space="preserve">below standard, the reward </w:t>
      </w:r>
      <w:r w:rsidR="00FD3710">
        <w:t>can be</w:t>
      </w:r>
      <w:r w:rsidR="00FD3710" w:rsidRPr="002A7627">
        <w:t xml:space="preserve"> </w:t>
      </w:r>
      <w:r w:rsidRPr="002A7627">
        <w:t xml:space="preserve">deducted. When incremental rewards were given to individuals for certain achievements, it stimulated a focus on promotion and resulted in increasing the quantity of knowledge sharing but decreasing its quality. The opposite was seen for decremental rewards. When individuals realized that their rewards would be affected by the quality of the knowledge that was provided, they tended to avoid mistakes in the process of knowledge sharing </w:t>
      </w:r>
      <w:r w:rsidRPr="002A7627">
        <w:fldChar w:fldCharType="begin"/>
      </w:r>
      <w:r w:rsidRPr="002A7627">
        <w:instrText>ADDIN RW.CITE{{134 Liu, Haixin 2017}}</w:instrText>
      </w:r>
      <w:r w:rsidRPr="002A7627">
        <w:fldChar w:fldCharType="separate"/>
      </w:r>
      <w:r w:rsidRPr="002A7627">
        <w:t>(Liu &amp; Li, 2017)</w:t>
      </w:r>
      <w:r w:rsidRPr="002A7627">
        <w:fldChar w:fldCharType="end"/>
      </w:r>
      <w:r w:rsidRPr="002A7627">
        <w:t xml:space="preserve">. In a law enforcement organization, rewards were found to enhance knowledge sharing if they were mediated by knowledge sharing practices such as meetings and workshops </w:t>
      </w:r>
      <w:r w:rsidR="00F31753" w:rsidRPr="002A7627">
        <w:rPr>
          <w:noProof/>
        </w:rPr>
        <w:t>(Al Dari</w:t>
      </w:r>
      <w:r w:rsidR="00CE683B">
        <w:rPr>
          <w:noProof/>
        </w:rPr>
        <w:t xml:space="preserve"> et al.</w:t>
      </w:r>
      <w:r w:rsidR="00F31753" w:rsidRPr="002A7627">
        <w:rPr>
          <w:noProof/>
        </w:rPr>
        <w:t>, 2018)</w:t>
      </w:r>
      <w:r w:rsidRPr="002A7627">
        <w:t xml:space="preserve">. Social exchange theory suggests </w:t>
      </w:r>
      <w:r w:rsidRPr="00EB0C76">
        <w:rPr>
          <w:color w:val="000000" w:themeColor="text1"/>
        </w:rPr>
        <w:t xml:space="preserve">that </w:t>
      </w:r>
      <w:r w:rsidR="0047799D" w:rsidRPr="00EB0C76">
        <w:rPr>
          <w:color w:val="000000" w:themeColor="text1"/>
        </w:rPr>
        <w:t xml:space="preserve">individuals </w:t>
      </w:r>
      <w:r w:rsidRPr="002A7627">
        <w:t xml:space="preserve">will be intrinsically motivated to share knowledge regardless of the extrinsic reward </w:t>
      </w:r>
      <w:r w:rsidRPr="002A7627">
        <w:fldChar w:fldCharType="begin" w:fldLock="1"/>
      </w:r>
      <w:r w:rsidRPr="002A7627">
        <w:instrText>ADDIN CSL_CITATION {"citationItems":[{"id":"ITEM-1","itemData":{"DOI":"10.1002/hrm.21464","ISSN":"00904848","author":[{"dropping-particle":"","family":"Kuvaas","given":"Bård","non-dropping-particle":"","parse-names":false,"suffix":""},{"dropping-particle":"","family":"Buch","given":"Robert","non-dropping-particle":"","parse-names":false,"suffix":""},{"dropping-particle":"","family":"Dysvik","given":"Anders","non-dropping-particle":"","parse-names":false,"suffix":""}],"container-title":"Human Resource Management","id":"ITEM-1","issue":"2","issued":{"date-parts":[["2012","3"]]},"page":"167-187","title":"Perceived training intensity and knowledge sharing: Sharing for intrinsic and prosocial reasons","type":"article-journal","volume":"51"},"uris":["http://www.mendeley.com/documents/?uuid=f14bfd1c-e11e-4a76-b810-0d418d656618"]}],"mendeley":{"formattedCitation":"(Kuvaas et al., 2012)","plainTextFormattedCitation":"(Kuvaas et al., 2012)","previouslyFormattedCitation":"(Kuvaas et al., 2012)"},"properties":{"noteIndex":0},"schema":"https://github.com/citation-style-language/schema/raw/master/csl-citation.json"}</w:instrText>
      </w:r>
      <w:r w:rsidRPr="002A7627">
        <w:fldChar w:fldCharType="separate"/>
      </w:r>
      <w:r w:rsidRPr="002A7627">
        <w:rPr>
          <w:noProof/>
        </w:rPr>
        <w:t>(Kuvaas et al., 2012)</w:t>
      </w:r>
      <w:r w:rsidRPr="002A7627">
        <w:fldChar w:fldCharType="end"/>
      </w:r>
      <w:r w:rsidRPr="002A7627">
        <w:t>. However, use of high</w:t>
      </w:r>
      <w:r w:rsidR="002B2012" w:rsidRPr="002A7627">
        <w:t>-</w:t>
      </w:r>
      <w:r w:rsidRPr="002A7627">
        <w:t xml:space="preserve">performance work systems such as incentives, extensive training, internal career opportunities and job descriptions </w:t>
      </w:r>
      <w:r w:rsidRPr="002A7627">
        <w:fldChar w:fldCharType="begin" w:fldLock="1"/>
      </w:r>
      <w:r w:rsidR="00783FD6" w:rsidRPr="002A7627">
        <w:instrText>ADDIN CSL_CITATION {"citationItems":[{"id":"ITEM-1","itemData":{"DOI":"10.2307/3094834","ISSN":"00018392","abstract":"The reviewer contends that if our best organizational research comes from collaborative efforts between academic scholars and concerned practitioners, then this book represents a landmark study. The study represents the efforts of more than 4,000 employees and managers from 44 plants representing 3 industries. The study's goal was to determine whether high performance work systems can enhance firm competitive advantage by improving plant performance and reducing costs. Using a multilevel research design, the authors track the effects of specific practices, such as using production teams and employee participation in problem solving. (PsycINFO Database Record (c) 2012 APA, all rights reserved)","author":[{"dropping-particle":"","family":"Finlay","given":"William","non-dropping-particle":"","parse-names":false,"suffix":""},{"dropping-particle":"","family":"Appelbaum","given":"Eileen","non-dropping-particle":"","parse-names":false,"suffix":""},{"dropping-particle":"","family":"Bailey","given":"Thomas","non-dropping-particle":"","parse-names":false,"suffix":""},{"dropping-particle":"","family":"Berg","given":"Peter","non-dropping-particle":"","parse-names":false,"suffix":""},{"dropping-particle":"","family":"Kalleberg","given":"Arne L.","non-dropping-particle":"","parse-names":false,"suffix":""}],"container-title":"Administrative Science Quarterly","id":"ITEM-1","issue":"4","issued":{"date-parts":[["2001","12"]]},"page":"781","title":"Manufacturing advantage: Why high-performance work systems pay off","type":"article-journal","volume":"46"},"uris":["http://www.mendeley.com/documents/?uuid=8cb806dc-b612-4523-b287-516af7450844"]}],"mendeley":{"formattedCitation":"(Finlay, Appelbaum, Bailey, Berg, &amp; Kalleberg, 2001)","manualFormatting":"(Finlay, Appelbaum, Bailey, Berg, &amp; Kalleberg, 2006)","plainTextFormattedCitation":"(Finlay, Appelbaum, Bailey, Berg, &amp; Kalleberg, 2001)","previouslyFormattedCitation":"(Finlay, Appelbaum, Bailey, Berg, &amp; Kalleberg, 2001)"},"properties":{"noteIndex":0},"schema":"https://github.com/citation-style-language/schema/raw/master/csl-citation.json"}</w:instrText>
      </w:r>
      <w:r w:rsidRPr="002A7627">
        <w:fldChar w:fldCharType="separate"/>
      </w:r>
      <w:r w:rsidRPr="002A7627">
        <w:rPr>
          <w:noProof/>
        </w:rPr>
        <w:t xml:space="preserve">(Finlay, Appelbaum, Bailey, Berg, </w:t>
      </w:r>
      <w:r w:rsidR="00783FD6" w:rsidRPr="002A7627">
        <w:rPr>
          <w:noProof/>
        </w:rPr>
        <w:t>&amp;</w:t>
      </w:r>
      <w:r w:rsidRPr="002A7627">
        <w:rPr>
          <w:noProof/>
        </w:rPr>
        <w:t xml:space="preserve"> Kalleberg, 2006)</w:t>
      </w:r>
      <w:r w:rsidRPr="002A7627">
        <w:fldChar w:fldCharType="end"/>
      </w:r>
      <w:r w:rsidRPr="002A7627">
        <w:t xml:space="preserve"> may result in better organizational outcomes </w:t>
      </w:r>
      <w:r w:rsidRPr="002A7627">
        <w:rPr>
          <w:rFonts w:eastAsiaTheme="minorEastAsia"/>
        </w:rPr>
        <w:fldChar w:fldCharType="begin" w:fldLock="1"/>
      </w:r>
      <w:r w:rsidR="00E24626" w:rsidRPr="002A7627">
        <w:rPr>
          <w:rFonts w:eastAsiaTheme="minorEastAsia"/>
        </w:rPr>
        <w:instrText>ADDIN CSL_CITATION {"citationItems":[{"id":"ITEM-1","itemData":{"DOI":"10.1080/09585190802528433","ISBN":"0958519080252","ISSN":"0958-5192","PMID":"36243931","abstract":"From the perspective of the resource based view (RBV), although traditional sources of competitive advantage such as natural resources, technology, economies of scales, and so forth, create value, these resources are increasingly easy to imitate. As such, human capital and human resource management may be an especially important source of sustainable competitive advantage. Over the past few years, there has been growing research interest in the competitive advantage associated with high performance work systems (HPWS), a set of management policies and practices thought to endow employees with greater levels of skill, information, motivation and discretion. In this study, we describe a study examining the relative effectiveness of HPWS in the Irish context. Results suggest that greater use of high performance work systems is associated with positive human resource and organizational outcomes. Specifically, firms utilizing higher levels of HPWS tend to have lower rates of employee absenteeism and voluntary turnover along with higher labor productivity and lower labor costs.","author":[{"dropping-particle":"","family":"Guthrie","given":"James P.","non-dropping-particle":"","parse-names":false,"suffix":""},{"dropping-particle":"","family":"Flood","given":"Patrick C.","non-dropping-particle":"","parse-names":false,"suffix":""},{"dropping-particle":"","family":"Liu","given":"Wenchuan","non-dropping-particle":"","parse-names":false,"suffix":""},{"dropping-particle":"","family":"MacCurtain","given":"Sarah","non-dropping-particle":"","parse-names":false,"suffix":""}],"container-title":"The International Journal of Human Resource Management","id":"ITEM-1","issue":"1","issued":{"date-parts":[["2009"]]},"page":"112-125","title":"High performance work systems in Ireland: Human resource and organizational outcomes","type":"article-journal","volume":"20"},"uris":["http://www.mendeley.com/documents/?uuid=f70a2a69-2ca8-4831-aa9b-cff27a84a817"]}],"mendeley":{"formattedCitation":"(Guthrie, Flood, Liu, &amp; MacCurtain, 2009)","plainTextFormattedCitation":"(Guthrie, Flood, Liu, &amp; MacCurtain, 2009)","previouslyFormattedCitation":"(Guthrie, Flood, Liu, &amp; MacCurtain, 2009)"},"properties":{"noteIndex":0},"schema":"https://github.com/citation-style-language/schema/raw/master/csl-citation.json"}</w:instrText>
      </w:r>
      <w:r w:rsidRPr="002A7627">
        <w:rPr>
          <w:rFonts w:eastAsiaTheme="minorEastAsia"/>
        </w:rPr>
        <w:fldChar w:fldCharType="separate"/>
      </w:r>
      <w:r w:rsidRPr="002A7627">
        <w:rPr>
          <w:rFonts w:eastAsiaTheme="minorEastAsia"/>
          <w:noProof/>
        </w:rPr>
        <w:t>(Guthrie, Flood, Liu, &amp; MacCurtain, 2009)</w:t>
      </w:r>
      <w:r w:rsidRPr="002A7627">
        <w:rPr>
          <w:rFonts w:eastAsiaTheme="minorEastAsia"/>
        </w:rPr>
        <w:fldChar w:fldCharType="end"/>
      </w:r>
      <w:r w:rsidRPr="002A7627">
        <w:t xml:space="preserve">. </w:t>
      </w:r>
      <w:r w:rsidR="00135247" w:rsidRPr="002A7627">
        <w:rPr>
          <w:noProof/>
        </w:rPr>
        <w:t>Fischer, Malycha, and Schafmann</w:t>
      </w:r>
      <w:r w:rsidRPr="002A7627">
        <w:rPr>
          <w:noProof/>
        </w:rPr>
        <w:t xml:space="preserve"> (2019)</w:t>
      </w:r>
      <w:r w:rsidRPr="002A7627">
        <w:t xml:space="preserve"> examined intrinsic and extrinsic motivation based on self-determination theory and found </w:t>
      </w:r>
      <w:r w:rsidRPr="00EB0C76">
        <w:rPr>
          <w:color w:val="000000" w:themeColor="text1"/>
        </w:rPr>
        <w:t xml:space="preserve">that </w:t>
      </w:r>
      <w:r w:rsidR="0047799D" w:rsidRPr="00EB0C76">
        <w:rPr>
          <w:color w:val="000000" w:themeColor="text1"/>
        </w:rPr>
        <w:t xml:space="preserve">there is a positive relationship between </w:t>
      </w:r>
      <w:r w:rsidRPr="00EB0C76">
        <w:rPr>
          <w:color w:val="000000" w:themeColor="text1"/>
        </w:rPr>
        <w:t xml:space="preserve">intrinsic motivation </w:t>
      </w:r>
      <w:r w:rsidR="0047799D" w:rsidRPr="00EB0C76">
        <w:rPr>
          <w:color w:val="000000" w:themeColor="text1"/>
        </w:rPr>
        <w:t>and innovation</w:t>
      </w:r>
      <w:r w:rsidRPr="00EB0C76">
        <w:rPr>
          <w:color w:val="000000" w:themeColor="text1"/>
        </w:rPr>
        <w:t xml:space="preserve">, but </w:t>
      </w:r>
      <w:r w:rsidR="00FD3710" w:rsidRPr="00EB0C76">
        <w:rPr>
          <w:color w:val="000000" w:themeColor="text1"/>
        </w:rPr>
        <w:t xml:space="preserve">that </w:t>
      </w:r>
      <w:r w:rsidRPr="00EB0C76">
        <w:rPr>
          <w:color w:val="000000" w:themeColor="text1"/>
        </w:rPr>
        <w:t xml:space="preserve">extrinsic motivation did not moderate the relationship between intrinsic motivation and innovation among knowledge workers. </w:t>
      </w:r>
      <w:r w:rsidR="00B4028A" w:rsidRPr="00EB0C76">
        <w:rPr>
          <w:color w:val="000000" w:themeColor="text1"/>
        </w:rPr>
        <w:t>They</w:t>
      </w:r>
      <w:r w:rsidRPr="00EB0C76">
        <w:rPr>
          <w:color w:val="000000" w:themeColor="text1"/>
        </w:rPr>
        <w:t xml:space="preserve"> also investigated the effects of transactional (financial) and relational (non-financial) rewards, and like </w:t>
      </w:r>
      <w:r w:rsidR="006B227A" w:rsidRPr="00EB0C76">
        <w:rPr>
          <w:noProof/>
          <w:color w:val="000000" w:themeColor="text1"/>
        </w:rPr>
        <w:t xml:space="preserve">Deci </w:t>
      </w:r>
      <w:r w:rsidR="00783FD6" w:rsidRPr="00EB0C76">
        <w:rPr>
          <w:noProof/>
          <w:color w:val="000000" w:themeColor="text1"/>
        </w:rPr>
        <w:t>and</w:t>
      </w:r>
      <w:r w:rsidR="006B227A" w:rsidRPr="00EB0C76">
        <w:rPr>
          <w:noProof/>
          <w:color w:val="000000" w:themeColor="text1"/>
        </w:rPr>
        <w:t xml:space="preserve"> Ryan </w:t>
      </w:r>
      <w:r w:rsidR="00783FD6" w:rsidRPr="00EB0C76">
        <w:rPr>
          <w:noProof/>
          <w:color w:val="000000" w:themeColor="text1"/>
        </w:rPr>
        <w:t>(</w:t>
      </w:r>
      <w:r w:rsidR="006B227A" w:rsidRPr="00EB0C76">
        <w:rPr>
          <w:noProof/>
          <w:color w:val="000000" w:themeColor="text1"/>
        </w:rPr>
        <w:t>2014)</w:t>
      </w:r>
      <w:r w:rsidRPr="00EB0C76">
        <w:rPr>
          <w:color w:val="000000" w:themeColor="text1"/>
        </w:rPr>
        <w:t xml:space="preserve">, found that bonuses are effective when the workers expect them. Relational rewards had a positive impact on innovation if there </w:t>
      </w:r>
      <w:r w:rsidR="00FD3710" w:rsidRPr="00EB0C76">
        <w:rPr>
          <w:color w:val="000000" w:themeColor="text1"/>
        </w:rPr>
        <w:t xml:space="preserve">was </w:t>
      </w:r>
      <w:r w:rsidRPr="00EB0C76">
        <w:rPr>
          <w:color w:val="000000" w:themeColor="text1"/>
        </w:rPr>
        <w:t xml:space="preserve">supportive feedback and an </w:t>
      </w:r>
      <w:r w:rsidRPr="002A7627">
        <w:t>environment of recognition</w:t>
      </w:r>
      <w:r w:rsidR="00FD3710">
        <w:t>,</w:t>
      </w:r>
      <w:r w:rsidRPr="002A7627">
        <w:t xml:space="preserve"> and a negative impact in a controlled motivational environment </w:t>
      </w:r>
      <w:r w:rsidRPr="002A7627">
        <w:rPr>
          <w:noProof/>
        </w:rPr>
        <w:t>(Byron &amp; Khazanchi, 2012; Zhang, Gong, Zhang, &amp; Zhao, 2017)</w:t>
      </w:r>
      <w:r w:rsidRPr="002A7627">
        <w:t xml:space="preserve">. </w:t>
      </w:r>
    </w:p>
    <w:p w14:paraId="51D96B44" w14:textId="1C0FF28E" w:rsidR="00EE00BF" w:rsidRPr="002A7627" w:rsidRDefault="00EE00BF" w:rsidP="009D0000">
      <w:pPr>
        <w:pStyle w:val="AAAAAAA"/>
        <w:rPr>
          <w:rFonts w:asciiTheme="majorBidi" w:eastAsia="Times New Roman" w:hAnsiTheme="majorBidi" w:cstheme="majorBidi"/>
        </w:rPr>
      </w:pPr>
      <w:r w:rsidRPr="002A7627">
        <w:rPr>
          <w:rFonts w:asciiTheme="majorBidi" w:eastAsia="Times New Roman" w:hAnsiTheme="majorBidi" w:cstheme="majorBidi"/>
        </w:rPr>
        <w:t>Other studies (</w:t>
      </w:r>
      <w:r w:rsidR="009D0000" w:rsidRPr="002A7627">
        <w:rPr>
          <w:noProof/>
        </w:rPr>
        <w:t>Titi Amayah</w:t>
      </w:r>
      <w:r w:rsidRPr="002A7627">
        <w:rPr>
          <w:rFonts w:asciiTheme="majorBidi" w:eastAsia="Times New Roman" w:hAnsiTheme="majorBidi" w:cstheme="majorBidi"/>
        </w:rPr>
        <w:t xml:space="preserve">, 2013; Bock &amp; Kim, </w:t>
      </w:r>
      <w:r w:rsidR="009D0000" w:rsidRPr="002A7627">
        <w:rPr>
          <w:rFonts w:asciiTheme="majorBidi" w:eastAsia="Times New Roman" w:hAnsiTheme="majorBidi" w:cstheme="majorBidi"/>
        </w:rPr>
        <w:t>200</w:t>
      </w:r>
      <w:r w:rsidR="009D0000">
        <w:rPr>
          <w:rFonts w:asciiTheme="majorBidi" w:eastAsia="Times New Roman" w:hAnsiTheme="majorBidi" w:cstheme="majorBidi"/>
        </w:rPr>
        <w:t>5</w:t>
      </w:r>
      <w:r w:rsidRPr="002A7627">
        <w:rPr>
          <w:rFonts w:asciiTheme="majorBidi" w:eastAsia="Times New Roman" w:hAnsiTheme="majorBidi" w:cstheme="majorBidi"/>
        </w:rPr>
        <w:t xml:space="preserve">; Gagné, 2009), however, found that rewards had a </w:t>
      </w:r>
      <w:r w:rsidRPr="00EB0C76">
        <w:rPr>
          <w:rFonts w:asciiTheme="majorBidi" w:eastAsia="Times New Roman" w:hAnsiTheme="majorBidi" w:cstheme="majorBidi"/>
          <w:color w:val="000000" w:themeColor="text1"/>
        </w:rPr>
        <w:t xml:space="preserve">negative </w:t>
      </w:r>
      <w:r w:rsidR="0047799D" w:rsidRPr="00EB0C76">
        <w:rPr>
          <w:rFonts w:asciiTheme="majorBidi" w:eastAsia="Times New Roman" w:hAnsiTheme="majorBidi" w:cstheme="majorBidi"/>
          <w:color w:val="000000" w:themeColor="text1"/>
        </w:rPr>
        <w:t xml:space="preserve">impact </w:t>
      </w:r>
      <w:r w:rsidRPr="00EB0C76">
        <w:rPr>
          <w:rFonts w:asciiTheme="majorBidi" w:eastAsia="Times New Roman" w:hAnsiTheme="majorBidi" w:cstheme="majorBidi"/>
          <w:color w:val="000000" w:themeColor="text1"/>
        </w:rPr>
        <w:t xml:space="preserve">on knowledge sharing. In particular, extrinsic rewards might have a negative </w:t>
      </w:r>
      <w:r w:rsidR="0047799D" w:rsidRPr="00EB0C76">
        <w:rPr>
          <w:rFonts w:asciiTheme="majorBidi" w:eastAsia="Times New Roman" w:hAnsiTheme="majorBidi" w:cstheme="majorBidi"/>
          <w:color w:val="000000" w:themeColor="text1"/>
        </w:rPr>
        <w:t xml:space="preserve">impact </w:t>
      </w:r>
      <w:r w:rsidRPr="00EB0C76">
        <w:rPr>
          <w:rFonts w:asciiTheme="majorBidi" w:eastAsia="Times New Roman" w:hAnsiTheme="majorBidi" w:cstheme="majorBidi"/>
          <w:color w:val="000000" w:themeColor="text1"/>
        </w:rPr>
        <w:t xml:space="preserve">on </w:t>
      </w:r>
      <w:r w:rsidRPr="002A7627">
        <w:rPr>
          <w:rFonts w:asciiTheme="majorBidi" w:eastAsia="Times New Roman" w:hAnsiTheme="majorBidi" w:cstheme="majorBidi"/>
        </w:rPr>
        <w:t>employees who are already highly intrinsically motivated</w:t>
      </w:r>
      <w:r w:rsidR="00EB2AD5">
        <w:rPr>
          <w:rFonts w:asciiTheme="majorBidi" w:eastAsia="Times New Roman" w:hAnsiTheme="majorBidi" w:cstheme="majorBidi"/>
        </w:rPr>
        <w:t>.</w:t>
      </w:r>
      <w:r w:rsidRPr="002A7627">
        <w:rPr>
          <w:rFonts w:asciiTheme="majorBidi" w:eastAsia="Times New Roman" w:hAnsiTheme="majorBidi" w:cstheme="majorBidi"/>
        </w:rPr>
        <w:t xml:space="preserve"> Intrinsic rewards such as </w:t>
      </w:r>
      <w:r w:rsidRPr="002A7627">
        <w:rPr>
          <w:rFonts w:eastAsia="Times New Roman"/>
        </w:rPr>
        <w:t xml:space="preserve">knowledge self-efficacy and enjoyment from helping others are more effective than extrinsic rewards such as reciprocal benefits and organizational rewards </w:t>
      </w:r>
      <w:r w:rsidRPr="002A7627">
        <w:rPr>
          <w:rFonts w:eastAsia="Times New Roman"/>
        </w:rPr>
        <w:fldChar w:fldCharType="begin"/>
      </w:r>
      <w:r w:rsidRPr="002A7627">
        <w:rPr>
          <w:rFonts w:eastAsia="Times New Roman"/>
        </w:rPr>
        <w:instrText>ADDIN RW.CITE{{204 Mansor, Zuraina 2015}}</w:instrText>
      </w:r>
      <w:r w:rsidRPr="002A7627">
        <w:rPr>
          <w:rFonts w:eastAsia="Times New Roman"/>
        </w:rPr>
        <w:fldChar w:fldCharType="separate"/>
      </w:r>
      <w:r w:rsidRPr="002A7627">
        <w:rPr>
          <w:rFonts w:eastAsia="Times New Roman"/>
        </w:rPr>
        <w:t>(Mansor &amp; Saparudin, 2015)</w:t>
      </w:r>
      <w:r w:rsidRPr="002A7627">
        <w:rPr>
          <w:rFonts w:eastAsia="Times New Roman"/>
        </w:rPr>
        <w:fldChar w:fldCharType="end"/>
      </w:r>
      <w:r w:rsidRPr="002A7627">
        <w:rPr>
          <w:rFonts w:eastAsia="Times New Roman"/>
        </w:rPr>
        <w:t xml:space="preserve">. </w:t>
      </w:r>
      <w:r w:rsidR="006B227A" w:rsidRPr="002A7627">
        <w:rPr>
          <w:rFonts w:eastAsia="Times New Roman"/>
        </w:rPr>
        <w:fldChar w:fldCharType="begin" w:fldLock="1"/>
      </w:r>
      <w:r w:rsidR="00783FD6" w:rsidRPr="002A7627">
        <w:rPr>
          <w:rFonts w:eastAsia="Times New Roman"/>
        </w:rPr>
        <w:instrText>ADDIN CSL_CITATION {"citationItems":[{"id":"ITEM-1","itemData":{"DOI":"10.1108/01425450810835428","ISBN":"1056921081092","ISSN":"0142-5455","abstract":"Purpose – The purpose of this paper is to advance the understanding of the relationship between work motivation and organisational performance in the extended public sector, by testing empirically common elements of existing theoretical frameworks. Design/methodology/approach – A unique questionnaire-based survey was carried out in three organisations/corporations where the state is the major stakeholder. Of the 1,000 questionnaires distributed, 454 were returned and included in the analysis. By using descriptive statistics the provision of extrinsic rewards and intrinsic motives in the extended public sector of Greece was identified. Findings – Findings show that the public sector in Greece is more likely to provide extrinsic than intrinsic rewards, however the latter seems to be related to better organisational outcomes. Both individuals’ ability and demographic characteristics are core determinants of employees’ motivational preferences. Research limitations/implications – The core of this paper tests empirically the relationship between intrinsic and extrinsic motivation with performance in a country of EU “periphery”. Caution should be exercised in generalizing the results for more advanced economies. Practical implications – Organisational leaders and public management in Greece need to conceive work motivation as a complex system and recognize the importance of intrinsic incentives. Originality/value – There is currently limited evidence on the impact of motivation in the performance of the extended public sector. This research is one of the very few that has been made from the perspective of employees. To the extent of the author’s knowledge, this is the first time that a detailed public sector level analysis on work motivation has been presented for Greece.","author":[{"dropping-particle":"","family":"Manolopoulos","given":"Dimitris","non-dropping-particle":"","parse-names":false,"suffix":""}],"container-title":"Employee Relations","id":"ITEM-1","issue":"1","issued":{"date-parts":[["2007"]]},"page":"63-85","title":"An evaluation of employee motivation in the extended public sector in Greece","type":"article-journal","volume":"30"},"uris":["http://www.mendeley.com/documents/?uuid=8527833f-e6f9-44d0-bc74-e09e3636201a"]}],"mendeley":{"formattedCitation":"(Manolopoulos, 2007)","manualFormatting":"Manolopoulos (2007","plainTextFormattedCitation":"(Manolopoulos, 2007)","previouslyFormattedCitation":"(Manolopoulos, 2007)"},"properties":{"noteIndex":0},"schema":"https://github.com/citation-style-language/schema/raw/master/csl-citation.json"}</w:instrText>
      </w:r>
      <w:r w:rsidR="006B227A" w:rsidRPr="002A7627">
        <w:rPr>
          <w:rFonts w:eastAsia="Times New Roman"/>
        </w:rPr>
        <w:fldChar w:fldCharType="separate"/>
      </w:r>
      <w:r w:rsidR="006B227A" w:rsidRPr="002A7627">
        <w:rPr>
          <w:rFonts w:eastAsia="Times New Roman"/>
          <w:noProof/>
        </w:rPr>
        <w:t xml:space="preserve">Manolopoulos </w:t>
      </w:r>
      <w:r w:rsidR="00783FD6" w:rsidRPr="002A7627">
        <w:rPr>
          <w:rFonts w:eastAsia="Times New Roman"/>
          <w:noProof/>
        </w:rPr>
        <w:t>(</w:t>
      </w:r>
      <w:r w:rsidR="006B227A" w:rsidRPr="002A7627">
        <w:rPr>
          <w:rFonts w:eastAsia="Times New Roman"/>
          <w:noProof/>
        </w:rPr>
        <w:t>2007</w:t>
      </w:r>
      <w:r w:rsidR="006B227A" w:rsidRPr="002A7627">
        <w:rPr>
          <w:rFonts w:eastAsia="Times New Roman"/>
        </w:rPr>
        <w:fldChar w:fldCharType="end"/>
      </w:r>
      <w:r w:rsidR="00783FD6" w:rsidRPr="002A7627">
        <w:rPr>
          <w:rFonts w:eastAsia="Times New Roman"/>
        </w:rPr>
        <w:t>)</w:t>
      </w:r>
      <w:r w:rsidRPr="002A7627">
        <w:rPr>
          <w:rFonts w:eastAsia="Times New Roman"/>
        </w:rPr>
        <w:t xml:space="preserve"> found intrinsic motivation leads to better organizational outcomes than extrinsic motivation in the public sector</w:t>
      </w:r>
      <w:r w:rsidRPr="002A7627">
        <w:rPr>
          <w:rFonts w:asciiTheme="majorBidi" w:eastAsia="Times New Roman" w:hAnsiTheme="majorBidi" w:cstheme="majorBidi"/>
        </w:rPr>
        <w:t xml:space="preserve">. These results, therefore, were not entirely consistent, and other results showed a similar pattern. For example, </w:t>
      </w:r>
      <w:r w:rsidR="006B227A" w:rsidRPr="002A7627">
        <w:rPr>
          <w:rFonts w:asciiTheme="majorBidi" w:eastAsia="Times New Roman" w:hAnsiTheme="majorBidi" w:cstheme="majorBidi"/>
          <w:noProof/>
        </w:rPr>
        <w:t xml:space="preserve">Donate </w:t>
      </w:r>
      <w:r w:rsidR="00783FD6" w:rsidRPr="002A7627">
        <w:rPr>
          <w:rFonts w:asciiTheme="majorBidi" w:eastAsia="Times New Roman" w:hAnsiTheme="majorBidi" w:cstheme="majorBidi"/>
          <w:noProof/>
        </w:rPr>
        <w:t>and</w:t>
      </w:r>
      <w:r w:rsidR="006B227A" w:rsidRPr="002A7627">
        <w:rPr>
          <w:rFonts w:asciiTheme="majorBidi" w:eastAsia="Times New Roman" w:hAnsiTheme="majorBidi" w:cstheme="majorBidi"/>
          <w:noProof/>
        </w:rPr>
        <w:t xml:space="preserve"> Guadamillas </w:t>
      </w:r>
      <w:r w:rsidR="009C4BB0" w:rsidRPr="002A7627">
        <w:rPr>
          <w:rFonts w:asciiTheme="majorBidi" w:eastAsia="Times New Roman" w:hAnsiTheme="majorBidi" w:cstheme="majorBidi"/>
          <w:noProof/>
        </w:rPr>
        <w:t>(</w:t>
      </w:r>
      <w:r w:rsidR="006B227A" w:rsidRPr="002A7627">
        <w:rPr>
          <w:rFonts w:asciiTheme="majorBidi" w:eastAsia="Times New Roman" w:hAnsiTheme="majorBidi" w:cstheme="majorBidi"/>
          <w:noProof/>
        </w:rPr>
        <w:t>2015</w:t>
      </w:r>
      <w:r w:rsidR="009C4BB0" w:rsidRPr="002A7627">
        <w:rPr>
          <w:rFonts w:asciiTheme="majorBidi" w:eastAsia="Times New Roman" w:hAnsiTheme="majorBidi" w:cstheme="majorBidi"/>
        </w:rPr>
        <w:t>)</w:t>
      </w:r>
      <w:r w:rsidRPr="002A7627">
        <w:rPr>
          <w:rFonts w:asciiTheme="majorBidi" w:eastAsia="Times New Roman" w:hAnsiTheme="majorBidi" w:cstheme="majorBidi"/>
        </w:rPr>
        <w:t xml:space="preserve"> found that rewards did not affect knowledge sharing, but </w:t>
      </w:r>
      <w:r w:rsidR="00E24626" w:rsidRPr="002A7627">
        <w:rPr>
          <w:rFonts w:asciiTheme="majorBidi" w:eastAsia="Times New Roman" w:hAnsiTheme="majorBidi" w:cstheme="majorBidi"/>
          <w:noProof/>
        </w:rPr>
        <w:t xml:space="preserve">Fullwood, Rowley, </w:t>
      </w:r>
      <w:r w:rsidR="00783FD6" w:rsidRPr="002A7627">
        <w:rPr>
          <w:rFonts w:asciiTheme="majorBidi" w:eastAsia="Times New Roman" w:hAnsiTheme="majorBidi" w:cstheme="majorBidi"/>
          <w:noProof/>
        </w:rPr>
        <w:t>and</w:t>
      </w:r>
      <w:r w:rsidR="00E24626" w:rsidRPr="002A7627">
        <w:rPr>
          <w:rFonts w:asciiTheme="majorBidi" w:eastAsia="Times New Roman" w:hAnsiTheme="majorBidi" w:cstheme="majorBidi"/>
          <w:noProof/>
        </w:rPr>
        <w:t xml:space="preserve"> Delbridge</w:t>
      </w:r>
      <w:r w:rsidR="00783FD6" w:rsidRPr="002A7627">
        <w:rPr>
          <w:rFonts w:asciiTheme="majorBidi" w:eastAsia="Times New Roman" w:hAnsiTheme="majorBidi" w:cstheme="majorBidi"/>
          <w:noProof/>
        </w:rPr>
        <w:t xml:space="preserve"> (</w:t>
      </w:r>
      <w:r w:rsidR="00E24626" w:rsidRPr="002A7627">
        <w:rPr>
          <w:rFonts w:asciiTheme="majorBidi" w:eastAsia="Times New Roman" w:hAnsiTheme="majorBidi" w:cstheme="majorBidi"/>
          <w:noProof/>
        </w:rPr>
        <w:t>2013</w:t>
      </w:r>
      <w:r w:rsidR="00783FD6" w:rsidRPr="002A7627">
        <w:rPr>
          <w:rFonts w:asciiTheme="majorBidi" w:eastAsia="Times New Roman" w:hAnsiTheme="majorBidi" w:cstheme="majorBidi"/>
          <w:noProof/>
        </w:rPr>
        <w:t>), and</w:t>
      </w:r>
      <w:r w:rsidR="00E24626" w:rsidRPr="002A7627">
        <w:rPr>
          <w:rFonts w:asciiTheme="majorBidi" w:eastAsia="Times New Roman" w:hAnsiTheme="majorBidi" w:cstheme="majorBidi"/>
          <w:noProof/>
        </w:rPr>
        <w:t xml:space="preserve"> Wang, Clay, </w:t>
      </w:r>
      <w:r w:rsidR="00783FD6" w:rsidRPr="002A7627">
        <w:rPr>
          <w:rFonts w:asciiTheme="majorBidi" w:eastAsia="Times New Roman" w:hAnsiTheme="majorBidi" w:cstheme="majorBidi"/>
          <w:noProof/>
        </w:rPr>
        <w:t>and</w:t>
      </w:r>
      <w:r w:rsidR="00E24626" w:rsidRPr="002A7627">
        <w:rPr>
          <w:rFonts w:asciiTheme="majorBidi" w:eastAsia="Times New Roman" w:hAnsiTheme="majorBidi" w:cstheme="majorBidi"/>
          <w:noProof/>
        </w:rPr>
        <w:t xml:space="preserve"> Forsgren </w:t>
      </w:r>
      <w:r w:rsidR="00783FD6" w:rsidRPr="002A7627">
        <w:rPr>
          <w:rFonts w:asciiTheme="majorBidi" w:eastAsia="Times New Roman" w:hAnsiTheme="majorBidi" w:cstheme="majorBidi"/>
          <w:noProof/>
        </w:rPr>
        <w:t>(</w:t>
      </w:r>
      <w:r w:rsidR="00E24626" w:rsidRPr="002A7627">
        <w:rPr>
          <w:rFonts w:asciiTheme="majorBidi" w:eastAsia="Times New Roman" w:hAnsiTheme="majorBidi" w:cstheme="majorBidi"/>
          <w:noProof/>
        </w:rPr>
        <w:t>2015)</w:t>
      </w:r>
      <w:r w:rsidRPr="002A7627">
        <w:rPr>
          <w:rFonts w:asciiTheme="majorBidi" w:eastAsia="Times New Roman" w:hAnsiTheme="majorBidi" w:cstheme="majorBidi"/>
        </w:rPr>
        <w:t xml:space="preserve"> found a significant positive relationship between the reward system and knowledge sharing. </w:t>
      </w:r>
      <w:r w:rsidR="00D97E4C" w:rsidRPr="002A7627">
        <w:t xml:space="preserve">Gillet, Huart, Colombat, and Fouquereau </w:t>
      </w:r>
      <w:r w:rsidRPr="002A7627">
        <w:rPr>
          <w:rFonts w:asciiTheme="majorBidi" w:eastAsia="Times New Roman" w:hAnsiTheme="majorBidi" w:cstheme="majorBidi"/>
        </w:rPr>
        <w:fldChar w:fldCharType="begin" w:fldLock="1"/>
      </w:r>
      <w:r w:rsidR="00E24626" w:rsidRPr="002A7627">
        <w:rPr>
          <w:rFonts w:asciiTheme="majorBidi" w:eastAsia="Times New Roman" w:hAnsiTheme="majorBidi" w:cstheme="majorBidi"/>
        </w:rPr>
        <w:instrText>ADDIN CSL_CITATION {"citationItems":[{"id":"ITEM-1","itemData":{"DOI":"10.1037/a0030066","ISSN":"1939-1323","abstract":"Using self-determination theory (Deci &amp; Ryan, 2008) as a guiding theoretical framework, the present research tested a model that incorporates (a) police officers' perceptions of organizational and supervisor support (i.e., the degree to which organizations or supervisors value the police officers' contributions and care about their well-being); (b) global, domain specific (i.e., work) and situational (i.e., in a training session) motivation; and (c) engagement. The hypothesized model was tested using two samples of police officers. In Study 1, results revealed that work motivation was significantly related to both intraindividual (global motivation) and contextual (organizational support) factors. In addition, self-determined work motivation was positively related to work engagement. Using a cross-sectional design with multiple measurement points, these results were replicated at the situational level (i.e., in a training session) in Study 2. The present results underscore the importance of understanding the mechanisms through which work engagement can be enhanced. Specifically, to improve police officers' work engagement, organizations and supervisors must attempt to promote the police officers' self-determined motivation. © 2012 American Psychological Association.","author":[{"dropping-particle":"","family":"Gillet","given":"Nicolas","non-dropping-particle":"","parse-names":false,"suffix":""},{"dropping-particle":"","family":"Huart","given":"Isabelle","non-dropping-particle":"","parse-names":false,"suffix":""},{"dropping-particle":"","family":"Colombat","given":"Philippe","non-dropping-particle":"","parse-names":false,"suffix":""},{"dropping-particle":"","family":"Fouquereau","given":"Evelyne","non-dropping-particle":"","parse-names":false,"suffix":""}],"container-title":"Professional Psychology: Research and Practice","id":"ITEM-1","issue":"1","issued":{"date-parts":[["2013"]]},"page":"46-55","title":"Perceived organizational support, motivation, and engagement among police officers.","type":"article-journal","volume":"44"},"suppress-author":1,"uris":["http://www.mendeley.com/documents/?uuid=da68a41d-afa3-440d-bbd2-fd1a49531d88"]}],"mendeley":{"formattedCitation":"(2013)","plainTextFormattedCitation":"(2013)","previouslyFormattedCitation":"(2013)"},"properties":{"noteIndex":0},"schema":"https://github.com/citation-style-language/schema/raw/master/csl-citation.json"}</w:instrText>
      </w:r>
      <w:r w:rsidRPr="002A7627">
        <w:rPr>
          <w:rFonts w:asciiTheme="majorBidi" w:eastAsia="Times New Roman" w:hAnsiTheme="majorBidi" w:cstheme="majorBidi"/>
        </w:rPr>
        <w:fldChar w:fldCharType="separate"/>
      </w:r>
      <w:r w:rsidRPr="002A7627">
        <w:rPr>
          <w:rFonts w:asciiTheme="majorBidi" w:eastAsia="Times New Roman" w:hAnsiTheme="majorBidi" w:cstheme="majorBidi"/>
          <w:noProof/>
        </w:rPr>
        <w:t>(2013)</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xml:space="preserve"> found that self-determination was crucial among police officers. Liao </w:t>
      </w:r>
      <w:r w:rsidR="00783FD6" w:rsidRPr="002A7627">
        <w:rPr>
          <w:rFonts w:asciiTheme="majorBidi" w:eastAsia="Times New Roman" w:hAnsiTheme="majorBidi" w:cstheme="majorBidi"/>
        </w:rPr>
        <w:t xml:space="preserve">et al. </w:t>
      </w:r>
      <w:r w:rsidRPr="002A7627">
        <w:rPr>
          <w:rFonts w:asciiTheme="majorBidi" w:eastAsia="Times New Roman" w:hAnsiTheme="majorBidi" w:cstheme="majorBidi"/>
        </w:rPr>
        <w:fldChar w:fldCharType="begin" w:fldLock="1"/>
      </w:r>
      <w:r w:rsidR="0083144E" w:rsidRPr="002A7627">
        <w:rPr>
          <w:rFonts w:asciiTheme="majorBidi" w:eastAsia="Times New Roman" w:hAnsiTheme="majorBidi" w:cstheme="majorBidi"/>
        </w:rPr>
        <w:instrText>ADDIN CSL_CITATION {"citationItems":[{"id":"ITEM-1","itemData":{"DOI":"10.1108/OIR-11-2012-0196","ISBN":"0520140184","ISSN":"1468-4527","abstract":"Exploring knowledge sharing in virtual communities","author":[{"dropping-particle":"","family":"Liao","given":"Chechen","non-dropping-particle":"","parse-names":false,"suffix":""},{"dropping-particle":"","family":"To","given":"Pui-Lai","non-dropping-particle":"","parse-names":false,"suffix":""},{"dropping-particle":"","family":"Hsu","given":"Fang-Chih","non-dropping-particle":"","parse-names":false,"suffix":""}],"container-title":"Online Information Review","id":"ITEM-1","issue":"6","issued":{"date-parts":[["2013","11","25"]]},"page":"891-909","title":"Exploring knowledge sharing in virtual communities","type":"article-journal","volume":"37"},"uris":["http://www.mendeley.com/documents/?uuid=b1a80981-e7de-4af7-8b91-f10931d0634d"]}],"mendeley":{"formattedCitation":"(Liao et al., 2013)","manualFormatting":"(2013)","plainTextFormattedCitation":"(Liao et al., 2013)","previouslyFormattedCitation":"(Liao et al., 2013)"},"properties":{"noteIndex":0},"schema":"https://github.com/citation-style-language/schema/raw/master/csl-citation.json"}</w:instrText>
      </w:r>
      <w:r w:rsidRPr="002A7627">
        <w:rPr>
          <w:rFonts w:asciiTheme="majorBidi" w:eastAsia="Times New Roman" w:hAnsiTheme="majorBidi" w:cstheme="majorBidi"/>
        </w:rPr>
        <w:fldChar w:fldCharType="separate"/>
      </w:r>
      <w:r w:rsidR="00E24626" w:rsidRPr="002A7627">
        <w:rPr>
          <w:rFonts w:asciiTheme="majorBidi" w:eastAsia="Times New Roman" w:hAnsiTheme="majorBidi" w:cstheme="majorBidi"/>
          <w:noProof/>
        </w:rPr>
        <w:t>(2013)</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xml:space="preserve"> found that intrinsic and extrinsic motivation affected employee intention to share knowledge in a virtual community </w:t>
      </w:r>
      <w:r w:rsidRPr="00EB0C76">
        <w:rPr>
          <w:rFonts w:asciiTheme="majorBidi" w:eastAsia="Times New Roman" w:hAnsiTheme="majorBidi" w:cstheme="majorBidi"/>
          <w:color w:val="000000" w:themeColor="text1"/>
        </w:rPr>
        <w:t xml:space="preserve">and that extrinsic motivation was </w:t>
      </w:r>
      <w:r w:rsidR="00FD3710" w:rsidRPr="00EB0C76">
        <w:rPr>
          <w:rFonts w:asciiTheme="majorBidi" w:eastAsia="Times New Roman" w:hAnsiTheme="majorBidi" w:cstheme="majorBidi"/>
          <w:color w:val="000000" w:themeColor="text1"/>
        </w:rPr>
        <w:t xml:space="preserve">most closely associated with both the act and the quality of </w:t>
      </w:r>
      <w:r w:rsidRPr="00EB0C76">
        <w:rPr>
          <w:rFonts w:asciiTheme="majorBidi" w:eastAsia="Times New Roman" w:hAnsiTheme="majorBidi" w:cstheme="majorBidi"/>
          <w:color w:val="000000" w:themeColor="text1"/>
        </w:rPr>
        <w:t xml:space="preserve">knowledge sharing. </w:t>
      </w:r>
      <w:r w:rsidRPr="002A7627">
        <w:rPr>
          <w:rFonts w:asciiTheme="majorBidi" w:eastAsia="Times New Roman" w:hAnsiTheme="majorBidi" w:cstheme="majorBidi"/>
        </w:rPr>
        <w:t xml:space="preserve">Intrinsic motivation, however, did not contribute to variance in knowledge sharing. Another study found that motivation-enhancing HR practices had no relationship with innovative work behavior </w:t>
      </w:r>
      <w:r w:rsidRPr="002A7627">
        <w:rPr>
          <w:rFonts w:asciiTheme="majorBidi" w:eastAsia="Times New Roman" w:hAnsiTheme="majorBidi" w:cstheme="majorBidi"/>
        </w:rPr>
        <w:fldChar w:fldCharType="begin" w:fldLock="1"/>
      </w:r>
      <w:r w:rsidR="0083144E" w:rsidRPr="002A7627">
        <w:rPr>
          <w:rFonts w:asciiTheme="majorBidi" w:eastAsia="Times New Roman" w:hAnsiTheme="majorBidi" w:cstheme="majorBidi"/>
        </w:rPr>
        <w:instrText>ADDIN CSL_CITATION {"citationItems":[{"id":"ITEM-1","itemData":{"DOI":"10.1108/PR-11-2012-0199","ISSN":"0048-3486","abstract":"Managing innovative work behavior: the role of human resource practices","author":[{"dropping-particle":"","family":"Prieto","given":"Isabel M.","non-dropping-particle":"","parse-names":false,"suffix":""},{"dropping-particle":"","family":"Pérez Santana","given":"M. Pilar","non-dropping-particle":"","parse-names":false,"suffix":""}],"container-title":"Personnel Review","id":"ITEM-1","issue":"2","issued":{"date-parts":[["2014","3","4"]]},"page":"184-208","title":"Managing innovative work behavior: The role of human resource practices","type":"article-journal","volume":"43"},"uris":["http://www.mendeley.com/documents/?uuid=265d630f-95f6-4be7-80bb-39aee686a127"]}],"mendeley":{"formattedCitation":"(Prieto &amp; Pérez Santana, 2014)","plainTextFormattedCitation":"(Prieto &amp; Pérez Santana, 2014)","previouslyFormattedCitation":"(Prieto &amp; Pérez Santana, 2014)"},"properties":{"noteIndex":0},"schema":"https://github.com/citation-style-language/schema/raw/master/csl-citation.json"}</w:instrText>
      </w:r>
      <w:r w:rsidRPr="002A7627">
        <w:rPr>
          <w:rFonts w:asciiTheme="majorBidi" w:eastAsia="Times New Roman" w:hAnsiTheme="majorBidi" w:cstheme="majorBidi"/>
        </w:rPr>
        <w:fldChar w:fldCharType="separate"/>
      </w:r>
      <w:r w:rsidR="00783FD6" w:rsidRPr="002A7627">
        <w:rPr>
          <w:rFonts w:asciiTheme="majorBidi" w:eastAsia="Times New Roman" w:hAnsiTheme="majorBidi" w:cstheme="majorBidi"/>
          <w:noProof/>
        </w:rPr>
        <w:t>(Prieto &amp; Pérez Santana, 2014)</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xml:space="preserve">. </w:t>
      </w:r>
    </w:p>
    <w:p w14:paraId="1CF4E8CC" w14:textId="674511B7" w:rsidR="00EE00BF" w:rsidRPr="002A7627" w:rsidRDefault="00FD3710" w:rsidP="002C4A1A">
      <w:pPr>
        <w:pStyle w:val="AAAAAAA"/>
        <w:rPr>
          <w:rFonts w:asciiTheme="majorBidi" w:eastAsia="Times New Roman" w:hAnsiTheme="majorBidi" w:cstheme="majorBidi"/>
        </w:rPr>
      </w:pPr>
      <w:r>
        <w:rPr>
          <w:rFonts w:asciiTheme="majorBidi" w:eastAsia="Times New Roman" w:hAnsiTheme="majorBidi" w:cstheme="majorBidi"/>
        </w:rPr>
        <w:t>A</w:t>
      </w:r>
      <w:r w:rsidR="00EE00BF" w:rsidRPr="002A7627">
        <w:rPr>
          <w:rFonts w:asciiTheme="majorBidi" w:eastAsia="Times New Roman" w:hAnsiTheme="majorBidi" w:cstheme="majorBidi"/>
        </w:rPr>
        <w:t xml:space="preserve"> few studies </w:t>
      </w:r>
      <w:r>
        <w:rPr>
          <w:rFonts w:asciiTheme="majorBidi" w:eastAsia="Times New Roman" w:hAnsiTheme="majorBidi" w:cstheme="majorBidi"/>
        </w:rPr>
        <w:t>have</w:t>
      </w:r>
      <w:r w:rsidRPr="002A7627">
        <w:rPr>
          <w:rFonts w:asciiTheme="majorBidi" w:eastAsia="Times New Roman" w:hAnsiTheme="majorBidi" w:cstheme="majorBidi"/>
        </w:rPr>
        <w:t xml:space="preserve"> </w:t>
      </w:r>
      <w:r w:rsidR="00EE00BF" w:rsidRPr="002A7627">
        <w:rPr>
          <w:rFonts w:asciiTheme="majorBidi" w:eastAsia="Times New Roman" w:hAnsiTheme="majorBidi" w:cstheme="majorBidi"/>
        </w:rPr>
        <w:t xml:space="preserve">investigated the relationship between motivation-enhancing HR practices and knowledge management benefits in the UAE </w:t>
      </w:r>
      <w:r w:rsidR="00F31753" w:rsidRPr="002A7627">
        <w:rPr>
          <w:rFonts w:asciiTheme="majorBidi" w:eastAsia="Times New Roman" w:hAnsiTheme="majorBidi" w:cstheme="majorBidi"/>
          <w:noProof/>
        </w:rPr>
        <w:t>(Al Dari et al., 2018; Manolopoulos, 2007)</w:t>
      </w:r>
      <w:r w:rsidR="00EE00BF" w:rsidRPr="002A7627">
        <w:rPr>
          <w:rFonts w:asciiTheme="majorBidi" w:eastAsia="Times New Roman" w:hAnsiTheme="majorBidi" w:cstheme="majorBidi"/>
        </w:rPr>
        <w:t xml:space="preserve">. They found that rewards had an impact on knowledge management if the relationship was mediated by knowledge sharing practices. In other words, giving employees rewards resulted in promoting knowledge sharing if the leaders maintained </w:t>
      </w:r>
      <w:r w:rsidR="00EE00BF" w:rsidRPr="002A7627">
        <w:rPr>
          <w:rFonts w:eastAsia="Times New Roman"/>
        </w:rPr>
        <w:t>several forms</w:t>
      </w:r>
      <w:r w:rsidR="00EE00BF" w:rsidRPr="002A7627">
        <w:rPr>
          <w:rFonts w:asciiTheme="majorBidi" w:eastAsia="Times New Roman" w:hAnsiTheme="majorBidi" w:cstheme="majorBidi"/>
        </w:rPr>
        <w:t xml:space="preserve"> of knowledge sharing tools</w:t>
      </w:r>
      <w:r w:rsidR="00EE00BF" w:rsidRPr="002A7627">
        <w:rPr>
          <w:rFonts w:eastAsia="Times New Roman"/>
        </w:rPr>
        <w:t xml:space="preserve">, such as informal knowledge workshops, face-to-face interaction, site visits, brainstorming, coaching and mentoring </w:t>
      </w:r>
      <w:r w:rsidR="00EE00BF" w:rsidRPr="002A7627">
        <w:rPr>
          <w:rFonts w:eastAsia="Times New Roman"/>
        </w:rPr>
        <w:fldChar w:fldCharType="begin"/>
      </w:r>
      <w:r w:rsidR="00EE00BF" w:rsidRPr="002A7627">
        <w:rPr>
          <w:rFonts w:eastAsia="Times New Roman"/>
        </w:rPr>
        <w:instrText>ADDIN RW.CITE{{201 Graham, Brian 2006}}</w:instrText>
      </w:r>
      <w:r w:rsidR="00EE00BF" w:rsidRPr="002A7627">
        <w:rPr>
          <w:rFonts w:eastAsia="Times New Roman"/>
        </w:rPr>
        <w:fldChar w:fldCharType="separate"/>
      </w:r>
      <w:r w:rsidR="00EE00BF" w:rsidRPr="002A7627">
        <w:rPr>
          <w:rFonts w:eastAsia="Times New Roman"/>
        </w:rPr>
        <w:t>(</w:t>
      </w:r>
      <w:r w:rsidR="00E40628">
        <w:t>Maier and Hadrich</w:t>
      </w:r>
      <w:r w:rsidR="00EE00BF" w:rsidRPr="002A7627">
        <w:rPr>
          <w:rFonts w:eastAsia="Times New Roman"/>
        </w:rPr>
        <w:t xml:space="preserve">, </w:t>
      </w:r>
      <w:r w:rsidR="00E40628" w:rsidRPr="002A7627">
        <w:rPr>
          <w:rFonts w:eastAsia="Times New Roman"/>
        </w:rPr>
        <w:t>20</w:t>
      </w:r>
      <w:r w:rsidR="00E40628">
        <w:rPr>
          <w:rFonts w:eastAsia="Times New Roman"/>
        </w:rPr>
        <w:t>11</w:t>
      </w:r>
      <w:r w:rsidR="00EE00BF" w:rsidRPr="002A7627">
        <w:rPr>
          <w:rFonts w:eastAsia="Times New Roman"/>
        </w:rPr>
        <w:t>)</w:t>
      </w:r>
      <w:r w:rsidR="00EE00BF" w:rsidRPr="002A7627">
        <w:rPr>
          <w:rFonts w:eastAsia="Times New Roman"/>
        </w:rPr>
        <w:fldChar w:fldCharType="end"/>
      </w:r>
      <w:r w:rsidR="00EE00BF" w:rsidRPr="002A7627">
        <w:rPr>
          <w:rFonts w:eastAsia="Times New Roman"/>
        </w:rPr>
        <w:t xml:space="preserve">. </w:t>
      </w:r>
      <w:r w:rsidR="00EE00BF" w:rsidRPr="002A7627">
        <w:rPr>
          <w:rFonts w:asciiTheme="majorBidi" w:eastAsia="Times New Roman" w:hAnsiTheme="majorBidi" w:cstheme="majorBidi"/>
        </w:rPr>
        <w:t xml:space="preserve">Another study in private and public organizations in the UAE assessed the impact of utilitarian and hedonic motivations (rewards) on the use of social networks to share knowledge, and their effects on employee productivity </w:t>
      </w:r>
      <w:r w:rsidR="00EE00BF" w:rsidRPr="002A7627">
        <w:rPr>
          <w:rFonts w:asciiTheme="majorBidi" w:eastAsia="Times New Roman" w:hAnsiTheme="majorBidi" w:cstheme="majorBidi"/>
        </w:rPr>
        <w:fldChar w:fldCharType="begin" w:fldLock="1"/>
      </w:r>
      <w:r w:rsidR="00E24626" w:rsidRPr="002A7627">
        <w:rPr>
          <w:rFonts w:asciiTheme="majorBidi" w:eastAsia="Times New Roman" w:hAnsiTheme="majorBidi" w:cstheme="majorBidi"/>
        </w:rPr>
        <w:instrText>ADDIN CSL_CITATION {"citationItems":[{"id":"ITEM-1","itemData":{"DOI":"10.1108/JKM-05-2017-0188","ISSN":"1367-3270","abstract":"© 2018, Emerald Publishing Limited. Purpose: This study aims to predict the impact of utilitarian and hedonic motivations on using enterprise social network (ESN) systems for sharing internal and external knowledge, as well as their effects on employee productivity. Design/methodology/approach: Responses of 115 ESN system users from a wide spectrum of firms have been validated and analysed by means of structural equation modelling using partial least squires (PLS-SEM) method. Findings: The results indicate that using ESN to share internal and external knowledge has a positive significant impact on employee productivity. Surprisingly, empirical analysis reveals that using ESN tends to be significantly influenced by hedonic rather than utilitarian motivations. Originality/value: The study is an early empirical attempt that examines using ESN for knowledge sharing, emphasizing its upstream motivational influence and downstream business impact. It also offers managers and ESN vendors a frame of reference to maximize the use of ESN in the workplace to boost employees’ productivity within various contexts.","author":[{"dropping-particle":"","family":"Aboelmaged","given":"Mohamed Gamal","non-dropping-particle":"","parse-names":false,"suffix":""}],"container-title":"Journal of Knowledge Management","id":"ITEM-1","issue":"2","issued":{"date-parts":[["2018","3","12"]]},"page":"362-383","title":"Knowledge sharing through enterprise social network (ESN) systems: Motivational drivers and their impact on employees’ productivity","type":"article-journal","volume":"22"},"uris":["http://www.mendeley.com/documents/?uuid=f3219ce3-154d-404e-a858-80cfaf7030ee"]}],"mendeley":{"formattedCitation":"(Aboelmaged, 2018)","plainTextFormattedCitation":"(Aboelmaged, 2018)","previouslyFormattedCitation":"(Aboelmaged, 2018)"},"properties":{"noteIndex":0},"schema":"https://github.com/citation-style-language/schema/raw/master/csl-citation.json"}</w:instrText>
      </w:r>
      <w:r w:rsidR="00EE00BF" w:rsidRPr="002A7627">
        <w:rPr>
          <w:rFonts w:asciiTheme="majorBidi" w:eastAsia="Times New Roman" w:hAnsiTheme="majorBidi" w:cstheme="majorBidi"/>
        </w:rPr>
        <w:fldChar w:fldCharType="separate"/>
      </w:r>
      <w:r w:rsidR="00EE00BF" w:rsidRPr="002A7627">
        <w:rPr>
          <w:rFonts w:asciiTheme="majorBidi" w:eastAsia="Times New Roman" w:hAnsiTheme="majorBidi" w:cstheme="majorBidi"/>
          <w:noProof/>
        </w:rPr>
        <w:t>(Aboelmaged, 2018)</w:t>
      </w:r>
      <w:r w:rsidR="00EE00BF" w:rsidRPr="002A7627">
        <w:rPr>
          <w:rFonts w:asciiTheme="majorBidi" w:eastAsia="Times New Roman" w:hAnsiTheme="majorBidi" w:cstheme="majorBidi"/>
        </w:rPr>
        <w:fldChar w:fldCharType="end"/>
      </w:r>
      <w:r w:rsidR="00EE00BF" w:rsidRPr="002A7627">
        <w:rPr>
          <w:rFonts w:asciiTheme="majorBidi" w:eastAsia="Times New Roman" w:hAnsiTheme="majorBidi" w:cstheme="majorBidi"/>
        </w:rPr>
        <w:t xml:space="preserve">. That study found that using social networking was largely driven by hedonic rather than utilitarian motives. </w:t>
      </w:r>
    </w:p>
    <w:p w14:paraId="7A938C75" w14:textId="644DFFF8" w:rsidR="00EE00BF" w:rsidRPr="00F12187" w:rsidRDefault="00EE00BF" w:rsidP="002C4A1A">
      <w:pPr>
        <w:pStyle w:val="AAAAAAA"/>
        <w:rPr>
          <w:rFonts w:asciiTheme="majorBidi" w:eastAsia="Times New Roman" w:hAnsiTheme="majorBidi" w:cstheme="majorBidi"/>
          <w:color w:val="000000" w:themeColor="text1"/>
        </w:rPr>
      </w:pPr>
      <w:r w:rsidRPr="00F12187">
        <w:rPr>
          <w:rFonts w:asciiTheme="majorBidi" w:eastAsia="Times New Roman" w:hAnsiTheme="majorBidi" w:cstheme="majorBidi"/>
          <w:color w:val="000000" w:themeColor="text1"/>
        </w:rPr>
        <w:t xml:space="preserve">Overall, it is </w:t>
      </w:r>
      <w:r w:rsidR="0047799D" w:rsidRPr="00F12187">
        <w:rPr>
          <w:rFonts w:asciiTheme="majorBidi" w:eastAsia="Times New Roman" w:hAnsiTheme="majorBidi" w:cstheme="majorBidi"/>
          <w:color w:val="000000" w:themeColor="text1"/>
        </w:rPr>
        <w:t xml:space="preserve">hard </w:t>
      </w:r>
      <w:r w:rsidRPr="00F12187">
        <w:rPr>
          <w:rFonts w:asciiTheme="majorBidi" w:eastAsia="Times New Roman" w:hAnsiTheme="majorBidi" w:cstheme="majorBidi"/>
          <w:color w:val="000000" w:themeColor="text1"/>
        </w:rPr>
        <w:t xml:space="preserve">to </w:t>
      </w:r>
      <w:r w:rsidR="00FD3710" w:rsidRPr="00F12187">
        <w:rPr>
          <w:rFonts w:asciiTheme="majorBidi" w:eastAsia="Times New Roman" w:hAnsiTheme="majorBidi" w:cstheme="majorBidi"/>
          <w:color w:val="000000" w:themeColor="text1"/>
        </w:rPr>
        <w:t>draw</w:t>
      </w:r>
      <w:r w:rsidR="0047799D" w:rsidRPr="00F12187">
        <w:rPr>
          <w:rFonts w:asciiTheme="majorBidi" w:eastAsia="Times New Roman" w:hAnsiTheme="majorBidi" w:cstheme="majorBidi"/>
          <w:color w:val="000000" w:themeColor="text1"/>
        </w:rPr>
        <w:t xml:space="preserve"> </w:t>
      </w:r>
      <w:r w:rsidRPr="00F12187">
        <w:rPr>
          <w:rFonts w:asciiTheme="majorBidi" w:eastAsia="Times New Roman" w:hAnsiTheme="majorBidi" w:cstheme="majorBidi"/>
          <w:color w:val="000000" w:themeColor="text1"/>
        </w:rPr>
        <w:t xml:space="preserve">strong conclusions about the likely effect of motivation-enhancing HR practices on knowledge management benefits, because most previous studies have </w:t>
      </w:r>
      <w:r w:rsidR="0047799D" w:rsidRPr="00F12187">
        <w:rPr>
          <w:rFonts w:asciiTheme="majorBidi" w:eastAsia="Times New Roman" w:hAnsiTheme="majorBidi" w:cstheme="majorBidi"/>
          <w:color w:val="000000" w:themeColor="text1"/>
        </w:rPr>
        <w:t xml:space="preserve">concentrated </w:t>
      </w:r>
      <w:r w:rsidRPr="00F12187">
        <w:rPr>
          <w:rFonts w:asciiTheme="majorBidi" w:eastAsia="Times New Roman" w:hAnsiTheme="majorBidi" w:cstheme="majorBidi"/>
          <w:color w:val="000000" w:themeColor="text1"/>
        </w:rPr>
        <w:t>on knowledge sharing behavior and very few on knowledge management benefits. The varying findings on the effect of motivation on knowledge sharing also make it hard to estimate effects. However, this study hypothesized:</w:t>
      </w:r>
      <w:r w:rsidRPr="00F12187">
        <w:rPr>
          <w:rFonts w:asciiTheme="majorBidi" w:eastAsia="Times New Roman" w:hAnsiTheme="majorBidi" w:cstheme="majorBidi"/>
          <w:color w:val="000000" w:themeColor="text1"/>
        </w:rPr>
        <w:fldChar w:fldCharType="begin"/>
      </w:r>
      <w:r w:rsidRPr="00F12187">
        <w:rPr>
          <w:rFonts w:asciiTheme="majorBidi" w:eastAsia="Times New Roman" w:hAnsiTheme="majorBidi" w:cstheme="majorBidi"/>
          <w:color w:val="000000" w:themeColor="text1"/>
        </w:rPr>
        <w:instrText>ADDIN RW.CITE{{206 Fullwood, Roger 2013}}</w:instrText>
      </w:r>
      <w:r w:rsidRPr="00F12187">
        <w:rPr>
          <w:rFonts w:asciiTheme="majorBidi" w:eastAsia="Times New Roman" w:hAnsiTheme="majorBidi" w:cstheme="majorBidi"/>
          <w:color w:val="000000" w:themeColor="text1"/>
        </w:rPr>
        <w:fldChar w:fldCharType="end"/>
      </w:r>
    </w:p>
    <w:p w14:paraId="0980671C" w14:textId="0C28CCD9" w:rsidR="00EE00BF" w:rsidRPr="002A7627" w:rsidRDefault="00EE00BF" w:rsidP="002C4A1A">
      <w:pPr>
        <w:widowControl/>
        <w:autoSpaceDE/>
        <w:autoSpaceDN/>
        <w:adjustRightInd/>
        <w:spacing w:after="160" w:line="480" w:lineRule="auto"/>
        <w:ind w:left="720"/>
        <w:rPr>
          <w:rFonts w:asciiTheme="majorBidi" w:eastAsia="Times New Roman" w:hAnsiTheme="majorBidi" w:cstheme="majorBidi"/>
          <w:szCs w:val="24"/>
        </w:rPr>
      </w:pPr>
      <w:r w:rsidRPr="002A7627">
        <w:rPr>
          <w:rFonts w:asciiTheme="majorBidi" w:eastAsia="Times New Roman" w:hAnsiTheme="majorBidi" w:cstheme="majorBidi"/>
          <w:b/>
          <w:bCs/>
          <w:szCs w:val="24"/>
        </w:rPr>
        <w:t xml:space="preserve">H2: </w:t>
      </w:r>
      <w:r w:rsidRPr="002A7627">
        <w:rPr>
          <w:rFonts w:asciiTheme="majorBidi" w:eastAsia="Times New Roman" w:hAnsiTheme="majorBidi" w:cstheme="majorBidi"/>
          <w:bCs/>
          <w:szCs w:val="24"/>
        </w:rPr>
        <w:t>E</w:t>
      </w:r>
      <w:r w:rsidRPr="002A7627">
        <w:rPr>
          <w:rFonts w:asciiTheme="majorBidi" w:eastAsia="Times New Roman" w:hAnsiTheme="majorBidi" w:cstheme="majorBidi"/>
          <w:szCs w:val="24"/>
        </w:rPr>
        <w:t>xtrinsic</w:t>
      </w:r>
      <w:r w:rsidR="00480D89" w:rsidRPr="002A7627">
        <w:rPr>
          <w:rFonts w:asciiTheme="majorBidi" w:eastAsia="Times New Roman" w:hAnsiTheme="majorBidi" w:cstheme="majorBidi"/>
          <w:szCs w:val="24"/>
        </w:rPr>
        <w:t xml:space="preserve"> </w:t>
      </w:r>
      <w:r w:rsidRPr="002A7627">
        <w:rPr>
          <w:rFonts w:asciiTheme="majorBidi" w:eastAsia="Times New Roman" w:hAnsiTheme="majorBidi" w:cstheme="majorBidi"/>
          <w:szCs w:val="24"/>
        </w:rPr>
        <w:t>motivation</w:t>
      </w:r>
      <w:r w:rsidR="00480D89" w:rsidRPr="002A7627">
        <w:rPr>
          <w:rFonts w:asciiTheme="majorBidi" w:eastAsia="Times New Roman" w:hAnsiTheme="majorBidi" w:cstheme="majorBidi"/>
          <w:szCs w:val="24"/>
        </w:rPr>
        <w:t>-</w:t>
      </w:r>
      <w:r w:rsidRPr="002A7627">
        <w:rPr>
          <w:rFonts w:asciiTheme="majorBidi" w:eastAsia="Times New Roman" w:hAnsiTheme="majorBidi" w:cstheme="majorBidi"/>
          <w:szCs w:val="24"/>
        </w:rPr>
        <w:t xml:space="preserve">enhancing HR practices have a direct positive relationship with knowledge management benefits. </w:t>
      </w:r>
    </w:p>
    <w:p w14:paraId="1E00415D" w14:textId="0D46C5B9" w:rsidR="00EE00BF" w:rsidRPr="002A7627" w:rsidRDefault="00EE00BF" w:rsidP="002C4A1A">
      <w:pPr>
        <w:widowControl/>
        <w:spacing w:line="480" w:lineRule="auto"/>
        <w:ind w:left="720"/>
        <w:rPr>
          <w:rFonts w:asciiTheme="majorBidi" w:eastAsia="Times New Roman" w:hAnsiTheme="majorBidi" w:cstheme="majorBidi"/>
          <w:szCs w:val="24"/>
        </w:rPr>
      </w:pPr>
      <w:r w:rsidRPr="002A7627">
        <w:rPr>
          <w:rFonts w:asciiTheme="majorBidi" w:eastAsia="Times New Roman" w:hAnsiTheme="majorBidi" w:cstheme="majorBidi"/>
          <w:b/>
          <w:bCs/>
          <w:szCs w:val="24"/>
        </w:rPr>
        <w:t>H3:</w:t>
      </w:r>
      <w:r w:rsidRPr="002A7627">
        <w:rPr>
          <w:rFonts w:asciiTheme="majorBidi" w:eastAsia="Times New Roman" w:hAnsiTheme="majorBidi" w:cstheme="majorBidi"/>
          <w:szCs w:val="24"/>
        </w:rPr>
        <w:t xml:space="preserve"> Intrinsic</w:t>
      </w:r>
      <w:r w:rsidR="00480D89" w:rsidRPr="002A7627">
        <w:rPr>
          <w:rFonts w:asciiTheme="majorBidi" w:eastAsia="Times New Roman" w:hAnsiTheme="majorBidi" w:cstheme="majorBidi"/>
          <w:szCs w:val="24"/>
        </w:rPr>
        <w:t xml:space="preserve"> </w:t>
      </w:r>
      <w:r w:rsidRPr="002A7627">
        <w:rPr>
          <w:rFonts w:asciiTheme="majorBidi" w:eastAsia="Times New Roman" w:hAnsiTheme="majorBidi" w:cstheme="majorBidi"/>
          <w:szCs w:val="24"/>
        </w:rPr>
        <w:t>motivation</w:t>
      </w:r>
      <w:r w:rsidR="00480D89" w:rsidRPr="002A7627">
        <w:rPr>
          <w:rFonts w:asciiTheme="majorBidi" w:eastAsia="Times New Roman" w:hAnsiTheme="majorBidi" w:cstheme="majorBidi"/>
          <w:szCs w:val="24"/>
        </w:rPr>
        <w:t>-</w:t>
      </w:r>
      <w:r w:rsidRPr="002A7627">
        <w:rPr>
          <w:rFonts w:asciiTheme="majorBidi" w:eastAsia="Times New Roman" w:hAnsiTheme="majorBidi" w:cstheme="majorBidi"/>
          <w:szCs w:val="24"/>
        </w:rPr>
        <w:t>enhancing HR practices have a direct positive relationship with knowledge management benefits.</w:t>
      </w:r>
    </w:p>
    <w:p w14:paraId="295C0B84" w14:textId="02D1D388" w:rsidR="00EE00BF" w:rsidRPr="002A7627" w:rsidRDefault="00731AAB" w:rsidP="002C4A1A">
      <w:pPr>
        <w:pStyle w:val="AAAAAAA"/>
      </w:pPr>
      <w:bookmarkStart w:id="133" w:name="_Toc13959634"/>
      <w:bookmarkStart w:id="134" w:name="_Toc22331668"/>
      <w:r>
        <w:rPr>
          <w:rStyle w:val="Heading2Char"/>
          <w:color w:val="000000"/>
          <w:u w:val="none"/>
        </w:rPr>
        <w:t xml:space="preserve">3.3.2. </w:t>
      </w:r>
      <w:r w:rsidRPr="002A7627">
        <w:rPr>
          <w:rStyle w:val="Heading2Char"/>
          <w:color w:val="000000"/>
          <w:u w:val="none"/>
        </w:rPr>
        <w:t>Opportunity</w:t>
      </w:r>
      <w:r w:rsidR="00EE00BF" w:rsidRPr="002A7627">
        <w:rPr>
          <w:rStyle w:val="Heading2Char"/>
          <w:color w:val="000000"/>
          <w:u w:val="none"/>
        </w:rPr>
        <w:t>-enhancing HR practices and knowledge management benefits</w:t>
      </w:r>
      <w:bookmarkEnd w:id="133"/>
      <w:bookmarkEnd w:id="134"/>
      <w:r w:rsidR="002C4A1A" w:rsidRPr="002A7627">
        <w:t xml:space="preserve">. </w:t>
      </w:r>
      <w:r w:rsidR="00EE00BF" w:rsidRPr="002A7627">
        <w:t xml:space="preserve">Opportunity-enhancing HR practices are those used to encourage employees to engage with organizational activities </w:t>
      </w:r>
      <w:r w:rsidR="00EE00BF" w:rsidRPr="002A7627">
        <w:fldChar w:fldCharType="begin" w:fldLock="1"/>
      </w:r>
      <w:r w:rsidR="00E24626" w:rsidRPr="002A7627">
        <w:instrText>ADDIN CSL_CITATION {"citationItems":[{"id":"ITEM-1","itemData":{"DOI":"10.1007/s10551-013-1946-1","ISSN":"0167-4544","abstract":"The increasing challenges faced by organiza- tions have led to numerous studies examining human resource management (HRM) practices, organizational ethical climates and sustainability. Despite this, little has been done to explore the possible relationships between these three topics. This study, based on a probabilistic sample of 6,000 employees from six European countries, analyses how HRM practices with the aim of developing organizational ethics influence the benevolent, principled and egoistic ethical climates that exist within organiza- tions, while also investigating the possible moderating role played by their employees’ perception of corporate sus- tainability. Findings demonstrate that ability-enhancing practices (i.e. recruiting, selection and training) and opportunity-enhancing practices (i.e. job design, industrial relationships and employee involvement) improve benev- olent and principled organizational ethical climates, while motivation-enhancing practices (i.e. performance manage- ment, compensation and incentives) rather than being related to these organizational ethical climates, are linked to the egoistic climate. In addition, the perceptions of the company’s employees in terms of corporate sustainability moderate these relationships, by reinforcing the positive relationships of ability-enhancing and motivation-enhanc- ing HRM practices in terms of benevolent and principled ethical climates and by reducing the positive relationships between motivation-enhancing practices and egoistic cli- mate. Specific implications for HRM research, teaching and practice are then advanced and discussed.","author":[{"dropping-particle":"","family":"Guerci","given":"M.","non-dropping-particle":"","parse-names":false,"suffix":""},{"dropping-particle":"","family":"Radaelli","given":"Giovanni","non-dropping-particle":"","parse-names":false,"suffix":""},{"dropping-particle":"","family":"Siletti","given":"Elena","non-dropping-particle":"","parse-names":false,"suffix":""},{"dropping-particle":"","family":"Cirella","given":"Stefano","non-dropping-particle":"","parse-names":false,"suffix":""},{"dropping-particle":"","family":"Rami Shani","given":"A. B.","non-dropping-particle":"","parse-names":false,"suffix":""}],"container-title":"Journal of Business Ethics","id":"ITEM-1","issue":"2","issued":{"date-parts":[["2015","1","10"]]},"page":"325-342","title":"The impact of human resource management practices and corporate sustainability on organizational ethical climates: An employee perspective","type":"article-journal","volume":"126"},"uris":["http://www.mendeley.com/documents/?uuid=c05908dd-eef2-4286-b1be-8d27afbbd745"]}],"mendeley":{"formattedCitation":"(Guerci, Radaelli, Siletti, Cirella, &amp; Rami Shani, 2015)","plainTextFormattedCitation":"(Guerci, Radaelli, Siletti, Cirella, &amp; Rami Shani, 2015)","previouslyFormattedCitation":"(Guerci, Radaelli, Siletti, Cirella, &amp; Rami Shani, 2015)"},"properties":{"noteIndex":0},"schema":"https://github.com/citation-style-language/schema/raw/master/csl-citation.json"}</w:instrText>
      </w:r>
      <w:r w:rsidR="00EE00BF" w:rsidRPr="002A7627">
        <w:fldChar w:fldCharType="separate"/>
      </w:r>
      <w:r w:rsidR="00EE00BF" w:rsidRPr="002A7627">
        <w:rPr>
          <w:noProof/>
        </w:rPr>
        <w:t>(Guerci, Radaelli, Siletti, Cirella, &amp; Rami Shani, 2015)</w:t>
      </w:r>
      <w:r w:rsidR="00EE00BF" w:rsidRPr="002A7627">
        <w:fldChar w:fldCharType="end"/>
      </w:r>
      <w:r w:rsidR="00EE00BF" w:rsidRPr="002A7627">
        <w:t xml:space="preserve">. They include activities that delegate decision-making </w:t>
      </w:r>
      <w:r w:rsidR="00EE00BF" w:rsidRPr="002A7627">
        <w:fldChar w:fldCharType="begin" w:fldLock="1"/>
      </w:r>
      <w:r w:rsidR="00E24626" w:rsidRPr="002A7627">
        <w:instrText>ADDIN CSL_CITATION {"citationItems":[{"id":"ITEM-1","itemData":{"DOI":"10.1111/1748-8583.12067","ISSN":"09545395","abstract":"This article examines the extent to which the configuration of HRM practices in bundles and the interactions among them have a significant impact on manufacturing outcomes. Using a unique data set from a survey of a representative sample of the whole Uruguayan manufacturing industry, several hypotheses related to interactions between ability–motivation–opportunity bundles of HRM practices are tested. Analysis of 150 manufacturing plants partially highlights the existence of hierarchy between bundles, being the bundle of motivation-enhancing HRM practices the most important to explain the enhanced manufacturing outcomes. Based on this bundle of practices, synergistic interactions with both ability and opportunity bundles of HRM practices were observed to explain different performance measures.","author":[{"dropping-particle":"","family":"Bello-Pintado","given":"Alejandro","non-dropping-particle":"","parse-names":false,"suffix":""}],"container-title":"Human Resource Management Journal","id":"ITEM-1","issue":"3","issued":{"date-parts":[["2015","7"]]},"page":"311-330","title":"Bundles of HRM practices and performance: Empirical evidence from a Latin American context","type":"article-journal","volume":"25"},"uris":["http://www.mendeley.com/documents/?uuid=6fa3de7a-d874-49a3-a5e9-9839c237507f"]}],"mendeley":{"formattedCitation":"(Bello-Pintado, 2015)","plainTextFormattedCitation":"(Bello-Pintado, 2015)","previouslyFormattedCitation":"(Bello-Pintado, 2015)"},"properties":{"noteIndex":0},"schema":"https://github.com/citation-style-language/schema/raw/master/csl-citation.json"}</w:instrText>
      </w:r>
      <w:r w:rsidR="00EE00BF" w:rsidRPr="002A7627">
        <w:fldChar w:fldCharType="separate"/>
      </w:r>
      <w:r w:rsidR="00EE00BF" w:rsidRPr="002A7627">
        <w:rPr>
          <w:noProof/>
        </w:rPr>
        <w:t>(Bello-Pintado, 2015)</w:t>
      </w:r>
      <w:r w:rsidR="00EE00BF" w:rsidRPr="002A7627">
        <w:fldChar w:fldCharType="end"/>
      </w:r>
      <w:r w:rsidR="00EE00BF" w:rsidRPr="002A7627">
        <w:t xml:space="preserve">. Opportunity-enhancing HR practices are very important, because able and motivated employees need opportunities to apply their skills to improve organizational and individual performance </w:t>
      </w:r>
      <w:r w:rsidR="00EE00BF" w:rsidRPr="002A7627">
        <w:fldChar w:fldCharType="begin" w:fldLock="1"/>
      </w:r>
      <w:r w:rsidR="00E24626" w:rsidRPr="002A7627">
        <w:instrText>ADDIN CSL_CITATION {"citationItems":[{"id":"ITEM-1","itemData":{"ISBN":"0742-7301","author":[{"dropping-particle":"","family":"Lepak","given":"David P","non-dropping-particle":"","parse-names":false,"suffix":""},{"dropping-particle":"","family":"Liao","given":"Hui","non-dropping-particle":"","parse-names":false,"suffix":""},{"dropping-particle":"","family":"Chung","given":"Yunhyung","non-dropping-particle":"","parse-names":false,"suffix":""},{"dropping-particle":"","family":"Harden","given":"Erika E","non-dropping-particle":"","parse-names":false,"suffix":""}],"container-title":"Research in personnel and human resources management","editor":[{"dropping-particle":"","family":"Martocchio","given":"J. J.","non-dropping-particle":"","parse-names":false,"suffix":""}],"id":"ITEM-1","issued":{"date-parts":[["2006"]]},"page":"217-271","publisher":"Emerald","publisher-place":"Las Vegas, CA","title":"A conceptual review of human resource management systems in strategic human resource management research","type":"chapter"},"uris":["http://www.mendeley.com/documents/?uuid=77491a75-52b9-4477-a8fc-45f2c2085900"]},{"id":"ITEM-2","itemData":{"ISSN":"0001-4273","author":[{"dropping-particle":"","family":"Jiang","given":"Kaifeng","non-dropping-particle":"","parse-names":false,"suffix":""},{"dropping-particle":"","family":"Lepak","given":"David P","non-dropping-particle":"","parse-names":false,"suffix":""},{"dropping-particle":"","family":"Hu","given":"Jia","non-dropping-particle":"","parse-names":false,"suffix":""},{"dropping-particle":"","family":"Baer","given":"Judith C","non-dropping-particle":"","parse-names":false,"suffix":""}],"container-title":"Academy of management Journal","id":"ITEM-2","issue":"6","issued":{"date-parts":[["2012"]]},"page":"1264-1294","title":"How does human resource management influence organizational outcomes? A meta-analytic investigation of mediating mechanisms","type":"article-journal","volume":"55"},"uris":["http://www.mendeley.com/documents/?uuid=4963b699-5dc2-4205-a4bd-d55ae9f8e840"]}],"mendeley":{"formattedCitation":"(Jiang, Lepak, Hu, et al., 2012; Lepak et al., 2006)","plainTextFormattedCitation":"(Jiang, Lepak, Hu, et al., 2012; Lepak et al., 2006)","previouslyFormattedCitation":"(Jiang, Lepak, Hu, et al., 2012; Lepak et al., 2006)"},"properties":{"noteIndex":0},"schema":"https://github.com/citation-style-language/schema/raw/master/csl-citation.json"}</w:instrText>
      </w:r>
      <w:r w:rsidR="00EE00BF" w:rsidRPr="002A7627">
        <w:fldChar w:fldCharType="separate"/>
      </w:r>
      <w:r w:rsidR="00907ACC" w:rsidRPr="002A7627">
        <w:rPr>
          <w:noProof/>
        </w:rPr>
        <w:t>(Jiang, Lepak, Hu, et al., 2012; Lepak et al., 2006)</w:t>
      </w:r>
      <w:r w:rsidR="00EE00BF" w:rsidRPr="002A7627">
        <w:fldChar w:fldCharType="end"/>
      </w:r>
      <w:r w:rsidR="00EE00BF" w:rsidRPr="002A7627">
        <w:t>. Opportunity-enhancing HR practices related to knowledge management may include workshops, meetings, teamwork, communication</w:t>
      </w:r>
      <w:r w:rsidR="00715CBC" w:rsidRPr="002A7627">
        <w:t>,</w:t>
      </w:r>
      <w:r w:rsidR="00EE00BF" w:rsidRPr="002A7627">
        <w:t xml:space="preserve"> and supporting communities of practice </w:t>
      </w:r>
      <w:r w:rsidR="00EE00BF" w:rsidRPr="002A7627">
        <w:rPr>
          <w:noProof/>
        </w:rPr>
        <w:t>(Dixon, 2000; Wu, Hsu, &amp; Yeh, 2007)</w:t>
      </w:r>
      <w:r w:rsidR="00EE00BF" w:rsidRPr="002A7627">
        <w:t xml:space="preserve">. These opportunities act as catalysts to knowledge sharing </w:t>
      </w:r>
      <w:r w:rsidR="00EE00BF" w:rsidRPr="002A7627">
        <w:fldChar w:fldCharType="begin" w:fldLock="1"/>
      </w:r>
      <w:r w:rsidR="00E24626" w:rsidRPr="002A7627">
        <w:instrText>ADDIN CSL_CITATION {"citationItems":[{"id":"ITEM-1","itemData":{"ISSN":"0272-6963","author":[{"dropping-particle":"","family":"Siemsen","given":"Enno","non-dropping-particle":"","parse-names":false,"suffix":""},{"dropping-particle":"V","family":"Roth","given":"Aleda","non-dropping-particle":"","parse-names":false,"suffix":""},{"dropping-particle":"","family":"Balasubramanian","given":"Sridhar","non-dropping-particle":"","parse-names":false,"suffix":""}],"container-title":"Journal of Operations Management","id":"ITEM-1","issue":"3","issued":{"date-parts":[["2008"]]},"page":"426-445","title":"How motivation, opportunity, and ability drive knowledge sharing: The constraining-factor model","type":"article-journal","volume":"26"},"uris":["http://www.mendeley.com/documents/?uuid=4e7c193e-a0dc-44c9-be5e-a9cb15b2aa25"]},{"id":"ITEM-2","itemData":{"ISSN":"0001-4273","author":[{"dropping-particle":"","family":"Reinholt","given":"M I A","non-dropping-particle":"","parse-names":false,"suffix":""},{"dropping-particle":"","family":"Pedersen","given":"Torben","non-dropping-particle":"","parse-names":false,"suffix":""},{"dropping-particle":"","family":"Foss","given":"Nicolai J","non-dropping-particle":"","parse-names":false,"suffix":""}],"container-title":"Academy of Management Journal","id":"ITEM-2","issue":"6","issued":{"date-parts":[["2011"]]},"page":"1277-1297","title":"Why a central network position isn't enough: The role of motivation and ability for knowledge sharing in employee networks","type":"article-journal","volume":"54"},"uris":["http://www.mendeley.com/documents/?uuid=fae8512a-6845-4f98-8098-69edd142a7ac"]}],"mendeley":{"formattedCitation":"(Reinholt et al., 2011; Siemsen, Roth, &amp; Balasubramanian, 2008)","plainTextFormattedCitation":"(Reinholt et al., 2011; Siemsen, Roth, &amp; Balasubramanian, 2008)","previouslyFormattedCitation":"(Reinholt et al., 2011; Siemsen, Roth, &amp; Balasubramanian, 2008)"},"properties":{"noteIndex":0},"schema":"https://github.com/citation-style-language/schema/raw/master/csl-citation.json"}</w:instrText>
      </w:r>
      <w:r w:rsidR="00EE00BF" w:rsidRPr="002A7627">
        <w:fldChar w:fldCharType="separate"/>
      </w:r>
      <w:r w:rsidR="00EE00BF" w:rsidRPr="002A7627">
        <w:rPr>
          <w:noProof/>
        </w:rPr>
        <w:t>(Reinholt et al., 2011; Siemsen, Roth, &amp; Balasubramanian, 2008)</w:t>
      </w:r>
      <w:r w:rsidR="00EE00BF" w:rsidRPr="002A7627">
        <w:fldChar w:fldCharType="end"/>
      </w:r>
      <w:r w:rsidR="00EE00BF" w:rsidRPr="002A7627">
        <w:t xml:space="preserve">. Studies have shown that there is </w:t>
      </w:r>
      <w:r w:rsidR="0030308A" w:rsidRPr="002A7627">
        <w:t xml:space="preserve">a </w:t>
      </w:r>
      <w:r w:rsidR="00EE00BF" w:rsidRPr="002A7627">
        <w:t xml:space="preserve">positive relationship between high-performance HR practices and productivity </w:t>
      </w:r>
      <w:r w:rsidR="00EE00BF" w:rsidRPr="002A7627">
        <w:fldChar w:fldCharType="begin" w:fldLock="1"/>
      </w:r>
      <w:r w:rsidR="00E24626" w:rsidRPr="002A7627">
        <w:instrText>ADDIN CSL_CITATION {"citationItems":[{"id":"ITEM-1","itemData":{"ISSN":"0272-6963","author":[{"dropping-particle":"","family":"Menezes","given":"Lilian M","non-dropping-particle":"de","parse-names":false,"suffix":""},{"dropping-particle":"","family":"Wood","given":"Stephen","non-dropping-particle":"","parse-names":false,"suffix":""},{"dropping-particle":"","family":"Gelade","given":"Garry","non-dropping-particle":"","parse-names":false,"suffix":""}],"container-title":"Journal of Operations Management","id":"ITEM-1","issue":"6","issued":{"date-parts":[["2010"]]},"page":"455-471","title":"The integration of human resource and operation management practices and its link with performance: A longitudinal latent class study","type":"article-journal","volume":"28"},"uris":["http://www.mendeley.com/documents/?uuid=5abdac1a-9f0b-4b19-8292-205b0bbf4d39"]},{"id":"ITEM-2","itemData":{"DOI":"10.1080/09585190802528433","ISBN":"0958519080252","ISSN":"0958-5192","PMID":"36243931","abstract":"From the perspective of the resource based view (RBV), although traditional sources of competitive advantage such as natural resources, technology, economies of scales, and so forth, create value, these resources are increasingly easy to imitate. As such, human capital and human resource management may be an especially important source of sustainable competitive advantage. Over the past few years, there has been growing research interest in the competitive advantage associated with high performance work systems (HPWS), a set of management policies and practices thought to endow employees with greater levels of skill, information, motivation and discretion. In this study, we describe a study examining the relative effectiveness of HPWS in the Irish context. Results suggest that greater use of high performance work systems is associated with positive human resource and organizational outcomes. Specifically, firms utilizing higher levels of HPWS tend to have lower rates of employee absenteeism and voluntary turnover along with higher labor productivity and lower labor costs.","author":[{"dropping-particle":"","family":"Guthrie","given":"James P.","non-dropping-particle":"","parse-names":false,"suffix":""},{"dropping-particle":"","family":"Flood","given":"Patrick C.","non-dropping-particle":"","parse-names":false,"suffix":""},{"dropping-particle":"","family":"Liu","given":"Wenchuan","non-dropping-particle":"","parse-names":false,"suffix":""},{"dropping-particle":"","family":"MacCurtain","given":"Sarah","non-dropping-particle":"","parse-names":false,"suffix":""}],"container-title":"The International Journal of Human Resource Management","id":"ITEM-2","issue":"1","issued":{"date-parts":[["2009"]]},"page":"112-125","title":"High performance work systems in Ireland: Human resource and organizational outcomes","type":"article-journal","volume":"20"},"uris":["http://www.mendeley.com/documents/?uuid=f70a2a69-2ca8-4831-aa9b-cff27a84a817"]},{"id":"ITEM-3","itemData":{"ISSN":"1744-6570","author":[{"dropping-particle":"","family":"Combs","given":"James","non-dropping-particle":"","parse-names":false,"suffix":""},{"dropping-particle":"","family":"Liu","given":"Yongmei","non-dropping-particle":"","parse-names":false,"suffix":""},{"dropping-particle":"","family":"Hall","given":"Angela","non-dropping-particle":"","parse-names":false,"suffix":""},{"dropping-particle":"","family":"Ketchen","given":"David","non-dropping-particle":"","parse-names":false,"suffix":""}],"container-title":"Personnel Psychology","id":"ITEM-3","issue":"3","issued":{"date-parts":[["2006"]]},"page":"501-528","publisher":"Wiley Online Library","title":"How much do high‐performance work practices matter? A meta‐analysis of their effects on organizational performance","type":"article-journal","volume":"59"},"uris":["http://www.mendeley.com/documents/?uuid=c05f6177-da25-4b9d-a5ae-7a160f2f1ebd"]}],"mendeley":{"formattedCitation":"(Combs, Liu, Hall, &amp; Ketchen, 2006; de Menezes, Wood, &amp; Gelade, 2010; Guthrie et al., 2009)","plainTextFormattedCitation":"(Combs, Liu, Hall, &amp; Ketchen, 2006; de Menezes, Wood, &amp; Gelade, 2010; Guthrie et al., 2009)","previouslyFormattedCitation":"(Combs, Liu, Hall, &amp; Ketchen, 2006; de Menezes, Wood, &amp; Gelade, 2010; Guthrie et al., 2009)"},"properties":{"noteIndex":0},"schema":"https://github.com/citation-style-language/schema/raw/master/csl-citation.json"}</w:instrText>
      </w:r>
      <w:r w:rsidR="00EE00BF" w:rsidRPr="002A7627">
        <w:fldChar w:fldCharType="separate"/>
      </w:r>
      <w:r w:rsidR="00EE00BF" w:rsidRPr="002A7627">
        <w:rPr>
          <w:noProof/>
        </w:rPr>
        <w:t>(Combs, Liu, Hall, &amp; Ketchen, 2006; de Menezes, Wood, &amp; Gelade, 2010; Guthrie et al., 2009)</w:t>
      </w:r>
      <w:r w:rsidR="00EE00BF" w:rsidRPr="002A7627">
        <w:fldChar w:fldCharType="end"/>
      </w:r>
      <w:r w:rsidR="00EE00BF" w:rsidRPr="002A7627">
        <w:t xml:space="preserve">. Opportunities help employees to learn-by-doing and build organizational knowledge memory </w:t>
      </w:r>
      <w:r w:rsidR="00EE00BF" w:rsidRPr="002A7627">
        <w:fldChar w:fldCharType="begin" w:fldLock="1"/>
      </w:r>
      <w:r w:rsidR="00EE00BF" w:rsidRPr="002A7627">
        <w:instrText>ADDIN CSL_CITATION {"citationItems":[{"id":"ITEM-1","itemData":{"DOI":"10.1108/BJM-10-2014-0178","ISSN":"1746-5265","author":[{"dropping-particle":"","family":"Inkinen","given":"Henri Tapio","non-dropping-particle":"","parse-names":false,"suffix":""},{"dropping-particle":"","family":"Kianto","given":"Aino","non-dropping-particle":"","parse-names":false,"suffix":""},{"dropping-particle":"","family":"Vanhala","given":"Mika","non-dropping-particle":"","parse-names":false,"suffix":""}],"container-title":"Baltic Journal of Management","editor":[{"dropping-particle":"","family":"Vesna Bosilj Vukšić and Professor M","given":"Professor","non-dropping-particle":"","parse-names":false,"suffix":""}],"id":"ITEM-1","issue":"4","issued":{"date-parts":[["2015","10","5"]]},"page":"432-455","title":"Knowledge management practices and innovation performance in Finland","type":"article-journal","volume":"10"},"uris":["http://www.mendeley.com/documents/?uuid=9d14c910-5c04-32a0-9768-9e2f14028661"]}],"mendeley":{"formattedCitation":"(Inkinen et al., 2015)","plainTextFormattedCitation":"(Inkinen et al., 2015)","previouslyFormattedCitation":"(Inkinen et al., 2015)"},"properties":{"noteIndex":0},"schema":"https://github.com/citation-style-language/schema/raw/master/csl-citation.json"}</w:instrText>
      </w:r>
      <w:r w:rsidR="00EE00BF" w:rsidRPr="002A7627">
        <w:fldChar w:fldCharType="separate"/>
      </w:r>
      <w:r w:rsidR="00EE00BF" w:rsidRPr="002A7627">
        <w:rPr>
          <w:noProof/>
        </w:rPr>
        <w:t>(Inkinen et al., 2015)</w:t>
      </w:r>
      <w:r w:rsidR="00EE00BF" w:rsidRPr="002A7627">
        <w:fldChar w:fldCharType="end"/>
      </w:r>
      <w:r w:rsidR="00EE00BF" w:rsidRPr="002A7627">
        <w:t xml:space="preserve">. One study found that they had a positive impact on innovative work behaviors, mediated by support from both management and coworkers in Spanish companies </w:t>
      </w:r>
      <w:r w:rsidR="00EE00BF" w:rsidRPr="002A7627">
        <w:fldChar w:fldCharType="begin" w:fldLock="1"/>
      </w:r>
      <w:r w:rsidR="0083144E" w:rsidRPr="002A7627">
        <w:instrText>ADDIN CSL_CITATION {"citationItems":[{"id":"ITEM-1","itemData":{"DOI":"10.1108/PR-11-2012-0199","ISSN":"0048-3486","abstract":"Managing innovative work behavior: the role of human resource practices","author":[{"dropping-particle":"","family":"Prieto","given":"Isabel M.","non-dropping-particle":"","parse-names":false,"suffix":""},{"dropping-particle":"","family":"Pérez Santana","given":"M. Pilar","non-dropping-particle":"","parse-names":false,"suffix":""}],"container-title":"Personnel Review","id":"ITEM-1","issue":"2","issued":{"date-parts":[["2014","3","4"]]},"page":"184-208","title":"Managing innovative work behavior: The role of human resource practices","type":"article-journal","volume":"43"},"uris":["http://www.mendeley.com/documents/?uuid=265d630f-95f6-4be7-80bb-39aee686a127"]}],"mendeley":{"formattedCitation":"(Prieto &amp; Pérez Santana, 2014)","plainTextFormattedCitation":"(Prieto &amp; Pérez Santana, 2014)","previouslyFormattedCitation":"(Prieto &amp; Pérez Santana, 2014)"},"properties":{"noteIndex":0},"schema":"https://github.com/citation-style-language/schema/raw/master/csl-citation.json"}</w:instrText>
      </w:r>
      <w:r w:rsidR="00EE00BF" w:rsidRPr="002A7627">
        <w:fldChar w:fldCharType="separate"/>
      </w:r>
      <w:r w:rsidR="00783FD6" w:rsidRPr="002A7627">
        <w:rPr>
          <w:noProof/>
        </w:rPr>
        <w:t>(Prieto &amp; Pérez Santana, 2014)</w:t>
      </w:r>
      <w:r w:rsidR="00EE00BF" w:rsidRPr="002A7627">
        <w:fldChar w:fldCharType="end"/>
      </w:r>
      <w:r w:rsidR="00EE00BF" w:rsidRPr="002A7627">
        <w:t>.</w:t>
      </w:r>
    </w:p>
    <w:p w14:paraId="4B32957A" w14:textId="13544A7B" w:rsidR="00EE00BF" w:rsidRPr="002A7627" w:rsidRDefault="00EE00BF" w:rsidP="002C4A1A">
      <w:pPr>
        <w:pStyle w:val="AAAAAAA"/>
        <w:rPr>
          <w:rFonts w:asciiTheme="majorBidi" w:eastAsia="Times New Roman" w:hAnsiTheme="majorBidi" w:cstheme="majorBidi"/>
          <w:noProof/>
        </w:rPr>
      </w:pPr>
      <w:r w:rsidRPr="002A7627">
        <w:rPr>
          <w:rFonts w:asciiTheme="majorBidi" w:eastAsia="Times New Roman" w:hAnsiTheme="majorBidi" w:cstheme="majorBidi"/>
        </w:rPr>
        <w:t xml:space="preserve">Most previous research has been in developed countries </w:t>
      </w:r>
      <w:r w:rsidRPr="002A7627">
        <w:rPr>
          <w:rFonts w:asciiTheme="majorBidi" w:eastAsia="Times New Roman" w:hAnsiTheme="majorBidi" w:cstheme="majorBidi"/>
        </w:rPr>
        <w:fldChar w:fldCharType="begin" w:fldLock="1"/>
      </w:r>
      <w:r w:rsidRPr="002A7627">
        <w:rPr>
          <w:rFonts w:asciiTheme="majorBidi" w:eastAsia="Times New Roman" w:hAnsiTheme="majorBidi" w:cstheme="majorBidi"/>
        </w:rPr>
        <w:instrText>ADDIN CSL_CITATION {"citationItems":[{"id":"ITEM-1","itemData":{"ISBN":"0230592007","author":[{"dropping-particle":"","family":"Tüselmann","given":"H","non-dropping-particle":"","parse-names":false,"suffix":""},{"dropping-particle":"","family":"McDonald","given":"Frank","non-dropping-particle":"","parse-names":false,"suffix":""},{"dropping-particle":"","family":"Heise","given":"Arne","non-dropping-particle":"","parse-names":false,"suffix":""},{"dropping-particle":"","family":"Allen","given":"Matthew","non-dropping-particle":"","parse-names":false,"suffix":""},{"dropping-particle":"","family":"Voronkova","given":"Svitlana","non-dropping-particle":"","parse-names":false,"suffix":""}],"id":"ITEM-1","issued":{"date-parts":[["2007"]]},"publisher":"Springer","publisher-place":"London, UK","title":"Employee Relations in Foreign-Owned Subsidiaries: German Multinational Companies in the UK","type":"book"},"uris":["http://www.mendeley.com/documents/?uuid=d4ffaf7e-4aab-45c4-b9b5-c18ffb54039e"]},{"id":"ITEM-2","itemData":{"DOI":"10.1108/BJM-10-2014-0178","ISSN":"1746-5265","author":[{"dropping-particle":"","family":"Inkinen","given":"Henri Tapio","non-dropping-particle":"","parse-names":false,"suffix":""},{"dropping-particle":"","family":"Kianto","given":"Aino","non-dropping-particle":"","parse-names":false,"suffix":""},{"dropping-particle":"","family":"Vanhala","given":"Mika","non-dropping-particle":"","parse-names":false,"suffix":""}],"container-title":"Baltic Journal of Management","editor":[{"dropping-particle":"","family":"Vesna Bosilj Vukšić and Professor M","given":"Professor","non-dropping-particle":"","parse-names":false,"suffix":""}],"id":"ITEM-2","issue":"4","issued":{"date-parts":[["2015","10","5"]]},"page":"432-455","title":"Knowledge management practices and innovation performance in Finland","type":"article-journal","volume":"10"},"uris":["http://www.mendeley.com/documents/?uuid=9d14c910-5c04-32a0-9768-9e2f14028661"]}],"mendeley":{"formattedCitation":"(Inkinen et al., 2015; Tüselmann, McDonald, Heise, Allen, &amp; Voronkova, 2007)","plainTextFormattedCitation":"(Inkinen et al., 2015; Tüselmann, McDonald, Heise, Allen, &amp; Voronkova, 2007)","previouslyFormattedCitation":"(Inkinen et al., 2015; Tüselmann, McDonald, Heise, Allen, &amp; Voronkova, 2007)"},"properties":{"noteIndex":0},"schema":"https://github.com/citation-style-language/schema/raw/master/csl-citation.json"}</w:instrText>
      </w:r>
      <w:r w:rsidRPr="002A7627">
        <w:rPr>
          <w:rFonts w:asciiTheme="majorBidi" w:eastAsia="Times New Roman" w:hAnsiTheme="majorBidi" w:cstheme="majorBidi"/>
        </w:rPr>
        <w:fldChar w:fldCharType="separate"/>
      </w:r>
      <w:r w:rsidRPr="002A7627">
        <w:rPr>
          <w:rFonts w:asciiTheme="majorBidi" w:eastAsia="Times New Roman" w:hAnsiTheme="majorBidi" w:cstheme="majorBidi"/>
          <w:noProof/>
        </w:rPr>
        <w:t>(Inkinen et al., 2015; Tüselmann, McDonald, Heise, Allen, &amp; Voronkova, 2007)</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xml:space="preserve">, with just a few studies in developing countries. A study in Mideast China found that opportunity-enhancing HR practices affected team creativity with knowledge sharing as a mediator </w:t>
      </w:r>
      <w:r w:rsidRPr="002A7627">
        <w:rPr>
          <w:rFonts w:asciiTheme="majorBidi" w:eastAsia="Times New Roman" w:hAnsiTheme="majorBidi" w:cstheme="majorBidi"/>
        </w:rPr>
        <w:fldChar w:fldCharType="begin" w:fldLock="1"/>
      </w:r>
      <w:r w:rsidRPr="002A7627">
        <w:rPr>
          <w:rFonts w:asciiTheme="majorBidi" w:eastAsia="Times New Roman" w:hAnsiTheme="majorBidi" w:cstheme="majorBidi"/>
        </w:rPr>
        <w:instrText>ADDIN CSL_CITATION {"citationItems":[{"id":"ITEM-1","itemData":{"DOI":"10.1007/s10490-017-9508-1","ISSN":"0217-4561","PMID":"1924800598","abstract":"Drawing on the ability-motivation-opportunity framework, we develop a multilevel model examining the relationship between high-performance human resource practices and team creativity. Based on an input-process-output perspective, we hypothesize that both ability-enhancing human resource practices and motivation-enhancing practices affect team creativity via team efficacy, while motivation-enhancing practices and opportunity-enhancing practices affect team creativity via knowledge sharing. We verify our hypotheses using data collected from 16 Chinese companies involving 80 work teams. The results show that team efficacy mediates the relationship between ability-enhancing practices and team creativity, and knowledge sharing mediates the relationship between motivation-enhancing practices and team creativity. Theoretical and practical implications for human resource management practices and team creativity are discussed.","author":[{"dropping-particle":"","family":"Ma","given":"Zixiang","non-dropping-particle":"","parse-names":false,"suffix":""},{"dropping-particle":"","family":"Long","given":"Lirong","non-dropping-particle":"","parse-names":false,"suffix":""},{"dropping-particle":"","family":"Zhang","given":"Yong","non-dropping-particle":"","parse-names":false,"suffix":""},{"dropping-particle":"","family":"Zhang","given":"Junwei","non-dropping-particle":"","parse-names":false,"suffix":""},{"dropping-particle":"","family":"Lam","given":"Catherine K.","non-dropping-particle":"","parse-names":false,"suffix":""}],"container-title":"Asia Pacific Journal of Management","id":"ITEM-1","issue":"3","issued":{"date-parts":[["2017","9","29"]]},"page":"565-586","title":"Why do high-performance human resource practices matter for team creativity? The mediating role of collective efficacy and knowledge sharing","type":"article-journal","volume":"34"},"uris":["http://www.mendeley.com/documents/?uuid=75b37b05-f51d-439d-87bb-92fa4e212e6e"]}],"mendeley":{"formattedCitation":"(Ma, Long, Zhang, Zhang, &amp; Lam, 2017)","plainTextFormattedCitation":"(Ma, Long, Zhang, Zhang, &amp; Lam, 2017)","previouslyFormattedCitation":"(Ma, Long, Zhang, Zhang, &amp; Lam, 2017)"},"properties":{"noteIndex":0},"schema":"https://github.com/citation-style-language/schema/raw/master/csl-citation.json"}</w:instrText>
      </w:r>
      <w:r w:rsidRPr="002A7627">
        <w:rPr>
          <w:rFonts w:asciiTheme="majorBidi" w:eastAsia="Times New Roman" w:hAnsiTheme="majorBidi" w:cstheme="majorBidi"/>
        </w:rPr>
        <w:fldChar w:fldCharType="separate"/>
      </w:r>
      <w:r w:rsidRPr="002A7627">
        <w:rPr>
          <w:rFonts w:asciiTheme="majorBidi" w:eastAsia="Times New Roman" w:hAnsiTheme="majorBidi" w:cstheme="majorBidi"/>
          <w:noProof/>
        </w:rPr>
        <w:t>(Ma, Long, Zhang, Zhang, &amp; Lam, 2017)</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xml:space="preserve">. Another study found that opportunity-enhancing HR practices had a positive impact on organizational performance through strong commitment as a mediator </w:t>
      </w:r>
      <w:r w:rsidRPr="002A7627">
        <w:rPr>
          <w:rFonts w:asciiTheme="majorBidi" w:eastAsia="Times New Roman" w:hAnsiTheme="majorBidi" w:cstheme="majorBidi"/>
        </w:rPr>
        <w:fldChar w:fldCharType="begin" w:fldLock="1"/>
      </w:r>
      <w:r w:rsidR="00E24626" w:rsidRPr="002A7627">
        <w:rPr>
          <w:rFonts w:asciiTheme="majorBidi" w:eastAsia="Times New Roman" w:hAnsiTheme="majorBidi" w:cstheme="majorBidi"/>
        </w:rPr>
        <w:instrText>ADDIN CSL_CITATION {"citationItems":[{"id":"ITEM-1","itemData":{"DOI":"10.1017/jmo.2016.22","ISSN":"1833-3672","abstract":"This study investigates the diverse performance outcomes related to the bundles/components of high-performance work systems on the basis of ability–motivation–opportunity model. Using the primary data from 563 employees of 204 firms operating in India (collected during the time period between March, 2012 and January, 2013), the study has indicated that employees’ perceptions regarding the applicability of ability-enhancing, motivation-enhancing, and opportunity-enhancing human resource practices result in enhanced affective commitment and superior firm performance. The results have revealed that affective commitment fully mediates the relationship of opportunity-enhancing human resource practices with firm performance and partially mediates the relationships of ability-enhancing and motivation-enhancing human resource practices with firm performance. The study contributes in unlocking the ‘black box’ related to the high-performance work systems and firm performance relationship by stressing upon the importance of affective commitment as a mediator. Managerial implications and directions for future research are also discussed.","author":[{"dropping-particle":"","family":"Kundu","given":"Subhash C.","non-dropping-particle":"","parse-names":false,"suffix":""},{"dropping-particle":"","family":"Gahlawat","given":"Neha","non-dropping-particle":"","parse-names":false,"suffix":""}],"container-title":"Journal of Management and Organization","id":"ITEM-1","issue":"5","issued":{"date-parts":[["2018","9","29"]]},"page":"730-747","title":"Ability–motivation–opportunity enhancing human resource practices and firm performance: Evidence from India","type":"article-journal","volume":"24"},"uris":["http://www.mendeley.com/documents/?uuid=8dfd32df-718b-451a-a5f4-5e28ca7a0466"]}],"mendeley":{"formattedCitation":"(Kundu &amp; Gahlawat, 2018)","plainTextFormattedCitation":"(Kundu &amp; Gahlawat, 2018)","previouslyFormattedCitation":"(Kundu &amp; Gahlawat, 2018)"},"properties":{"noteIndex":0},"schema":"https://github.com/citation-style-language/schema/raw/master/csl-citation.json"}</w:instrText>
      </w:r>
      <w:r w:rsidRPr="002A7627">
        <w:rPr>
          <w:rFonts w:asciiTheme="majorBidi" w:eastAsia="Times New Roman" w:hAnsiTheme="majorBidi" w:cstheme="majorBidi"/>
        </w:rPr>
        <w:fldChar w:fldCharType="separate"/>
      </w:r>
      <w:r w:rsidRPr="002A7627">
        <w:rPr>
          <w:rFonts w:asciiTheme="majorBidi" w:eastAsia="Times New Roman" w:hAnsiTheme="majorBidi" w:cstheme="majorBidi"/>
          <w:noProof/>
        </w:rPr>
        <w:t>(Kundu &amp; Gahlawat, 2018)</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xml:space="preserve">. Opportunities should be complemented by encouraging interactions among individuals to use these opportunities for knowledge sharing </w:t>
      </w:r>
      <w:r w:rsidRPr="002A7627">
        <w:rPr>
          <w:rFonts w:asciiTheme="majorBidi" w:eastAsia="Times New Roman" w:hAnsiTheme="majorBidi" w:cstheme="majorBidi"/>
        </w:rPr>
        <w:fldChar w:fldCharType="begin" w:fldLock="1"/>
      </w:r>
      <w:r w:rsidRPr="002A7627">
        <w:rPr>
          <w:rFonts w:asciiTheme="majorBidi" w:eastAsia="Times New Roman" w:hAnsiTheme="majorBidi" w:cstheme="majorBidi"/>
        </w:rPr>
        <w:instrText>ADDIN CSL_CITATION {"citationItems":[{"id":"ITEM-1","itemData":{"ISSN":"1099-050X","author":[{"dropping-particle":"","family":"Minbaeva","given":"Dana B","non-dropping-particle":"","parse-names":false,"suffix":""},{"dropping-particle":"","family":"Mäkelä","given":"Kristiina","non-dropping-particle":"","parse-names":false,"suffix":""},{"dropping-particle":"","family":"Rabbiosi","given":"Larissa","non-dropping-particle":"","parse-names":false,"suffix":""}],"container-title":"Human Resource Management","id":"ITEM-1","issue":"3","issued":{"date-parts":[["2012"]]},"page":"387-405","publisher":"Wiley Online Library","title":"Linking HRM and knowledge transfer via individual‐level mechanisms","type":"article-journal","volume":"51"},"uris":["http://www.mendeley.com/documents/?uuid=326574c2-a2b5-4b16-b62b-17af08e5f2d6"]}],"mendeley":{"formattedCitation":"(Minbaeva et al., 2012)","plainTextFormattedCitation":"(Minbaeva et al., 2012)","previouslyFormattedCitation":"(Minbaeva et al., 2012)"},"properties":{"noteIndex":0},"schema":"https://github.com/citation-style-language/schema/raw/master/csl-citation.json"}</w:instrText>
      </w:r>
      <w:r w:rsidRPr="002A7627">
        <w:rPr>
          <w:rFonts w:asciiTheme="majorBidi" w:eastAsia="Times New Roman" w:hAnsiTheme="majorBidi" w:cstheme="majorBidi"/>
        </w:rPr>
        <w:fldChar w:fldCharType="separate"/>
      </w:r>
      <w:r w:rsidRPr="002A7627">
        <w:rPr>
          <w:rFonts w:asciiTheme="majorBidi" w:eastAsia="Times New Roman" w:hAnsiTheme="majorBidi" w:cstheme="majorBidi"/>
          <w:noProof/>
        </w:rPr>
        <w:t>(Minbaeva et al., 2012)</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Organizations should offer the right motivation and enable individuals to take advantage of knowledge sharing opportunities th</w:t>
      </w:r>
      <w:r w:rsidR="002B2012" w:rsidRPr="002A7627">
        <w:rPr>
          <w:rFonts w:asciiTheme="majorBidi" w:eastAsia="Times New Roman" w:hAnsiTheme="majorBidi" w:cstheme="majorBidi"/>
        </w:rPr>
        <w:t>r</w:t>
      </w:r>
      <w:r w:rsidRPr="002A7627">
        <w:rPr>
          <w:rFonts w:asciiTheme="majorBidi" w:eastAsia="Times New Roman" w:hAnsiTheme="majorBidi" w:cstheme="majorBidi"/>
        </w:rPr>
        <w:t xml:space="preserve">ough the use of IT </w:t>
      </w:r>
      <w:r w:rsidRPr="002A7627">
        <w:rPr>
          <w:rFonts w:asciiTheme="majorBidi" w:eastAsia="Times New Roman" w:hAnsiTheme="majorBidi" w:cstheme="majorBidi"/>
        </w:rPr>
        <w:fldChar w:fldCharType="begin" w:fldLock="1"/>
      </w:r>
      <w:r w:rsidRPr="002A7627">
        <w:rPr>
          <w:rFonts w:asciiTheme="majorBidi" w:eastAsia="Times New Roman" w:hAnsiTheme="majorBidi" w:cstheme="majorBidi"/>
        </w:rPr>
        <w:instrText>ADDIN CSL_CITATION {"citationItems":[{"id":"ITEM-1","itemData":{"ISSN":"0001-4273","author":[{"dropping-particle":"","family":"Reinholt","given":"M I A","non-dropping-particle":"","parse-names":false,"suffix":""},{"dropping-particle":"","family":"Pedersen","given":"Torben","non-dropping-particle":"","parse-names":false,"suffix":""},{"dropping-particle":"","family":"Foss","given":"Nicolai J","non-dropping-particle":"","parse-names":false,"suffix":""}],"container-title":"Academy of Management Journal","id":"ITEM-1","issue":"6","issued":{"date-parts":[["2011"]]},"page":"1277-1297","title":"Why a central network position isn't enough: The role of motivation and ability for knowledge sharing in employee networks","type":"article-journal","volume":"54"},"uris":["http://www.mendeley.com/documents/?uuid=fae8512a-6845-4f98-8098-69edd142a7ac"]}],"mendeley":{"formattedCitation":"(Reinholt et al., 2011)","plainTextFormattedCitation":"(Reinholt et al., 2011)","previouslyFormattedCitation":"(Reinholt et al., 2011)"},"properties":{"noteIndex":0},"schema":"https://github.com/citation-style-language/schema/raw/master/csl-citation.json"}</w:instrText>
      </w:r>
      <w:r w:rsidRPr="002A7627">
        <w:rPr>
          <w:rFonts w:asciiTheme="majorBidi" w:eastAsia="Times New Roman" w:hAnsiTheme="majorBidi" w:cstheme="majorBidi"/>
        </w:rPr>
        <w:fldChar w:fldCharType="separate"/>
      </w:r>
      <w:r w:rsidRPr="002A7627">
        <w:rPr>
          <w:rFonts w:asciiTheme="majorBidi" w:eastAsia="Times New Roman" w:hAnsiTheme="majorBidi" w:cstheme="majorBidi"/>
          <w:noProof/>
        </w:rPr>
        <w:t>(Reinholt et al., 2011)</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This study</w:t>
      </w:r>
      <w:r w:rsidR="00054373" w:rsidRPr="002A7627">
        <w:rPr>
          <w:rFonts w:asciiTheme="majorBidi" w:eastAsia="Times New Roman" w:hAnsiTheme="majorBidi" w:cstheme="majorBidi"/>
        </w:rPr>
        <w:t xml:space="preserve"> therefore </w:t>
      </w:r>
      <w:r w:rsidRPr="002A7627">
        <w:rPr>
          <w:rFonts w:asciiTheme="majorBidi" w:eastAsia="Times New Roman" w:hAnsiTheme="majorBidi" w:cstheme="majorBidi"/>
        </w:rPr>
        <w:t>hypothesized:</w:t>
      </w:r>
    </w:p>
    <w:p w14:paraId="6E9D50F2" w14:textId="77777777" w:rsidR="00EE00BF" w:rsidRPr="002A7627" w:rsidRDefault="00EE00BF" w:rsidP="002C4A1A">
      <w:pPr>
        <w:widowControl/>
        <w:autoSpaceDE/>
        <w:autoSpaceDN/>
        <w:adjustRightInd/>
        <w:spacing w:after="160" w:line="480" w:lineRule="auto"/>
        <w:ind w:left="720"/>
        <w:jc w:val="lowKashida"/>
        <w:rPr>
          <w:rFonts w:asciiTheme="majorBidi" w:eastAsiaTheme="minorEastAsia" w:hAnsiTheme="majorBidi" w:cstheme="majorBidi"/>
          <w:color w:val="000000" w:themeColor="text1"/>
          <w:sz w:val="22"/>
          <w:szCs w:val="24"/>
        </w:rPr>
      </w:pPr>
      <w:r w:rsidRPr="002A7627">
        <w:rPr>
          <w:rFonts w:asciiTheme="majorBidi" w:eastAsia="Times New Roman" w:hAnsiTheme="majorBidi" w:cstheme="majorBidi"/>
          <w:b/>
          <w:bCs/>
          <w:szCs w:val="24"/>
        </w:rPr>
        <w:t xml:space="preserve">H4: </w:t>
      </w:r>
      <w:r w:rsidRPr="002A7627">
        <w:rPr>
          <w:rFonts w:asciiTheme="majorBidi" w:eastAsia="Times New Roman" w:hAnsiTheme="majorBidi" w:cstheme="majorBidi"/>
          <w:szCs w:val="24"/>
        </w:rPr>
        <w:t xml:space="preserve">Opportunity-enhancing HR practices have a direct positive relationship with </w:t>
      </w:r>
      <w:r w:rsidRPr="002A7627">
        <w:rPr>
          <w:rFonts w:asciiTheme="majorBidi" w:eastAsiaTheme="minorEastAsia" w:hAnsiTheme="majorBidi" w:cstheme="majorBidi"/>
          <w:szCs w:val="24"/>
        </w:rPr>
        <w:t>knowledge management benefits.</w:t>
      </w:r>
    </w:p>
    <w:p w14:paraId="7516A918" w14:textId="5BAA7678" w:rsidR="00EE00BF" w:rsidRPr="002A7627" w:rsidRDefault="007D7779" w:rsidP="002C4A1A">
      <w:pPr>
        <w:pStyle w:val="AAAAAAA"/>
      </w:pPr>
      <w:bookmarkStart w:id="135" w:name="_Toc13959635"/>
      <w:bookmarkStart w:id="136" w:name="_Toc22331669"/>
      <w:r>
        <w:rPr>
          <w:rStyle w:val="Heading2Char"/>
          <w:color w:val="000000"/>
          <w:u w:val="none"/>
        </w:rPr>
        <w:t xml:space="preserve">3.3.3. </w:t>
      </w:r>
      <w:r w:rsidR="00EE00BF" w:rsidRPr="002A7627">
        <w:rPr>
          <w:rStyle w:val="Heading2Char"/>
          <w:color w:val="000000"/>
          <w:u w:val="none"/>
        </w:rPr>
        <w:t>Ability-enhancing HR practices and knowledge management benefits</w:t>
      </w:r>
      <w:bookmarkEnd w:id="135"/>
      <w:r w:rsidR="002C4A1A" w:rsidRPr="002A7627">
        <w:rPr>
          <w:rStyle w:val="Heading2Char"/>
          <w:color w:val="000000"/>
          <w:u w:val="none"/>
        </w:rPr>
        <w:t>.</w:t>
      </w:r>
      <w:bookmarkEnd w:id="136"/>
      <w:r w:rsidR="002C4A1A" w:rsidRPr="002A7627">
        <w:t xml:space="preserve"> </w:t>
      </w:r>
      <w:r w:rsidR="00EE00BF" w:rsidRPr="002A7627">
        <w:t>Ability-enhancing HR practices are those that develop the skills, knowledge</w:t>
      </w:r>
      <w:r w:rsidR="00715CBC" w:rsidRPr="002A7627">
        <w:t>,</w:t>
      </w:r>
      <w:r w:rsidR="00EE00BF" w:rsidRPr="002A7627">
        <w:t xml:space="preserve"> and experiences of employees, for example, training </w:t>
      </w:r>
      <w:r w:rsidR="00E24626" w:rsidRPr="002A7627">
        <w:rPr>
          <w:noProof/>
        </w:rPr>
        <w:t>(Cohen &amp; Levinthal, 1990)</w:t>
      </w:r>
      <w:r w:rsidR="00EE00BF" w:rsidRPr="002A7627">
        <w:t>. Previous studies have investigated individual characteristics in relation to opportunity, motivation</w:t>
      </w:r>
      <w:r w:rsidR="00715CBC" w:rsidRPr="002A7627">
        <w:t>,</w:t>
      </w:r>
      <w:r w:rsidR="00EE00BF" w:rsidRPr="002A7627">
        <w:t xml:space="preserve"> and abilities </w:t>
      </w:r>
      <w:r w:rsidR="00EE00BF" w:rsidRPr="002A7627">
        <w:fldChar w:fldCharType="begin" w:fldLock="1"/>
      </w:r>
      <w:r w:rsidR="00EE00BF" w:rsidRPr="002A7627">
        <w:instrText>ADDIN CSL_CITATION {"citationItems":[{"id":"ITEM-1","itemData":{"ISSN":"0001-4273","author":[{"dropping-particle":"","family":"Chang","given":"Yi-Ying","non-dropping-particle":"","parse-names":false,"suffix":""},{"dropping-particle":"","family":"Gong","given":"Yaping","non-dropping-particle":"","parse-names":false,"suffix":""},{"dropping-particle":"","family":"Peng","given":"Mike W","non-dropping-particle":"","parse-names":false,"suffix":""}],"container-title":"Academy of Management Journal","id":"ITEM-1","issue":"4","issued":{"date-parts":[["2012"]]},"page":"927-948","publisher":"Academy of Management","title":"Expatriate knowledge transfer, subsidiary absorptive capacity, and subsidiary performance","type":"article-journal","volume":"55"},"uris":["http://www.mendeley.com/documents/?uuid=ed50bce8-3265-41ee-93e8-6fff6b47fbb9"]},{"id":"ITEM-2","itemData":{"ISSN":"0001-4273","author":[{"dropping-particle":"","family":"Reinholt","given":"M I A","non-dropping-particle":"","parse-names":false,"suffix":""},{"dropping-particle":"","family":"Pedersen","given":"Torben","non-dropping-particle":"","parse-names":false,"suffix":""},{"dropping-particle":"","family":"Foss","given":"Nicolai J","non-dropping-particle":"","parse-names":false,"suffix":""}],"container-title":"Academy of Management Journal","id":"ITEM-2","issue":"6","issued":{"date-parts":[["2011"]]},"page":"1277-1297","title":"Why a central network position isn't enough: The role of motivation and ability for knowledge sharing in employee networks","type":"article-journal","volume":"54"},"uris":["http://www.mendeley.com/documents/?uuid=fae8512a-6845-4f98-8098-69edd142a7ac"]}],"mendeley":{"formattedCitation":"(Chang, Gong, &amp; Peng, 2012; Reinholt et al., 2011)","plainTextFormattedCitation":"(Chang, Gong, &amp; Peng, 2012; Reinholt et al., 2011)","previouslyFormattedCitation":"(Chang, Gong, &amp; Peng, 2012; Reinholt et al., 2011)"},"properties":{"noteIndex":0},"schema":"https://github.com/citation-style-language/schema/raw/master/csl-citation.json"}</w:instrText>
      </w:r>
      <w:r w:rsidR="00EE00BF" w:rsidRPr="002A7627">
        <w:fldChar w:fldCharType="separate"/>
      </w:r>
      <w:r w:rsidR="00EE00BF" w:rsidRPr="002A7627">
        <w:rPr>
          <w:noProof/>
        </w:rPr>
        <w:t>(Chang, Gong, &amp; Peng, 2012; Reinholt et al., 2011)</w:t>
      </w:r>
      <w:r w:rsidR="00EE00BF" w:rsidRPr="002A7627">
        <w:fldChar w:fldCharType="end"/>
      </w:r>
      <w:r w:rsidR="00EE00BF" w:rsidRPr="002A7627">
        <w:t xml:space="preserve">. Chang et al. </w:t>
      </w:r>
      <w:r w:rsidR="00EE00BF" w:rsidRPr="002A7627">
        <w:fldChar w:fldCharType="begin" w:fldLock="1"/>
      </w:r>
      <w:r w:rsidR="00EE00BF" w:rsidRPr="002A7627">
        <w:instrText>ADDIN CSL_CITATION {"citationItems":[{"id":"ITEM-1","itemData":{"ISSN":"0001-4273","author":[{"dropping-particle":"","family":"Chang","given":"Yi-Ying","non-dropping-particle":"","parse-names":false,"suffix":""},{"dropping-particle":"","family":"Gong","given":"Yaping","non-dropping-particle":"","parse-names":false,"suffix":""},{"dropping-particle":"","family":"Peng","given":"Mike W","non-dropping-particle":"","parse-names":false,"suffix":""}],"container-title":"Academy of Management Journal","id":"ITEM-1","issue":"4","issued":{"date-parts":[["2012"]]},"page":"927-948","publisher":"Academy of Management","title":"Expatriate knowledge transfer, subsidiary absorptive capacity, and subsidiary performance","type":"article-journal","volume":"55"},"suppress-author":1,"uris":["http://www.mendeley.com/documents/?uuid=ed50bce8-3265-41ee-93e8-6fff6b47fbb9"]}],"mendeley":{"formattedCitation":"(2012)","plainTextFormattedCitation":"(2012)","previouslyFormattedCitation":"(2012)"},"properties":{"noteIndex":0},"schema":"https://github.com/citation-style-language/schema/raw/master/csl-citation.json"}</w:instrText>
      </w:r>
      <w:r w:rsidR="00EE00BF" w:rsidRPr="002A7627">
        <w:fldChar w:fldCharType="separate"/>
      </w:r>
      <w:r w:rsidR="00EE00BF" w:rsidRPr="002A7627">
        <w:rPr>
          <w:noProof/>
        </w:rPr>
        <w:t>(2012)</w:t>
      </w:r>
      <w:r w:rsidR="00EE00BF" w:rsidRPr="002A7627">
        <w:fldChar w:fldCharType="end"/>
      </w:r>
      <w:r w:rsidR="00EE00BF" w:rsidRPr="002A7627">
        <w:t xml:space="preserve"> found that the three dimensions of competencies, abilities, motivation</w:t>
      </w:r>
      <w:r w:rsidR="00715CBC" w:rsidRPr="002A7627">
        <w:t>,</w:t>
      </w:r>
      <w:r w:rsidR="00EE00BF" w:rsidRPr="002A7627">
        <w:t xml:space="preserve"> and opportunity, affected firm performance through absorptive capacity as a moderator, and knowledge received as a mediator. The capabilities of individuals could take different forms such as ability to learn and obtain new knowledge </w:t>
      </w:r>
      <w:r w:rsidR="00E24626" w:rsidRPr="002A7627">
        <w:rPr>
          <w:rFonts w:eastAsiaTheme="minorEastAsia"/>
          <w:noProof/>
        </w:rPr>
        <w:t>(Cohen &amp; Levinthal, 1990)</w:t>
      </w:r>
      <w:r w:rsidR="00EE00BF" w:rsidRPr="002A7627">
        <w:rPr>
          <w:rFonts w:eastAsiaTheme="minorEastAsia"/>
        </w:rPr>
        <w:t xml:space="preserve">, ability to express knowledge </w:t>
      </w:r>
      <w:r w:rsidR="00EE00BF" w:rsidRPr="002A7627">
        <w:fldChar w:fldCharType="begin" w:fldLock="1"/>
      </w:r>
      <w:r w:rsidR="00EE00BF" w:rsidRPr="002A7627">
        <w:instrText>ADDIN CSL_CITATION {"citationItems":[{"id":"ITEM-1","itemData":{"ISSN":"1367-3270","author":[{"dropping-particle":"","family":"Gavrilova","given":"Tatiana","non-dropping-particle":"","parse-names":false,"suffix":""},{"dropping-particle":"","family":"Andreeva","given":"Tatiana","non-dropping-particle":"","parse-names":false,"suffix":""}],"container-title":"Journal of Knowledge Management","id":"ITEM-1","issue":"4","issued":{"date-parts":[["2012"]]},"page":"523-537","title":"Knowledge elicitation techniques in a knowledge management context","type":"article-journal","volume":"16"},"uris":["http://www.mendeley.com/documents/?uuid=2113303f-0e0b-495a-9fae-bbc1ce4cdb3a"]}],"mendeley":{"formattedCitation":"(Gavrilova &amp; Andreeva, 2012)","plainTextFormattedCitation":"(Gavrilova &amp; Andreeva, 2012)","previouslyFormattedCitation":"(Gavrilova &amp; Andreeva, 2012)"},"properties":{"noteIndex":0},"schema":"https://github.com/citation-style-language/schema/raw/master/csl-citation.json"}</w:instrText>
      </w:r>
      <w:r w:rsidR="00EE00BF" w:rsidRPr="002A7627">
        <w:fldChar w:fldCharType="separate"/>
      </w:r>
      <w:r w:rsidR="00EE00BF" w:rsidRPr="002A7627">
        <w:rPr>
          <w:noProof/>
        </w:rPr>
        <w:t>(Gavrilova &amp; Andreeva, 2012)</w:t>
      </w:r>
      <w:r w:rsidR="00EE00BF" w:rsidRPr="002A7627">
        <w:fldChar w:fldCharType="end"/>
      </w:r>
      <w:r w:rsidR="00EE00BF" w:rsidRPr="002A7627">
        <w:t xml:space="preserve"> and self-efficacy of knowledge sharing </w:t>
      </w:r>
      <w:r w:rsidR="00EE00BF" w:rsidRPr="002A7627">
        <w:fldChar w:fldCharType="begin" w:fldLock="1"/>
      </w:r>
      <w:r w:rsidR="00E24626" w:rsidRPr="002A7627">
        <w:instrText>ADDIN CSL_CITATION {"citationItems":[{"id":"ITEM-1","itemData":{"ISSN":"0167-9236","author":[{"dropping-particle":"","family":"Chiu","given":"Chao-Min","non-dropping-particle":"","parse-names":false,"suffix":""},{"dropping-particle":"","family":"Hsu","given":"Meng-Hsiang","non-dropping-particle":"","parse-names":false,"suffix":""},{"dropping-particle":"","family":"Wang","given":"Eric T G","non-dropping-particle":"","parse-names":false,"suffix":""}],"container-title":"Decision Support Systems","id":"ITEM-1","issue":"3","issued":{"date-parts":[["2006"]]},"page":"1872-1888","title":"Understanding knowledge sharing in virtual communities: An integration of social capital and social cognitive theories","type":"article-journal","volume":"42"},"uris":["http://www.mendeley.com/documents/?uuid=e616c4cf-7721-40e4-96b2-e7017650a9ad"]}],"mendeley":{"formattedCitation":"(Chiu, Hsu, &amp; Wang, 2006)","plainTextFormattedCitation":"(Chiu, Hsu, &amp; Wang, 2006)","previouslyFormattedCitation":"(Chiu, Hsu, &amp; Wang, 2006)"},"properties":{"noteIndex":0},"schema":"https://github.com/citation-style-language/schema/raw/master/csl-citation.json"}</w:instrText>
      </w:r>
      <w:r w:rsidR="00EE00BF" w:rsidRPr="002A7627">
        <w:fldChar w:fldCharType="separate"/>
      </w:r>
      <w:r w:rsidR="00EE00BF" w:rsidRPr="002A7627">
        <w:rPr>
          <w:noProof/>
        </w:rPr>
        <w:t>(Chiu, Hsu, &amp; Wang, 2006)</w:t>
      </w:r>
      <w:r w:rsidR="00EE00BF" w:rsidRPr="002A7627">
        <w:fldChar w:fldCharType="end"/>
      </w:r>
      <w:r w:rsidR="00EE00BF" w:rsidRPr="002A7627">
        <w:t xml:space="preserve">. </w:t>
      </w:r>
      <w:r w:rsidR="00EE00BF" w:rsidRPr="00F12187">
        <w:rPr>
          <w:color w:val="000000" w:themeColor="text1"/>
        </w:rPr>
        <w:t>Training</w:t>
      </w:r>
      <w:r w:rsidR="00D61D84" w:rsidRPr="00F12187">
        <w:rPr>
          <w:color w:val="000000" w:themeColor="text1"/>
        </w:rPr>
        <w:t xml:space="preserve"> </w:t>
      </w:r>
      <w:r w:rsidR="00902DB0" w:rsidRPr="00F12187">
        <w:rPr>
          <w:color w:val="000000" w:themeColor="text1"/>
        </w:rPr>
        <w:t xml:space="preserve">employees </w:t>
      </w:r>
      <w:r w:rsidR="00EE00BF" w:rsidRPr="00F12187">
        <w:rPr>
          <w:color w:val="000000" w:themeColor="text1"/>
        </w:rPr>
        <w:t xml:space="preserve">to enhance </w:t>
      </w:r>
      <w:r w:rsidR="00F474FA" w:rsidRPr="00F12187">
        <w:rPr>
          <w:color w:val="000000" w:themeColor="text1"/>
        </w:rPr>
        <w:t xml:space="preserve">their </w:t>
      </w:r>
      <w:r w:rsidR="00EE00BF" w:rsidRPr="00F12187">
        <w:rPr>
          <w:color w:val="000000" w:themeColor="text1"/>
        </w:rPr>
        <w:t>skills affect</w:t>
      </w:r>
      <w:r w:rsidR="00F474FA" w:rsidRPr="00F12187">
        <w:rPr>
          <w:color w:val="000000" w:themeColor="text1"/>
        </w:rPr>
        <w:t>ed</w:t>
      </w:r>
      <w:r w:rsidR="00EE00BF" w:rsidRPr="00F12187">
        <w:rPr>
          <w:color w:val="000000" w:themeColor="text1"/>
        </w:rPr>
        <w:t xml:space="preserve"> </w:t>
      </w:r>
      <w:r w:rsidR="00D61D84" w:rsidRPr="00F12187">
        <w:rPr>
          <w:color w:val="000000" w:themeColor="text1"/>
        </w:rPr>
        <w:t>their motivation</w:t>
      </w:r>
      <w:r w:rsidR="00EE00BF" w:rsidRPr="00F12187">
        <w:rPr>
          <w:color w:val="000000" w:themeColor="text1"/>
        </w:rPr>
        <w:t xml:space="preserve"> t</w:t>
      </w:r>
      <w:r w:rsidR="00EE00BF" w:rsidRPr="002A7627">
        <w:t xml:space="preserve">o share knowledge </w:t>
      </w:r>
      <w:r w:rsidR="00EE00BF" w:rsidRPr="002A7627">
        <w:fldChar w:fldCharType="begin" w:fldLock="1"/>
      </w:r>
      <w:r w:rsidR="00E24626" w:rsidRPr="002A7627">
        <w:instrText>ADDIN CSL_CITATION {"citationItems":[{"id":"ITEM-1","itemData":{"ISSN":"1939-1854","author":[{"dropping-particle":"","family":"Tannenbaum","given":"Scott I","non-dropping-particle":"","parse-names":false,"suffix":""},{"dropping-particle":"","family":"Mathieu","given":"John E","non-dropping-particle":"","parse-names":false,"suffix":""},{"dropping-particle":"","family":"Salas","given":"Eduardo","non-dropping-particle":"","parse-names":false,"suffix":""},{"dropping-particle":"","family":"Cannon-Bowers","given":"Janis A","non-dropping-particle":"","parse-names":false,"suffix":""}],"container-title":"Journal of applied psychology","id":"ITEM-1","issue":"6","issued":{"date-parts":[["1991"]]},"page":"759","title":"Meeting trainees' expectations: The influence of training fulfillment on the development of commitment, self-efficacy, and motivation.","type":"article-journal","volume":"76"},"uris":["http://www.mendeley.com/documents/?uuid=08b9835f-bdaa-4bee-8c88-541899b7e23f"]}],"mendeley":{"formattedCitation":"(Tannenbaum, Mathieu, Salas, &amp; Cannon-Bowers, 1991)","plainTextFormattedCitation":"(Tannenbaum, Mathieu, Salas, &amp; Cannon-Bowers, 1991)","previouslyFormattedCitation":"(Tannenbaum, Mathieu, Salas, &amp; Cannon-Bowers, 1991)"},"properties":{"noteIndex":0},"schema":"https://github.com/citation-style-language/schema/raw/master/csl-citation.json"}</w:instrText>
      </w:r>
      <w:r w:rsidR="00EE00BF" w:rsidRPr="002A7627">
        <w:fldChar w:fldCharType="separate"/>
      </w:r>
      <w:r w:rsidR="00EE00BF" w:rsidRPr="002A7627">
        <w:rPr>
          <w:noProof/>
        </w:rPr>
        <w:t>(Tannenbaum, Mathieu, Salas, &amp; Cannon-Bowers, 1991)</w:t>
      </w:r>
      <w:r w:rsidR="00EE00BF" w:rsidRPr="002A7627">
        <w:fldChar w:fldCharType="end"/>
      </w:r>
      <w:r w:rsidR="00EE00BF" w:rsidRPr="002A7627">
        <w:t xml:space="preserve">. </w:t>
      </w:r>
    </w:p>
    <w:p w14:paraId="0161F875" w14:textId="2B43B513" w:rsidR="00EE00BF" w:rsidRPr="0093656B" w:rsidRDefault="00EE00BF" w:rsidP="0093656B">
      <w:pPr>
        <w:pStyle w:val="AAAAAAA"/>
      </w:pPr>
      <w:r w:rsidRPr="002A7627">
        <w:rPr>
          <w:rFonts w:asciiTheme="majorBidi" w:eastAsia="Times New Roman" w:hAnsiTheme="majorBidi" w:cstheme="majorBidi"/>
        </w:rPr>
        <w:t xml:space="preserve">The intellectual ability of a team can be represented by the team leader’s </w:t>
      </w:r>
      <w:r w:rsidR="00F474FA">
        <w:rPr>
          <w:rFonts w:asciiTheme="majorBidi" w:eastAsia="Times New Roman" w:hAnsiTheme="majorBidi" w:cstheme="majorBidi"/>
        </w:rPr>
        <w:t>‘</w:t>
      </w:r>
      <w:r w:rsidRPr="002A7627">
        <w:rPr>
          <w:rFonts w:asciiTheme="majorBidi" w:eastAsia="Times New Roman" w:hAnsiTheme="majorBidi" w:cstheme="majorBidi"/>
        </w:rPr>
        <w:t>A-shaped</w:t>
      </w:r>
      <w:r w:rsidR="00F474FA">
        <w:rPr>
          <w:rFonts w:asciiTheme="majorBidi" w:eastAsia="Times New Roman" w:hAnsiTheme="majorBidi" w:cstheme="majorBidi"/>
        </w:rPr>
        <w:t>’</w:t>
      </w:r>
      <w:r w:rsidRPr="002A7627">
        <w:rPr>
          <w:rFonts w:asciiTheme="majorBidi" w:eastAsia="Times New Roman" w:hAnsiTheme="majorBidi" w:cstheme="majorBidi"/>
        </w:rPr>
        <w:t xml:space="preserve"> skills and team members’ </w:t>
      </w:r>
      <w:r w:rsidR="00F474FA">
        <w:rPr>
          <w:rFonts w:asciiTheme="majorBidi" w:eastAsia="Times New Roman" w:hAnsiTheme="majorBidi" w:cstheme="majorBidi"/>
        </w:rPr>
        <w:t>‘</w:t>
      </w:r>
      <w:r w:rsidRPr="002A7627">
        <w:rPr>
          <w:rFonts w:asciiTheme="majorBidi" w:eastAsia="Times New Roman" w:hAnsiTheme="majorBidi" w:cstheme="majorBidi"/>
        </w:rPr>
        <w:t>T-shaped</w:t>
      </w:r>
      <w:r w:rsidR="00F474FA">
        <w:rPr>
          <w:rFonts w:asciiTheme="majorBidi" w:eastAsia="Times New Roman" w:hAnsiTheme="majorBidi" w:cstheme="majorBidi"/>
        </w:rPr>
        <w:t>’</w:t>
      </w:r>
      <w:r w:rsidRPr="002A7627">
        <w:rPr>
          <w:rFonts w:asciiTheme="majorBidi" w:eastAsia="Times New Roman" w:hAnsiTheme="majorBidi" w:cstheme="majorBidi"/>
        </w:rPr>
        <w:t xml:space="preserve"> skills. </w:t>
      </w:r>
      <w:r w:rsidRPr="002A7627">
        <w:t xml:space="preserve">These skills focus on two directions: vertical and horizontal. Individuals with </w:t>
      </w:r>
      <w:r w:rsidR="0093656B">
        <w:t xml:space="preserve">A-shaped skills have both knowledge and expertise and it is preferable for people in leadership positions. People with </w:t>
      </w:r>
      <w:r w:rsidR="00F12187">
        <w:t>T-shaped</w:t>
      </w:r>
      <w:r w:rsidR="00F12187" w:rsidRPr="002A7627">
        <w:t xml:space="preserve"> </w:t>
      </w:r>
      <w:r w:rsidRPr="002A7627">
        <w:t xml:space="preserve">skills can retain useful knowledge and also cooperate with other members of the team. They can use both theoretical and practical knowledge to generate productive conversation with colleagues </w:t>
      </w:r>
      <w:r w:rsidRPr="002A7627">
        <w:fldChar w:fldCharType="begin" w:fldLock="1"/>
      </w:r>
      <w:r w:rsidRPr="002A7627">
        <w:instrText>ADDIN CSL_CITATION {"citationItems":[{"id":"ITEM-1","itemData":{"DOI":"10.2307/1252283","ISSN":"00222429","abstract":"Because new product development (NPD) teams are engaged in knowledge creation, NPD management should emphasize cognitive team processes rather than purely social processes. Using the notions of tacit knowledge and distributed cognition as a basis, the authors propose that the T-shaped skills, shared mental models, and NPD routines of team members, as well as the A-shaped skills of the team leader, are key design variables when creating NPD teams. The authors propose that trust in team orientation, trust in technical competence, information redun- dancy, and rich personal interaction are important process variables for the effective and efficient creation of new knowledge.","author":[{"dropping-particle":"","family":"Madhavan","given":"Ravindranath","non-dropping-particle":"","parse-names":false,"suffix":""},{"dropping-particle":"","family":"Grover","given":"Rajiv","non-dropping-particle":"","parse-names":false,"suffix":""}],"container-title":"Journal of Marketing","id":"ITEM-1","issue":"4","issued":{"date-parts":[["1998","10"]]},"page":"1","title":"From Embedded Knowledge to Embodied Knowledge: New Product Development as Knowledge Management","type":"article-journal","volume":"62"},"uris":["http://www.mendeley.com/documents/?uuid=6ef9f24f-279d-4ce2-8e56-24bf2bb948b9"]}],"mendeley":{"formattedCitation":"(Madhavan &amp; Grover, 1998)","plainTextFormattedCitation":"(Madhavan &amp; Grover, 1998)","previouslyFormattedCitation":"(Madhavan &amp; Grover, 1998)"},"properties":{"noteIndex":0},"schema":"https://github.com/citation-style-language/schema/raw/master/csl-citation.json"}</w:instrText>
      </w:r>
      <w:r w:rsidRPr="002A7627">
        <w:fldChar w:fldCharType="separate"/>
      </w:r>
      <w:r w:rsidRPr="002A7627">
        <w:rPr>
          <w:noProof/>
        </w:rPr>
        <w:t>(Madhavan &amp; Grover, 1998)</w:t>
      </w:r>
      <w:r w:rsidRPr="002A7627">
        <w:fldChar w:fldCharType="end"/>
      </w:r>
      <w:r w:rsidRPr="002A7627">
        <w:t xml:space="preserve">. </w:t>
      </w:r>
      <w:r w:rsidRPr="002A7627">
        <w:rPr>
          <w:rFonts w:asciiTheme="majorBidi" w:eastAsia="Times New Roman" w:hAnsiTheme="majorBidi" w:cstheme="majorBidi"/>
        </w:rPr>
        <w:t xml:space="preserve">T-shaped skills </w:t>
      </w:r>
      <w:r w:rsidRPr="002A7627">
        <w:rPr>
          <w:rFonts w:asciiTheme="majorBidi" w:eastAsia="Times New Roman" w:hAnsiTheme="majorBidi" w:cstheme="majorBidi"/>
        </w:rPr>
        <w:fldChar w:fldCharType="begin" w:fldLock="1"/>
      </w:r>
      <w:r w:rsidRPr="002A7627">
        <w:rPr>
          <w:rFonts w:asciiTheme="majorBidi" w:eastAsia="Times New Roman" w:hAnsiTheme="majorBidi" w:cstheme="majorBidi"/>
        </w:rPr>
        <w:instrText>ADDIN CSL_CITATION {"citationItems":[{"id":"ITEM-1","itemData":{"DOI":"10.2307/1252283","ISSN":"00222429","abstract":"Because new product development (NPD) teams are engaged in knowledge creation, NPD management should emphasize cognitive team processes rather than purely social processes. Using the notions of tacit knowledge and distributed cognition as a basis, the authors propose that the T-shaped skills, shared mental models, and NPD routines of team members, as well as the A-shaped skills of the team leader, are key design variables when creating NPD teams. The authors propose that trust in team orientation, trust in technical competence, information redun- dancy, and rich personal interaction are important process variables for the effective and efficient creation of new knowledge.","author":[{"dropping-particle":"","family":"Madhavan","given":"Ravindranath","non-dropping-particle":"","parse-names":false,"suffix":""},{"dropping-particle":"","family":"Grover","given":"Rajiv","non-dropping-particle":"","parse-names":false,"suffix":""}],"container-title":"Journal of Marketing","id":"ITEM-1","issue":"4","issued":{"date-parts":[["1998","10"]]},"page":"1","title":"From Embedded Knowledge to Embodied Knowledge: New Product Development as Knowledge Management","type":"article-journal","volume":"62"},"uris":["http://www.mendeley.com/documents/?uuid=6ef9f24f-279d-4ce2-8e56-24bf2bb948b9"]}],"mendeley":{"formattedCitation":"(Madhavan &amp; Grover, 1998)","plainTextFormattedCitation":"(Madhavan &amp; Grover, 1998)","previouslyFormattedCitation":"(Madhavan &amp; Grover, 1998)"},"properties":{"noteIndex":0},"schema":"https://github.com/citation-style-language/schema/raw/master/csl-citation.json"}</w:instrText>
      </w:r>
      <w:r w:rsidRPr="002A7627">
        <w:rPr>
          <w:rFonts w:asciiTheme="majorBidi" w:eastAsia="Times New Roman" w:hAnsiTheme="majorBidi" w:cstheme="majorBidi"/>
        </w:rPr>
        <w:fldChar w:fldCharType="separate"/>
      </w:r>
      <w:r w:rsidRPr="002A7627">
        <w:rPr>
          <w:rFonts w:asciiTheme="majorBidi" w:eastAsia="Times New Roman" w:hAnsiTheme="majorBidi" w:cstheme="majorBidi"/>
          <w:noProof/>
        </w:rPr>
        <w:t>(Madhavan &amp; Grover, 1998)</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xml:space="preserve"> enhance innovation and organizational performance </w:t>
      </w:r>
      <w:r w:rsidRPr="002A7627">
        <w:rPr>
          <w:rFonts w:asciiTheme="majorBidi" w:eastAsia="Times New Roman" w:hAnsiTheme="majorBidi" w:cstheme="majorBidi"/>
        </w:rPr>
        <w:fldChar w:fldCharType="begin" w:fldLock="1"/>
      </w:r>
      <w:r w:rsidR="00E24626" w:rsidRPr="002A7627">
        <w:rPr>
          <w:rFonts w:asciiTheme="majorBidi" w:eastAsia="Times New Roman" w:hAnsiTheme="majorBidi" w:cstheme="majorBidi"/>
        </w:rPr>
        <w:instrText>ADDIN CSL_CITATION {"citationItems":[{"id":"ITEM-1","itemData":{"DOI":"10.1080/23311975.2016.1153768","ISSN":"2331-1975","abstract":"This study examines the moderating role of technology uncertainty on the\\nrelationship between team contextual factors of top management support\\nand T-shaped skills with innovation speed. For the purpose of this\\nstudy, the data were collected from 227 new products from 147\\nbiotechnology firms in Malaysia. The overall results confirmed the\\nmoderating effect of technology uncertainty on the relationship between\\nT-shaped skills, as well as top management support with innovation\\nspeed. The results further confirmed that under the high technology\\nuncertainty, this effect is higher in comparison to the low and medium\\nuncertainty. This indicates that the effect of top management support\\nand T-shaped skills on innovation speed improves when technology\\nuncertainty increases. On the practical side, the report equips biotech\\nfirms with valuable insights to develop effective strategies.","author":[{"dropping-particle":"","family":"Hamdi","given":"Shabnam","non-dropping-particle":"","parse-names":false,"suffix":""},{"dropping-particle":"","family":"Silong","given":"Abu Daud","non-dropping-particle":"","parse-names":false,"suffix":""},{"dropping-particle":"","family":"Binti Omar","given":"Zoharah","non-dropping-particle":"","parse-names":false,"suffix":""},{"dropping-particle":"","family":"Mohd Rasdi","given":"Roziah","non-dropping-particle":"","parse-names":false,"suffix":""}],"container-title":"Cogent Business &amp; Management","editor":[{"dropping-particle":"","family":"Nisar","given":"Tahir","non-dropping-particle":"","parse-names":false,"suffix":""}],"id":"ITEM-1","issue":"1","issued":{"date-parts":[["2016","3","28"]]},"page":"1153768","title":"Impact of T-shaped skill and top management support on innovation speed; the moderating role of technology uncertainty","type":"article-journal","volume":"3"},"uris":["http://www.mendeley.com/documents/?uuid=2beeface-aac2-4f44-b6f5-ac0603672a2e"]}],"mendeley":{"formattedCitation":"(Hamdi, Silong, Binti Omar, &amp; Mohd Rasdi, 2016)","plainTextFormattedCitation":"(Hamdi, Silong, Binti Omar, &amp; Mohd Rasdi, 2016)","previouslyFormattedCitation":"(Hamdi, Silong, Binti Omar, &amp; Mohd Rasdi, 2016)"},"properties":{"noteIndex":0},"schema":"https://github.com/citation-style-language/schema/raw/master/csl-citation.json"}</w:instrText>
      </w:r>
      <w:r w:rsidRPr="002A7627">
        <w:rPr>
          <w:rFonts w:asciiTheme="majorBidi" w:eastAsia="Times New Roman" w:hAnsiTheme="majorBidi" w:cstheme="majorBidi"/>
        </w:rPr>
        <w:fldChar w:fldCharType="separate"/>
      </w:r>
      <w:r w:rsidRPr="002A7627">
        <w:rPr>
          <w:rFonts w:asciiTheme="majorBidi" w:eastAsia="Times New Roman" w:hAnsiTheme="majorBidi" w:cstheme="majorBidi"/>
          <w:noProof/>
        </w:rPr>
        <w:t>(Hamdi, Silong, Binti Omar, &amp; Mohd Rasdi, 2016)</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xml:space="preserve">. </w:t>
      </w:r>
      <w:r w:rsidR="00F474FA">
        <w:rPr>
          <w:rFonts w:asciiTheme="majorBidi" w:eastAsia="Times New Roman" w:hAnsiTheme="majorBidi" w:cstheme="majorBidi"/>
        </w:rPr>
        <w:t>They</w:t>
      </w:r>
      <w:r w:rsidRPr="002A7627">
        <w:rPr>
          <w:rFonts w:asciiTheme="majorBidi" w:eastAsia="Times New Roman" w:hAnsiTheme="majorBidi" w:cstheme="majorBidi"/>
        </w:rPr>
        <w:t xml:space="preserve"> can </w:t>
      </w:r>
      <w:r w:rsidR="00F474FA">
        <w:rPr>
          <w:rFonts w:asciiTheme="majorBidi" w:eastAsia="Times New Roman" w:hAnsiTheme="majorBidi" w:cstheme="majorBidi"/>
        </w:rPr>
        <w:t xml:space="preserve">also </w:t>
      </w:r>
      <w:r w:rsidRPr="002A7627">
        <w:rPr>
          <w:rFonts w:asciiTheme="majorBidi" w:eastAsia="Times New Roman" w:hAnsiTheme="majorBidi" w:cstheme="majorBidi"/>
        </w:rPr>
        <w:t>be related to knowledge management because a team with T-shaped skills is better able to understand a variety of new information, update current knowledge and apply it to develop product</w:t>
      </w:r>
      <w:r w:rsidR="00F474FA">
        <w:rPr>
          <w:rFonts w:asciiTheme="majorBidi" w:eastAsia="Times New Roman" w:hAnsiTheme="majorBidi" w:cstheme="majorBidi"/>
        </w:rPr>
        <w:t>s and</w:t>
      </w:r>
      <w:r w:rsidRPr="002A7627">
        <w:rPr>
          <w:rFonts w:asciiTheme="majorBidi" w:eastAsia="Times New Roman" w:hAnsiTheme="majorBidi" w:cstheme="majorBidi"/>
        </w:rPr>
        <w:t xml:space="preserve"> process</w:t>
      </w:r>
      <w:r w:rsidR="00F474FA">
        <w:rPr>
          <w:rFonts w:asciiTheme="majorBidi" w:eastAsia="Times New Roman" w:hAnsiTheme="majorBidi" w:cstheme="majorBidi"/>
        </w:rPr>
        <w:t>es</w:t>
      </w:r>
      <w:r w:rsidRPr="002A7627">
        <w:rPr>
          <w:rFonts w:asciiTheme="majorBidi" w:eastAsia="Times New Roman" w:hAnsiTheme="majorBidi" w:cstheme="majorBidi"/>
        </w:rPr>
        <w:t xml:space="preserve"> </w:t>
      </w:r>
      <w:r w:rsidRPr="002A7627">
        <w:rPr>
          <w:rFonts w:asciiTheme="majorBidi" w:eastAsia="Times New Roman" w:hAnsiTheme="majorBidi" w:cstheme="majorBidi"/>
        </w:rPr>
        <w:fldChar w:fldCharType="begin" w:fldLock="1"/>
      </w:r>
      <w:r w:rsidR="00151878" w:rsidRPr="002A7627">
        <w:rPr>
          <w:rFonts w:asciiTheme="majorBidi" w:eastAsia="Times New Roman" w:hAnsiTheme="majorBidi" w:cstheme="majorBidi"/>
        </w:rPr>
        <w:instrText>ADDIN CSL_CITATION {"citationItems":[{"id":"ITEM-1","itemData":{"DOI":"10.1016/j.phpro.2012.03.213","ISSN":"18753892","abstract":"The aim of this paper is to analyze the R&amp;D alliances’ effect on technological innovation. There are many factors that have effect on technological innovation, but few empirical literatures have studied R&amp;D alliances. After reviewing related literature, we propose some hypotheses and test them with a sample of 504 small and medium enterprises that have carried out R&amp;D activities and joined in R&amp;D alliances. The results indicate that, for small and medium enterprises, participating in R&amp;D alliances is good for technological innovation. Moreover, capital investment and human resource has positive impacts on innovation, but which industry that enterprises belong to has no effect.","author":[{"dropping-particle":"","family":"Zhang","given":"Minghong","non-dropping-particle":"","parse-names":false,"suffix":""},{"dropping-particle":"","family":"Yin","given":"Xinke","non-dropping-particle":"","parse-names":false,"suffix":""}],"container-title":"Physics Procedia","id":"ITEM-1","issued":{"date-parts":[["2012"]]},"page":"1155-1161","title":"The effect of R&amp;D alliances on the speed of innovation: Evidence from Chinese SMEs","type":"article-journal","volume":"25"},"uris":["http://www.mendeley.com/documents/?uuid=ae065911-0bf5-4a21-b814-b69f11c796cc"]}],"mendeley":{"formattedCitation":"(M. Zhang &amp; Yin, 2012)","manualFormatting":"(Zhang &amp; Yin, 2012)","plainTextFormattedCitation":"(M. Zhang &amp; Yin, 2012)","previouslyFormattedCitation":"(M. Zhang &amp; Yin, 2012)"},"properties":{"noteIndex":0},"schema":"https://github.com/citation-style-language/schema/raw/master/csl-citation.json"}</w:instrText>
      </w:r>
      <w:r w:rsidRPr="002A7627">
        <w:rPr>
          <w:rFonts w:asciiTheme="majorBidi" w:eastAsia="Times New Roman" w:hAnsiTheme="majorBidi" w:cstheme="majorBidi"/>
        </w:rPr>
        <w:fldChar w:fldCharType="separate"/>
      </w:r>
      <w:r w:rsidRPr="002A7627">
        <w:rPr>
          <w:rFonts w:asciiTheme="majorBidi" w:eastAsia="Times New Roman" w:hAnsiTheme="majorBidi" w:cstheme="majorBidi"/>
          <w:noProof/>
        </w:rPr>
        <w:t xml:space="preserve">(Zhang </w:t>
      </w:r>
      <w:r w:rsidR="00151878" w:rsidRPr="002A7627">
        <w:rPr>
          <w:rFonts w:asciiTheme="majorBidi" w:eastAsia="Times New Roman" w:hAnsiTheme="majorBidi" w:cstheme="majorBidi"/>
          <w:noProof/>
        </w:rPr>
        <w:t>&amp;</w:t>
      </w:r>
      <w:r w:rsidRPr="002A7627">
        <w:rPr>
          <w:rFonts w:asciiTheme="majorBidi" w:eastAsia="Times New Roman" w:hAnsiTheme="majorBidi" w:cstheme="majorBidi"/>
          <w:noProof/>
        </w:rPr>
        <w:t xml:space="preserve"> Yin, 2012)</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xml:space="preserve">. </w:t>
      </w:r>
      <w:r w:rsidRPr="002A7627">
        <w:t xml:space="preserve">These skills may affect the speed of innovation because of their impact on complex innovation projects </w:t>
      </w:r>
      <w:r w:rsidRPr="002A7627">
        <w:fldChar w:fldCharType="begin" w:fldLock="1"/>
      </w:r>
      <w:r w:rsidR="00E24626" w:rsidRPr="002A7627">
        <w:instrText>ADDIN CSL_CITATION {"citationItems":[{"id":"ITEM-1","itemData":{"DOI":"10.2307/3152067","ISSN":"00222437","abstract":"Arguing that organizational memory affects key new product development processes by influencing the interpretation of incoming information and the performance of new product action routines, a study introduces 4 dimension of organizational memory, including the amount and dispersion of memory. Data from 92 new product development projects indicate that higher organizational memory levels enhance the short-term financial performance of new products, whereas greater memory dispersion increases both the performance and creativity of new products. It is also found that under some conditions of high environmental turbulence, high memory dispersion actually detracts from creativity and has no effect on financial performance. Under conditions of low turbulence, high memory dispersion promotes higher levels of creativity and short-term financial performance. The findings provide initial evidence that knowledge is not an unconditionally positive asset.","author":[{"dropping-particle":"","family":"Moorman","given":"Christine","non-dropping-particle":"","parse-names":false,"suffix":""},{"dropping-particle":"","family":"Miner","given":"Anne S.","non-dropping-particle":"","parse-names":false,"suffix":""}],"container-title":"Journal of Marketing Research","id":"ITEM-1","issue":"1","issued":{"date-parts":[["1997","2"]]},"page":"91","title":"The impact of organizational memory on new product performance and creativity","type":"article-journal","volume":"34"},"uris":["http://www.mendeley.com/documents/?uuid=856ddc9e-7724-4f65-ba69-11ce3cf6f822"]}],"mendeley":{"formattedCitation":"(Moorman &amp; Miner, 1997)","plainTextFormattedCitation":"(Moorman &amp; Miner, 1997)","previouslyFormattedCitation":"(Moorman &amp; Miner, 1997)"},"properties":{"noteIndex":0},"schema":"https://github.com/citation-style-language/schema/raw/master/csl-citation.json"}</w:instrText>
      </w:r>
      <w:r w:rsidRPr="002A7627">
        <w:fldChar w:fldCharType="separate"/>
      </w:r>
      <w:r w:rsidRPr="002A7627">
        <w:rPr>
          <w:noProof/>
        </w:rPr>
        <w:t>(Moorman &amp; Miner, 1997)</w:t>
      </w:r>
      <w:r w:rsidRPr="002A7627">
        <w:fldChar w:fldCharType="end"/>
      </w:r>
      <w:r w:rsidRPr="002A7627">
        <w:t xml:space="preserve">. One study found a positive effect </w:t>
      </w:r>
      <w:r w:rsidR="002B2012" w:rsidRPr="002A7627">
        <w:t>o</w:t>
      </w:r>
      <w:r w:rsidRPr="002A7627">
        <w:t xml:space="preserve">n the Malaysian private sector when technology uncertainty was high because wrong decisions may be made in the absence of information </w:t>
      </w:r>
      <w:r w:rsidRPr="002A7627">
        <w:fldChar w:fldCharType="begin" w:fldLock="1"/>
      </w:r>
      <w:r w:rsidR="00E24626" w:rsidRPr="002A7627">
        <w:instrText>ADDIN CSL_CITATION {"citationItems":[{"id":"ITEM-1","itemData":{"DOI":"10.1080/23311975.2016.1153768","ISSN":"2331-1975","abstract":"This study examines the moderating role of technology uncertainty on the\\nrelationship between team contextual factors of top management support\\nand T-shaped skills with innovation speed. For the purpose of this\\nstudy, the data were collected from 227 new products from 147\\nbiotechnology firms in Malaysia. The overall results confirmed the\\nmoderating effect of technology uncertainty on the relationship between\\nT-shaped skills, as well as top management support with innovation\\nspeed. The results further confirmed that under the high technology\\nuncertainty, this effect is higher in comparison to the low and medium\\nuncertainty. This indicates that the effect of top management support\\nand T-shaped skills on innovation speed improves when technology\\nuncertainty increases. On the practical side, the report equips biotech\\nfirms with valuable insights to develop effective strategies.","author":[{"dropping-particle":"","family":"Hamdi","given":"Shabnam","non-dropping-particle":"","parse-names":false,"suffix":""},{"dropping-particle":"","family":"Silong","given":"Abu Daud","non-dropping-particle":"","parse-names":false,"suffix":""},{"dropping-particle":"","family":"Binti Omar","given":"Zoharah","non-dropping-particle":"","parse-names":false,"suffix":""},{"dropping-particle":"","family":"Mohd Rasdi","given":"Roziah","non-dropping-particle":"","parse-names":false,"suffix":""}],"container-title":"Cogent Business &amp; Management","editor":[{"dropping-particle":"","family":"Nisar","given":"Tahir","non-dropping-particle":"","parse-names":false,"suffix":""}],"id":"ITEM-1","issue":"1","issued":{"date-parts":[["2016","3","28"]]},"page":"1153768","title":"Impact of T-shaped skill and top management support on innovation speed; the moderating role of technology uncertainty","type":"article-journal","volume":"3"},"uris":["http://www.mendeley.com/documents/?uuid=2beeface-aac2-4f44-b6f5-ac0603672a2e"]}],"mendeley":{"formattedCitation":"(Hamdi et al., 2016)","plainTextFormattedCitation":"(Hamdi et al., 2016)","previouslyFormattedCitation":"(Hamdi et al., 2016)"},"properties":{"noteIndex":0},"schema":"https://github.com/citation-style-language/schema/raw/master/csl-citation.json"}</w:instrText>
      </w:r>
      <w:r w:rsidRPr="002A7627">
        <w:fldChar w:fldCharType="separate"/>
      </w:r>
      <w:r w:rsidRPr="002A7627">
        <w:rPr>
          <w:noProof/>
        </w:rPr>
        <w:t>(Hamdi et al., 2016)</w:t>
      </w:r>
      <w:r w:rsidRPr="002A7627">
        <w:fldChar w:fldCharType="end"/>
      </w:r>
      <w:r w:rsidRPr="002A7627">
        <w:t>.</w:t>
      </w:r>
    </w:p>
    <w:p w14:paraId="26854200" w14:textId="18A1E58A" w:rsidR="00EE00BF" w:rsidRPr="002A7627" w:rsidRDefault="00EE00BF" w:rsidP="002C4A1A">
      <w:pPr>
        <w:pStyle w:val="AAAAAAA"/>
        <w:rPr>
          <w:rFonts w:asciiTheme="majorBidi" w:eastAsia="Times New Roman" w:hAnsiTheme="majorBidi" w:cstheme="majorBidi"/>
        </w:rPr>
      </w:pPr>
      <w:r w:rsidRPr="002A7627">
        <w:rPr>
          <w:rFonts w:asciiTheme="majorBidi" w:eastAsia="Times New Roman" w:hAnsiTheme="majorBidi" w:cstheme="majorBidi"/>
        </w:rPr>
        <w:t xml:space="preserve">Self-efficacy theory explains behavior change </w:t>
      </w:r>
      <w:r w:rsidRPr="002A7627">
        <w:rPr>
          <w:rFonts w:asciiTheme="majorBidi" w:eastAsia="Times New Roman" w:hAnsiTheme="majorBidi" w:cstheme="majorBidi"/>
        </w:rPr>
        <w:fldChar w:fldCharType="begin" w:fldLock="1"/>
      </w:r>
      <w:r w:rsidR="004C27D4" w:rsidRPr="002A7627">
        <w:rPr>
          <w:rFonts w:asciiTheme="majorBidi" w:eastAsia="Times New Roman" w:hAnsiTheme="majorBidi" w:cstheme="majorBidi"/>
        </w:rPr>
        <w:instrText>ADDIN CSL_CITATION {"citationItems":[{"id":"ITEM-1","itemData":{"DOI":"10.1521/jscp.1986.4.3.359","ISSN":"0736-7236","abstract":"Convergent evidence from the diverse lines of research reported in the present special issue of this journal attests to the explanatory and predictive generality of self-efficacy theory. This commentary addresses itself to conceptual and empirical issues concerning the nature and function of self-percepts of efficacy.","author":[{"dropping-particle":"","family":"Bandura","given":"Albert","non-dropping-particle":"","parse-names":false,"suffix":""}],"container-title":"Journal of Social and Clinical Psychology","id":"ITEM-1","issue":"3","issued":{"date-parts":[["1986","9"]]},"page":"359-373","title":"The explanatory and predictive scope of self-efficacy theory","type":"article-journal","volume":"4"},"uris":["http://www.mendeley.com/documents/?uuid=42d61897-4783-4ac9-9b7c-6a839f6f7f51"]}],"mendeley":{"formattedCitation":"(Bandura, 1986b)","plainTextFormattedCitation":"(Bandura, 1986b)","previouslyFormattedCitation":"(Bandura, 1986b)"},"properties":{"noteIndex":0},"schema":"https://github.com/citation-style-language/schema/raw/master/csl-citation.json"}</w:instrText>
      </w:r>
      <w:r w:rsidRPr="002A7627">
        <w:rPr>
          <w:rFonts w:asciiTheme="majorBidi" w:eastAsia="Times New Roman" w:hAnsiTheme="majorBidi" w:cstheme="majorBidi"/>
        </w:rPr>
        <w:fldChar w:fldCharType="separate"/>
      </w:r>
      <w:r w:rsidR="00E24626" w:rsidRPr="002A7627">
        <w:rPr>
          <w:rFonts w:asciiTheme="majorBidi" w:eastAsia="Times New Roman" w:hAnsiTheme="majorBidi" w:cstheme="majorBidi"/>
          <w:noProof/>
        </w:rPr>
        <w:t>(Bandura, 1986b)</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Self-efficacy is the belief of individuals that they possess the required skills, knowledge</w:t>
      </w:r>
      <w:r w:rsidR="00715CBC" w:rsidRPr="002A7627">
        <w:rPr>
          <w:rFonts w:asciiTheme="majorBidi" w:eastAsia="Times New Roman" w:hAnsiTheme="majorBidi" w:cstheme="majorBidi"/>
        </w:rPr>
        <w:t>,</w:t>
      </w:r>
      <w:r w:rsidRPr="002A7627">
        <w:rPr>
          <w:rFonts w:asciiTheme="majorBidi" w:eastAsia="Times New Roman" w:hAnsiTheme="majorBidi" w:cstheme="majorBidi"/>
        </w:rPr>
        <w:t xml:space="preserve"> and abilities to produce a particular outcome. Outcomes are based on the ability of individuals to compare their skills with the required level of knowledge management activity </w:t>
      </w:r>
      <w:r w:rsidRPr="002A7627">
        <w:rPr>
          <w:rFonts w:asciiTheme="majorBidi" w:eastAsiaTheme="minorEastAsia" w:hAnsiTheme="majorBidi" w:cstheme="majorBidi"/>
        </w:rPr>
        <w:fldChar w:fldCharType="begin" w:fldLock="1"/>
      </w:r>
      <w:r w:rsidR="00E24626" w:rsidRPr="002A7627">
        <w:rPr>
          <w:rFonts w:asciiTheme="majorBidi" w:eastAsiaTheme="minorEastAsia" w:hAnsiTheme="majorBidi" w:cstheme="majorBidi"/>
        </w:rPr>
        <w:instrText>ADDIN CSL_CITATION {"citationItems":[{"id":"ITEM-1","itemData":{"DOI":"10.1016/j.ijhcs.2006.09.003","ISBN":"1071-5819","ISSN":"10715819","PMID":"9456257","abstract":"There has been a growing interest in examining the factors that support or hinder one's knowledge sharing behavior in the virtual communities. However, still very few studies examined them from both personal and environmental perspectives. In order to explore the knowledge sharing behaviors within the virtual communities of professional societies, this study proposed a social cognitive theory (SCT)-based model that includes knowledge sharing self-efficacy and outcome expectations for personal influences, and multi-dimensional trusts for environmental influences. The proposed research model was then evaluated with structural equation modeling, and confirmatory factor analysis was also applied to test if the empirical data conform to the proposed model. © 2006 Elsevier Ltd. All rights reserved.","author":[{"dropping-particle":"","family":"Hsu","given":"Meng-Hsiang","non-dropping-particle":"","parse-names":false,"suffix":""},{"dropping-particle":"","family":"Ju","given":"Teresa L.","non-dropping-particle":"","parse-names":false,"suffix":""},{"dropping-particle":"","family":"Yen","given":"Chia-Hui","non-dropping-particle":"","parse-names":false,"suffix":""},{"dropping-particle":"","family":"Chang","given":"Chun-Ming","non-dropping-particle":"","parse-names":false,"suffix":""}],"container-title":"International Journal of Human-Computer Studies","id":"ITEM-1","issue":"2","issued":{"date-parts":[["2007","2"]]},"page":"153-169","title":"Knowledge sharing behavior in virtual communities: The relationship between trust, self-efficacy, and outcome expectations","type":"article-journal","volume":"65"},"uris":["http://www.mendeley.com/documents/?uuid=8d476c8e-b5e7-45c5-8ccf-a2aa5cefe45f"]}],"mendeley":{"formattedCitation":"(Hsu et al., 2007)","plainTextFormattedCitation":"(Hsu et al., 2007)","previouslyFormattedCitation":"(Hsu et al., 2007)"},"properties":{"noteIndex":0},"schema":"https://github.com/citation-style-language/schema/raw/master/csl-citation.json"}</w:instrText>
      </w:r>
      <w:r w:rsidRPr="002A7627">
        <w:rPr>
          <w:rFonts w:asciiTheme="majorBidi" w:eastAsiaTheme="minorEastAsia" w:hAnsiTheme="majorBidi" w:cstheme="majorBidi"/>
        </w:rPr>
        <w:fldChar w:fldCharType="separate"/>
      </w:r>
      <w:r w:rsidRPr="002A7627">
        <w:rPr>
          <w:rFonts w:asciiTheme="majorBidi" w:eastAsiaTheme="minorEastAsia" w:hAnsiTheme="majorBidi" w:cstheme="majorBidi"/>
          <w:noProof/>
        </w:rPr>
        <w:t>(Hsu et al., 2007)</w:t>
      </w:r>
      <w:r w:rsidRPr="002A7627">
        <w:rPr>
          <w:rFonts w:asciiTheme="majorBidi" w:eastAsiaTheme="minorEastAsia" w:hAnsiTheme="majorBidi" w:cstheme="majorBidi"/>
        </w:rPr>
        <w:fldChar w:fldCharType="end"/>
      </w:r>
      <w:r w:rsidRPr="002A7627">
        <w:rPr>
          <w:rFonts w:asciiTheme="majorBidi" w:eastAsiaTheme="minorEastAsia" w:hAnsiTheme="majorBidi" w:cstheme="majorBidi"/>
        </w:rPr>
        <w:t xml:space="preserve">. Previous researchers found that </w:t>
      </w:r>
      <w:r w:rsidRPr="002A7627">
        <w:rPr>
          <w:rFonts w:asciiTheme="majorBidi" w:eastAsia="Times New Roman" w:hAnsiTheme="majorBidi" w:cstheme="majorBidi"/>
        </w:rPr>
        <w:t>a</w:t>
      </w:r>
      <w:r w:rsidRPr="002A7627">
        <w:rPr>
          <w:rFonts w:asciiTheme="majorBidi" w:eastAsiaTheme="minorEastAsia" w:hAnsiTheme="majorBidi" w:cstheme="majorBidi"/>
        </w:rPr>
        <w:t>bilities, opportunities</w:t>
      </w:r>
      <w:r w:rsidR="00715CBC" w:rsidRPr="002A7627">
        <w:rPr>
          <w:rFonts w:asciiTheme="majorBidi" w:eastAsiaTheme="minorEastAsia" w:hAnsiTheme="majorBidi" w:cstheme="majorBidi"/>
        </w:rPr>
        <w:t>,</w:t>
      </w:r>
      <w:r w:rsidRPr="002A7627">
        <w:rPr>
          <w:rFonts w:asciiTheme="majorBidi" w:eastAsiaTheme="minorEastAsia" w:hAnsiTheme="majorBidi" w:cstheme="majorBidi"/>
        </w:rPr>
        <w:t xml:space="preserve"> and motivation were positively related to affective commitment and firm performance </w:t>
      </w:r>
      <w:r w:rsidRPr="002A7627">
        <w:rPr>
          <w:rFonts w:asciiTheme="majorBidi" w:eastAsiaTheme="minorEastAsia" w:hAnsiTheme="majorBidi" w:cstheme="majorBidi"/>
        </w:rPr>
        <w:fldChar w:fldCharType="begin" w:fldLock="1"/>
      </w:r>
      <w:r w:rsidR="00E24626" w:rsidRPr="002A7627">
        <w:rPr>
          <w:rFonts w:asciiTheme="majorBidi" w:eastAsiaTheme="minorEastAsia" w:hAnsiTheme="majorBidi" w:cstheme="majorBidi"/>
        </w:rPr>
        <w:instrText>ADDIN CSL_CITATION {"citationItems":[{"id":"ITEM-1","itemData":{"DOI":"10.1017/jmo.2016.22","ISSN":"1833-3672","abstract":"This study investigates the diverse performance outcomes related to the bundles/components of high-performance work systems on the basis of ability–motivation–opportunity model. Using the primary data from 563 employees of 204 firms operating in India (collected during the time period between March, 2012 and January, 2013), the study has indicated that employees’ perceptions regarding the applicability of ability-enhancing, motivation-enhancing, and opportunity-enhancing human resource practices result in enhanced affective commitment and superior firm performance. The results have revealed that affective commitment fully mediates the relationship of opportunity-enhancing human resource practices with firm performance and partially mediates the relationships of ability-enhancing and motivation-enhancing human resource practices with firm performance. The study contributes in unlocking the ‘black box’ related to the high-performance work systems and firm performance relationship by stressing upon the importance of affective commitment as a mediator. Managerial implications and directions for future research are also discussed.","author":[{"dropping-particle":"","family":"Kundu","given":"Subhash C.","non-dropping-particle":"","parse-names":false,"suffix":""},{"dropping-particle":"","family":"Gahlawat","given":"Neha","non-dropping-particle":"","parse-names":false,"suffix":""}],"container-title":"Journal of Management and Organization","id":"ITEM-1","issue":"5","issued":{"date-parts":[["2018","9","29"]]},"page":"730-747","title":"Ability–motivation–opportunity enhancing human resource practices and firm performance: Evidence from India","type":"article-journal","volume":"24"},"uris":["http://www.mendeley.com/documents/?uuid=8dfd32df-718b-451a-a5f4-5e28ca7a0466"]}],"mendeley":{"formattedCitation":"(Kundu &amp; Gahlawat, 2018)","plainTextFormattedCitation":"(Kundu &amp; Gahlawat, 2018)","previouslyFormattedCitation":"(Kundu &amp; Gahlawat, 2018)"},"properties":{"noteIndex":0},"schema":"https://github.com/citation-style-language/schema/raw/master/csl-citation.json"}</w:instrText>
      </w:r>
      <w:r w:rsidRPr="002A7627">
        <w:rPr>
          <w:rFonts w:asciiTheme="majorBidi" w:eastAsiaTheme="minorEastAsia" w:hAnsiTheme="majorBidi" w:cstheme="majorBidi"/>
        </w:rPr>
        <w:fldChar w:fldCharType="separate"/>
      </w:r>
      <w:r w:rsidRPr="002A7627">
        <w:rPr>
          <w:rFonts w:asciiTheme="majorBidi" w:eastAsiaTheme="minorEastAsia" w:hAnsiTheme="majorBidi" w:cstheme="majorBidi"/>
          <w:noProof/>
        </w:rPr>
        <w:t>(Kundu &amp; Gahlawat, 2018)</w:t>
      </w:r>
      <w:r w:rsidRPr="002A7627">
        <w:rPr>
          <w:rFonts w:asciiTheme="majorBidi" w:eastAsiaTheme="minorEastAsia" w:hAnsiTheme="majorBidi" w:cstheme="majorBidi"/>
        </w:rPr>
        <w:fldChar w:fldCharType="end"/>
      </w:r>
      <w:r w:rsidRPr="002A7627">
        <w:rPr>
          <w:rFonts w:asciiTheme="majorBidi" w:eastAsiaTheme="minorEastAsia" w:hAnsiTheme="majorBidi" w:cstheme="majorBidi"/>
        </w:rPr>
        <w:t>. This study</w:t>
      </w:r>
      <w:r w:rsidR="00054373" w:rsidRPr="002A7627">
        <w:rPr>
          <w:rFonts w:asciiTheme="majorBidi" w:eastAsiaTheme="minorEastAsia" w:hAnsiTheme="majorBidi" w:cstheme="majorBidi"/>
        </w:rPr>
        <w:t xml:space="preserve"> therefore </w:t>
      </w:r>
      <w:r w:rsidRPr="002A7627">
        <w:rPr>
          <w:rFonts w:asciiTheme="majorBidi" w:eastAsiaTheme="minorEastAsia" w:hAnsiTheme="majorBidi" w:cstheme="majorBidi"/>
        </w:rPr>
        <w:t>hypothesized:</w:t>
      </w:r>
    </w:p>
    <w:p w14:paraId="6141B4E5" w14:textId="77777777" w:rsidR="00EE00BF" w:rsidRPr="002A7627" w:rsidRDefault="00EE00BF" w:rsidP="002C4A1A">
      <w:pPr>
        <w:widowControl/>
        <w:spacing w:after="160" w:line="480" w:lineRule="auto"/>
        <w:ind w:left="720"/>
        <w:jc w:val="lowKashida"/>
        <w:rPr>
          <w:rFonts w:asciiTheme="majorBidi" w:eastAsia="Times New Roman" w:hAnsiTheme="majorBidi" w:cstheme="majorBidi"/>
          <w:szCs w:val="24"/>
        </w:rPr>
      </w:pPr>
      <w:r w:rsidRPr="002A7627">
        <w:rPr>
          <w:rFonts w:asciiTheme="majorBidi" w:eastAsia="Times New Roman" w:hAnsiTheme="majorBidi" w:cstheme="majorBidi"/>
          <w:b/>
          <w:bCs/>
          <w:szCs w:val="24"/>
        </w:rPr>
        <w:t xml:space="preserve">H5: </w:t>
      </w:r>
      <w:r w:rsidRPr="002A7627">
        <w:rPr>
          <w:rFonts w:asciiTheme="majorBidi" w:eastAsia="Times New Roman" w:hAnsiTheme="majorBidi" w:cstheme="majorBidi"/>
          <w:szCs w:val="24"/>
        </w:rPr>
        <w:t xml:space="preserve">Ability-enhancing HR practices have a direct positive relationship with </w:t>
      </w:r>
      <w:r w:rsidRPr="002A7627">
        <w:rPr>
          <w:rFonts w:asciiTheme="majorBidi" w:eastAsiaTheme="minorEastAsia" w:hAnsiTheme="majorBidi" w:cstheme="majorBidi"/>
          <w:szCs w:val="24"/>
        </w:rPr>
        <w:t>knowledge management benefits.</w:t>
      </w:r>
    </w:p>
    <w:p w14:paraId="30C591B1" w14:textId="2D75BBDF" w:rsidR="00EE00BF" w:rsidRPr="002A7627" w:rsidRDefault="007D7779" w:rsidP="00A54FA8">
      <w:pPr>
        <w:pStyle w:val="Heading1"/>
        <w:jc w:val="lowKashida"/>
        <w:rPr>
          <w:color w:val="000000"/>
        </w:rPr>
      </w:pPr>
      <w:bookmarkStart w:id="137" w:name="_Toc13959636"/>
      <w:bookmarkStart w:id="138" w:name="_Toc22331670"/>
      <w:r>
        <w:rPr>
          <w:color w:val="000000"/>
        </w:rPr>
        <w:t xml:space="preserve">3.4. </w:t>
      </w:r>
      <w:r w:rsidR="00EE00BF" w:rsidRPr="002A7627">
        <w:rPr>
          <w:color w:val="000000"/>
        </w:rPr>
        <w:t xml:space="preserve">Organizational </w:t>
      </w:r>
      <w:r w:rsidR="002C4A1A" w:rsidRPr="002A7627">
        <w:rPr>
          <w:color w:val="000000"/>
        </w:rPr>
        <w:t xml:space="preserve">Learning </w:t>
      </w:r>
      <w:r w:rsidR="00EE00BF" w:rsidRPr="002A7627">
        <w:rPr>
          <w:color w:val="000000"/>
        </w:rPr>
        <w:t xml:space="preserve">and </w:t>
      </w:r>
      <w:r w:rsidR="002C4A1A" w:rsidRPr="002A7627">
        <w:rPr>
          <w:color w:val="000000"/>
        </w:rPr>
        <w:t>Knowledge Management Benefits</w:t>
      </w:r>
      <w:bookmarkEnd w:id="137"/>
      <w:bookmarkEnd w:id="138"/>
    </w:p>
    <w:p w14:paraId="26730307" w14:textId="7C0A54C5" w:rsidR="00EE00BF" w:rsidRPr="002A7627" w:rsidRDefault="00EE00BF" w:rsidP="002C4A1A">
      <w:pPr>
        <w:pStyle w:val="AAAAAAA"/>
      </w:pPr>
      <w:r w:rsidRPr="002A7627">
        <w:t xml:space="preserve">Organizational learning and knowledge management are related </w:t>
      </w:r>
      <w:r w:rsidRPr="002A7627">
        <w:fldChar w:fldCharType="begin" w:fldLock="1"/>
      </w:r>
      <w:r w:rsidR="00E24626" w:rsidRPr="002A7627">
        <w:instrText>ADDIN CSL_CITATION {"citationItems":[{"id":"ITEM-1","itemData":{"abstract":"The literature on organizational learning (OL), knowledge management (KM), dynamic capabilities (DC), and absorptive capacity (AC) is characterized by the use of very diverse terminology, where concepts often overlap, but it is unclear how all the pieces fi t together.Recognizing that no single overarching framework has been proposed to clear up this conceptual confusion, this chapter proposes a framework that integrates OL, KM, DC,and AC, and establishes a theoretical link between these constructs and performance. Our integrative model acknowledges the distinct roots of each fi eld, identifi es conceptual boundaries, and establishes relationships between the constructs and fi rm performance. We propose this framework as an instrument to facilitate communication between researchers in order to avoid the risk of continuously ‘reinventing the wheel’ in the learning field.","author":[{"dropping-particle":"","family":"Vera","given":"Dusya","non-dropping-particle":"","parse-names":false,"suffix":""},{"dropping-particle":"","family":"Crossan","given":"Mary","non-dropping-particle":"","parse-names":false,"suffix":""},{"dropping-particle":"","family":"Apaydin","given":"Marina","non-dropping-particle":"","parse-names":false,"suffix":""}],"container-title":"Handbook of Organizational Learning and Knowledge Management","editor":[{"dropping-particle":"","family":"Easterby-Smith","given":"Mark","non-dropping-particle":"","parse-names":false,"suffix":""}],"id":"ITEM-1","issued":{"date-parts":[["2015"]]},"page":"153-180","publisher":"Blackwell","publisher-place":"Boston, MA","title":"A framework for integrating organizational learning, knowledge, capabilities, and absorptive capacity","type":"chapter"},"uris":["http://www.mendeley.com/documents/?uuid=7f2a489b-d19a-4486-8767-08a7bfa3a02d"]}],"mendeley":{"formattedCitation":"(Vera et al., 2015)","plainTextFormattedCitation":"(Vera et al., 2015)","previouslyFormattedCitation":"(Vera et al., 2015)"},"properties":{"noteIndex":0},"schema":"https://github.com/citation-style-language/schema/raw/master/csl-citation.json"}</w:instrText>
      </w:r>
      <w:r w:rsidRPr="002A7627">
        <w:fldChar w:fldCharType="separate"/>
      </w:r>
      <w:r w:rsidR="00AA406D" w:rsidRPr="002A7627">
        <w:rPr>
          <w:noProof/>
        </w:rPr>
        <w:t>(Vera et al., 2015)</w:t>
      </w:r>
      <w:r w:rsidRPr="002A7627">
        <w:fldChar w:fldCharType="end"/>
      </w:r>
      <w:r w:rsidRPr="002A7627">
        <w:t>. Organizational learning is a process that helps organizations to improve over time by suggesting new ideas to enhance innovation and promoting lessons learn</w:t>
      </w:r>
      <w:r w:rsidR="002B2012" w:rsidRPr="002A7627">
        <w:t>ed</w:t>
      </w:r>
      <w:r w:rsidRPr="002A7627">
        <w:t xml:space="preserve"> from mistakes </w:t>
      </w:r>
      <w:r w:rsidR="0075026B" w:rsidRPr="002A7627">
        <w:rPr>
          <w:noProof/>
        </w:rPr>
        <w:t>(Johannessen, 2018)</w:t>
      </w:r>
      <w:r w:rsidRPr="002A7627">
        <w:t xml:space="preserve">. Organizational learning takes place through sharing success stories and best practice </w:t>
      </w:r>
      <w:r w:rsidR="006B227A" w:rsidRPr="002A7627">
        <w:fldChar w:fldCharType="begin" w:fldLock="1"/>
      </w:r>
      <w:r w:rsidR="006B227A" w:rsidRPr="002A7627">
        <w:instrText>ADDIN CSL_CITATION {"citationItems":[{"id":"ITEM-1","itemData":{"author":[{"dropping-particle":"","family":"Dalkir","given":"K.","non-dropping-particle":"","parse-names":false,"suffix":""}],"id":"ITEM-1","issued":{"date-parts":[["2017"]]},"publisher":"Massachusetts Institute of Technology","publisher-place":"Cambridge, MA","title":"Knowledge management in theory and practice","type":"book"},"uris":["http://www.mendeley.com/documents/?uuid=7919d89b-6c2d-467b-b622-402430e489b6"]}],"mendeley":{"formattedCitation":"(Dalkir, 2017)","plainTextFormattedCitation":"(Dalkir, 2017)","previouslyFormattedCitation":"(Dalkir, 2017)"},"properties":{"noteIndex":0},"schema":"https://github.com/citation-style-language/schema/raw/master/csl-citation.json"}</w:instrText>
      </w:r>
      <w:r w:rsidR="006B227A" w:rsidRPr="002A7627">
        <w:fldChar w:fldCharType="separate"/>
      </w:r>
      <w:r w:rsidR="006B227A" w:rsidRPr="002A7627">
        <w:rPr>
          <w:noProof/>
        </w:rPr>
        <w:t>(Dalkir, 2017)</w:t>
      </w:r>
      <w:r w:rsidR="006B227A" w:rsidRPr="002A7627">
        <w:fldChar w:fldCharType="end"/>
      </w:r>
      <w:r w:rsidRPr="002A7627">
        <w:t xml:space="preserve">. Diffusing best practice is a key benefit of knowledge management </w:t>
      </w:r>
      <w:r w:rsidR="006B227A" w:rsidRPr="002A7627">
        <w:fldChar w:fldCharType="begin" w:fldLock="1"/>
      </w:r>
      <w:r w:rsidR="006B227A" w:rsidRPr="002A7627">
        <w:instrText>ADDIN CSL_CITATION {"citationItems":[{"id":"ITEM-1","itemData":{"author":[{"dropping-particle":"","family":"Dalkir","given":"K.","non-dropping-particle":"","parse-names":false,"suffix":""}],"id":"ITEM-1","issued":{"date-parts":[["2017"]]},"publisher":"Massachusetts Institute of Technology","publisher-place":"Cambridge, MA","title":"Knowledge management in theory and practice","type":"book"},"uris":["http://www.mendeley.com/documents/?uuid=7919d89b-6c2d-467b-b622-402430e489b6"]}],"mendeley":{"formattedCitation":"(Dalkir, 2017)","plainTextFormattedCitation":"(Dalkir, 2017)","previouslyFormattedCitation":"(Dalkir, 2017)"},"properties":{"noteIndex":0},"schema":"https://github.com/citation-style-language/schema/raw/master/csl-citation.json"}</w:instrText>
      </w:r>
      <w:r w:rsidR="006B227A" w:rsidRPr="002A7627">
        <w:fldChar w:fldCharType="separate"/>
      </w:r>
      <w:r w:rsidR="006B227A" w:rsidRPr="002A7627">
        <w:rPr>
          <w:noProof/>
        </w:rPr>
        <w:t>(Dalkir, 2017)</w:t>
      </w:r>
      <w:r w:rsidR="006B227A" w:rsidRPr="002A7627">
        <w:fldChar w:fldCharType="end"/>
      </w:r>
      <w:r w:rsidR="00E2182E" w:rsidRPr="002A7627">
        <w:t>.</w:t>
      </w:r>
      <w:r w:rsidRPr="002A7627">
        <w:t xml:space="preserve"> </w:t>
      </w:r>
    </w:p>
    <w:p w14:paraId="35D870AB" w14:textId="4F149C71" w:rsidR="008723D7" w:rsidRPr="002A7627" w:rsidRDefault="00EE00BF" w:rsidP="008723D7">
      <w:pPr>
        <w:pStyle w:val="AAAAAAA"/>
      </w:pPr>
      <w:r w:rsidRPr="002A7627">
        <w:t xml:space="preserve">The processes of organizational learning, </w:t>
      </w:r>
      <w:r w:rsidR="00DF741A">
        <w:t xml:space="preserve">and </w:t>
      </w:r>
      <w:r w:rsidRPr="002A7627">
        <w:t xml:space="preserve">creation and acquisition of knowledge have been conceptually absorbed by knowledge management literature over time </w:t>
      </w:r>
      <w:r w:rsidRPr="002A7627">
        <w:fldChar w:fldCharType="begin" w:fldLock="1"/>
      </w:r>
      <w:r w:rsidRPr="002A7627">
        <w:instrText>ADDIN CSL_CITATION {"citationItems":[{"id":"ITEM-1","itemData":{"DOI":"10.1108/JKM-01-2017-0041","ISSN":"1367-3270","abstract":"Purpose – This paper aims to focus on research regarding organizational learning (OL) and knowledge management (KM), and to specifically investigate whether OL has been conceptually absorbed by KM. Design/methodology/approach – This study is based on 16,185 articles from the Scopus and ISI Web of Science databases, using VantagePoint 10.0 software. The method used in this study is a systematic literature review covering KM and OL publications from the 1970s, when the OL field started to grow, up to 2016. Findings – Nuclear processes of OL, creation and acquisition of knowledge, have been conceptually absorbed by KM literature in the past years. Research limitations/implications – Only two databases have been considered, Scopus and ISI Web of Science, because of their academic prestige. However, these databases include a large number of articles on KM and OL. Search terms used could exclude some relevant terms, although all major descriptive terms have been included. Practical implications – This paper identifies thematic clusters in KM and OL, evolution of both fields, most cited authors and representative journals by topic. Originality/value – This is the first paper to jointly analyse the evolution of KM and OL. This paper showsa conceptual absorption of OL into KM, which may enrich academic discussion and also provide some clarity to the conceptualization of these two fields.","author":[{"dropping-particle":"","family":"Castaneda","given":"Delio Ignacio","non-dropping-particle":"","parse-names":false,"suffix":""},{"dropping-particle":"","family":"Manrique","given":"Luisa Fernanda","non-dropping-particle":"","parse-names":false,"suffix":""},{"dropping-particle":"","family":"Cuellar","given":"Sergio","non-dropping-particle":"","parse-names":false,"suffix":""}],"container-title":"Journal of Knowledge Management","id":"ITEM-1","issue":"2","issued":{"date-parts":[["2018","3","12"]]},"page":"299-325","title":"Is organizational learning being absorbed by knowledge management? A systematic review","type":"article-journal","volume":"22"},"uris":["http://www.mendeley.com/documents/?uuid=b50daaa9-cc4a-4883-b2ee-eca446dd0d9d"]}],"mendeley":{"formattedCitation":"(Castaneda et al., 2018)","plainTextFormattedCitation":"(Castaneda et al., 2018)","previouslyFormattedCitation":"(Castaneda et al., 2018)"},"properties":{"noteIndex":0},"schema":"https://github.com/citation-style-language/schema/raw/master/csl-citation.json"}</w:instrText>
      </w:r>
      <w:r w:rsidRPr="002A7627">
        <w:fldChar w:fldCharType="separate"/>
      </w:r>
      <w:r w:rsidRPr="002A7627">
        <w:rPr>
          <w:noProof/>
        </w:rPr>
        <w:t>(Castaneda et al., 2018)</w:t>
      </w:r>
      <w:r w:rsidRPr="002A7627">
        <w:fldChar w:fldCharType="end"/>
      </w:r>
      <w:r w:rsidRPr="002A7627">
        <w:t xml:space="preserve">. Organizational learning was investigated in relation to knowledge management benefits but focusing on individual benefits. For example, in the UAE, organizational </w:t>
      </w:r>
      <w:r w:rsidRPr="00F12187">
        <w:rPr>
          <w:color w:val="000000" w:themeColor="text1"/>
        </w:rPr>
        <w:t xml:space="preserve">learning </w:t>
      </w:r>
      <w:r w:rsidR="00D61D84" w:rsidRPr="00F12187">
        <w:rPr>
          <w:color w:val="000000" w:themeColor="text1"/>
        </w:rPr>
        <w:t>was found to mediat</w:t>
      </w:r>
      <w:r w:rsidR="00F474FA" w:rsidRPr="00F12187">
        <w:rPr>
          <w:color w:val="000000" w:themeColor="text1"/>
        </w:rPr>
        <w:t>e</w:t>
      </w:r>
      <w:r w:rsidRPr="00F12187">
        <w:rPr>
          <w:color w:val="000000" w:themeColor="text1"/>
        </w:rPr>
        <w:t xml:space="preserve"> </w:t>
      </w:r>
      <w:r w:rsidRPr="002A7627">
        <w:t xml:space="preserve">between transformational leadership and organizational innovation </w:t>
      </w:r>
      <w:r w:rsidRPr="002A7627">
        <w:fldChar w:fldCharType="begin" w:fldLock="1"/>
      </w:r>
      <w:r w:rsidR="004C27D4" w:rsidRPr="002A7627">
        <w:instrText>ADDIN CSL_CITATION {"citationItems":[{"id":"ITEM-1","itemData":{"DOI":"10.9774/GLEAF.3709.2014.oc.00006","ISSN":"10771158","abstract":"Executive Summary This study evaluates the effect of transformational leadership on organizational innovation as well as the potential mediating effect of organizational learning on this relationship. To examine these issues, a survey was conducted of 248 participants from public and private organizations in Dubai, United Arab Emirates (UAE). Results of this survey demonstrate that transformational leadership was strongly related to organizational innovation. In addition, the results found organizational learning mediated this relationship for firms in both the public and private sectors. This study represents a preliminary attempt to investigate transformational leadership and its effect on organizational innovation within both public and private firms in a non-Western nation. By exploring the effects of transformational leadership, the study expands the general understanding of the concept, as well as its association with several other variables related to organizational output and performance. Peter Drucker argued, \" As the trees are rotten from the head and die, organizations are suffering from degradation and destruction when the managing director of that organization can't manage it \" (quoted in Hassan &amp; Faezeh, 2011, p. 422). This statement highlights the significant role that managers play in the success or failure of organizations. Indeed, senior managers are critical not only with regard to the articulation of organizational goals, but also the execution of strategies needed to make a corporation competitive in a given market. As a result of rapid changes in technology, globalization, and shortening product life cycles, most organizations have been compelled to adapt to ensure their survival in this dynamic environment (Garcia-Morales, Llorens-Montes, &amp; Verdu-Jover, 2007). However, organizations are largely unable to adapt and achieve success unless they have managers who are able to motivate employees to be innovative in their pursuit of both short and long-term goals.","author":[{"dropping-particle":"","family":"Alsalami","given":"Eman","non-dropping-particle":"","parse-names":false,"suffix":""},{"dropping-particle":"","family":"Behery","given":"Mohamed","non-dropping-particle":"","parse-names":false,"suffix":""},{"dropping-particle":"","family":"Abdullah","given":"Salam","non-dropping-particle":"","parse-names":false,"suffix":""}],"container-title":"The Journal of Applied Management and Entrepreneurship","id":"ITEM-1","issue":"4","issued":{"date-parts":[["2014","10","1"]]},"page":"61-81","title":"Transformational leadership and its effects on organizational learning and innovation: Evidence from Dubai","type":"article-journal","volume":"19"},"uris":["http://www.mendeley.com/documents/?uuid=beda6e6b-2409-45e6-a36b-18a018d37945"]}],"mendeley":{"formattedCitation":"(Alsalami, Behery, &amp; Abdullah, 2014)","plainTextFormattedCitation":"(Alsalami, Behery, &amp; Abdullah, 2014)","previouslyFormattedCitation":"(Alsalami, Behery, &amp; Abdullah, 2014)"},"properties":{"noteIndex":0},"schema":"https://github.com/citation-style-language/schema/raw/master/csl-citation.json"}</w:instrText>
      </w:r>
      <w:r w:rsidRPr="002A7627">
        <w:fldChar w:fldCharType="separate"/>
      </w:r>
      <w:r w:rsidR="00E24626" w:rsidRPr="002A7627">
        <w:rPr>
          <w:noProof/>
        </w:rPr>
        <w:t>(Alsalami, Behery, &amp; Abdullah, 2014)</w:t>
      </w:r>
      <w:r w:rsidRPr="002A7627">
        <w:fldChar w:fldCharType="end"/>
      </w:r>
      <w:r w:rsidRPr="002A7627">
        <w:t xml:space="preserve">. Knowledge creation can be high if informal employee knowledge and learning competencies are involved in decision-making processes </w:t>
      </w:r>
      <w:r w:rsidR="006B227A" w:rsidRPr="002A7627">
        <w:fldChar w:fldCharType="begin" w:fldLock="1"/>
      </w:r>
      <w:r w:rsidR="00E24626" w:rsidRPr="002A7627">
        <w:instrText>ADDIN CSL_CITATION {"citationItems":[{"id":"ITEM-1","itemData":{"DOI":"10.1016/j.jbusres.2013.11.028","ISSN":"01482963","abstract":"The process of making decisions in business requires, among other things, the efficient management of information to do with employee competencies. Dealing solely with competencies that employees learn in institutional contexts, however, is insufficient, as employees also acquire competencies through informal learning activities outside the organization. If an organization is to make well-informed decisions, the entity must gather information about the external activities of its employees that contribute to their competency development. This paper proposes a methodology to facilitate the identification and recognition of an employee's informal learning instances, which receives support from a technological framework. To validate the methodology, a pan-European project implements the framework, and a panel of experts evaluates its modus operandi. The main findings from this study suggest that, although making decisions on the basis of instances of informal learning is possible, both the methodology and the tools behind the gathering of this information should be flexible enough to satisfy the needs of the organization. © 2013 Elsevier Inc.","author":[{"dropping-particle":"","family":"García-Peñalvo","given":"Francisco J.","non-dropping-particle":"","parse-names":false,"suffix":""},{"dropping-particle":"","family":"Conde","given":"Miguel Á","non-dropping-particle":"","parse-names":false,"suffix":""}],"container-title":"Journal of Business Research","id":"ITEM-1","issue":"5","issued":{"date-parts":[["2014","5"]]},"page":"686-691","title":"Using informal learning for business decision making and knowledge management","type":"article-journal","volume":"67"},"uris":["http://www.mendeley.com/documents/?uuid=246b1ca1-2768-4276-9188-386ab265e3db"]}],"mendeley":{"formattedCitation":"(García-Peñalvo &amp; Conde, 2014)","plainTextFormattedCitation":"(García-Peñalvo &amp; Conde, 2014)","previouslyFormattedCitation":"(García-Peñalvo &amp; Conde, 2014)"},"properties":{"noteIndex":0},"schema":"https://github.com/citation-style-language/schema/raw/master/csl-citation.json"}</w:instrText>
      </w:r>
      <w:r w:rsidR="006B227A" w:rsidRPr="002A7627">
        <w:fldChar w:fldCharType="separate"/>
      </w:r>
      <w:r w:rsidR="006B227A" w:rsidRPr="002A7627">
        <w:rPr>
          <w:noProof/>
        </w:rPr>
        <w:t>(García-Peñalvo &amp; Conde, 2014)</w:t>
      </w:r>
      <w:r w:rsidR="006B227A" w:rsidRPr="002A7627">
        <w:fldChar w:fldCharType="end"/>
      </w:r>
      <w:r w:rsidRPr="002A7627">
        <w:t>. Knowledge management focuses on processes including</w:t>
      </w:r>
      <w:r w:rsidR="00D61D84">
        <w:t xml:space="preserve"> </w:t>
      </w:r>
      <w:r w:rsidR="00D61D84" w:rsidRPr="00F12187">
        <w:rPr>
          <w:color w:val="000000" w:themeColor="text1"/>
        </w:rPr>
        <w:t>creati</w:t>
      </w:r>
      <w:r w:rsidR="00F474FA" w:rsidRPr="00F12187">
        <w:rPr>
          <w:color w:val="000000" w:themeColor="text1"/>
        </w:rPr>
        <w:t>ng, acquiring and sharing</w:t>
      </w:r>
      <w:r w:rsidR="00D61D84" w:rsidRPr="00F12187">
        <w:rPr>
          <w:color w:val="000000" w:themeColor="text1"/>
        </w:rPr>
        <w:t xml:space="preserve"> knowledge</w:t>
      </w:r>
      <w:r w:rsidR="00F474FA" w:rsidRPr="00F12187">
        <w:rPr>
          <w:color w:val="000000" w:themeColor="text1"/>
        </w:rPr>
        <w:t>.</w:t>
      </w:r>
      <w:r w:rsidRPr="00F12187">
        <w:rPr>
          <w:color w:val="000000" w:themeColor="text1"/>
        </w:rPr>
        <w:t xml:space="preserve"> </w:t>
      </w:r>
      <w:r w:rsidR="00F474FA">
        <w:t>T</w:t>
      </w:r>
      <w:r w:rsidRPr="002A7627">
        <w:t>hese processes support innovation, organizational learning, decision-making and relationships</w:t>
      </w:r>
      <w:r w:rsidR="00F474FA">
        <w:t>,</w:t>
      </w:r>
      <w:r w:rsidRPr="002A7627">
        <w:t xml:space="preserve"> result</w:t>
      </w:r>
      <w:r w:rsidR="00F474FA">
        <w:t>ing</w:t>
      </w:r>
      <w:r w:rsidRPr="002A7627">
        <w:t xml:space="preserve"> in improv</w:t>
      </w:r>
      <w:r w:rsidR="00F474FA">
        <w:t>ed</w:t>
      </w:r>
      <w:r w:rsidRPr="002A7627">
        <w:t xml:space="preserve"> knowledge management outcomes (e.g.</w:t>
      </w:r>
      <w:r w:rsidR="00715CBC" w:rsidRPr="002A7627">
        <w:t>,</w:t>
      </w:r>
      <w:r w:rsidRPr="002A7627">
        <w:t xml:space="preserve"> improved organizational performance</w:t>
      </w:r>
      <w:r w:rsidR="00F474FA">
        <w:t>)</w:t>
      </w:r>
      <w:r w:rsidRPr="002A7627">
        <w:t xml:space="preserve"> </w:t>
      </w:r>
      <w:r w:rsidR="00F474FA">
        <w:rPr>
          <w:noProof/>
        </w:rPr>
        <w:t>(</w:t>
      </w:r>
      <w:r w:rsidR="005507A5" w:rsidRPr="002A7627">
        <w:rPr>
          <w:noProof/>
        </w:rPr>
        <w:t>Johannessen, 2018)</w:t>
      </w:r>
      <w:r w:rsidRPr="002A7627">
        <w:t>. Bao</w:t>
      </w:r>
      <w:r w:rsidR="0049693A">
        <w:t>, Chen and Zhou</w:t>
      </w:r>
      <w:r w:rsidRPr="002A7627">
        <w:t xml:space="preserve"> </w:t>
      </w:r>
      <w:r w:rsidRPr="002A7627">
        <w:fldChar w:fldCharType="begin" w:fldLock="1"/>
      </w:r>
      <w:r w:rsidR="00E24626" w:rsidRPr="002A7627">
        <w:instrText>ADDIN CSL_CITATION {"citationItems":[{"id":"ITEM-1","itemData":{"DOI":"10.1016/j.jbusres.2011.06.036","ISSN":"01482963","abstract":"Based on a dichotomy of knowledge content, this study examines how two types of external learning (i.e. technical and administrative learning) affect radical innovation, and assesses how such effects are conditional on two types of market dynamics (i.e. technological turbulence and competitive intensity). A survey of 183 high-tech firms in China shows that both technical and administrative learning facilitate development of radical innovation. Further, technological turbulence . reduces the effect of technical learning but . enhances the effect of administrative learning on radical innovation, whereas competitive intensity . enhances the effect of technical learning but . reduces the effect of administrative learning on radical innovation. © 2011 Elsevier Inc..","author":[{"dropping-particle":"","family":"Bao","given":"Yongchuan","non-dropping-particle":"","parse-names":false,"suffix":""},{"dropping-particle":"","family":"Chen","given":"Xiaoyun","non-dropping-particle":"","parse-names":false,"suffix":""},{"dropping-particle":"","family":"Zhou","given":"Kevin Zheng","non-dropping-particle":"","parse-names":false,"suffix":""}],"container-title":"Journal of Business Research","id":"ITEM-1","issue":"8","issued":{"date-parts":[["2012","8"]]},"page":"1226-1233","title":"External learning, market dynamics, and radical innovation: Evidence from China's high-tech firms","type":"article-journal","volume":"65"},"suppress-author":1,"uris":["http://www.mendeley.com/documents/?uuid=0fcc0ce4-6304-4c9f-9f08-0fddd86b50b9"]}],"mendeley":{"formattedCitation":"(2012)","plainTextFormattedCitation":"(2012)","previouslyFormattedCitation":"(2012)"},"properties":{"noteIndex":0},"schema":"https://github.com/citation-style-language/schema/raw/master/csl-citation.json"}</w:instrText>
      </w:r>
      <w:r w:rsidRPr="002A7627">
        <w:fldChar w:fldCharType="separate"/>
      </w:r>
      <w:r w:rsidRPr="002A7627">
        <w:rPr>
          <w:noProof/>
        </w:rPr>
        <w:t>(2012)</w:t>
      </w:r>
      <w:r w:rsidRPr="002A7627">
        <w:fldChar w:fldCharType="end"/>
      </w:r>
      <w:r w:rsidRPr="002A7627">
        <w:t xml:space="preserve"> investigated two types of organizational learning, technical and administrative. Both facilitated organization innovation. However, no studies have </w:t>
      </w:r>
      <w:r w:rsidR="00F474FA">
        <w:t>examined</w:t>
      </w:r>
      <w:r w:rsidR="00D61D84" w:rsidRPr="002A7627">
        <w:t xml:space="preserve"> </w:t>
      </w:r>
      <w:r w:rsidRPr="002A7627">
        <w:t xml:space="preserve">the impact of organizational learning on a comprehensive set of knowledge management benefits. Indeed, systematic reviews of previous studies in peer-reviewed journals suggested that more quantitative studies were needed on organizational learning and its relations to knowledge management benefits. For example, </w:t>
      </w:r>
      <w:r w:rsidRPr="002A7627">
        <w:rPr>
          <w:noProof/>
        </w:rPr>
        <w:t>Castaneda et al.</w:t>
      </w:r>
      <w:r w:rsidRPr="002A7627">
        <w:t xml:space="preserve"> </w:t>
      </w:r>
      <w:r w:rsidRPr="002A7627">
        <w:fldChar w:fldCharType="begin" w:fldLock="1"/>
      </w:r>
      <w:r w:rsidRPr="002A7627">
        <w:instrText>ADDIN CSL_CITATION {"citationItems":[{"id":"ITEM-1","itemData":{"DOI":"10.1108/JKM-01-2017-0041","ISSN":"1367-3270","abstract":"Purpose – This paper aims to focus on research regarding organizational learning (OL) and knowledge management (KM), and to specifically investigate whether OL has been conceptually absorbed by KM. Design/methodology/approach – This study is based on 16,185 articles from the Scopus and ISI Web of Science databases, using VantagePoint 10.0 software. The method used in this study is a systematic literature review covering KM and OL publications from the 1970s, when the OL field started to grow, up to 2016. Findings – Nuclear processes of OL, creation and acquisition of knowledge, have been conceptually absorbed by KM literature in the past years. Research limitations/implications – Only two databases have been considered, Scopus and ISI Web of Science, because of their academic prestige. However, these databases include a large number of articles on KM and OL. Search terms used could exclude some relevant terms, although all major descriptive terms have been included. Practical implications – This paper identifies thematic clusters in KM and OL, evolution of both fields, most cited authors and representative journals by topic. Originality/value – This is the first paper to jointly analyse the evolution of KM and OL. This paper showsa conceptual absorption of OL into KM, which may enrich academic discussion and also provide some clarity to the conceptualization of these two fields.","author":[{"dropping-particle":"","family":"Castaneda","given":"Delio Ignacio","non-dropping-particle":"","parse-names":false,"suffix":""},{"dropping-particle":"","family":"Manrique","given":"Luisa Fernanda","non-dropping-particle":"","parse-names":false,"suffix":""},{"dropping-particle":"","family":"Cuellar","given":"Sergio","non-dropping-particle":"","parse-names":false,"suffix":""}],"container-title":"Journal of Knowledge Management","id":"ITEM-1","issue":"2","issued":{"date-parts":[["2018","3","12"]]},"page":"299-325","title":"Is organizational learning being absorbed by knowledge management? A systematic review","type":"article-journal","volume":"22"},"suppress-author":1,"uris":["http://www.mendeley.com/documents/?uuid=b50daaa9-cc4a-4883-b2ee-eca446dd0d9d"]}],"mendeley":{"formattedCitation":"(2018)","plainTextFormattedCitation":"(2018)","previouslyFormattedCitation":"(2018)"},"properties":{"noteIndex":0},"schema":"https://github.com/citation-style-language/schema/raw/master/csl-citation.json"}</w:instrText>
      </w:r>
      <w:r w:rsidRPr="002A7627">
        <w:fldChar w:fldCharType="separate"/>
      </w:r>
      <w:r w:rsidRPr="002A7627">
        <w:rPr>
          <w:noProof/>
        </w:rPr>
        <w:t>(2018)</w:t>
      </w:r>
      <w:r w:rsidRPr="002A7627">
        <w:fldChar w:fldCharType="end"/>
      </w:r>
      <w:r w:rsidRPr="002A7627">
        <w:t xml:space="preserve"> investigated 16,185 articles from 1970 to 2016 and found that the process of organizational learning was conceptually absorbed in knowledge management studies</w:t>
      </w:r>
      <w:r w:rsidR="007413AA" w:rsidRPr="002A7627">
        <w:t>,</w:t>
      </w:r>
      <w:r w:rsidRPr="002A7627">
        <w:t xml:space="preserve"> and individuals learned through knowledge sharing. The studies highlighted the approaches to organizational learning, including management forms, knowledge sources, information systems and organizational knowledge </w:t>
      </w:r>
      <w:r w:rsidRPr="002A7627">
        <w:fldChar w:fldCharType="begin" w:fldLock="1"/>
      </w:r>
      <w:r w:rsidR="00E24626" w:rsidRPr="002A7627">
        <w:instrText>ADDIN CSL_CITATION {"citationItems":[{"id":"ITEM-1","itemData":{"DOI":"10.1016/j.jbusres.2013.11.029","ISSN":"01482963","abstract":"This study describes the development and validation of an instrument to measure organizational learning. Starting out from a comprehensive analysis of the main organizational learning models in the specialized literature, the organizational learning scale in this study consists of 18 items forming five dimensions: the ontological levels of learning, modes of knowledge conversion, learning sub-processes, types of learning, and feedback and feed-forward flows of learning. A survey to large Spanish companies provides data from 167 companies. Confirmatory factor analysis tests the construct measurement model and validates the scale. The results of the study indicate that the scale satisfies the criteria for reliability, and validity. The exploratory factor analysis permits the identification of four factors which make theoretical sense: information systems, the existence of a framework for consensus, procedures for the institutionalization and broadening of knowledge, and forms of management and the genesis of knowledge. The new construct promises to be more comprehensive, integrative and eclectic than previous constructs, achieving its broad scope by incorporating a number of the main theoretical perspectives on the matter. For practitioners, the scale could form the basis of an auditing tool, as well as being a useful target for organizational change initiatives. © 2013 Elsevier Inc.","author":[{"dropping-particle":"","family":"Lloria","given":"M. Begoña","non-dropping-particle":"","parse-names":false,"suffix":""},{"dropping-particle":"","family":"Moreno-Luzon","given":"Maria D.","non-dropping-particle":"","parse-names":false,"suffix":""}],"container-title":"Journal of Business Research","id":"ITEM-1","issue":"5","issued":{"date-parts":[["2014","5"]]},"page":"692-697","title":"Organizational learning: Proposal of an integrative scale and research instrument","type":"article-journal","volume":"67"},"uris":["http://www.mendeley.com/documents/?uuid=2b658eb0-ceab-4c65-b9df-029bcc22ec51"]}],"mendeley":{"formattedCitation":"(Lloria &amp; Moreno-Luzon, 2014)","plainTextFormattedCitation":"(Lloria &amp; Moreno-Luzon, 2014)","previouslyFormattedCitation":"(Lloria &amp; Moreno-Luzon, 2014)"},"properties":{"noteIndex":0},"schema":"https://github.com/citation-style-language/schema/raw/master/csl-citation.json"}</w:instrText>
      </w:r>
      <w:r w:rsidRPr="002A7627">
        <w:fldChar w:fldCharType="separate"/>
      </w:r>
      <w:r w:rsidRPr="002A7627">
        <w:rPr>
          <w:noProof/>
        </w:rPr>
        <w:t>(Lloria &amp; Moreno-Luzon, 2014)</w:t>
      </w:r>
      <w:r w:rsidRPr="002A7627">
        <w:fldChar w:fldCharType="end"/>
      </w:r>
      <w:r w:rsidRPr="002A7627">
        <w:t xml:space="preserve">. </w:t>
      </w:r>
    </w:p>
    <w:p w14:paraId="51979AE6" w14:textId="23371814" w:rsidR="00EE00BF" w:rsidRPr="002A7627" w:rsidRDefault="00EE00BF" w:rsidP="002C4A1A">
      <w:pPr>
        <w:pStyle w:val="AAAAAAA"/>
      </w:pPr>
      <w:r w:rsidRPr="002A7627">
        <w:t xml:space="preserve">Organizational learning theory suggests that employees share knowledge with each other to produce excellent ideas to enhance innovation and creativity </w:t>
      </w:r>
      <w:r w:rsidRPr="002A7627">
        <w:fldChar w:fldCharType="begin" w:fldLock="1"/>
      </w:r>
      <w:r w:rsidR="00E24626" w:rsidRPr="002A7627">
        <w:instrText>ADDIN CSL_CITATION {"citationItems":[{"id":"ITEM-1","itemData":{"DOI":"10.1111/poms.12639","ISSN":"10591478","abstract":"This thought piece represents an opportunity to integrate creativity and operations management (OM) research, and in particular the management of technology (MOT), to stimulate thinking and drive research across disciplines. Specifically, we discuss how there is an inherent tension when considering how work is organized and performed given that the majority of today's jobs require a certain degree of following routinized procedures, while some level of creativity is desirable as well. Therefore, there is the need to balance standardization with the desire for creativity, and this represents an inherent paradox. Here, we propose applying a creativity lens to the work categories used in OM, and discuss the implications of considering creativity as a process and an outcome that ranges along a continuum from incremental to radical. Our goal is to start a conversation that integrates the organizational creativity literature with OM and the MOT, and in doing so leads to future research and new developments in each of these literatures. © 2016 Production and Operations Management Society","author":[{"dropping-particle":"","family":"Shalley","given":"Christina E.","non-dropping-particle":"","parse-names":false,"suffix":""},{"dropping-particle":"","family":"Gilson","given":"Lucy L.","non-dropping-particle":"","parse-names":false,"suffix":""}],"container-title":"Production and Operations Management","id":"ITEM-1","issue":"4","issued":{"date-parts":[["2017","4"]]},"page":"605-616","title":"Creativity and the management of technology: Balancing creativity and standardization","type":"article-journal","volume":"26"},"uris":["http://www.mendeley.com/documents/?uuid=d7dd84a5-2f0f-4584-a451-42aec2c9af62"]},{"id":"ITEM-2","itemData":{"DOI":"10.1007/s10490-017-9508-1","ISSN":"0217-4561","PMID":"1924800598","abstract":"Drawing on the ability-motivation-opportunity framework, we develop a multilevel model examining the relationship between high-performance human resource practices and team creativity. Based on an input-process-output perspective, we hypothesize that both ability-enhancing human resource practices and motivation-enhancing practices affect team creativity via team efficacy, while motivation-enhancing practices and opportunity-enhancing practices affect team creativity via knowledge sharing. We verify our hypotheses using data collected from 16 Chinese companies involving 80 work teams. The results show that team efficacy mediates the relationship between ability-enhancing practices and team creativity, and knowledge sharing mediates the relationship between motivation-enhancing practices and team creativity. Theoretical and practical implications for human resource management practices and team creativity are discussed.","author":[{"dropping-particle":"","family":"Ma","given":"Zixiang","non-dropping-particle":"","parse-names":false,"suffix":""},{"dropping-particle":"","family":"Long","given":"Lirong","non-dropping-particle":"","parse-names":false,"suffix":""},{"dropping-particle":"","family":"Zhang","given":"Yong","non-dropping-particle":"","parse-names":false,"suffix":""},{"dropping-particle":"","family":"Zhang","given":"Junwei","non-dropping-particle":"","parse-names":false,"suffix":""},{"dropping-particle":"","family":"Lam","given":"Catherine K.","non-dropping-particle":"","parse-names":false,"suffix":""}],"container-title":"Asia Pacific Journal of Management","id":"ITEM-2","issue":"3","issued":{"date-parts":[["2017","9","29"]]},"page":"565-586","title":"Why do high-performance human resource practices matter for team creativity? The mediating role of collective efficacy and knowledge sharing","type":"article-journal","volume":"34"},"uris":["http://www.mendeley.com/documents/?uuid=75b37b05-f51d-439d-87bb-92fa4e212e6e"]}],"mendeley":{"formattedCitation":"(Ma et al., 2017; Shalley &amp; Gilson, 2017)","plainTextFormattedCitation":"(Ma et al., 2017; Shalley &amp; Gilson, 2017)","previouslyFormattedCitation":"(Ma et al., 2017; Shalley &amp; Gilson, 2017)"},"properties":{"noteIndex":0},"schema":"https://github.com/citation-style-language/schema/raw/master/csl-citation.json"}</w:instrText>
      </w:r>
      <w:r w:rsidRPr="002A7627">
        <w:fldChar w:fldCharType="separate"/>
      </w:r>
      <w:r w:rsidRPr="002A7627">
        <w:rPr>
          <w:noProof/>
        </w:rPr>
        <w:t>(Ma et al., 2017; Shalley &amp; Gilson, 2017)</w:t>
      </w:r>
      <w:r w:rsidRPr="002A7627">
        <w:fldChar w:fldCharType="end"/>
      </w:r>
      <w:r w:rsidRPr="002A7627">
        <w:t>. When employees do not share knowledge, however, organization</w:t>
      </w:r>
      <w:r w:rsidR="00F474FA">
        <w:t>s</w:t>
      </w:r>
      <w:r w:rsidRPr="002A7627">
        <w:t xml:space="preserve"> </w:t>
      </w:r>
      <w:r w:rsidRPr="00F12187">
        <w:rPr>
          <w:color w:val="000000" w:themeColor="text1"/>
        </w:rPr>
        <w:t xml:space="preserve">might </w:t>
      </w:r>
      <w:r w:rsidR="00F474FA" w:rsidRPr="00F12187">
        <w:rPr>
          <w:color w:val="000000" w:themeColor="text1"/>
        </w:rPr>
        <w:t>find it harder to</w:t>
      </w:r>
      <w:r w:rsidRPr="00F12187">
        <w:rPr>
          <w:color w:val="000000" w:themeColor="text1"/>
        </w:rPr>
        <w:t xml:space="preserve"> solv</w:t>
      </w:r>
      <w:r w:rsidR="00F474FA" w:rsidRPr="00F12187">
        <w:rPr>
          <w:color w:val="000000" w:themeColor="text1"/>
        </w:rPr>
        <w:t>e</w:t>
      </w:r>
      <w:r w:rsidRPr="00F12187">
        <w:rPr>
          <w:color w:val="000000" w:themeColor="text1"/>
        </w:rPr>
        <w:t xml:space="preserve"> </w:t>
      </w:r>
      <w:r w:rsidRPr="002A7627">
        <w:t xml:space="preserve">problems efficiently </w:t>
      </w:r>
      <w:r w:rsidR="00E24626" w:rsidRPr="002A7627">
        <w:rPr>
          <w:noProof/>
        </w:rPr>
        <w:t>(Zhang &amp; Kwan, 2018)</w:t>
      </w:r>
      <w:r w:rsidRPr="002A7627">
        <w:t>. Organizational learning and knowledge management benefits are</w:t>
      </w:r>
      <w:r w:rsidR="00054373" w:rsidRPr="002A7627">
        <w:t xml:space="preserve">, therefore, </w:t>
      </w:r>
      <w:r w:rsidRPr="002A7627">
        <w:t>related because innovation, building organizational memory</w:t>
      </w:r>
      <w:r w:rsidR="00715CBC" w:rsidRPr="002A7627">
        <w:t>,</w:t>
      </w:r>
      <w:r w:rsidRPr="002A7627">
        <w:t xml:space="preserve"> and solving problems are categorized as knowledge management benefits </w:t>
      </w:r>
      <w:r w:rsidR="005507A5" w:rsidRPr="002A7627">
        <w:fldChar w:fldCharType="begin" w:fldLock="1"/>
      </w:r>
      <w:r w:rsidR="005507A5" w:rsidRPr="002A7627">
        <w:instrText>ADDIN CSL_CITATION {"citationItems":[{"id":"ITEM-1","itemData":{"author":[{"dropping-particle":"","family":"Dalkir","given":"K.","non-dropping-particle":"","parse-names":false,"suffix":""}],"id":"ITEM-1","issued":{"date-parts":[["2017"]]},"publisher":"Massachusetts Institute of Technology","publisher-place":"Cambridge, MA","title":"Knowledge management in theory and practice","type":"book"},"uris":["http://www.mendeley.com/documents/?uuid=7919d89b-6c2d-467b-b622-402430e489b6"]}],"mendeley":{"formattedCitation":"(Dalkir, 2017)","plainTextFormattedCitation":"(Dalkir, 2017)","previouslyFormattedCitation":"(Dalkir, 2017)"},"properties":{"noteIndex":0},"schema":"https://github.com/citation-style-language/schema/raw/master/csl-citation.json"}</w:instrText>
      </w:r>
      <w:r w:rsidR="005507A5" w:rsidRPr="002A7627">
        <w:fldChar w:fldCharType="separate"/>
      </w:r>
      <w:r w:rsidR="005507A5" w:rsidRPr="002A7627">
        <w:rPr>
          <w:noProof/>
        </w:rPr>
        <w:t>(Dalkir, 2017)</w:t>
      </w:r>
      <w:r w:rsidR="005507A5" w:rsidRPr="002A7627">
        <w:fldChar w:fldCharType="end"/>
      </w:r>
      <w:r w:rsidRPr="002A7627">
        <w:t>. This study</w:t>
      </w:r>
      <w:r w:rsidR="00054373" w:rsidRPr="002A7627">
        <w:t xml:space="preserve"> therefore </w:t>
      </w:r>
      <w:r w:rsidRPr="002A7627">
        <w:t>hypothesized:</w:t>
      </w:r>
    </w:p>
    <w:p w14:paraId="401E51EE" w14:textId="77777777" w:rsidR="00EE00BF" w:rsidRPr="002A7627" w:rsidRDefault="00EE00BF" w:rsidP="002C4A1A">
      <w:pPr>
        <w:widowControl/>
        <w:spacing w:line="480" w:lineRule="auto"/>
        <w:ind w:left="720"/>
        <w:rPr>
          <w:rFonts w:asciiTheme="majorBidi" w:eastAsiaTheme="minorEastAsia" w:hAnsiTheme="majorBidi" w:cstheme="majorBidi"/>
          <w:szCs w:val="24"/>
        </w:rPr>
      </w:pPr>
      <w:r w:rsidRPr="002A7627">
        <w:rPr>
          <w:rFonts w:asciiTheme="majorBidi" w:eastAsiaTheme="minorEastAsia" w:hAnsiTheme="majorBidi" w:cstheme="majorBidi"/>
          <w:b/>
          <w:bCs/>
          <w:szCs w:val="24"/>
        </w:rPr>
        <w:t xml:space="preserve">H6: </w:t>
      </w:r>
      <w:r w:rsidRPr="002A7627">
        <w:rPr>
          <w:rFonts w:asciiTheme="majorBidi" w:eastAsia="Times New Roman" w:hAnsiTheme="majorBidi" w:cstheme="majorBidi"/>
          <w:szCs w:val="24"/>
        </w:rPr>
        <w:t>Organizational learning has a direct positive relationship with knowledge management benefits.</w:t>
      </w:r>
    </w:p>
    <w:p w14:paraId="6639F246" w14:textId="4DCBD516" w:rsidR="00EE00BF" w:rsidRPr="002A7627" w:rsidRDefault="007D7779" w:rsidP="00A54FA8">
      <w:pPr>
        <w:pStyle w:val="Heading1"/>
        <w:jc w:val="lowKashida"/>
        <w:rPr>
          <w:color w:val="000000"/>
        </w:rPr>
      </w:pPr>
      <w:bookmarkStart w:id="139" w:name="_Toc13959637"/>
      <w:bookmarkStart w:id="140" w:name="_Toc22331671"/>
      <w:r>
        <w:rPr>
          <w:color w:val="000000"/>
        </w:rPr>
        <w:t xml:space="preserve">3.5. </w:t>
      </w:r>
      <w:r w:rsidR="00EE00BF" w:rsidRPr="002A7627">
        <w:rPr>
          <w:color w:val="000000"/>
        </w:rPr>
        <w:t xml:space="preserve">Knowledge </w:t>
      </w:r>
      <w:r w:rsidR="002C4A1A" w:rsidRPr="002A7627">
        <w:rPr>
          <w:color w:val="000000"/>
        </w:rPr>
        <w:t>Management Capabilities, Organizational Learning, and Knowledge Management Benefits</w:t>
      </w:r>
      <w:bookmarkEnd w:id="139"/>
      <w:bookmarkEnd w:id="140"/>
    </w:p>
    <w:p w14:paraId="581046F6" w14:textId="27F5326C" w:rsidR="00EE00BF" w:rsidRPr="002A7627" w:rsidRDefault="00EE00BF" w:rsidP="002C4A1A">
      <w:pPr>
        <w:pStyle w:val="AAAAAAA"/>
      </w:pPr>
      <w:r w:rsidRPr="002A7627">
        <w:t xml:space="preserve">Organizational learning is </w:t>
      </w:r>
      <w:r w:rsidR="00445392">
        <w:t>the</w:t>
      </w:r>
      <w:r w:rsidR="00445392" w:rsidRPr="002A7627">
        <w:t xml:space="preserve"> </w:t>
      </w:r>
      <w:r w:rsidRPr="002A7627">
        <w:t>process of acquiring, disseminating</w:t>
      </w:r>
      <w:r w:rsidR="00715CBC" w:rsidRPr="002A7627">
        <w:t>,</w:t>
      </w:r>
      <w:r w:rsidRPr="002A7627">
        <w:t xml:space="preserve"> and sharing knowledge </w:t>
      </w:r>
      <w:r w:rsidRPr="002A7627">
        <w:fldChar w:fldCharType="begin" w:fldLock="1"/>
      </w:r>
      <w:r w:rsidR="00E24626" w:rsidRPr="002A7627">
        <w:instrText>ADDIN CSL_CITATION {"citationItems":[{"id":"ITEM-1","itemData":{"abstract":"No theory or model of organizational learning has widespread acceptance. This paper clarifies the distinction between organizational learning and organizational adaptation and shows that change does not necessarily imply learning. There are different levels of learning, each having a different impact on the strategic management of the firm.","author":[{"dropping-particle":"","family":"Argote","given":"Linda","non-dropping-particle":"","parse-names":false,"suffix":""}],"id":"ITEM-1","issued":{"date-parts":[["2013"]]},"publisher":"Springer","publisher-place":"Boston, MA","title":"Organizational learning: Creating, retaining and transferring knowledge","type":"book"},"uris":["http://www.mendeley.com/documents/?uuid=13b65805-f12b-424d-b92a-cb06620b964d"]}],"mendeley":{"formattedCitation":"(Argote, 2013)","plainTextFormattedCitation":"(Argote, 2013)","previouslyFormattedCitation":"(Argote, 2013)"},"properties":{"noteIndex":0},"schema":"https://github.com/citation-style-language/schema/raw/master/csl-citation.json"}</w:instrText>
      </w:r>
      <w:r w:rsidRPr="002A7627">
        <w:fldChar w:fldCharType="separate"/>
      </w:r>
      <w:r w:rsidRPr="002A7627">
        <w:rPr>
          <w:noProof/>
        </w:rPr>
        <w:t>(Argote, 2013)</w:t>
      </w:r>
      <w:r w:rsidRPr="002A7627">
        <w:fldChar w:fldCharType="end"/>
      </w:r>
      <w:r w:rsidRPr="002A7627">
        <w:t xml:space="preserve">. Through organizational learning, employees use tacit knowledge and reflect on their ideas and experiences to solve problems encountered at work on a daily basis </w:t>
      </w:r>
      <w:r w:rsidRPr="002A7627">
        <w:fldChar w:fldCharType="begin" w:fldLock="1"/>
      </w:r>
      <w:r w:rsidRPr="002A7627">
        <w:instrText>ADDIN CSL_CITATION {"citationItems":[{"id":"ITEM-1","itemData":{"DOI":"10.1108/ER-01-2016-0006","ISBN":"0420170014","ISSN":"01425455","PMID":"42012058","abstract":"Purpose – The purpose of this paper is to determine the impact of strategic human resource management (HRM) practices and knowledge strategies on the performance of a sample of software companies in India. Design/methodology/approach – The sample chosen for this study was software professionals in India; the software companies were chosen based on their listing in the NASSCOM annual report, with financial turnover as the basis for classification. In order to measure the tangible and intangible outcomes, instruments used in this study include financial and non-economic performance. Findings – As per the contingency approach, the fit between strategicHRMpractices (staffing, general training, specific training, performance appraisal, performance feedback, reward and compensation and employee development) and knowledge strategy dimensions (consolidator, transformer and co-inventor) was observed and the results revealed that the moderation effect has had a positive impact on the firms’ performance. Practical implications – Investment in specific developmental programs for high-potential employees and quick learners will make knowledge-intensive firms financially sound in the long run. Through an appropriate reward strategy, employees who are capable of lateral and innovative thinking at work can be engaged in consistently delivering quality projects, which will have a significant positive impact on overall project costs and the financial performance of the firm. Originality/value – The proposed model in this study can enhance a firm’s performance, provided the firm adopts a specific knowledge strategy and coherently aligns it with strategic HRM practices to achieve a sustained competitive advantage.","author":[{"dropping-particle":"","family":"Arunprasad","given":"P.","non-dropping-particle":"","parse-names":false,"suffix":""}],"container-title":"Employee Relations","id":"ITEM-1","issue":"5","issued":{"date-parts":[["2017"]]},"page":"753-774","title":"Inevitable knowledge strategy: A paradigm shift in strategic HRM practices to augment firm’s performance","type":"article-journal","volume":"39"},"uris":["http://www.mendeley.com/documents/?uuid=19344771-65a3-4729-b95b-7f775ddba412"]}],"mendeley":{"formattedCitation":"(Arunprasad, 2017)","plainTextFormattedCitation":"(Arunprasad, 2017)","previouslyFormattedCitation":"(Arunprasad, 2017)"},"properties":{"noteIndex":0},"schema":"https://github.com/citation-style-language/schema/raw/master/csl-citation.json"}</w:instrText>
      </w:r>
      <w:r w:rsidRPr="002A7627">
        <w:fldChar w:fldCharType="separate"/>
      </w:r>
      <w:r w:rsidRPr="002A7627">
        <w:rPr>
          <w:noProof/>
        </w:rPr>
        <w:t>(Arunprasad, 2017)</w:t>
      </w:r>
      <w:r w:rsidRPr="002A7627">
        <w:fldChar w:fldCharType="end"/>
      </w:r>
      <w:r w:rsidRPr="002A7627">
        <w:t xml:space="preserve">. The processes that organizations follow to develop new knowledge can bridge the gap between IT and organizational performance </w:t>
      </w:r>
      <w:r w:rsidRPr="002A7627">
        <w:fldChar w:fldCharType="begin" w:fldLock="1"/>
      </w:r>
      <w:r w:rsidR="00E24626" w:rsidRPr="002A7627">
        <w:instrText>ADDIN CSL_CITATION {"citationItems":[{"id":"ITEM-1","itemData":{"DOI":"10.1016/j.im.2017.10.001","ISSN":"03787206","abstract":"Despite several calls for considering industry in the IS value research, few studies investigated the relationship between benefits of IT and industries. This study extends Chae et al. (2014) by investigating how industry influences the relationship between IT capability and business performance. Unexpectedly, it finds that the control group in the industries in which the “transform” IT strategic role dominates showed superior performance than the IT leader. Also, the IT leaders in the “automate” IT strategic industry did not exhibit better business performance than the control firms. We discuss the implications of these findings.","author":[{"dropping-particle":"","family":"Chae","given":"Ho-Chang","non-dropping-particle":"","parse-names":false,"suffix":""},{"dropping-particle":"","family":"Koh","given":"Chang E.","non-dropping-particle":"","parse-names":false,"suffix":""},{"dropping-particle":"","family":"Park","given":"Kwang O.","non-dropping-particle":"","parse-names":false,"suffix":""}],"container-title":"Information and Management","id":"ITEM-1","issue":"5","issued":{"date-parts":[["2018","7"]]},"page":"525-546","title":"Information technology capability and firm performance: Role of industry","type":"article-journal","volume":"55"},"uris":["http://www.mendeley.com/documents/?uuid=707f5a29-eb95-4b97-933f-0c0c0ab0836c"]},{"id":"ITEM-2","itemData":{"DOI":"10.1002/smj.337","ISBN":"1097-0266","ISSN":"0143-2095","PMID":"225003183","abstract":"Many companies have developed strategies that include investing heavily in information technology (IT) in order to enhance their performance. Yet, this investment pays off for some companies but not others. This study proposes that organization learning plays a significant role in determining the outcomes of IT. Drawing from resource theory and IT literature, the authors develop the concept of IT competency. Using structural equations modeling with data collected from managers in 271 manufacturing firms, they show that organizational learning plays a significant role in mediating the effects of IT competency on firm performance. Copyright 2003 John Wiley &amp; Sons, Ltd.","author":[{"dropping-particle":"","family":"Tippins","given":"Michael J.","non-dropping-particle":"","parse-names":false,"suffix":""},{"dropping-particle":"","family":"Sohi","given":"Ravipreet S.","non-dropping-particle":"","parse-names":false,"suffix":""}],"container-title":"Strategic Management Journal","id":"ITEM-2","issue":"8","issued":{"date-parts":[["2003","8"]]},"page":"745-761","title":"IT competency and firm performance: Is organizational learning a missing link?","type":"article-journal","volume":"24"},"uris":["http://www.mendeley.com/documents/?uuid=6da866e2-5545-472d-a91e-0b11cfc0f7f8"]}],"mendeley":{"formattedCitation":"(Chae et al., 2018; Tippins &amp; Sohi, 2003)","plainTextFormattedCitation":"(Chae et al., 2018; Tippins &amp; Sohi, 2003)","previouslyFormattedCitation":"(Chae et al., 2018; Tippins &amp; Sohi, 2003)"},"properties":{"noteIndex":0},"schema":"https://github.com/citation-style-language/schema/raw/master/csl-citation.json"}</w:instrText>
      </w:r>
      <w:r w:rsidRPr="002A7627">
        <w:fldChar w:fldCharType="separate"/>
      </w:r>
      <w:r w:rsidRPr="002A7627">
        <w:rPr>
          <w:noProof/>
        </w:rPr>
        <w:t>(Chae et al., 2018; Tippins &amp; Sohi, 2003)</w:t>
      </w:r>
      <w:r w:rsidRPr="002A7627">
        <w:fldChar w:fldCharType="end"/>
      </w:r>
      <w:r w:rsidRPr="002A7627">
        <w:t xml:space="preserve">. </w:t>
      </w:r>
      <w:r w:rsidRPr="002A7627">
        <w:rPr>
          <w:rFonts w:asciiTheme="majorBidi" w:eastAsiaTheme="minorEastAsia" w:hAnsiTheme="majorBidi" w:cstheme="majorBidi"/>
        </w:rPr>
        <w:t xml:space="preserve">The resource-based view suggests that a dynamic capability can be gained by a good knowledge strategy to sustain competitive advantage. To gain benefits such as competencies, organizations must invest in capabilities such as technology and continuous learning, drawing on customer feedback </w:t>
      </w:r>
      <w:r w:rsidRPr="002A7627">
        <w:rPr>
          <w:rFonts w:asciiTheme="majorBidi" w:eastAsiaTheme="minorEastAsia" w:hAnsiTheme="majorBidi" w:cstheme="majorBidi"/>
          <w:noProof/>
        </w:rPr>
        <w:t>(</w:t>
      </w:r>
      <w:r w:rsidR="0049693A" w:rsidRPr="002A7627">
        <w:rPr>
          <w:noProof/>
        </w:rPr>
        <w:t>Carlson, Rahman, Voola, &amp; De Vries</w:t>
      </w:r>
      <w:r w:rsidR="0049693A" w:rsidRPr="002A7627">
        <w:rPr>
          <w:rFonts w:asciiTheme="majorBidi" w:eastAsiaTheme="minorEastAsia" w:hAnsiTheme="majorBidi" w:cstheme="majorBidi"/>
          <w:noProof/>
        </w:rPr>
        <w:t>, 2018</w:t>
      </w:r>
      <w:r w:rsidR="0049693A">
        <w:rPr>
          <w:rFonts w:asciiTheme="majorBidi" w:eastAsiaTheme="minorEastAsia" w:hAnsiTheme="majorBidi" w:cstheme="majorBidi"/>
          <w:noProof/>
        </w:rPr>
        <w:t xml:space="preserve">; </w:t>
      </w:r>
      <w:r w:rsidR="00D97E4C" w:rsidRPr="002A7627">
        <w:rPr>
          <w:noProof/>
        </w:rPr>
        <w:t xml:space="preserve">Gittell, Seidner, &amp; Wimbush, </w:t>
      </w:r>
      <w:r w:rsidRPr="002A7627">
        <w:rPr>
          <w:rFonts w:asciiTheme="majorBidi" w:eastAsiaTheme="minorEastAsia" w:hAnsiTheme="majorBidi" w:cstheme="majorBidi"/>
          <w:noProof/>
        </w:rPr>
        <w:t>20</w:t>
      </w:r>
      <w:r w:rsidR="002A3B8C" w:rsidRPr="002A7627">
        <w:rPr>
          <w:rFonts w:asciiTheme="majorBidi" w:eastAsiaTheme="minorEastAsia" w:hAnsiTheme="majorBidi" w:cstheme="majorBidi"/>
          <w:noProof/>
        </w:rPr>
        <w:t>08, 2010</w:t>
      </w:r>
      <w:r w:rsidRPr="002A7627">
        <w:rPr>
          <w:rFonts w:asciiTheme="majorBidi" w:eastAsiaTheme="minorEastAsia" w:hAnsiTheme="majorBidi" w:cstheme="majorBidi"/>
          <w:noProof/>
        </w:rPr>
        <w:t>)</w:t>
      </w:r>
      <w:r w:rsidRPr="002A7627">
        <w:rPr>
          <w:rFonts w:asciiTheme="majorBidi" w:eastAsiaTheme="minorEastAsia" w:hAnsiTheme="majorBidi" w:cstheme="majorBidi"/>
        </w:rPr>
        <w:t xml:space="preserve">. To </w:t>
      </w:r>
      <w:r w:rsidR="00126A26" w:rsidRPr="00F12187">
        <w:rPr>
          <w:rFonts w:asciiTheme="majorBidi" w:eastAsiaTheme="minorEastAsia" w:hAnsiTheme="majorBidi" w:cstheme="majorBidi"/>
          <w:color w:val="000000" w:themeColor="text1"/>
        </w:rPr>
        <w:t xml:space="preserve">investigate </w:t>
      </w:r>
      <w:r w:rsidRPr="00F12187">
        <w:rPr>
          <w:rFonts w:asciiTheme="majorBidi" w:eastAsiaTheme="minorEastAsia" w:hAnsiTheme="majorBidi" w:cstheme="majorBidi"/>
          <w:color w:val="000000" w:themeColor="text1"/>
        </w:rPr>
        <w:t xml:space="preserve">the mediation </w:t>
      </w:r>
      <w:r w:rsidR="00445392" w:rsidRPr="00F12187">
        <w:rPr>
          <w:rFonts w:asciiTheme="majorBidi" w:eastAsiaTheme="minorEastAsia" w:hAnsiTheme="majorBidi" w:cstheme="majorBidi"/>
          <w:color w:val="000000" w:themeColor="text1"/>
        </w:rPr>
        <w:t xml:space="preserve">effect </w:t>
      </w:r>
      <w:r w:rsidRPr="002A7627">
        <w:rPr>
          <w:rFonts w:asciiTheme="majorBidi" w:eastAsiaTheme="minorEastAsia" w:hAnsiTheme="majorBidi" w:cstheme="majorBidi"/>
        </w:rPr>
        <w:t xml:space="preserve">of organizational learning, </w:t>
      </w:r>
      <w:r w:rsidRPr="002A7627">
        <w:t>researchers can analyze how knowledge management creates organizational learning and how organizational learning contributes to enhanc</w:t>
      </w:r>
      <w:r w:rsidR="00445392">
        <w:t>ed</w:t>
      </w:r>
      <w:r w:rsidRPr="002A7627">
        <w:t xml:space="preserve"> performance.</w:t>
      </w:r>
      <w:r w:rsidRPr="002A7627">
        <w:rPr>
          <w:rFonts w:asciiTheme="majorBidi" w:eastAsiaTheme="minorEastAsia" w:hAnsiTheme="majorBidi" w:cstheme="majorBidi"/>
        </w:rPr>
        <w:t xml:space="preserve"> Technology supports knowledge management by offering tools to manage, store</w:t>
      </w:r>
      <w:r w:rsidR="00715CBC" w:rsidRPr="002A7627">
        <w:rPr>
          <w:rFonts w:asciiTheme="majorBidi" w:eastAsiaTheme="minorEastAsia" w:hAnsiTheme="majorBidi" w:cstheme="majorBidi"/>
        </w:rPr>
        <w:t>,</w:t>
      </w:r>
      <w:r w:rsidRPr="002A7627">
        <w:rPr>
          <w:rFonts w:asciiTheme="majorBidi" w:eastAsiaTheme="minorEastAsia" w:hAnsiTheme="majorBidi" w:cstheme="majorBidi"/>
        </w:rPr>
        <w:t xml:space="preserve"> and exploit knowledge </w:t>
      </w:r>
      <w:r w:rsidRPr="002A7627">
        <w:rPr>
          <w:rFonts w:asciiTheme="majorBidi" w:eastAsiaTheme="minorEastAsia" w:hAnsiTheme="majorBidi" w:cstheme="majorBidi"/>
        </w:rPr>
        <w:fldChar w:fldCharType="begin" w:fldLock="1"/>
      </w:r>
      <w:r w:rsidR="00E24626" w:rsidRPr="002A7627">
        <w:rPr>
          <w:rFonts w:asciiTheme="majorBidi" w:eastAsiaTheme="minorEastAsia" w:hAnsiTheme="majorBidi" w:cstheme="majorBidi"/>
        </w:rPr>
        <w:instrText>ADDIN CSL_CITATION {"citationItems":[{"id":"ITEM-1","itemData":{"DOI":"10.1108/JKM-02-2016-0057","ISBN":"0929-5607","ISSN":"1367-3270","abstract":"Purpose The purpose of this special issue is to point out the possibilities of new information and communication technologies (ICTs) for knowledge management (KM) in organizations, offering different perspectives on and approaches for the role of new ICTs for KM, as well as measuring the impact and diffusion of new ICTs for KM within organizations.Design/methodology/approach The selection of the papers included in this special issue is largely based on the work of the conference “7th European Conference on Intellectual Capital - ECIC” (April 2015, Cartagena, Spain), where the special issue editors organized a track on “New ICTs for Knowledge Management in Organizations”. The conference gathered leading scholars in the fields of intellectual capital and KM, dealing with the acquisition, creation and sharing of collective intelligence and how to utilize increased academic knowledge and networking in promoting economic and organizational innovations and changes.Findings The collection of papers covered in this special issue identifies challenging problems on the role of new ICTs for KM and their role in the design and implementation of innovative products, services or processes in organizations.Research limitations/implications The special issue tries to offer some new relevant advances for the academic and practice communities in the growing body of research analyzing new ICTs for KM. However, the theoretical and empirical advances showed represent only a partial view, which corresponds to the impact of new ICTs for KM at the organizational level of analysis.Practical implications The nature of new ICTs, such as social networking tools, wikis, internal blogging and the way they are used, suggest that nowadays they may differ from traditional organizational systems in two critical ways: the voluntary (typically not mandatory) use and their lack of activity or process orientation.Originality/value The special issue explores the phenomena by integrating different perspectives and approaches, including qualitative and quantitative empirical. This integration overcomes some limitations about the understanding of the issues under investigation. [ABSTRACT FROM AUTHOR]","author":[{"dropping-particle":"","family":"Soto-Acosta","given":"Pedro","non-dropping-particle":"","parse-names":false,"suffix":""},{"dropping-particle":"","family":"Cegarra-Navarro","given":"Juan-Gabriel","non-dropping-particle":"","parse-names":false,"suffix":""}],"container-title":"Journal of Knowledge Management","id":"ITEM-1","issue":"3","issued":{"date-parts":[["2016","5","9"]]},"page":"417-422","title":"New ICTs for knowledge Management in organizations","type":"article-journal","volume":"20"},"uris":["http://www.mendeley.com/documents/?uuid=377e5253-0c81-4b75-8696-7af540266510"]}],"mendeley":{"formattedCitation":"(Soto-Acosta &amp; Cegarra-Navarro, 2016)","plainTextFormattedCitation":"(Soto-Acosta &amp; Cegarra-Navarro, 2016)","previouslyFormattedCitation":"(Soto-Acosta &amp; Cegarra-Navarro, 2016)"},"properties":{"noteIndex":0},"schema":"https://github.com/citation-style-language/schema/raw/master/csl-citation.json"}</w:instrText>
      </w:r>
      <w:r w:rsidRPr="002A7627">
        <w:rPr>
          <w:rFonts w:asciiTheme="majorBidi" w:eastAsiaTheme="minorEastAsia" w:hAnsiTheme="majorBidi" w:cstheme="majorBidi"/>
        </w:rPr>
        <w:fldChar w:fldCharType="separate"/>
      </w:r>
      <w:r w:rsidRPr="002A7627">
        <w:rPr>
          <w:rFonts w:asciiTheme="majorBidi" w:eastAsiaTheme="minorEastAsia" w:hAnsiTheme="majorBidi" w:cstheme="majorBidi"/>
          <w:noProof/>
        </w:rPr>
        <w:t>(Soto-Acosta &amp; Cegarra-Navarro, 2016)</w:t>
      </w:r>
      <w:r w:rsidRPr="002A7627">
        <w:rPr>
          <w:rFonts w:asciiTheme="majorBidi" w:eastAsiaTheme="minorEastAsia" w:hAnsiTheme="majorBidi" w:cstheme="majorBidi"/>
        </w:rPr>
        <w:fldChar w:fldCharType="end"/>
      </w:r>
      <w:r w:rsidRPr="002A7627">
        <w:rPr>
          <w:rFonts w:asciiTheme="majorBidi" w:eastAsiaTheme="minorEastAsia" w:hAnsiTheme="majorBidi" w:cstheme="majorBidi"/>
        </w:rPr>
        <w:t xml:space="preserve">. It also influences organizational learning and agility to improve innovation </w:t>
      </w:r>
      <w:r w:rsidRPr="002A7627">
        <w:rPr>
          <w:rFonts w:asciiTheme="majorBidi" w:eastAsiaTheme="minorEastAsia" w:hAnsiTheme="majorBidi" w:cstheme="majorBidi"/>
        </w:rPr>
        <w:fldChar w:fldCharType="begin" w:fldLock="1"/>
      </w:r>
      <w:r w:rsidR="00E24626" w:rsidRPr="002A7627">
        <w:rPr>
          <w:rFonts w:asciiTheme="majorBidi" w:eastAsiaTheme="minorEastAsia" w:hAnsiTheme="majorBidi" w:cstheme="majorBidi"/>
        </w:rPr>
        <w:instrText>ADDIN CSL_CITATION {"citationItems":[{"id":"ITEM-1","itemData":{"DOI":"10.1108/13673271211262826","ISBN":"1367327121","ISSN":"1367-3270","abstract":"Access to this document was granted through an Emerald subscription provided by emerald-srm:487597 [] For Authors If you would like to write for this, or any other Emerald publication, then please use our Emerald for Authors service information about how to choose which publication to write for and submission guidelines are available for all. Please visit www.emeraldinsight.com/ authors for more information. About Emerald www.emeraldinsight.com Emerald is a global publisher linking research and practice to the benefit of society. The company manages a portfolio of more than 290 journals and over 2,350 books and book series volumes, as well as providing an extensive range of online products and additional customer resources and services. Emerald is both COUNTER 4 and TRANSFER compliant. The organization is a partner of the Committee on Publication Ethics (COPE) and also works with Portico and the LOCKSS initiative for digital archive preservation. Abstract Purpose – The main purpose of this study is to craft and test a framework for the link between knowledge management (KM) and performance in organizations, with a view of providing a deeper understanding of the different KM output levels or stages that this link goes through, as well as highlighting the organizational context of each level in that link. Design/methodology/approach – A survey method was used to elicit opinions from 167 mid-and top-level managers from the top 81 Bahraini businesses. Findings – The study results produced a fishbone model. Its spine positioned knowledge management activities as the first output level, leading to innovation as the second, which in turn impacts the organization's level of agility, and finally links to performance as the head of that skeletal model. Research limitations/implications – The results highlight the different organizational enablers for these stages, which have been diagrammed as the ribs of the fish skeleton-like model. Originality/value – The framework may become a standard model, i.e. may work as a reference for academics and practitioners to help evaluate which KM level needs to be emphasized, at what time, and then what critical factors managers should work on, in order to maximize the organization's outcome from each stage of the model.","author":[{"dropping-particle":"","family":"Kamhawi","given":"Emad M.","non-dropping-particle":"","parse-names":false,"suffix":""}],"container-title":"Journal of Knowledge Management","id":"ITEM-1","issue":"5","issued":{"date-parts":[["2012","9","7"]]},"page":"808-828","title":"Knowledge management fishbone: A standard framework of organizational enablers","type":"article-journal","volume":"16"},"uris":["http://www.mendeley.com/documents/?uuid=91e17226-0b0d-4e4f-8874-26d10b330210"]}],"mendeley":{"formattedCitation":"(Kamhawi, 2012)","plainTextFormattedCitation":"(Kamhawi, 2012)","previouslyFormattedCitation":"(Kamhawi, 2012)"},"properties":{"noteIndex":0},"schema":"https://github.com/citation-style-language/schema/raw/master/csl-citation.json"}</w:instrText>
      </w:r>
      <w:r w:rsidRPr="002A7627">
        <w:rPr>
          <w:rFonts w:asciiTheme="majorBidi" w:eastAsiaTheme="minorEastAsia" w:hAnsiTheme="majorBidi" w:cstheme="majorBidi"/>
        </w:rPr>
        <w:fldChar w:fldCharType="separate"/>
      </w:r>
      <w:r w:rsidRPr="002A7627">
        <w:rPr>
          <w:rFonts w:asciiTheme="majorBidi" w:eastAsiaTheme="minorEastAsia" w:hAnsiTheme="majorBidi" w:cstheme="majorBidi"/>
          <w:noProof/>
        </w:rPr>
        <w:t>(Kamhawi, 2012)</w:t>
      </w:r>
      <w:r w:rsidRPr="002A7627">
        <w:rPr>
          <w:rFonts w:asciiTheme="majorBidi" w:eastAsiaTheme="minorEastAsia" w:hAnsiTheme="majorBidi" w:cstheme="majorBidi"/>
        </w:rPr>
        <w:fldChar w:fldCharType="end"/>
      </w:r>
      <w:r w:rsidRPr="002A7627">
        <w:rPr>
          <w:rFonts w:asciiTheme="majorBidi" w:eastAsiaTheme="minorEastAsia" w:hAnsiTheme="majorBidi" w:cstheme="majorBidi"/>
        </w:rPr>
        <w:t xml:space="preserve">. Modern IT can reinforce organizational knowledge and memory to help organizations to manage challenges more effectively </w:t>
      </w:r>
      <w:r w:rsidRPr="002A7627">
        <w:rPr>
          <w:rFonts w:asciiTheme="majorBidi" w:eastAsiaTheme="minorEastAsia" w:hAnsiTheme="majorBidi" w:cstheme="majorBidi"/>
        </w:rPr>
        <w:fldChar w:fldCharType="begin" w:fldLock="1"/>
      </w:r>
      <w:r w:rsidR="00E24626" w:rsidRPr="002A7627">
        <w:rPr>
          <w:rFonts w:asciiTheme="majorBidi" w:eastAsiaTheme="minorEastAsia" w:hAnsiTheme="majorBidi" w:cstheme="majorBidi"/>
        </w:rPr>
        <w:instrText>ADDIN CSL_CITATION {"citationItems":[{"id":"ITEM-1","itemData":{"DOI":"10.5539/cis.v4n5p20","ISSN":"1913-8997","author":[{"dropping-particle":"","family":"Yaghoubi","given":"Nour-Mohammad","non-dropping-particle":"","parse-names":false,"suffix":""},{"dropping-particle":"","family":"Yazdani","given":"Badroddin Oraee","non-dropping-particle":"","parse-names":false,"suffix":""},{"dropping-particle":"","family":"Ahoorani","given":"Nasir","non-dropping-particle":"","parse-names":false,"suffix":""},{"dropping-particle":"","family":"Banihashemi","given":"Seyyed Ali","non-dropping-particle":"","parse-names":false,"suffix":""}],"container-title":"Computer and Information Science","id":"ITEM-1","issue":"5","issued":{"date-parts":[["2011","8","30"]]},"title":"Information technology infrastructures and knowledge management: Towards organizational excellence","type":"article-journal","volume":"4"},"uris":["http://www.mendeley.com/documents/?uuid=83b6fce9-c35e-49ea-a131-b025d388efc0"]}],"mendeley":{"formattedCitation":"(Yaghoubi, Yazdani, Ahoorani, &amp; Banihashemi, 2011)","plainTextFormattedCitation":"(Yaghoubi, Yazdani, Ahoorani, &amp; Banihashemi, 2011)","previouslyFormattedCitation":"(Yaghoubi, Yazdani, Ahoorani, &amp; Banihashemi, 2011)"},"properties":{"noteIndex":0},"schema":"https://github.com/citation-style-language/schema/raw/master/csl-citation.json"}</w:instrText>
      </w:r>
      <w:r w:rsidRPr="002A7627">
        <w:rPr>
          <w:rFonts w:asciiTheme="majorBidi" w:eastAsiaTheme="minorEastAsia" w:hAnsiTheme="majorBidi" w:cstheme="majorBidi"/>
        </w:rPr>
        <w:fldChar w:fldCharType="separate"/>
      </w:r>
      <w:r w:rsidRPr="002A7627">
        <w:rPr>
          <w:rFonts w:asciiTheme="majorBidi" w:eastAsiaTheme="minorEastAsia" w:hAnsiTheme="majorBidi" w:cstheme="majorBidi"/>
          <w:noProof/>
        </w:rPr>
        <w:t>(Yaghoubi, Yazdani, Ahoorani, &amp; Banihashemi, 2011)</w:t>
      </w:r>
      <w:r w:rsidRPr="002A7627">
        <w:rPr>
          <w:rFonts w:asciiTheme="majorBidi" w:eastAsiaTheme="minorEastAsia" w:hAnsiTheme="majorBidi" w:cstheme="majorBidi"/>
        </w:rPr>
        <w:fldChar w:fldCharType="end"/>
      </w:r>
      <w:r w:rsidRPr="002A7627">
        <w:rPr>
          <w:rFonts w:asciiTheme="majorBidi" w:eastAsiaTheme="minorEastAsia" w:hAnsiTheme="majorBidi" w:cstheme="majorBidi"/>
        </w:rPr>
        <w:t xml:space="preserve">. </w:t>
      </w:r>
    </w:p>
    <w:p w14:paraId="037F3BEA" w14:textId="2219AB05" w:rsidR="00EE00BF" w:rsidRPr="002A7627" w:rsidRDefault="00EE00BF" w:rsidP="002C4A1A">
      <w:pPr>
        <w:pStyle w:val="AAAAAAA"/>
        <w:rPr>
          <w:rFonts w:asciiTheme="majorBidi" w:eastAsiaTheme="minorEastAsia" w:hAnsiTheme="majorBidi" w:cstheme="majorBidi"/>
          <w:lang w:bidi="ar-AE"/>
        </w:rPr>
      </w:pPr>
      <w:r w:rsidRPr="002A7627">
        <w:rPr>
          <w:rFonts w:asciiTheme="majorBidi" w:eastAsiaTheme="minorEastAsia" w:hAnsiTheme="majorBidi" w:cstheme="majorBidi"/>
        </w:rPr>
        <w:t xml:space="preserve">A previous study </w:t>
      </w:r>
      <w:r w:rsidR="00445392">
        <w:rPr>
          <w:rFonts w:asciiTheme="majorBidi" w:eastAsiaTheme="minorEastAsia" w:hAnsiTheme="majorBidi" w:cstheme="majorBidi"/>
        </w:rPr>
        <w:t>examining</w:t>
      </w:r>
      <w:r w:rsidRPr="002A7627">
        <w:rPr>
          <w:rFonts w:asciiTheme="majorBidi" w:eastAsiaTheme="minorEastAsia" w:hAnsiTheme="majorBidi" w:cstheme="majorBidi"/>
        </w:rPr>
        <w:t xml:space="preserve"> the </w:t>
      </w:r>
      <w:r w:rsidRPr="00F12187">
        <w:rPr>
          <w:rFonts w:asciiTheme="majorBidi" w:eastAsiaTheme="minorEastAsia" w:hAnsiTheme="majorBidi" w:cstheme="majorBidi"/>
          <w:color w:val="000000" w:themeColor="text1"/>
        </w:rPr>
        <w:t xml:space="preserve">mediation </w:t>
      </w:r>
      <w:r w:rsidR="00126A26" w:rsidRPr="00F12187">
        <w:rPr>
          <w:rFonts w:asciiTheme="majorBidi" w:eastAsiaTheme="minorEastAsia" w:hAnsiTheme="majorBidi" w:cstheme="majorBidi"/>
          <w:color w:val="000000" w:themeColor="text1"/>
        </w:rPr>
        <w:t xml:space="preserve">effect </w:t>
      </w:r>
      <w:r w:rsidRPr="00F12187">
        <w:rPr>
          <w:rFonts w:asciiTheme="majorBidi" w:eastAsiaTheme="minorEastAsia" w:hAnsiTheme="majorBidi" w:cstheme="majorBidi"/>
          <w:color w:val="000000" w:themeColor="text1"/>
        </w:rPr>
        <w:t xml:space="preserve">of </w:t>
      </w:r>
      <w:r w:rsidRPr="002A7627">
        <w:rPr>
          <w:rFonts w:asciiTheme="majorBidi" w:eastAsiaTheme="minorEastAsia" w:hAnsiTheme="majorBidi" w:cstheme="majorBidi"/>
        </w:rPr>
        <w:t>organizational learning developed a conceptual model to support organizational learning capability as a mediator in the relationship between innovation and organizational performance (</w:t>
      </w:r>
      <w:r w:rsidRPr="002A7627">
        <w:rPr>
          <w:rFonts w:asciiTheme="majorBidi" w:eastAsiaTheme="minorEastAsia" w:hAnsiTheme="majorBidi" w:cstheme="majorBidi"/>
        </w:rPr>
        <w:fldChar w:fldCharType="begin" w:fldLock="1"/>
      </w:r>
      <w:r w:rsidR="00E24626" w:rsidRPr="002A7627">
        <w:rPr>
          <w:rFonts w:asciiTheme="majorBidi" w:eastAsiaTheme="minorEastAsia" w:hAnsiTheme="majorBidi" w:cstheme="majorBidi"/>
        </w:rPr>
        <w:instrText>ADDIN CSL_CITATION {"citationItems":[{"id":"ITEM-1","itemData":{"DOI":"10.1016/j.sbspro.2015.11.355","ISSN":"18770428","abstract":"Today, in the rapidly emerging globalization process, increasing the competitiveness of enterprises depends on increasing of their business performance. Although there are many methods and techniques affecting business performance, innovation has become one of the most widely used method. Although it is known that innovation increases company's performance; in recent years, it has been started to perform different studies in order to further increase the efficiency. The opinion which claims that organizational learning is one of the most important of them has been developing. This study emphasizes the importance of mediating role of organizational learning capability on the relationship between innovation and company's performance with a strategic approach. It's tried to prove the contribution of more than one type of innovations to company's performance through organizational learning capability. The aim of our study is to express whether organizational learning capability is effective as intermediate variable to the effects of innovation at company's performance","author":[{"dropping-particle":"","family":"Kalmuk","given":"Gülhan","non-dropping-particle":"","parse-names":false,"suffix":""},{"dropping-particle":"","family":"Acar","given":"A.Zafer","non-dropping-particle":"","parse-names":false,"suffix":""}],"container-title":"Procedia - Social and Behavioral Sciences","id":"ITEM-1","issued":{"date-parts":[["2015","12"]]},"page":"164-169","title":"The mediating role of organizational learning capability on the relationship between innovation and firm’s performance: A conceptual framework","type":"article-journal","volume":"210"},"uris":["http://www.mendeley.com/documents/?uuid=63ecba5e-7d44-489b-9315-ff1c7cd47ced"]}],"mendeley":{"formattedCitation":"(Kalmuk &amp; Acar, 2015)","manualFormatting":"Kalmuk &amp; Acar, 2015)","plainTextFormattedCitation":"(Kalmuk &amp; Acar, 2015)","previouslyFormattedCitation":"(Kalmuk &amp; Acar, 2015)"},"properties":{"noteIndex":0},"schema":"https://github.com/citation-style-language/schema/raw/master/csl-citation.json"}</w:instrText>
      </w:r>
      <w:r w:rsidRPr="002A7627">
        <w:rPr>
          <w:rFonts w:asciiTheme="majorBidi" w:eastAsiaTheme="minorEastAsia" w:hAnsiTheme="majorBidi" w:cstheme="majorBidi"/>
        </w:rPr>
        <w:fldChar w:fldCharType="separate"/>
      </w:r>
      <w:r w:rsidRPr="002A7627">
        <w:rPr>
          <w:rFonts w:asciiTheme="majorBidi" w:eastAsiaTheme="minorEastAsia" w:hAnsiTheme="majorBidi" w:cstheme="majorBidi"/>
          <w:noProof/>
        </w:rPr>
        <w:t>Kalmuk &amp; Acar, 2015)</w:t>
      </w:r>
      <w:r w:rsidRPr="002A7627">
        <w:rPr>
          <w:rFonts w:asciiTheme="majorBidi" w:eastAsiaTheme="minorEastAsia" w:hAnsiTheme="majorBidi" w:cstheme="majorBidi"/>
        </w:rPr>
        <w:fldChar w:fldCharType="end"/>
      </w:r>
      <w:r w:rsidRPr="002A7627">
        <w:rPr>
          <w:rFonts w:asciiTheme="majorBidi" w:eastAsiaTheme="minorEastAsia" w:hAnsiTheme="majorBidi" w:cstheme="majorBidi"/>
        </w:rPr>
        <w:t xml:space="preserve">. That study found that company performance was enhanced by supportive organizational learning activities. A similar study in the banking sector in Egypt </w:t>
      </w:r>
      <w:r w:rsidR="00126A26" w:rsidRPr="00A05F3D">
        <w:rPr>
          <w:rFonts w:asciiTheme="majorBidi" w:eastAsiaTheme="minorEastAsia" w:hAnsiTheme="majorBidi" w:cstheme="majorBidi"/>
          <w:color w:val="000000" w:themeColor="text1"/>
        </w:rPr>
        <w:t xml:space="preserve">examined </w:t>
      </w:r>
      <w:r w:rsidRPr="002A7627">
        <w:rPr>
          <w:rFonts w:asciiTheme="majorBidi" w:eastAsiaTheme="minorEastAsia" w:hAnsiTheme="majorBidi" w:cstheme="majorBidi"/>
        </w:rPr>
        <w:t>the mediation effect of organization</w:t>
      </w:r>
      <w:r w:rsidR="00445392">
        <w:rPr>
          <w:rFonts w:asciiTheme="majorBidi" w:eastAsiaTheme="minorEastAsia" w:hAnsiTheme="majorBidi" w:cstheme="majorBidi"/>
        </w:rPr>
        <w:t>al</w:t>
      </w:r>
      <w:r w:rsidRPr="002A7627">
        <w:rPr>
          <w:rFonts w:asciiTheme="majorBidi" w:eastAsiaTheme="minorEastAsia" w:hAnsiTheme="majorBidi" w:cstheme="majorBidi"/>
        </w:rPr>
        <w:t xml:space="preserve"> learning on the relationship between knowledge management and organizational performance </w:t>
      </w:r>
      <w:r w:rsidRPr="002A7627">
        <w:rPr>
          <w:rFonts w:asciiTheme="majorBidi" w:eastAsiaTheme="minorEastAsia" w:hAnsiTheme="majorBidi" w:cstheme="majorBidi"/>
        </w:rPr>
        <w:fldChar w:fldCharType="begin" w:fldLock="1"/>
      </w:r>
      <w:r w:rsidR="00E24626" w:rsidRPr="002A7627">
        <w:rPr>
          <w:rFonts w:asciiTheme="majorBidi" w:eastAsiaTheme="minorEastAsia" w:hAnsiTheme="majorBidi" w:cstheme="majorBidi"/>
        </w:rPr>
        <w:instrText>ADDIN CSL_CITATION {"citationItems":[{"id":"ITEM-1","itemData":{"DOI":"10.5539/ijbm.v9n2p244","ISSN":"1833-8119","abstract":"This study investigates the mediating significant role of OL in the relationship between Knowledge Management (KM) and Organizational Performance (OP). It intends to explore the significant role of KM in achieving superior OP. It analyzes how KM creates OL and how OL contributes to OP. KM and OL should join forces and develop a unified discipline. KM needs OL and its expanding body of good research. OL needs base of practitioners of KM and its abiding interest in problems and practice. KM and OP are believed to be essential for the success in business. Organizations and researchers have turned their attention to KM recently. Despite the growing interest and investment of resources in KM, there are few empirical studies to demonstrate the relationship between KM and OP. Understanding these relationships is essential for managers if they hope to improve OP through KM. The purpose of this research is to fill the abovementioned gap by testing the relationships between KM and their impact on OP. This study was conducted on the Egyptian commercial banks. Of the 382 questionnaires that were distributed, 310 usable questionnaires were returned, a response rate of 81%. This survey-type research is descriptive in terms of the data collection. The finding reveals that KM affects OP through OL. Accordingly, the study provided a set of recommendations including the necessity to pay more attention to KM as a key source for organizations to enhance the competitive advantage which is of prime significance for OP through OL. [PUBLICATION ABSTRACT]","author":[{"dropping-particle":"","family":"Nafei","given":"Wageeh","non-dropping-particle":"","parse-names":false,"suffix":""}],"container-title":"International Journal of Business and Management","id":"ITEM-1","issue":"2","issued":{"date-parts":[["2014","1","22"]]},"page":"244","title":"The mediating effects of organizational learning on the relationship between knowledge management and organizational performance: An applied study on the Egyptian Commercial Banks","type":"article-journal","volume":"9"},"uris":["http://www.mendeley.com/documents/?uuid=204450a0-21dd-4343-8e85-683b23f505b5"]}],"mendeley":{"formattedCitation":"(Nafei, 2014)","plainTextFormattedCitation":"(Nafei, 2014)","previouslyFormattedCitation":"(Nafei, 2014)"},"properties":{"noteIndex":0},"schema":"https://github.com/citation-style-language/schema/raw/master/csl-citation.json"}</w:instrText>
      </w:r>
      <w:r w:rsidRPr="002A7627">
        <w:rPr>
          <w:rFonts w:asciiTheme="majorBidi" w:eastAsiaTheme="minorEastAsia" w:hAnsiTheme="majorBidi" w:cstheme="majorBidi"/>
        </w:rPr>
        <w:fldChar w:fldCharType="separate"/>
      </w:r>
      <w:r w:rsidRPr="002A7627">
        <w:rPr>
          <w:rFonts w:asciiTheme="majorBidi" w:eastAsiaTheme="minorEastAsia" w:hAnsiTheme="majorBidi" w:cstheme="majorBidi"/>
          <w:noProof/>
        </w:rPr>
        <w:t>(Nafei, 2014)</w:t>
      </w:r>
      <w:r w:rsidRPr="002A7627">
        <w:rPr>
          <w:rFonts w:asciiTheme="majorBidi" w:eastAsiaTheme="minorEastAsia" w:hAnsiTheme="majorBidi" w:cstheme="majorBidi"/>
        </w:rPr>
        <w:fldChar w:fldCharType="end"/>
      </w:r>
      <w:r w:rsidRPr="002A7627">
        <w:rPr>
          <w:rFonts w:asciiTheme="majorBidi" w:eastAsiaTheme="minorEastAsia" w:hAnsiTheme="majorBidi" w:cstheme="majorBidi"/>
        </w:rPr>
        <w:t xml:space="preserve">. </w:t>
      </w:r>
      <w:r w:rsidRPr="002A7627">
        <w:rPr>
          <w:rFonts w:asciiTheme="majorBidi" w:eastAsiaTheme="minorEastAsia" w:hAnsiTheme="majorBidi" w:cstheme="majorBidi"/>
        </w:rPr>
        <w:fldChar w:fldCharType="begin" w:fldLock="1"/>
      </w:r>
      <w:r w:rsidR="003C4C7A" w:rsidRPr="002A7627">
        <w:rPr>
          <w:rFonts w:asciiTheme="majorBidi" w:eastAsiaTheme="minorEastAsia" w:hAnsiTheme="majorBidi" w:cstheme="majorBidi"/>
        </w:rPr>
        <w:instrText>ADDIN CSL_CITATION {"citationItems":[{"id":"ITEM-1","itemData":{"DOI":"10.1080/08874417.2011.11645524","abstract":"This paper examines the role of information technology-enabled communications in driving market orientation and learning orientation toward marketing productivity and operational performance. Our study of 233 marketing managers found evidence of an indirect relationship in which organizational learning mediated the effects of IT-enabled communications on market orientation, which, in turn, affected perceptions of marketing productivity and operational performance. We also found evidence of a direct relationship between IT-enabled communications and marketing productivity and performance. These findings suggest that two IT-enabled roles are perceived within the marketing function. First, IT-enabled communications are guided by the strategic percepts of organizational learning and market orientation to provide superior customer value. Second, IT-enabled communications, unguided by organizational learning and market orientation, are used tactically to provide information and control in support of managerial efforts to lower costs and increase factor utilization.","author":[{"dropping-particle":"","family":"Rogé","given":"Joseph N.","non-dropping-particle":"","parse-names":false,"suffix":""},{"dropping-particle":"","family":"Hughes","given":"Jerald","non-dropping-particle":"","parse-names":false,"suffix":""},{"dropping-particle":"","family":"Simpson","given":"Penny M.","non-dropping-particle":"","parse-names":false,"suffix":""}],"container-title":"Journal of Computer Information Systems","id":"ITEM-1","issue":"1","issued":{"date-parts":[["2011"]]},"page":"76-86","title":"Learning to Thread the Needle: Information Technology Strategies","type":"article-journal","volume":"52"},"uris":["http://www.mendeley.com/documents/?uuid=33542a43-a74a-44a8-b26a-3e36f39fe8d8"]}],"mendeley":{"formattedCitation":"(Rogé, Hughes, &amp; Simpson, 2011)","manualFormatting":"Rogé, Hughes, and Simpson (2011)","plainTextFormattedCitation":"(Rogé, Hughes, &amp; Simpson, 2011)","previouslyFormattedCitation":"(Rogé, Hughes, &amp; Simpson, 2011)"},"properties":{"noteIndex":0},"schema":"https://github.com/citation-style-language/schema/raw/master/csl-citation.json"}</w:instrText>
      </w:r>
      <w:r w:rsidRPr="002A7627">
        <w:rPr>
          <w:rFonts w:asciiTheme="majorBidi" w:eastAsiaTheme="minorEastAsia" w:hAnsiTheme="majorBidi" w:cstheme="majorBidi"/>
        </w:rPr>
        <w:fldChar w:fldCharType="separate"/>
      </w:r>
      <w:r w:rsidRPr="002A7627">
        <w:rPr>
          <w:rFonts w:asciiTheme="majorBidi" w:eastAsiaTheme="minorEastAsia" w:hAnsiTheme="majorBidi" w:cstheme="majorBidi"/>
          <w:noProof/>
        </w:rPr>
        <w:t>Rogé, Hughes</w:t>
      </w:r>
      <w:r w:rsidR="00715CBC" w:rsidRPr="002A7627">
        <w:rPr>
          <w:rFonts w:asciiTheme="majorBidi" w:eastAsiaTheme="minorEastAsia" w:hAnsiTheme="majorBidi" w:cstheme="majorBidi"/>
          <w:noProof/>
        </w:rPr>
        <w:t>,</w:t>
      </w:r>
      <w:r w:rsidRPr="002A7627">
        <w:rPr>
          <w:rFonts w:asciiTheme="majorBidi" w:eastAsiaTheme="minorEastAsia" w:hAnsiTheme="majorBidi" w:cstheme="majorBidi"/>
          <w:noProof/>
        </w:rPr>
        <w:t xml:space="preserve"> and Simpson (2011)</w:t>
      </w:r>
      <w:r w:rsidRPr="002A7627">
        <w:rPr>
          <w:rFonts w:asciiTheme="majorBidi" w:eastAsiaTheme="minorEastAsia" w:hAnsiTheme="majorBidi" w:cstheme="majorBidi"/>
        </w:rPr>
        <w:fldChar w:fldCharType="end"/>
      </w:r>
      <w:r w:rsidRPr="002A7627">
        <w:rPr>
          <w:rFonts w:asciiTheme="majorBidi" w:eastAsiaTheme="minorEastAsia" w:hAnsiTheme="majorBidi" w:cstheme="majorBidi"/>
        </w:rPr>
        <w:t xml:space="preserve"> found that organizational learning had a direct mediation </w:t>
      </w:r>
      <w:r w:rsidR="0034740D">
        <w:rPr>
          <w:rFonts w:asciiTheme="majorBidi" w:eastAsiaTheme="minorEastAsia" w:hAnsiTheme="majorBidi" w:cstheme="majorBidi"/>
        </w:rPr>
        <w:t>effect</w:t>
      </w:r>
      <w:r w:rsidR="0034740D" w:rsidRPr="002A7627">
        <w:rPr>
          <w:rFonts w:asciiTheme="majorBidi" w:eastAsiaTheme="minorEastAsia" w:hAnsiTheme="majorBidi" w:cstheme="majorBidi"/>
        </w:rPr>
        <w:t xml:space="preserve"> </w:t>
      </w:r>
      <w:r w:rsidRPr="002A7627">
        <w:rPr>
          <w:rFonts w:asciiTheme="majorBidi" w:eastAsiaTheme="minorEastAsia" w:hAnsiTheme="majorBidi" w:cstheme="majorBidi"/>
        </w:rPr>
        <w:t xml:space="preserve">on the relationship between </w:t>
      </w:r>
      <w:r w:rsidR="00445392">
        <w:t>IT</w:t>
      </w:r>
      <w:r w:rsidRPr="002A7627">
        <w:t>-enabled communication and marketing productivity and performance.</w:t>
      </w:r>
      <w:r w:rsidRPr="002A7627">
        <w:rPr>
          <w:rFonts w:asciiTheme="majorBidi" w:eastAsiaTheme="minorEastAsia" w:hAnsiTheme="majorBidi" w:cstheme="majorBidi"/>
        </w:rPr>
        <w:t xml:space="preserve"> However, these studies investigated organizational learning in relation to only one outcome (e.g</w:t>
      </w:r>
      <w:r w:rsidR="00715CBC" w:rsidRPr="002A7627">
        <w:rPr>
          <w:rFonts w:asciiTheme="majorBidi" w:eastAsiaTheme="minorEastAsia" w:hAnsiTheme="majorBidi" w:cstheme="majorBidi"/>
        </w:rPr>
        <w:t>.,</w:t>
      </w:r>
      <w:r w:rsidRPr="002A7627">
        <w:rPr>
          <w:rFonts w:asciiTheme="majorBidi" w:eastAsiaTheme="minorEastAsia" w:hAnsiTheme="majorBidi" w:cstheme="majorBidi"/>
        </w:rPr>
        <w:t xml:space="preserve"> organizational performance), whereas </w:t>
      </w:r>
      <w:r w:rsidR="00445392">
        <w:rPr>
          <w:rFonts w:asciiTheme="majorBidi" w:eastAsiaTheme="minorEastAsia" w:hAnsiTheme="majorBidi" w:cstheme="majorBidi"/>
        </w:rPr>
        <w:t>this</w:t>
      </w:r>
      <w:r w:rsidRPr="002A7627">
        <w:rPr>
          <w:rFonts w:asciiTheme="majorBidi" w:eastAsiaTheme="minorEastAsia" w:hAnsiTheme="majorBidi" w:cstheme="majorBidi"/>
        </w:rPr>
        <w:t xml:space="preserve"> study will focus on seven knowledge management benefits </w:t>
      </w:r>
      <w:r w:rsidRPr="002A7627">
        <w:rPr>
          <w:rFonts w:asciiTheme="majorBidi" w:eastAsiaTheme="minorEastAsia" w:hAnsiTheme="majorBidi" w:cstheme="majorBidi"/>
        </w:rPr>
        <w:fldChar w:fldCharType="begin" w:fldLock="1"/>
      </w:r>
      <w:r w:rsidRPr="002A7627">
        <w:rPr>
          <w:rFonts w:asciiTheme="majorBidi" w:eastAsiaTheme="minorEastAsia" w:hAnsiTheme="majorBidi" w:cstheme="majorBidi"/>
        </w:rPr>
        <w:instrText>ADDIN CSL_CITATION {"citationItems":[{"id":"ITEM-1","itemData":{"author":[{"dropping-particle":"","family":"Dalkir","given":"K.","non-dropping-particle":"","parse-names":false,"suffix":""}],"id":"ITEM-1","issued":{"date-parts":[["2017"]]},"publisher":"Massachusetts Institute of Technology","publisher-place":"Cambridge, MA","title":"Knowledge management in theory and practice","type":"book"},"uris":["http://www.mendeley.com/documents/?uuid=7919d89b-6c2d-467b-b622-402430e489b6"]}],"mendeley":{"formattedCitation":"(Dalkir, 2017)","plainTextFormattedCitation":"(Dalkir, 2017)","previouslyFormattedCitation":"(Dalkir, 2017)"},"properties":{"noteIndex":0},"schema":"https://github.com/citation-style-language/schema/raw/master/csl-citation.json"}</w:instrText>
      </w:r>
      <w:r w:rsidRPr="002A7627">
        <w:rPr>
          <w:rFonts w:asciiTheme="majorBidi" w:eastAsiaTheme="minorEastAsia" w:hAnsiTheme="majorBidi" w:cstheme="majorBidi"/>
        </w:rPr>
        <w:fldChar w:fldCharType="separate"/>
      </w:r>
      <w:r w:rsidRPr="002A7627">
        <w:rPr>
          <w:rFonts w:asciiTheme="majorBidi" w:eastAsiaTheme="minorEastAsia" w:hAnsiTheme="majorBidi" w:cstheme="majorBidi"/>
          <w:noProof/>
        </w:rPr>
        <w:t>(Dalkir, 2017)</w:t>
      </w:r>
      <w:r w:rsidRPr="002A7627">
        <w:rPr>
          <w:rFonts w:asciiTheme="majorBidi" w:eastAsiaTheme="minorEastAsia" w:hAnsiTheme="majorBidi" w:cstheme="majorBidi"/>
        </w:rPr>
        <w:fldChar w:fldCharType="end"/>
      </w:r>
      <w:r w:rsidRPr="002A7627">
        <w:rPr>
          <w:rFonts w:asciiTheme="majorBidi" w:eastAsiaTheme="minorEastAsia" w:hAnsiTheme="majorBidi" w:cstheme="majorBidi"/>
        </w:rPr>
        <w:t xml:space="preserve">. </w:t>
      </w:r>
      <w:r w:rsidR="00445392">
        <w:rPr>
          <w:rFonts w:asciiTheme="majorBidi" w:eastAsiaTheme="minorEastAsia" w:hAnsiTheme="majorBidi" w:cstheme="majorBidi"/>
        </w:rPr>
        <w:t>P</w:t>
      </w:r>
      <w:r w:rsidRPr="002A7627">
        <w:rPr>
          <w:rFonts w:asciiTheme="majorBidi" w:eastAsiaTheme="minorEastAsia" w:hAnsiTheme="majorBidi" w:cstheme="majorBidi"/>
        </w:rPr>
        <w:t xml:space="preserve">revious studies </w:t>
      </w:r>
      <w:r w:rsidR="00445392">
        <w:rPr>
          <w:rFonts w:asciiTheme="majorBidi" w:eastAsiaTheme="minorEastAsia" w:hAnsiTheme="majorBidi" w:cstheme="majorBidi"/>
        </w:rPr>
        <w:t xml:space="preserve">also </w:t>
      </w:r>
      <w:r w:rsidRPr="002A7627">
        <w:rPr>
          <w:rFonts w:asciiTheme="majorBidi" w:eastAsiaTheme="minorEastAsia" w:hAnsiTheme="majorBidi" w:cstheme="majorBidi"/>
        </w:rPr>
        <w:t>targeted the private sector</w:t>
      </w:r>
      <w:r w:rsidR="007413AA" w:rsidRPr="002A7627">
        <w:rPr>
          <w:rFonts w:asciiTheme="majorBidi" w:eastAsiaTheme="minorEastAsia" w:hAnsiTheme="majorBidi" w:cstheme="majorBidi"/>
        </w:rPr>
        <w:t>,</w:t>
      </w:r>
      <w:r w:rsidRPr="002A7627">
        <w:rPr>
          <w:rFonts w:asciiTheme="majorBidi" w:eastAsiaTheme="minorEastAsia" w:hAnsiTheme="majorBidi" w:cstheme="majorBidi"/>
        </w:rPr>
        <w:t xml:space="preserve"> whereas this study will focus on a policing organization in the public sector. This study</w:t>
      </w:r>
      <w:r w:rsidR="00054373" w:rsidRPr="002A7627">
        <w:rPr>
          <w:rFonts w:asciiTheme="majorBidi" w:eastAsiaTheme="minorEastAsia" w:hAnsiTheme="majorBidi" w:cstheme="majorBidi"/>
        </w:rPr>
        <w:t xml:space="preserve"> therefore </w:t>
      </w:r>
      <w:r w:rsidRPr="002A7627">
        <w:rPr>
          <w:rFonts w:asciiTheme="majorBidi" w:eastAsiaTheme="minorEastAsia" w:hAnsiTheme="majorBidi" w:cstheme="majorBidi"/>
        </w:rPr>
        <w:t>hypothesized:</w:t>
      </w:r>
    </w:p>
    <w:p w14:paraId="432A2CBD" w14:textId="77777777" w:rsidR="00EE00BF" w:rsidRPr="002A7627" w:rsidRDefault="00EE00BF" w:rsidP="002C4A1A">
      <w:pPr>
        <w:widowControl/>
        <w:autoSpaceDE/>
        <w:autoSpaceDN/>
        <w:adjustRightInd/>
        <w:spacing w:after="160" w:line="480" w:lineRule="auto"/>
        <w:ind w:left="720"/>
        <w:jc w:val="lowKashida"/>
        <w:rPr>
          <w:rFonts w:asciiTheme="majorBidi" w:eastAsiaTheme="minorEastAsia" w:hAnsiTheme="majorBidi" w:cstheme="majorBidi"/>
          <w:szCs w:val="24"/>
        </w:rPr>
      </w:pPr>
      <w:r w:rsidRPr="002A7627">
        <w:rPr>
          <w:rFonts w:asciiTheme="majorBidi" w:eastAsiaTheme="minorEastAsia" w:hAnsiTheme="majorBidi" w:cstheme="majorBidi"/>
          <w:b/>
          <w:bCs/>
          <w:szCs w:val="24"/>
        </w:rPr>
        <w:t xml:space="preserve">H7: </w:t>
      </w:r>
      <w:r w:rsidRPr="002A7627">
        <w:rPr>
          <w:rFonts w:asciiTheme="majorBidi" w:eastAsiaTheme="minorEastAsia" w:hAnsiTheme="majorBidi" w:cstheme="majorBidi"/>
          <w:szCs w:val="24"/>
        </w:rPr>
        <w:t>Organizational learning has a mediating effect on the relationship between knowledge management capabilities and benefits.</w:t>
      </w:r>
    </w:p>
    <w:p w14:paraId="4403395C" w14:textId="598491F5" w:rsidR="00EE00BF" w:rsidRPr="002A7627" w:rsidRDefault="007D7779" w:rsidP="00A54FA8">
      <w:pPr>
        <w:pStyle w:val="Heading1"/>
        <w:jc w:val="lowKashida"/>
        <w:rPr>
          <w:color w:val="000000"/>
        </w:rPr>
      </w:pPr>
      <w:bookmarkStart w:id="141" w:name="_Toc13959638"/>
      <w:bookmarkStart w:id="142" w:name="_Toc22331672"/>
      <w:r>
        <w:rPr>
          <w:color w:val="000000"/>
        </w:rPr>
        <w:t xml:space="preserve">3.6. </w:t>
      </w:r>
      <w:r w:rsidR="00EE00BF" w:rsidRPr="002A7627">
        <w:rPr>
          <w:color w:val="000000"/>
        </w:rPr>
        <w:t>HR</w:t>
      </w:r>
      <w:r w:rsidR="002C4A1A" w:rsidRPr="002A7627">
        <w:rPr>
          <w:color w:val="000000"/>
        </w:rPr>
        <w:t xml:space="preserve"> Practices for Knowledge Sharing, Organizational Learning</w:t>
      </w:r>
      <w:r w:rsidR="00715CBC" w:rsidRPr="002A7627">
        <w:rPr>
          <w:color w:val="000000"/>
        </w:rPr>
        <w:t>,</w:t>
      </w:r>
      <w:r w:rsidR="002C4A1A" w:rsidRPr="002A7627">
        <w:rPr>
          <w:color w:val="000000"/>
        </w:rPr>
        <w:t xml:space="preserve"> and Knowledge Management Benefits</w:t>
      </w:r>
      <w:bookmarkEnd w:id="141"/>
      <w:bookmarkEnd w:id="142"/>
    </w:p>
    <w:p w14:paraId="4ABC4B13" w14:textId="3F13BAA8" w:rsidR="00EE00BF" w:rsidRPr="002A7627" w:rsidRDefault="00EE00BF" w:rsidP="001D0590">
      <w:pPr>
        <w:pStyle w:val="AAAAAAA"/>
      </w:pPr>
      <w:r w:rsidRPr="002A7627">
        <w:t xml:space="preserve">Organizations can use HR practices to achieve organizational success based on the interrelations between HR practices and knowledge management </w:t>
      </w:r>
      <w:r w:rsidRPr="002A7627">
        <w:fldChar w:fldCharType="begin" w:fldLock="1"/>
      </w:r>
      <w:r w:rsidRPr="002A7627">
        <w:instrText>ADDIN CSL_CITATION {"citationItems":[{"id":"ITEM-1","itemData":{"DOI":"10.1108/JSTP-12-2014-0269","ISSN":"2055-6225","abstract":"Purpose – The purpose of this paper is to explain and empirically test the dependence of organizational processes related to knowledge on the nature of assumptions operating in processes of human resource management (HRM) in organizations. It concentrates on practices related to training, career development and retention. Design/methodology/approach – This empirical study as a quantitative nature and the sample is made up of 5,306 collaborators in 634 organizations belonging to an economic group in the banking sub-sector. Data were collected through two questionnaires: human resource management practices questionnaire and knowledge management questionnaire – short form. The model was tested by applying univariate and multivariate multiple regression analyses. Findings – Findings provide support for the proposed model and show the predictive capacity of the HRM practices regarding knowledge management (KM) processes, revealing a strong direct relationship between the two constructs. It stands out that the ...","author":[{"dropping-particle":"","family":"Figueiredo","given":"Elisa","non-dropping-particle":"","parse-names":false,"suffix":""},{"dropping-particle":"","family":"Pais","given":"Leonor","non-dropping-particle":"","parse-names":false,"suffix":""},{"dropping-particle":"","family":"Monteiro","given":"Samuel","non-dropping-particle":"","parse-names":false,"suffix":""},{"dropping-particle":"","family":"Mónico","given":"Lisete","non-dropping-particle":"","parse-names":false,"suffix":""}],"container-title":"Journal of Service Theory and Practice","id":"ITEM-1","issue":"4","issued":{"date-parts":[["2016","7","11"]]},"page":"497-528","title":"Human resource management impact on knowledge management","type":"article-journal","volume":"26"},"uris":["http://www.mendeley.com/documents/?uuid=03a3af7c-bd5f-44bd-aae2-2c882137dc8c"]}],"mendeley":{"formattedCitation":"(Figueiredo et al., 2016)","plainTextFormattedCitation":"(Figueiredo et al., 2016)","previouslyFormattedCitation":"(Figueiredo et al., 2016)"},"properties":{"noteIndex":0},"schema":"https://github.com/citation-style-language/schema/raw/master/csl-citation.json"}</w:instrText>
      </w:r>
      <w:r w:rsidRPr="002A7627">
        <w:fldChar w:fldCharType="separate"/>
      </w:r>
      <w:r w:rsidRPr="002A7627">
        <w:rPr>
          <w:noProof/>
        </w:rPr>
        <w:t>(Figueiredo et al., 2016)</w:t>
      </w:r>
      <w:r w:rsidRPr="002A7627">
        <w:fldChar w:fldCharType="end"/>
      </w:r>
      <w:r w:rsidRPr="002A7627">
        <w:t xml:space="preserve">. </w:t>
      </w:r>
      <w:r w:rsidRPr="002A7627">
        <w:rPr>
          <w:rFonts w:eastAsia="Times New Roman"/>
        </w:rPr>
        <w:t xml:space="preserve">Most previous studies on this issue have considered the link between HR practices and organizational performance and found that training and compensation had a positive impact on organizational performance </w:t>
      </w:r>
      <w:r w:rsidR="005507A5" w:rsidRPr="002A7627">
        <w:rPr>
          <w:rFonts w:eastAsia="Times New Roman"/>
        </w:rPr>
        <w:fldChar w:fldCharType="begin" w:fldLock="1"/>
      </w:r>
      <w:r w:rsidR="00E24626" w:rsidRPr="002A7627">
        <w:rPr>
          <w:rFonts w:eastAsia="Times New Roman"/>
        </w:rPr>
        <w:instrText>ADDIN CSL_CITATION {"citationItems":[{"id":"ITEM-1","itemData":{"DOI":"10.4172/2168-9601.1000213","ISSN":"21689601","abstract":"In a rapidly changing competitive environment, human resources are one important source of competitive advantage. Human resource systems can contribute to sustained competitive advantage through facilitating the development of competencies that are firm specific. Strategic human resource management concerns with the creation of a linkage between the overall strategic aims of business and the human resource strategy and implementation. The published research generally reports positive statistical relationships between the greater adoption of HR practices and business performance. The causal linkage between HR and organizational performance will enable the HR managers to design programmes that will bring forth better operational results to attain higher organizational performance. In this paper, after emphasizing that the human resources are an important source of competitive advantage, strategic human resource management is defined. Through spesific examples from academic research regarding the impact of strategic human resource management practices on organizational performance, the conclusion is that the way an organization manages its human resources has a significant relationship with the organization’s performance.","author":[{"dropping-particle":"","family":"Hamid","given":"Muhammad","non-dropping-particle":"","parse-names":false,"suffix":""},{"dropping-particle":"","family":"Maheen","given":"Sumra","non-dropping-particle":"","parse-names":false,"suffix":""},{"dropping-particle":"","family":"Cheem","given":"Ayesha","non-dropping-particle":"","parse-names":false,"suffix":""},{"dropping-particle":"","family":"Yaseen","given":"Rizwana","non-dropping-particle":"","parse-names":false,"suffix":""}],"container-title":"Journal of Accounting &amp; Marketing","id":"ITEM-1","issue":"1","issued":{"date-parts":[["2017"]]},"page":"213","title":"Impact of human resource management on organizational performance","type":"article-journal","volume":"6"},"uris":["http://www.mendeley.com/documents/?uuid=bec7edbc-01c0-4b19-a1c8-eb6a8e7c381c"]}],"mendeley":{"formattedCitation":"(Hamid, Maheen, Cheem, &amp; Yaseen, 2017)","plainTextFormattedCitation":"(Hamid, Maheen, Cheem, &amp; Yaseen, 2017)","previouslyFormattedCitation":"(Hamid, Maheen, Cheem, &amp; Yaseen, 2017)"},"properties":{"noteIndex":0},"schema":"https://github.com/citation-style-language/schema/raw/master/csl-citation.json"}</w:instrText>
      </w:r>
      <w:r w:rsidR="005507A5" w:rsidRPr="002A7627">
        <w:rPr>
          <w:rFonts w:eastAsia="Times New Roman"/>
        </w:rPr>
        <w:fldChar w:fldCharType="separate"/>
      </w:r>
      <w:r w:rsidR="005507A5" w:rsidRPr="002A7627">
        <w:rPr>
          <w:rFonts w:eastAsia="Times New Roman"/>
          <w:noProof/>
        </w:rPr>
        <w:t>(Hamid, Maheen, Cheem, &amp; Yaseen, 2017)</w:t>
      </w:r>
      <w:r w:rsidR="005507A5" w:rsidRPr="002A7627">
        <w:rPr>
          <w:rFonts w:eastAsia="Times New Roman"/>
        </w:rPr>
        <w:fldChar w:fldCharType="end"/>
      </w:r>
      <w:r w:rsidRPr="002A7627">
        <w:rPr>
          <w:rFonts w:eastAsia="Times New Roman"/>
        </w:rPr>
        <w:t>. Researchers have suggested that o</w:t>
      </w:r>
      <w:r w:rsidRPr="002A7627">
        <w:t xml:space="preserve">rganizations should consider working at both individual and organizational levels by creating a link between the two to increase organizational learning by capturing the knowledge of individuals, storing it and distributing it to others </w:t>
      </w:r>
      <w:r w:rsidR="00CB0956" w:rsidRPr="002A7627">
        <w:rPr>
          <w:noProof/>
        </w:rPr>
        <w:t>(Argyris &amp; Schon, 1978; Wang &amp; Ahmed, 2003)</w:t>
      </w:r>
      <w:r w:rsidRPr="002A7627">
        <w:t xml:space="preserve"> to improve decision-making </w:t>
      </w:r>
      <w:r w:rsidRPr="002A7627">
        <w:rPr>
          <w:rFonts w:eastAsia="Times New Roman"/>
          <w:noProof/>
        </w:rPr>
        <w:t>(Miller, 1996)</w:t>
      </w:r>
      <w:r w:rsidRPr="002A7627">
        <w:rPr>
          <w:rFonts w:eastAsia="Times New Roman"/>
        </w:rPr>
        <w:t xml:space="preserve">. </w:t>
      </w:r>
    </w:p>
    <w:p w14:paraId="3498EAC6" w14:textId="105050F0" w:rsidR="00EE00BF" w:rsidRPr="002A7627" w:rsidRDefault="00EE00BF" w:rsidP="00AD064D">
      <w:pPr>
        <w:pStyle w:val="AAAAAAA"/>
      </w:pPr>
      <w:r w:rsidRPr="002A7627">
        <w:t xml:space="preserve">There is a positive relationship between both kinds of motivation and knowledge management </w:t>
      </w:r>
      <w:r w:rsidRPr="002A7627">
        <w:fldChar w:fldCharType="begin" w:fldLock="1"/>
      </w:r>
      <w:r w:rsidRPr="002A7627">
        <w:instrText>ADDIN CSL_CITATION {"citationItems":[{"id":"ITEM-1","itemData":{"DOI":"10.1057/kmrp.2013.36","ISSN":"14778246","abstract":"The main purpose of this paper is to empirically analyse relationships between human resource (HR) and knowledge management (KM) practices and their effect on the firm's innovation performance. From the knowledge-based view of the firm, hypotheses based on the specific interactions between an integrated set of KM and knowledge-oriented HR practices were established and statistically tested in a sample of 111 Spanish companies from technological industries. Survey methodology was used with the aim to gather data about KM practices and other related organizational aspects. Overall, this paper provides empirical evidence of a moderating effect of a set of knowledge-oriented HR practices in the relationship between KM exploitation practices and innovation performance. In line with previous research, we suggest that although KM practices are important in themselves for innovation purposes, when specific organizational conditions are properly established by managers the innovation capacity of the firm will significantly be improved and more successfully utilized.","author":[{"dropping-particle":"","family":"Donate","given":"Mario J.","non-dropping-particle":"","parse-names":false,"suffix":""},{"dropping-particle":"","family":"Guadamillas","given":"Fátima","non-dropping-particle":"","parse-names":false,"suffix":""}],"container-title":"Knowledge Management Research and Practice","id":"ITEM-1","issue":"2","issued":{"date-parts":[["2015"]]},"page":"134-148","title":"An empirical study on the relationships between knowledge management, knowledge-oriented human resource practices and innovation","type":"article-journal","volume":"13"},"uris":["http://www.mendeley.com/documents/?uuid=4971dc52-955c-4774-93f8-67fe41f6acc6"]}],"mendeley":{"formattedCitation":"(Donate &amp; Guadamillas, 2015)","plainTextFormattedCitation":"(Donate &amp; Guadamillas, 2015)","previouslyFormattedCitation":"(Donate &amp; Guadamillas, 2015)"},"properties":{"noteIndex":0},"schema":"https://github.com/citation-style-language/schema/raw/master/csl-citation.json"}</w:instrText>
      </w:r>
      <w:r w:rsidRPr="002A7627">
        <w:fldChar w:fldCharType="separate"/>
      </w:r>
      <w:r w:rsidRPr="002A7627">
        <w:rPr>
          <w:noProof/>
        </w:rPr>
        <w:t>(Donate &amp; Guadamillas, 2015)</w:t>
      </w:r>
      <w:r w:rsidRPr="002A7627">
        <w:fldChar w:fldCharType="end"/>
      </w:r>
      <w:r w:rsidRPr="002A7627">
        <w:t xml:space="preserve">. Companies aiming to cultivate knowledge management benefits such as innovation must develop a motivation system that encourages communication among employees to support knowledge sharing </w:t>
      </w:r>
      <w:r w:rsidRPr="002A7627">
        <w:fldChar w:fldCharType="begin" w:fldLock="1"/>
      </w:r>
      <w:r w:rsidR="00E24626" w:rsidRPr="002A7627">
        <w:instrText>ADDIN CSL_CITATION {"citationItems":[{"id":"ITEM-1","itemData":{"DOI":"10.1002/ceat.201000522","ISBN":"07421222","ISSN":"09307516","PMID":"4753208","abstract":"A hallmark of the new economy is the ability of organizations to realize economic value from their collection of knowledge assets as well as their assets of information, production distribution, and affiliation. Despite the competitive necessity of becoming a knowledge-based organization, senior managers have found it difficult to transform their firms through programs of knowledge management. This is particularly true if their organizations have long histories of process and a tradition of business success. This research examines the issue of effective knowledge management from the perspective of organizational capabilities. This perspective suggests that a knowledge infrastructure consisting of technology, structure, and culture along with a knowledge process architecture of acquisition, conversion, application, and protection are essential organizational capabilities or \"preconditions\" for effective knowledge management. Through analysis of surveys collected from over 300 senior executives, this research empirically models and uncovers key aspects of these dimensions. The results provide a basis for understanding the competitive predisposition of a firm as it enters a program of knowledge management.","author":[{"dropping-particle":"","family":"Palacios","given":"J. G.","non-dropping-particle":"","parse-names":false,"suffix":""},{"dropping-particle":"","family":"Kaspereit","given":"M.","non-dropping-particle":"","parse-names":false,"suffix":""},{"dropping-particle":"","family":"Kienle","given":"A.","non-dropping-particle":"","parse-names":false,"suffix":""}],"container-title":"Chemical Engineering and Technology","id":"ITEM-1","issue":"5","issued":{"date-parts":[["2011","5"]]},"page":"688-698","title":"Integrated simulated moving bed processes for production of single enantiomers","type":"article-journal","volume":"34"},"uris":["http://www.mendeley.com/documents/?uuid=ecd410c7-2ed2-4e2c-89f3-a5799c978db6"]}],"mendeley":{"formattedCitation":"(Palacios et al., 2011)","plainTextFormattedCitation":"(Palacios et al., 2011)","previouslyFormattedCitation":"(Palacios et al., 2011)"},"properties":{"noteIndex":0},"schema":"https://github.com/citation-style-language/schema/raw/master/csl-citation.json"}</w:instrText>
      </w:r>
      <w:r w:rsidRPr="002A7627">
        <w:fldChar w:fldCharType="separate"/>
      </w:r>
      <w:r w:rsidR="00F31753" w:rsidRPr="002A7627">
        <w:rPr>
          <w:noProof/>
        </w:rPr>
        <w:t>(Palacios et al., 2011)</w:t>
      </w:r>
      <w:r w:rsidRPr="002A7627">
        <w:fldChar w:fldCharType="end"/>
      </w:r>
      <w:r w:rsidRPr="002A7627">
        <w:t>. Organizational learning is effectively the ability of the organization to manage its knowledge, and</w:t>
      </w:r>
      <w:r w:rsidR="00054373" w:rsidRPr="002A7627">
        <w:t xml:space="preserve"> therefore </w:t>
      </w:r>
      <w:r w:rsidRPr="002A7627">
        <w:t xml:space="preserve">predicts performance </w:t>
      </w:r>
      <w:r w:rsidRPr="002A7627">
        <w:fldChar w:fldCharType="begin" w:fldLock="1"/>
      </w:r>
      <w:r w:rsidR="00E24626" w:rsidRPr="002A7627">
        <w:instrText>ADDIN CSL_CITATION {"citationItems":[{"id":"ITEM-1","itemData":{"abstract":"The purpose of this study is to measure the relationship between learning orientation of firms and their business performance. It also explores the moderating effect of firm size on relationship between learning orientation of firms and their business performance. The study was conducted on manufacturing and service sector firms from the State of Punjab, India. Self-developed non-disguised questionnaire has been used for the study. A purposive sample of 278 key informants (senior level managers who have insight about learning orientation and performance status of the firm) was used. Exploratory and confirmatory factor analyses were used to validate the learning orientation and business performance scales. The hypotheses were tested using multi-group moderation and structural equation modeling. The study shows that learning orientation has significant positive effect on business performance. The results have indicated that firm size (based on investment) significantly moderates the relationship between learning orientation and business performance. The findings of the study are relevant for practitioners as well as researchers. Practicing managers can gain insights from the suggested learning orientation and performance relationship, especially when they are engaged in small cap firms struggling to compete with relatively established businesses. Future researchers can use the scales developed in this study. The study contributes to the knowledge management literature by providing empirical evidence for relationship between learning orientation and business performance.","author":[{"dropping-particle":"","family":"Vij","given":"Sandeep","non-dropping-particle":"","parse-names":false,"suffix":""},{"dropping-particle":"","family":"Farooq","given":"Rayees","non-dropping-particle":"","parse-names":false,"suffix":""}],"container-title":"IUP Journal of Knowledge Management","id":"ITEM-1","issue":"4","issued":{"date-parts":[["2015"]]},"page":"7-28","title":"Orientation and business performance: Do smaller firms gain more from learning orientation?","type":"article-journal","volume":"13"},"uris":["http://www.mendeley.com/documents/?uuid=ec04625e-efff-445d-92cb-47efa9b00011"]}],"mendeley":{"formattedCitation":"(Vij &amp; Farooq, 2015)","plainTextFormattedCitation":"(Vij &amp; Farooq, 2015)","previouslyFormattedCitation":"(Vij &amp; Farooq, 2015)"},"properties":{"noteIndex":0},"schema":"https://github.com/citation-style-language/schema/raw/master/csl-citation.json"}</w:instrText>
      </w:r>
      <w:r w:rsidRPr="002A7627">
        <w:fldChar w:fldCharType="separate"/>
      </w:r>
      <w:r w:rsidRPr="002A7627">
        <w:rPr>
          <w:noProof/>
        </w:rPr>
        <w:t>(Vij &amp; Farooq, 2015)</w:t>
      </w:r>
      <w:r w:rsidRPr="002A7627">
        <w:fldChar w:fldCharType="end"/>
      </w:r>
      <w:r w:rsidRPr="002A7627">
        <w:t xml:space="preserve">. If employees are </w:t>
      </w:r>
      <w:r w:rsidR="00126A26" w:rsidRPr="00F12187">
        <w:rPr>
          <w:color w:val="000000" w:themeColor="text1"/>
        </w:rPr>
        <w:t>giv</w:t>
      </w:r>
      <w:r w:rsidR="00445392" w:rsidRPr="00F12187">
        <w:rPr>
          <w:color w:val="000000" w:themeColor="text1"/>
        </w:rPr>
        <w:t>en</w:t>
      </w:r>
      <w:r w:rsidR="00126A26" w:rsidRPr="00F12187">
        <w:rPr>
          <w:color w:val="000000" w:themeColor="text1"/>
        </w:rPr>
        <w:t xml:space="preserve"> the opportunity </w:t>
      </w:r>
      <w:r w:rsidR="00902DB0" w:rsidRPr="00F12187">
        <w:rPr>
          <w:color w:val="000000" w:themeColor="text1"/>
        </w:rPr>
        <w:t xml:space="preserve">and </w:t>
      </w:r>
      <w:r w:rsidR="00445392" w:rsidRPr="00F12187">
        <w:rPr>
          <w:color w:val="000000" w:themeColor="text1"/>
        </w:rPr>
        <w:t xml:space="preserve">are motivated </w:t>
      </w:r>
      <w:r w:rsidRPr="00F12187">
        <w:rPr>
          <w:color w:val="000000" w:themeColor="text1"/>
        </w:rPr>
        <w:t>to</w:t>
      </w:r>
      <w:r w:rsidRPr="002A7627">
        <w:t xml:space="preserve"> share knowledge, organizational learning occurs</w:t>
      </w:r>
      <w:r w:rsidR="00445392">
        <w:t>,</w:t>
      </w:r>
      <w:r w:rsidRPr="002A7627">
        <w:t xml:space="preserve"> because employees use their abilities to solve problem </w:t>
      </w:r>
      <w:r w:rsidR="00E24626" w:rsidRPr="002A7627">
        <w:rPr>
          <w:noProof/>
        </w:rPr>
        <w:t>(Zhang &amp; Kwan, 2018)</w:t>
      </w:r>
      <w:r w:rsidRPr="002A7627">
        <w:t xml:space="preserve">. Most previous studies, however, have been in developed countries and on private sector organizations </w:t>
      </w:r>
      <w:r w:rsidR="00E24626" w:rsidRPr="002A7627">
        <w:rPr>
          <w:noProof/>
        </w:rPr>
        <w:t>(Donate &amp; Guadamillas, 2015; Zhang &amp; Kwan, 2018)</w:t>
      </w:r>
      <w:r w:rsidRPr="002A7627">
        <w:t>. Little is</w:t>
      </w:r>
      <w:r w:rsidR="00054373" w:rsidRPr="002A7627">
        <w:t xml:space="preserve"> therefore </w:t>
      </w:r>
      <w:r w:rsidRPr="002A7627">
        <w:t xml:space="preserve">known about the role of organizational learning as a mediator between </w:t>
      </w:r>
      <w:r w:rsidR="00B4028A">
        <w:t xml:space="preserve">motivation-enhancing HR </w:t>
      </w:r>
      <w:r w:rsidRPr="002A7627">
        <w:t xml:space="preserve">practices and knowledge management benefits in public sector organizations in the UAE. </w:t>
      </w:r>
      <w:r w:rsidRPr="00F12187">
        <w:rPr>
          <w:color w:val="000000" w:themeColor="text1"/>
        </w:rPr>
        <w:t xml:space="preserve">This </w:t>
      </w:r>
      <w:r w:rsidR="00DE1AD0" w:rsidRPr="00F12187">
        <w:rPr>
          <w:color w:val="000000" w:themeColor="text1"/>
        </w:rPr>
        <w:t>research</w:t>
      </w:r>
      <w:r w:rsidR="00054373" w:rsidRPr="00F12187">
        <w:rPr>
          <w:color w:val="000000" w:themeColor="text1"/>
        </w:rPr>
        <w:t xml:space="preserve"> </w:t>
      </w:r>
      <w:r w:rsidR="00054373" w:rsidRPr="002A7627">
        <w:t xml:space="preserve">therefore </w:t>
      </w:r>
      <w:r w:rsidRPr="002A7627">
        <w:t>hypothesized:</w:t>
      </w:r>
    </w:p>
    <w:p w14:paraId="697383B8" w14:textId="64FFF5A5" w:rsidR="00EE00BF" w:rsidRPr="002A7627" w:rsidRDefault="00EE00BF" w:rsidP="001D0590">
      <w:pPr>
        <w:widowControl/>
        <w:spacing w:after="160" w:line="480" w:lineRule="auto"/>
        <w:ind w:left="720"/>
        <w:rPr>
          <w:rFonts w:asciiTheme="majorBidi" w:eastAsiaTheme="minorEastAsia" w:hAnsiTheme="majorBidi" w:cstheme="majorBidi"/>
          <w:lang w:bidi="ar-AE"/>
        </w:rPr>
      </w:pPr>
      <w:r w:rsidRPr="002A7627">
        <w:rPr>
          <w:rFonts w:asciiTheme="majorBidi" w:eastAsiaTheme="minorEastAsia" w:hAnsiTheme="majorBidi" w:cstheme="majorBidi"/>
          <w:b/>
          <w:bCs/>
        </w:rPr>
        <w:t xml:space="preserve">H8: </w:t>
      </w:r>
      <w:r w:rsidRPr="002A7627">
        <w:rPr>
          <w:rFonts w:asciiTheme="majorBidi" w:eastAsiaTheme="minorEastAsia" w:hAnsiTheme="majorBidi" w:cstheme="majorBidi"/>
        </w:rPr>
        <w:t>Organizational learning mediates the relationship between extrinsic</w:t>
      </w:r>
      <w:r w:rsidR="00480D89" w:rsidRPr="002A7627">
        <w:rPr>
          <w:rFonts w:asciiTheme="majorBidi" w:eastAsiaTheme="minorEastAsia" w:hAnsiTheme="majorBidi" w:cstheme="majorBidi"/>
        </w:rPr>
        <w:t xml:space="preserve"> </w:t>
      </w:r>
      <w:r w:rsidRPr="002A7627">
        <w:rPr>
          <w:rFonts w:asciiTheme="majorBidi" w:eastAsiaTheme="minorEastAsia" w:hAnsiTheme="majorBidi" w:cstheme="majorBidi"/>
        </w:rPr>
        <w:t>motivation-enhancing HR practices and knowledge management benefits</w:t>
      </w:r>
    </w:p>
    <w:p w14:paraId="0F91293A" w14:textId="4A7FA377" w:rsidR="00EE00BF" w:rsidRPr="002A7627" w:rsidRDefault="00EE00BF" w:rsidP="001D0590">
      <w:pPr>
        <w:widowControl/>
        <w:spacing w:after="160" w:line="480" w:lineRule="auto"/>
        <w:ind w:left="720"/>
        <w:rPr>
          <w:rFonts w:asciiTheme="majorBidi" w:eastAsiaTheme="minorEastAsia" w:hAnsiTheme="majorBidi" w:cstheme="majorBidi"/>
        </w:rPr>
      </w:pPr>
      <w:r w:rsidRPr="002A7627">
        <w:rPr>
          <w:rFonts w:asciiTheme="majorBidi" w:eastAsiaTheme="minorEastAsia" w:hAnsiTheme="majorBidi" w:cstheme="majorBidi"/>
          <w:b/>
          <w:bCs/>
        </w:rPr>
        <w:t xml:space="preserve">H9: </w:t>
      </w:r>
      <w:r w:rsidRPr="002A7627">
        <w:rPr>
          <w:rFonts w:asciiTheme="majorBidi" w:eastAsiaTheme="minorEastAsia" w:hAnsiTheme="majorBidi" w:cstheme="majorBidi"/>
        </w:rPr>
        <w:t>Organizational learning mediates the relationship between intrinsic</w:t>
      </w:r>
      <w:r w:rsidR="00480D89" w:rsidRPr="002A7627">
        <w:rPr>
          <w:rFonts w:asciiTheme="majorBidi" w:eastAsiaTheme="minorEastAsia" w:hAnsiTheme="majorBidi" w:cstheme="majorBidi"/>
        </w:rPr>
        <w:t xml:space="preserve"> </w:t>
      </w:r>
      <w:r w:rsidRPr="002A7627">
        <w:rPr>
          <w:rFonts w:asciiTheme="majorBidi" w:eastAsiaTheme="minorEastAsia" w:hAnsiTheme="majorBidi" w:cstheme="majorBidi"/>
        </w:rPr>
        <w:t>motivation-enhancing HR practices and knowledge management benefits</w:t>
      </w:r>
    </w:p>
    <w:p w14:paraId="4EE74174" w14:textId="3357FB99" w:rsidR="00EE00BF" w:rsidRPr="002A7627" w:rsidRDefault="00EE00BF" w:rsidP="00417F70">
      <w:pPr>
        <w:pStyle w:val="AAAAAAA"/>
        <w:rPr>
          <w:rFonts w:eastAsia="Times New Roman"/>
        </w:rPr>
      </w:pPr>
      <w:r w:rsidRPr="002A7627">
        <w:t xml:space="preserve">One study found that opportunity-enhancing HR practices have a negative </w:t>
      </w:r>
      <w:r w:rsidR="00DE1AD0" w:rsidRPr="00F12187">
        <w:rPr>
          <w:color w:val="000000" w:themeColor="text1"/>
        </w:rPr>
        <w:t>impact on</w:t>
      </w:r>
      <w:r w:rsidRPr="00F12187">
        <w:rPr>
          <w:color w:val="000000" w:themeColor="text1"/>
        </w:rPr>
        <w:t xml:space="preserve"> </w:t>
      </w:r>
      <w:r w:rsidRPr="002A7627">
        <w:t xml:space="preserve">knowledge sharing and team creativity </w:t>
      </w:r>
      <w:r w:rsidRPr="002A7627">
        <w:fldChar w:fldCharType="begin" w:fldLock="1"/>
      </w:r>
      <w:r w:rsidRPr="002A7627">
        <w:instrText>ADDIN CSL_CITATION {"citationItems":[{"id":"ITEM-1","itemData":{"DOI":"10.1007/s10490-017-9508-1","ISSN":"0217-4561","PMID":"1924800598","abstract":"Drawing on the ability-motivation-opportunity framework, we develop a multilevel model examining the relationship between high-performance human resource practices and team creativity. Based on an input-process-output perspective, we hypothesize that both ability-enhancing human resource practices and motivation-enhancing practices affect team creativity via team efficacy, while motivation-enhancing practices and opportunity-enhancing practices affect team creativity via knowledge sharing. We verify our hypotheses using data collected from 16 Chinese companies involving 80 work teams. The results show that team efficacy mediates the relationship between ability-enhancing practices and team creativity, and knowledge sharing mediates the relationship between motivation-enhancing practices and team creativity. Theoretical and practical implications for human resource management practices and team creativity are discussed.","author":[{"dropping-particle":"","family":"Ma","given":"Zixiang","non-dropping-particle":"","parse-names":false,"suffix":""},{"dropping-particle":"","family":"Long","given":"Lirong","non-dropping-particle":"","parse-names":false,"suffix":""},{"dropping-particle":"","family":"Zhang","given":"Yong","non-dropping-particle":"","parse-names":false,"suffix":""},{"dropping-particle":"","family":"Zhang","given":"Junwei","non-dropping-particle":"","parse-names":false,"suffix":""},{"dropping-particle":"","family":"Lam","given":"Catherine K.","non-dropping-particle":"","parse-names":false,"suffix":""}],"container-title":"Asia Pacific Journal of Management","id":"ITEM-1","issue":"3","issued":{"date-parts":[["2017","9","29"]]},"page":"565-586","title":"Why do high-performance human resource practices matter for team creativity? The mediating role of collective efficacy and knowledge sharing","type":"article-journal","volume":"34"},"uris":["http://www.mendeley.com/documents/?uuid=75b37b05-f51d-439d-87bb-92fa4e212e6e"]}],"mendeley":{"formattedCitation":"(Ma et al., 2017)","plainTextFormattedCitation":"(Ma et al., 2017)","previouslyFormattedCitation":"(Ma et al., 2017)"},"properties":{"noteIndex":0},"schema":"https://github.com/citation-style-language/schema/raw/master/csl-citation.json"}</w:instrText>
      </w:r>
      <w:r w:rsidRPr="002A7627">
        <w:fldChar w:fldCharType="separate"/>
      </w:r>
      <w:r w:rsidRPr="002A7627">
        <w:rPr>
          <w:noProof/>
        </w:rPr>
        <w:t>(Ma et al., 2017)</w:t>
      </w:r>
      <w:r w:rsidRPr="002A7627">
        <w:fldChar w:fldCharType="end"/>
      </w:r>
      <w:r w:rsidRPr="002A7627">
        <w:t xml:space="preserve"> </w:t>
      </w:r>
      <w:r w:rsidR="00445392">
        <w:t xml:space="preserve">and that this may be the result </w:t>
      </w:r>
      <w:r w:rsidRPr="00CF3A3E">
        <w:t xml:space="preserve">of </w:t>
      </w:r>
      <w:r w:rsidR="00091FA2" w:rsidRPr="00CF3A3E">
        <w:t>issues related to culture, including</w:t>
      </w:r>
      <w:r w:rsidRPr="00CF3A3E">
        <w:t xml:space="preserve"> power distance</w:t>
      </w:r>
      <w:r w:rsidRPr="008E14F2">
        <w:rPr>
          <w:color w:val="1F497D" w:themeColor="text2"/>
        </w:rPr>
        <w:t xml:space="preserve"> </w:t>
      </w:r>
      <w:r w:rsidRPr="002A7627">
        <w:rPr>
          <w:noProof/>
        </w:rPr>
        <w:t>(Wu &amp; Chaturvedi, 2009)</w:t>
      </w:r>
      <w:r w:rsidRPr="002A7627">
        <w:t xml:space="preserve"> and traditionalism </w:t>
      </w:r>
      <w:r w:rsidRPr="002A7627">
        <w:fldChar w:fldCharType="begin" w:fldLock="1"/>
      </w:r>
      <w:r w:rsidR="00E24626" w:rsidRPr="002A7627">
        <w:instrText>ADDIN CSL_CITATION {"citationItems":[{"id":"ITEM-1","itemData":{"DOI":"10.2307/2393733","ISBN":"00018392","ISSN":"00018392","PMID":"1302489","abstract":"To understand variations in citizenship behavior within a culture, we examine the relationship between citizenship behaviors and organizational justice in two studies in a Chinese context, using two cultural characteristics (traditionality and modernity) and one individual (gender) characteristic. In Study 1, we develop an indigenous measure of organizational citizenship behavior and explore the similarities and differences of this measure with its Western counterpart. In Study 2, we use this citizenship behavior measure to test its relationship to justice. Results demonstrate that organizational justice (distributive and procedural) is most strongly related to citizenship behavior for individuals who endorse less traditional, or high modernity, values. In addition, we found the relationship between justice and citizenship behavior to be stronger for men than for women. The studies are discussed in terms of the generality of citizenship behavior and its relation to organizational justice and cultural characteristics.","author":[{"dropping-particle":"","family":"Farh","given":"Jiing-Lih","non-dropping-particle":"","parse-names":false,"suffix":""},{"dropping-particle":"","family":"Earley","given":"P. Christopher","non-dropping-particle":"","parse-names":false,"suffix":""},{"dropping-particle":"","family":"Lin","given":"Shu-Chi","non-dropping-particle":"","parse-names":false,"suffix":""}],"container-title":"Administrative Science Quarterly","id":"ITEM-1","issue":"3","issued":{"date-parts":[["1997","9"]]},"page":"421","title":"Impetus for action: A cultural analysis of justice and organizational citizenship behavior in Chinese society","type":"article-journal","volume":"42"},"uris":["http://www.mendeley.com/documents/?uuid=0388b78d-1c6a-4981-8d50-55c0a751603c"]}],"mendeley":{"formattedCitation":"(Farh, Earley, &amp; Lin, 1997)","plainTextFormattedCitation":"(Farh, Earley, &amp; Lin, 1997)","previouslyFormattedCitation":"(Farh, Earley, &amp; Lin, 1997)"},"properties":{"noteIndex":0},"schema":"https://github.com/citation-style-language/schema/raw/master/csl-citation.json"}</w:instrText>
      </w:r>
      <w:r w:rsidRPr="002A7627">
        <w:fldChar w:fldCharType="separate"/>
      </w:r>
      <w:r w:rsidRPr="002A7627">
        <w:rPr>
          <w:noProof/>
        </w:rPr>
        <w:t>(Farh, Earley, &amp; Lin, 1997)</w:t>
      </w:r>
      <w:r w:rsidRPr="002A7627">
        <w:fldChar w:fldCharType="end"/>
      </w:r>
      <w:r w:rsidRPr="002A7627">
        <w:t xml:space="preserve">. </w:t>
      </w:r>
      <w:r w:rsidRPr="002A7627">
        <w:rPr>
          <w:rFonts w:eastAsia="Times New Roman"/>
        </w:rPr>
        <w:t xml:space="preserve">If employees are not given suitable opportunities to participate in knowledge sharing and learn, their creativity will decrease </w:t>
      </w:r>
      <w:r w:rsidRPr="002A7627">
        <w:rPr>
          <w:rFonts w:eastAsia="Times New Roman"/>
          <w:noProof/>
        </w:rPr>
        <w:t>(Fong, Men, Luo, &amp; Jia, 2018)</w:t>
      </w:r>
      <w:r w:rsidRPr="002A7627">
        <w:rPr>
          <w:rFonts w:eastAsia="Times New Roman"/>
        </w:rPr>
        <w:t>. HR practices such as selecting good candidates, providing training</w:t>
      </w:r>
      <w:r w:rsidR="00715CBC" w:rsidRPr="002A7627">
        <w:rPr>
          <w:rFonts w:eastAsia="Times New Roman"/>
        </w:rPr>
        <w:t>,</w:t>
      </w:r>
      <w:r w:rsidRPr="002A7627">
        <w:rPr>
          <w:rFonts w:eastAsia="Times New Roman"/>
        </w:rPr>
        <w:t xml:space="preserve"> </w:t>
      </w:r>
      <w:r w:rsidRPr="00F12187">
        <w:rPr>
          <w:rFonts w:eastAsia="Times New Roman"/>
          <w:color w:val="000000" w:themeColor="text1"/>
        </w:rPr>
        <w:t xml:space="preserve">and </w:t>
      </w:r>
      <w:r w:rsidR="00DE1AD0" w:rsidRPr="00F12187">
        <w:rPr>
          <w:rFonts w:eastAsia="Times New Roman"/>
          <w:color w:val="000000" w:themeColor="text1"/>
        </w:rPr>
        <w:t>involving</w:t>
      </w:r>
      <w:r w:rsidRPr="00F12187">
        <w:rPr>
          <w:rFonts w:eastAsia="Times New Roman"/>
          <w:color w:val="000000" w:themeColor="text1"/>
        </w:rPr>
        <w:t xml:space="preserve"> employees </w:t>
      </w:r>
      <w:r w:rsidR="00DE1AD0" w:rsidRPr="00F12187">
        <w:rPr>
          <w:rFonts w:eastAsia="Times New Roman"/>
          <w:color w:val="000000" w:themeColor="text1"/>
        </w:rPr>
        <w:t>in the process of</w:t>
      </w:r>
      <w:r w:rsidRPr="00F12187">
        <w:rPr>
          <w:rFonts w:eastAsia="Times New Roman"/>
          <w:color w:val="000000" w:themeColor="text1"/>
        </w:rPr>
        <w:t xml:space="preserve"> </w:t>
      </w:r>
      <w:r w:rsidRPr="002A7627">
        <w:rPr>
          <w:rFonts w:eastAsia="Times New Roman"/>
        </w:rPr>
        <w:t xml:space="preserve">decision-making will enhance organizational learning </w:t>
      </w:r>
      <w:r w:rsidRPr="002A7627">
        <w:rPr>
          <w:rFonts w:eastAsia="Times New Roman"/>
          <w:noProof/>
        </w:rPr>
        <w:t>(</w:t>
      </w:r>
      <w:r w:rsidR="00445392" w:rsidRPr="002A7627">
        <w:rPr>
          <w:rFonts w:eastAsia="Times New Roman"/>
          <w:noProof/>
        </w:rPr>
        <w:t>López et al., 2006</w:t>
      </w:r>
      <w:r w:rsidR="00445392">
        <w:rPr>
          <w:rFonts w:eastAsia="Times New Roman"/>
          <w:noProof/>
        </w:rPr>
        <w:t xml:space="preserve">; </w:t>
      </w:r>
      <w:r w:rsidRPr="002A7627">
        <w:rPr>
          <w:rFonts w:eastAsia="Times New Roman"/>
          <w:noProof/>
        </w:rPr>
        <w:t>López</w:t>
      </w:r>
      <w:r w:rsidR="00445392">
        <w:rPr>
          <w:rFonts w:eastAsia="Times New Roman"/>
          <w:noProof/>
        </w:rPr>
        <w:t>-</w:t>
      </w:r>
      <w:r w:rsidRPr="002A7627">
        <w:rPr>
          <w:rFonts w:eastAsia="Times New Roman"/>
          <w:noProof/>
        </w:rPr>
        <w:t>Cabrales et al., 2011)</w:t>
      </w:r>
      <w:r w:rsidRPr="002A7627">
        <w:rPr>
          <w:rFonts w:eastAsia="Times New Roman"/>
        </w:rPr>
        <w:t>. This suggests that there is a link between opportunity, organizational learning</w:t>
      </w:r>
      <w:r w:rsidR="00715CBC" w:rsidRPr="002A7627">
        <w:rPr>
          <w:rFonts w:eastAsia="Times New Roman"/>
        </w:rPr>
        <w:t>,</w:t>
      </w:r>
      <w:r w:rsidRPr="002A7627">
        <w:rPr>
          <w:rFonts w:eastAsia="Times New Roman"/>
        </w:rPr>
        <w:t xml:space="preserve"> and knowledge management benefits </w:t>
      </w:r>
      <w:r w:rsidRPr="002A7627">
        <w:rPr>
          <w:rFonts w:eastAsia="Times New Roman"/>
        </w:rPr>
        <w:fldChar w:fldCharType="begin" w:fldLock="1"/>
      </w:r>
      <w:r w:rsidRPr="002A7627">
        <w:rPr>
          <w:rFonts w:eastAsia="Times New Roman"/>
        </w:rPr>
        <w:instrText>ADDIN CSL_CITATION {"citationItems":[{"id":"ITEM-1","itemData":{"DOI":"10.1002/smj.1959","ISBN":"1097-0266","ISSN":"01432095","PMID":"31767271","abstract":"Absorptive capacity (ACAP) refers to a firm’s ability to acquire, assimilate, transform, and exploit new knowledge. Research has yet to acknowledge the possibility of limits to the financial returns of this important strategic construct. This study suggests an inverted-U shaped relationship between ACAP and financial performance. Based on data from 285 technology-based small and medium enterprises, we observe gains within three prospective, secondary measures of growth to diminish beyond lower levels of ACAP, even turning negative and becoming harmful beyond intermediate levels. We find that entrepreneurial orientation (EO) moderates the ACAPperformance relationship, enhancing financial gains at lower levels of ACAP and mitigating the decline in financial performance at higher levels of ACAP. Further, with higher EO, higher ACAP can be achieved before financial returns diminish.","author":[{"dropping-particle":"","family":"Zhou","given":"Kevin Zheng","non-dropping-particle":"","parse-names":false,"suffix":""},{"dropping-particle":"","family":"Li","given":"Caroline Bingxin","non-dropping-particle":"","parse-names":false,"suffix":""}],"container-title":"Strategic Management Journal","id":"ITEM-1","issue":"9","issued":{"date-parts":[["2012","9"]]},"page":"1090-1102","title":"How knowledge affects radical innovation: Knowledge base, market knowledge acquisition, and internal knowledge sharing","type":"article-journal","volume":"33"},"uris":["http://www.mendeley.com/documents/?uuid=f71037e9-3e26-4123-b6b8-dfcb3b1ab98d"]}],"mendeley":{"formattedCitation":"(Zhou &amp; Li, 2012)","plainTextFormattedCitation":"(Zhou &amp; Li, 2012)","previouslyFormattedCitation":"(Zhou &amp; Li, 2012)"},"properties":{"noteIndex":0},"schema":"https://github.com/citation-style-language/schema/raw/master/csl-citation.json"}</w:instrText>
      </w:r>
      <w:r w:rsidRPr="002A7627">
        <w:rPr>
          <w:rFonts w:eastAsia="Times New Roman"/>
        </w:rPr>
        <w:fldChar w:fldCharType="separate"/>
      </w:r>
      <w:r w:rsidRPr="002A7627">
        <w:rPr>
          <w:rFonts w:eastAsia="Times New Roman"/>
          <w:noProof/>
        </w:rPr>
        <w:t>(Zhou &amp; Li, 2012)</w:t>
      </w:r>
      <w:r w:rsidRPr="002A7627">
        <w:rPr>
          <w:rFonts w:eastAsia="Times New Roman"/>
        </w:rPr>
        <w:fldChar w:fldCharType="end"/>
      </w:r>
      <w:r w:rsidRPr="002A7627">
        <w:rPr>
          <w:rFonts w:eastAsia="Times New Roman"/>
        </w:rPr>
        <w:t>. This study</w:t>
      </w:r>
      <w:r w:rsidR="00054373" w:rsidRPr="002A7627">
        <w:rPr>
          <w:rFonts w:eastAsia="Times New Roman"/>
        </w:rPr>
        <w:t xml:space="preserve"> therefore </w:t>
      </w:r>
      <w:r w:rsidRPr="002A7627">
        <w:rPr>
          <w:rFonts w:eastAsia="Times New Roman"/>
        </w:rPr>
        <w:t xml:space="preserve">hypothesized: </w:t>
      </w:r>
    </w:p>
    <w:p w14:paraId="18C6DF80" w14:textId="77777777" w:rsidR="00EE00BF" w:rsidRPr="002A7627" w:rsidRDefault="00EE00BF" w:rsidP="00417F70">
      <w:pPr>
        <w:widowControl/>
        <w:autoSpaceDE/>
        <w:autoSpaceDN/>
        <w:adjustRightInd/>
        <w:spacing w:after="160" w:line="480" w:lineRule="auto"/>
        <w:ind w:left="810"/>
        <w:jc w:val="lowKashida"/>
        <w:rPr>
          <w:rFonts w:asciiTheme="majorBidi" w:eastAsiaTheme="minorEastAsia" w:hAnsiTheme="majorBidi" w:cstheme="majorBidi"/>
          <w:szCs w:val="24"/>
        </w:rPr>
      </w:pPr>
      <w:r w:rsidRPr="002A7627">
        <w:rPr>
          <w:rFonts w:asciiTheme="majorBidi" w:eastAsiaTheme="minorEastAsia" w:hAnsiTheme="majorBidi" w:cstheme="majorBidi"/>
          <w:b/>
          <w:bCs/>
          <w:szCs w:val="24"/>
        </w:rPr>
        <w:t xml:space="preserve">H10: </w:t>
      </w:r>
      <w:r w:rsidRPr="002A7627">
        <w:rPr>
          <w:rFonts w:asciiTheme="majorBidi" w:eastAsiaTheme="minorEastAsia" w:hAnsiTheme="majorBidi" w:cstheme="majorBidi"/>
          <w:szCs w:val="24"/>
        </w:rPr>
        <w:t>Organizational learning mediates the relationship between opportunity-enhancing HR practices and knowledge management benefits</w:t>
      </w:r>
    </w:p>
    <w:p w14:paraId="2078FB9B" w14:textId="0574B5D3" w:rsidR="00EE00BF" w:rsidRPr="002A7627" w:rsidRDefault="00EE00BF" w:rsidP="00EE00BF">
      <w:pPr>
        <w:widowControl/>
        <w:spacing w:after="160" w:line="480" w:lineRule="auto"/>
        <w:jc w:val="lowKashida"/>
        <w:rPr>
          <w:rFonts w:asciiTheme="majorBidi" w:eastAsiaTheme="minorEastAsia" w:hAnsiTheme="majorBidi" w:cstheme="majorBidi"/>
          <w:szCs w:val="24"/>
        </w:rPr>
      </w:pPr>
      <w:r w:rsidRPr="002A7627">
        <w:rPr>
          <w:rStyle w:val="AAAAAAAChar"/>
        </w:rPr>
        <w:t xml:space="preserve">Firms use employees’ abilities as tools to create new knowledge </w:t>
      </w:r>
      <w:r w:rsidR="005A37E4" w:rsidRPr="002A7627">
        <w:rPr>
          <w:rStyle w:val="AAAAAAAChar"/>
          <w:noProof/>
        </w:rPr>
        <w:t>(Edvardsson, 2008; López</w:t>
      </w:r>
      <w:r w:rsidR="00445392">
        <w:rPr>
          <w:rStyle w:val="AAAAAAAChar"/>
          <w:noProof/>
        </w:rPr>
        <w:t>-</w:t>
      </w:r>
      <w:r w:rsidR="005A37E4" w:rsidRPr="002A7627">
        <w:rPr>
          <w:rStyle w:val="AAAAAAAChar"/>
          <w:noProof/>
        </w:rPr>
        <w:t>Cabrales et al., 2011)</w:t>
      </w:r>
      <w:r w:rsidRPr="002A7627">
        <w:rPr>
          <w:rStyle w:val="AAAAAAAChar"/>
        </w:rPr>
        <w:t xml:space="preserve">. This can be done by improving ability to use existing knowledge and encouraging employees to acquire new knowledge </w:t>
      </w:r>
      <w:r w:rsidRPr="002A7627">
        <w:rPr>
          <w:rStyle w:val="AAAAAAAChar"/>
        </w:rPr>
        <w:fldChar w:fldCharType="begin" w:fldLock="1"/>
      </w:r>
      <w:r w:rsidRPr="002A7627">
        <w:rPr>
          <w:rStyle w:val="AAAAAAAChar"/>
        </w:rPr>
        <w:instrText>ADDIN CSL_CITATION {"citationItems":[{"id":"ITEM-1","itemData":{"DOI":"10.1016/j.jbusres.2013.01.015","ISBN":"0148-2963","ISSN":"01482963","PMID":"19890518","abstract":"This study explores organizational and competitive factors affecting exploration/exploitation activities in SMEs by examining the role of entrepreneurial orientation (EO), market orientation (MO) and perceived competitive intensity. We test the relationships among these variables using data collected from 55 manufacturing SMEs operating in the southern part of U. S. The findings provide a strong support for a positive association between EO, MO and exploration/exploitation activities. Perceived competitive intensity was only a significant moderator for the relationship between MO and the degree of exploratory activities. Our findings, hence, suggest the significant role organizational predictors play in enhancing exploration/exploitation activities in SMEs. Implications for research and practice are discussed. © 2013 Elsevier Inc.","author":[{"dropping-particle":"","family":"Abebe","given":"Michael A.","non-dropping-particle":"","parse-names":false,"suffix":""},{"dropping-particle":"","family":"Angriawan","given":"Arifin","non-dropping-particle":"","parse-names":false,"suffix":""}],"container-title":"Journal of Business Research","id":"ITEM-1","issue":"3","issued":{"date-parts":[["2014"]]},"page":"339-345","title":"Organizational and competitive influences of exploration and exploitation activities in small firms","type":"article-journal","volume":"67"},"uris":["http://www.mendeley.com/documents/?uuid=9e511e71-ae9a-4a72-a710-9b316c080fb5"]},{"id":"ITEM-2","itemData":{"DOI":"10.1108/BJM-02-2015-0060","ISSN":"1746-5265","abstract":"Purpose – The purpose of this paper is to examine the development process of dynamic capabilities. Design/methodology/approach – The paper adopts a qualitative, longitudinal participant- observation research design. A single case study firm was observed over a ten-year period of active researcher engagement allowing for the collection of rich data on the development and deployment of dynamic capabilities as they evolved. Findings – Dynamic capabilities can be identified as sensing, seizing and transforming. They are capable of intentional development by managers through strategic decision making and deliberative learning, within a path-dependent evolution. Research limitations/implications – A longitudinal single case study allowed for a close look at the development of dynamic capabilities, exploring the context and conditions that facilitated change and tracing the evolution of the organization’s processes. However, this study remains subject to the limits of a single case approach. Future cross-sectional research would be able to test the conceptual model and allow for generalization of the findings to other populations of firms. Practical implications – The dynamic capability concept has been criticized for being of little practical use to managers. This research shows the process of intentional dynamic capability development, offering insights to practicing managers. Originality/value – This research adds to the relatively scant base of empirical work on dynamic capabilities and offers a conceptual model of dynamic capability development. The paper contributes to the neglected area of dynamic capabilities in SME’s, showing that the dynamic capability concept is relevant to this sector. The paper provides insight for practitioners by showing that intentional dynamic capability development is achievable.","author":[{"dropping-particle":"","family":"Tallott","given":"Margaret","non-dropping-particle":"","parse-names":false,"suffix":""},{"dropping-particle":"","family":"Hilliard","given":"Rachel","non-dropping-particle":"","parse-names":false,"suffix":""}],"container-title":"Baltic Journal of Management","id":"ITEM-2","issue":"3","issued":{"date-parts":[["2016","7","4"]]},"page":"328-347","title":"Developing dynamic capabilities for learning and internationalization","type":"article-journal","volume":"11"},"uris":["http://www.mendeley.com/documents/?uuid=2eab1bb3-9760-49d2-9b1a-d251f3bf82b6"]}],"mendeley":{"formattedCitation":"(Abebe &amp; Angriawan, 2014; Tallott &amp; Hilliard, 2016)","plainTextFormattedCitation":"(Abebe &amp; Angriawan, 2014; Tallott &amp; Hilliard, 2016)","previouslyFormattedCitation":"(Abebe &amp; Angriawan, 2014; Tallott &amp; Hilliard, 2016)"},"properties":{"noteIndex":0},"schema":"https://github.com/citation-style-language/schema/raw/master/csl-citation.json"}</w:instrText>
      </w:r>
      <w:r w:rsidRPr="002A7627">
        <w:rPr>
          <w:rStyle w:val="AAAAAAAChar"/>
        </w:rPr>
        <w:fldChar w:fldCharType="separate"/>
      </w:r>
      <w:r w:rsidRPr="002A7627">
        <w:rPr>
          <w:rStyle w:val="AAAAAAAChar"/>
          <w:noProof/>
        </w:rPr>
        <w:t>(Abebe &amp; Angriawan, 2014; Tallott &amp; Hilliard, 2016)</w:t>
      </w:r>
      <w:r w:rsidRPr="002A7627">
        <w:rPr>
          <w:rStyle w:val="AAAAAAAChar"/>
        </w:rPr>
        <w:fldChar w:fldCharType="end"/>
      </w:r>
      <w:r w:rsidRPr="002A7627">
        <w:rPr>
          <w:rStyle w:val="AAAAAAAChar"/>
        </w:rPr>
        <w:t>. Ability-enhancing HR practices</w:t>
      </w:r>
      <w:r w:rsidR="00054373" w:rsidRPr="002A7627">
        <w:rPr>
          <w:rStyle w:val="AAAAAAAChar"/>
        </w:rPr>
        <w:t xml:space="preserve"> therefore </w:t>
      </w:r>
      <w:r w:rsidRPr="002A7627">
        <w:rPr>
          <w:rStyle w:val="AAAAAAAChar"/>
        </w:rPr>
        <w:t>include ways to increase skills, knowledge</w:t>
      </w:r>
      <w:r w:rsidR="00715CBC" w:rsidRPr="002A7627">
        <w:rPr>
          <w:rStyle w:val="AAAAAAAChar"/>
        </w:rPr>
        <w:t>,</w:t>
      </w:r>
      <w:r w:rsidRPr="002A7627">
        <w:rPr>
          <w:rStyle w:val="AAAAAAAChar"/>
        </w:rPr>
        <w:t xml:space="preserve"> and experience, and these have a positive impact with knowledge management benefits </w:t>
      </w:r>
      <w:r w:rsidRPr="002A7627">
        <w:rPr>
          <w:rStyle w:val="AAAAAAAChar"/>
          <w:noProof/>
        </w:rPr>
        <w:t>(Chen &amp; Hsieh, 2015; Fawzy &amp; Keri, 2000)</w:t>
      </w:r>
      <w:r w:rsidRPr="002A7627">
        <w:rPr>
          <w:rStyle w:val="AAAAAAAChar"/>
        </w:rPr>
        <w:t xml:space="preserve">. A study by Tengpongsthorn </w:t>
      </w:r>
      <w:r w:rsidRPr="002A7627">
        <w:rPr>
          <w:rStyle w:val="AAAAAAAChar"/>
        </w:rPr>
        <w:fldChar w:fldCharType="begin" w:fldLock="1"/>
      </w:r>
      <w:r w:rsidR="00E24626" w:rsidRPr="002A7627">
        <w:rPr>
          <w:rStyle w:val="AAAAAAAChar"/>
        </w:rPr>
        <w:instrText>ADDIN CSL_CITATION {"citationItems":[{"id":"ITEM-1","itemData":{"DOI":"10.1016/j.kjss.2016.07.001","ISSN":"24523151","abstract":"The purpose of this research was to study the factors relative to the work effectiveness of police officers in the Thai Metropolitan Police Bureau. The methodology in the research was the implementation of both quantitative and qualitative research using questionnaires and in-depth interviews as research tools. In the quantitative research methodology, the overall samples based on both cluster and simple random samplings included 405 police officers from different police stations under the control of the Thai Metropolitan Police Division, whereas the 25 samples in the qualitative research were selected using purposive sampling. Statistics used for data analysis were the frequency, percentage, mean, standard deviation, and Pearson correlation. We found that motivator factors and hygiene factors had positive relationships with the effectiveness of work performance. The Metropolitan Police officers in all divisions felt strongly that enough equipment was a factor facilitating an increase in work performance, whereas the imbalance of manpower and scarcity of modern equipment were factors which were obstacles to work performance.","author":[{"dropping-particle":"","family":"Tengpongsthorn","given":"Wuthichai","non-dropping-particle":"","parse-names":false,"suffix":""}],"container-title":"Kasetsart Journal of Social Sciences","id":"ITEM-1","issue":"1","issued":{"date-parts":[["2017","1"]]},"page":"39-44","title":"Factors affecting the effectiveness of police performance in Metropolitan Police Bureau","type":"article-journal","volume":"38"},"suppress-author":1,"uris":["http://www.mendeley.com/documents/?uuid=dc0ed387-25f3-4d98-b252-1b44ca820991"]}],"mendeley":{"formattedCitation":"(2017)","plainTextFormattedCitation":"(2017)","previouslyFormattedCitation":"(2017)"},"properties":{"noteIndex":0},"schema":"https://github.com/citation-style-language/schema/raw/master/csl-citation.json"}</w:instrText>
      </w:r>
      <w:r w:rsidRPr="002A7627">
        <w:rPr>
          <w:rStyle w:val="AAAAAAAChar"/>
        </w:rPr>
        <w:fldChar w:fldCharType="separate"/>
      </w:r>
      <w:r w:rsidRPr="002A7627">
        <w:rPr>
          <w:rStyle w:val="AAAAAAAChar"/>
          <w:noProof/>
        </w:rPr>
        <w:t>(2017)</w:t>
      </w:r>
      <w:r w:rsidRPr="002A7627">
        <w:rPr>
          <w:rStyle w:val="AAAAAAAChar"/>
        </w:rPr>
        <w:fldChar w:fldCharType="end"/>
      </w:r>
      <w:r w:rsidRPr="002A7627">
        <w:rPr>
          <w:rStyle w:val="AAAAAAAChar"/>
        </w:rPr>
        <w:t xml:space="preserve"> in the Thai Metropolitan Police investigated the factors that affect police effectiveness. </w:t>
      </w:r>
      <w:r w:rsidR="00091FA2">
        <w:rPr>
          <w:rStyle w:val="AAAAAAAChar"/>
        </w:rPr>
        <w:t>The study</w:t>
      </w:r>
      <w:r w:rsidR="00091FA2" w:rsidRPr="002A7627">
        <w:rPr>
          <w:rStyle w:val="AAAAAAAChar"/>
        </w:rPr>
        <w:t xml:space="preserve"> </w:t>
      </w:r>
      <w:r w:rsidRPr="002A7627">
        <w:rPr>
          <w:rStyle w:val="AAAAAAAChar"/>
        </w:rPr>
        <w:t>found that knowledge, skills</w:t>
      </w:r>
      <w:r w:rsidR="00715CBC" w:rsidRPr="002A7627">
        <w:rPr>
          <w:rStyle w:val="AAAAAAAChar"/>
        </w:rPr>
        <w:t>,</w:t>
      </w:r>
      <w:r w:rsidRPr="002A7627">
        <w:rPr>
          <w:rStyle w:val="AAAAAAAChar"/>
        </w:rPr>
        <w:t xml:space="preserve"> and abilities of police officers </w:t>
      </w:r>
      <w:r w:rsidR="00091FA2">
        <w:rPr>
          <w:rStyle w:val="AAAAAAAChar"/>
        </w:rPr>
        <w:t>c</w:t>
      </w:r>
      <w:r w:rsidRPr="002A7627">
        <w:rPr>
          <w:rStyle w:val="AAAAAAAChar"/>
        </w:rPr>
        <w:t xml:space="preserve">ould be enhanced by additional training to help them work more effectively against organized and complicated crimes. Few studies, however, have examined policing in the UAE. The only study in a law enforcement organization in Abu Dhabi found a positive relationship between employee self-efficacy and willingness to collect and donate knowledge </w:t>
      </w:r>
      <w:r w:rsidRPr="002A7627">
        <w:rPr>
          <w:rStyle w:val="AAAAAAAChar"/>
        </w:rPr>
        <w:fldChar w:fldCharType="begin" w:fldLock="1"/>
      </w:r>
      <w:r w:rsidR="00E24626" w:rsidRPr="002A7627">
        <w:rPr>
          <w:rStyle w:val="AAAAAAAChar"/>
        </w:rPr>
        <w:instrText>ADDIN CSL_CITATION {"citationItems":[{"id":"ITEM-1","itemData":{"DOI":"10.1108/JWL-05-2016-0041","ISSN":"1366-5626","abstract":"Purpose This paper aims to examine a research model that links knowledge sharing enablers, processes and outcome dimensions in law enforcement in the United Arab Emirates (UAE). It attempts to examine the impact of knowledge self-efficacy and top management support on knowledge donating and collecting. It also attempts to examine the effect of these two aspects of knowledge sharing on firm innovation capability. Design/methodology/approach This study used a quantitative approach, with data collected by questionnaire from 685 police officers in a law enforcement agency in the UAE. Findings Knowledge self-efficacy and top management support have a positive impact on knowledge donating and collecting. Only knowledge collecting, however, had a positive effect on firm innovation capability. Research limitations/implications The study has significant academic and practical implications. It supports a previous research model that links enablers, processes and outcomes of knowledge sharing, and confirms them in the context of law enforcement in the UAE. It could also help law enforcement agencies to promote a knowledge sharing culture to support innovation in the UAE. Originality/value The research model is likely to be particularly valuable in knowledge-intensive organizations such as the law enforcement sector. Knowledge sharing is often overlooked by organizations in the UAE because there has to date been little research in this field.","author":[{"dropping-particle":"","family":"Hussein","given":"AlShaima Taleb Taleb","non-dropping-particle":"","parse-names":false,"suffix":""},{"dropping-particle":"","family":"Singh","given":"Sanjay Kumar","non-dropping-particle":"","parse-names":false,"suffix":""},{"dropping-particle":"","family":"Farouk","given":"Sherine","non-dropping-particle":"","parse-names":false,"suffix":""},{"dropping-particle":"","family":"Sohal","given":"Amrik S.","non-dropping-particle":"","parse-names":false,"suffix":""}],"container-title":"Journal of Workplace Learning","id":"ITEM-1","issue":"8","issued":{"date-parts":[["2016","10","10"]]},"page":"484-495","title":"Knowledge sharing enablers, processes and firm innovation capability","type":"article-journal","volume":"28"},"uris":["http://www.mendeley.com/documents/?uuid=6cc4e2c3-3f32-43e9-bcbb-5cbc898f37e1"]}],"mendeley":{"formattedCitation":"(Hussein et al., 2016)","plainTextFormattedCitation":"(Hussein et al., 2016)","previouslyFormattedCitation":"(Hussein et al., 2016)"},"properties":{"noteIndex":0},"schema":"https://github.com/citation-style-language/schema/raw/master/csl-citation.json"}</w:instrText>
      </w:r>
      <w:r w:rsidRPr="002A7627">
        <w:rPr>
          <w:rStyle w:val="AAAAAAAChar"/>
        </w:rPr>
        <w:fldChar w:fldCharType="separate"/>
      </w:r>
      <w:r w:rsidRPr="002A7627">
        <w:rPr>
          <w:rStyle w:val="AAAAAAAChar"/>
          <w:noProof/>
        </w:rPr>
        <w:t>(Hussein et al., 2016)</w:t>
      </w:r>
      <w:r w:rsidRPr="002A7627">
        <w:rPr>
          <w:rStyle w:val="AAAAAAAChar"/>
        </w:rPr>
        <w:fldChar w:fldCharType="end"/>
      </w:r>
      <w:r w:rsidRPr="002A7627">
        <w:rPr>
          <w:rStyle w:val="AAAAAAAChar"/>
        </w:rPr>
        <w:t>. This study</w:t>
      </w:r>
      <w:r w:rsidR="00054373" w:rsidRPr="002A7627">
        <w:rPr>
          <w:rStyle w:val="AAAAAAAChar"/>
        </w:rPr>
        <w:t xml:space="preserve"> therefore </w:t>
      </w:r>
      <w:r w:rsidRPr="002A7627">
        <w:rPr>
          <w:rStyle w:val="AAAAAAAChar"/>
        </w:rPr>
        <w:t>hypothesiz</w:t>
      </w:r>
      <w:r w:rsidRPr="002A7627">
        <w:rPr>
          <w:rFonts w:asciiTheme="majorBidi" w:eastAsiaTheme="minorEastAsia" w:hAnsiTheme="majorBidi" w:cstheme="majorBidi"/>
          <w:szCs w:val="24"/>
        </w:rPr>
        <w:t>ed:</w:t>
      </w:r>
    </w:p>
    <w:p w14:paraId="64DC3496" w14:textId="02CA5AE1" w:rsidR="00101AC1" w:rsidRDefault="00EE00BF" w:rsidP="00417F70">
      <w:pPr>
        <w:widowControl/>
        <w:autoSpaceDE/>
        <w:autoSpaceDN/>
        <w:adjustRightInd/>
        <w:spacing w:after="160" w:line="480" w:lineRule="auto"/>
        <w:ind w:left="720"/>
        <w:rPr>
          <w:rFonts w:asciiTheme="majorBidi" w:eastAsiaTheme="minorEastAsia" w:hAnsiTheme="majorBidi" w:cstheme="majorBidi"/>
          <w:szCs w:val="24"/>
        </w:rPr>
      </w:pPr>
      <w:r w:rsidRPr="002A7627">
        <w:rPr>
          <w:rFonts w:asciiTheme="majorBidi" w:eastAsiaTheme="minorEastAsia" w:hAnsiTheme="majorBidi" w:cstheme="majorBidi"/>
          <w:b/>
          <w:bCs/>
          <w:szCs w:val="24"/>
        </w:rPr>
        <w:t xml:space="preserve">H11: </w:t>
      </w:r>
      <w:r w:rsidRPr="002A7627">
        <w:rPr>
          <w:rFonts w:asciiTheme="majorBidi" w:eastAsiaTheme="minorEastAsia" w:hAnsiTheme="majorBidi" w:cstheme="majorBidi"/>
          <w:szCs w:val="24"/>
        </w:rPr>
        <w:t>Organizational learning mediates the relationship between ability-enhancing HR practices and knowledge management benefits.</w:t>
      </w:r>
    </w:p>
    <w:p w14:paraId="1135F7C4" w14:textId="51EE8756" w:rsidR="00417F70" w:rsidRPr="002A7627" w:rsidRDefault="001C4338" w:rsidP="001D5F54">
      <w:pPr>
        <w:pStyle w:val="AAAAAAA"/>
        <w:rPr>
          <w:lang w:bidi="ar-AE"/>
        </w:rPr>
      </w:pPr>
      <w:r w:rsidRPr="002A7627">
        <w:rPr>
          <w:rStyle w:val="AAAAAAAChar"/>
        </w:rPr>
        <w:t>Figure</w:t>
      </w:r>
      <w:r w:rsidR="00EE00BF" w:rsidRPr="002A7627">
        <w:rPr>
          <w:rStyle w:val="AAAAAAAChar"/>
        </w:rPr>
        <w:t xml:space="preserve"> </w:t>
      </w:r>
      <w:r w:rsidR="002C7E22" w:rsidRPr="002A7627">
        <w:rPr>
          <w:rStyle w:val="AAAAAAAChar"/>
        </w:rPr>
        <w:t>3</w:t>
      </w:r>
      <w:r w:rsidR="00EE00BF" w:rsidRPr="002A7627">
        <w:rPr>
          <w:rStyle w:val="AAAAAAAChar"/>
        </w:rPr>
        <w:t xml:space="preserve"> shows the model framework for t</w:t>
      </w:r>
      <w:r w:rsidR="008E47A3" w:rsidRPr="002A7627">
        <w:rPr>
          <w:rStyle w:val="AAAAAAAChar"/>
        </w:rPr>
        <w:t>his research, including all the</w:t>
      </w:r>
      <w:r w:rsidR="008E47A3" w:rsidRPr="002A7627">
        <w:rPr>
          <w:rFonts w:asciiTheme="majorBidi" w:eastAsiaTheme="minorEastAsia" w:hAnsiTheme="majorBidi" w:cstheme="majorBidi"/>
          <w:bCs/>
        </w:rPr>
        <w:t xml:space="preserve"> </w:t>
      </w:r>
      <w:r w:rsidR="00EE00BF" w:rsidRPr="002A7627">
        <w:rPr>
          <w:rFonts w:asciiTheme="majorBidi" w:eastAsiaTheme="minorEastAsia" w:hAnsiTheme="majorBidi" w:cstheme="majorBidi"/>
          <w:bCs/>
        </w:rPr>
        <w:t>hypotheses.</w:t>
      </w:r>
    </w:p>
    <w:p w14:paraId="4A4C71B8" w14:textId="78176965" w:rsidR="008E47A3" w:rsidRPr="002A7627" w:rsidRDefault="008A02DA" w:rsidP="008E47A3">
      <w:pPr>
        <w:widowControl/>
        <w:tabs>
          <w:tab w:val="left" w:pos="9360"/>
        </w:tabs>
        <w:autoSpaceDE/>
        <w:autoSpaceDN/>
        <w:adjustRightInd/>
        <w:spacing w:after="160" w:line="480" w:lineRule="auto"/>
        <w:ind w:right="-450"/>
        <w:rPr>
          <w:rFonts w:asciiTheme="majorBidi" w:eastAsiaTheme="minorEastAsia" w:hAnsiTheme="majorBidi" w:cstheme="majorBidi"/>
          <w:b/>
          <w:bCs/>
          <w:szCs w:val="24"/>
          <w:lang w:bidi="ar-AE"/>
        </w:rPr>
        <w:sectPr w:rsidR="008E47A3" w:rsidRPr="002A7627" w:rsidSect="00A817FD">
          <w:pgSz w:w="12240" w:h="15840"/>
          <w:pgMar w:top="1800" w:right="2160" w:bottom="1800" w:left="2160" w:header="720" w:footer="720" w:gutter="0"/>
          <w:cols w:space="720"/>
          <w:titlePg/>
          <w:docGrid w:linePitch="360"/>
        </w:sectPr>
      </w:pPr>
      <w:r w:rsidRPr="002A7627">
        <w:rPr>
          <w:noProof/>
          <w:lang w:val="en-GB" w:eastAsia="en-GB"/>
        </w:rPr>
        <mc:AlternateContent>
          <mc:Choice Requires="wps">
            <w:drawing>
              <wp:anchor distT="0" distB="0" distL="114300" distR="114300" simplePos="0" relativeHeight="251672576" behindDoc="0" locked="0" layoutInCell="1" allowOverlap="1" wp14:anchorId="35334C8A" wp14:editId="004387B8">
                <wp:simplePos x="0" y="0"/>
                <wp:positionH relativeFrom="column">
                  <wp:posOffset>-695325</wp:posOffset>
                </wp:positionH>
                <wp:positionV relativeFrom="paragraph">
                  <wp:posOffset>6571615</wp:posOffset>
                </wp:positionV>
                <wp:extent cx="6438900" cy="635"/>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6438900" cy="635"/>
                        </a:xfrm>
                        <a:prstGeom prst="rect">
                          <a:avLst/>
                        </a:prstGeom>
                        <a:solidFill>
                          <a:prstClr val="white"/>
                        </a:solidFill>
                        <a:ln>
                          <a:noFill/>
                        </a:ln>
                      </wps:spPr>
                      <wps:txbx>
                        <w:txbxContent>
                          <w:p w14:paraId="2FBCC67D" w14:textId="45D0913B" w:rsidR="000332A0" w:rsidRPr="00731AAB" w:rsidRDefault="000332A0" w:rsidP="001D5F54">
                            <w:pPr>
                              <w:pStyle w:val="TableofFigures"/>
                              <w:rPr>
                                <w:rFonts w:cs="Courier New"/>
                                <w:noProof/>
                                <w:color w:val="000000"/>
                              </w:rPr>
                            </w:pPr>
                            <w:bookmarkStart w:id="143" w:name="_Toc18620227"/>
                            <w:bookmarkStart w:id="144" w:name="_Toc18620303"/>
                            <w:bookmarkStart w:id="145" w:name="_Toc18620328"/>
                            <w:bookmarkStart w:id="146" w:name="_Toc18620352"/>
                            <w:bookmarkStart w:id="147" w:name="_Toc18620398"/>
                            <w:bookmarkStart w:id="148" w:name="_Toc18650917"/>
                            <w:bookmarkStart w:id="149" w:name="_Toc18651250"/>
                            <w:bookmarkStart w:id="150" w:name="_Toc18752520"/>
                            <w:bookmarkStart w:id="151" w:name="_Toc18771706"/>
                            <w:bookmarkStart w:id="152" w:name="_Toc21074096"/>
                            <w:r w:rsidRPr="00731AAB">
                              <w:t xml:space="preserve">Figure </w:t>
                            </w:r>
                            <w:r>
                              <w:rPr>
                                <w:noProof/>
                              </w:rPr>
                              <w:fldChar w:fldCharType="begin"/>
                            </w:r>
                            <w:r>
                              <w:rPr>
                                <w:noProof/>
                              </w:rPr>
                              <w:instrText xml:space="preserve"> SEQ Figure \* ARABIC </w:instrText>
                            </w:r>
                            <w:r>
                              <w:rPr>
                                <w:noProof/>
                              </w:rPr>
                              <w:fldChar w:fldCharType="separate"/>
                            </w:r>
                            <w:r>
                              <w:rPr>
                                <w:noProof/>
                              </w:rPr>
                              <w:t>3</w:t>
                            </w:r>
                            <w:r>
                              <w:rPr>
                                <w:noProof/>
                              </w:rPr>
                              <w:fldChar w:fldCharType="end"/>
                            </w:r>
                            <w:r w:rsidRPr="00731AAB">
                              <w:t>. Research model framework</w:t>
                            </w:r>
                            <w:bookmarkEnd w:id="143"/>
                            <w:bookmarkEnd w:id="144"/>
                            <w:bookmarkEnd w:id="145"/>
                            <w:bookmarkEnd w:id="146"/>
                            <w:bookmarkEnd w:id="147"/>
                            <w:bookmarkEnd w:id="148"/>
                            <w:bookmarkEnd w:id="149"/>
                            <w:bookmarkEnd w:id="150"/>
                            <w:bookmarkEnd w:id="151"/>
                            <w:bookmarkEnd w:id="1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5334C8A" id="_x0000_t202" coordsize="21600,21600" o:spt="202" path="m,l,21600r21600,l21600,xe">
                <v:stroke joinstyle="miter"/>
                <v:path gradientshapeok="t" o:connecttype="rect"/>
              </v:shapetype>
              <v:shape id="Text Box 7" o:spid="_x0000_s1050" type="#_x0000_t202" style="position:absolute;margin-left:-54.75pt;margin-top:517.45pt;width:507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" stroked="f">
                <v:textbox style="mso-fit-shape-to-text:t" inset="0,0,0,0">
                  <w:txbxContent>
                    <w:p w14:paraId="2FBCC67D" w14:textId="45D0913B" w:rsidR="000332A0" w:rsidRPr="00731AAB" w:rsidRDefault="000332A0" w:rsidP="001D5F54">
                      <w:pPr>
                        <w:pStyle w:val="TableofFigures"/>
                        <w:rPr>
                          <w:rFonts w:cs="Courier New"/>
                          <w:noProof/>
                          <w:color w:val="000000"/>
                        </w:rPr>
                      </w:pPr>
                      <w:bookmarkStart w:id="153" w:name="_Toc18620227"/>
                      <w:bookmarkStart w:id="154" w:name="_Toc18620303"/>
                      <w:bookmarkStart w:id="155" w:name="_Toc18620328"/>
                      <w:bookmarkStart w:id="156" w:name="_Toc18620352"/>
                      <w:bookmarkStart w:id="157" w:name="_Toc18620398"/>
                      <w:bookmarkStart w:id="158" w:name="_Toc18650917"/>
                      <w:bookmarkStart w:id="159" w:name="_Toc18651250"/>
                      <w:bookmarkStart w:id="160" w:name="_Toc18752520"/>
                      <w:bookmarkStart w:id="161" w:name="_Toc18771706"/>
                      <w:bookmarkStart w:id="162" w:name="_Toc21074096"/>
                      <w:r w:rsidRPr="00731AAB">
                        <w:t xml:space="preserve">Figure </w:t>
                      </w:r>
                      <w:r>
                        <w:rPr>
                          <w:noProof/>
                        </w:rPr>
                        <w:fldChar w:fldCharType="begin"/>
                      </w:r>
                      <w:r>
                        <w:rPr>
                          <w:noProof/>
                        </w:rPr>
                        <w:instrText xml:space="preserve"> SEQ Figure \* ARABIC </w:instrText>
                      </w:r>
                      <w:r>
                        <w:rPr>
                          <w:noProof/>
                        </w:rPr>
                        <w:fldChar w:fldCharType="separate"/>
                      </w:r>
                      <w:r>
                        <w:rPr>
                          <w:noProof/>
                        </w:rPr>
                        <w:t>3</w:t>
                      </w:r>
                      <w:r>
                        <w:rPr>
                          <w:noProof/>
                        </w:rPr>
                        <w:fldChar w:fldCharType="end"/>
                      </w:r>
                      <w:r w:rsidRPr="00731AAB">
                        <w:t>. Research model framework</w:t>
                      </w:r>
                      <w:bookmarkEnd w:id="153"/>
                      <w:bookmarkEnd w:id="154"/>
                      <w:bookmarkEnd w:id="155"/>
                      <w:bookmarkEnd w:id="156"/>
                      <w:bookmarkEnd w:id="157"/>
                      <w:bookmarkEnd w:id="158"/>
                      <w:bookmarkEnd w:id="159"/>
                      <w:bookmarkEnd w:id="160"/>
                      <w:bookmarkEnd w:id="161"/>
                      <w:bookmarkEnd w:id="162"/>
                    </w:p>
                  </w:txbxContent>
                </v:textbox>
                <w10:wrap type="topAndBottom"/>
              </v:shape>
            </w:pict>
          </mc:Fallback>
        </mc:AlternateContent>
      </w:r>
      <w:r w:rsidR="008E47A3" w:rsidRPr="002A7627">
        <w:rPr>
          <w:noProof/>
          <w:lang w:val="en-GB" w:eastAsia="en-GB"/>
        </w:rPr>
        <mc:AlternateContent>
          <mc:Choice Requires="wpg">
            <w:drawing>
              <wp:anchor distT="0" distB="0" distL="114300" distR="114300" simplePos="0" relativeHeight="251664384" behindDoc="1" locked="0" layoutInCell="1" allowOverlap="1" wp14:anchorId="6DC7C1D7" wp14:editId="0B8CC45F">
                <wp:simplePos x="0" y="0"/>
                <wp:positionH relativeFrom="margin">
                  <wp:posOffset>-695325</wp:posOffset>
                </wp:positionH>
                <wp:positionV relativeFrom="paragraph">
                  <wp:posOffset>456565</wp:posOffset>
                </wp:positionV>
                <wp:extent cx="6438900" cy="5962650"/>
                <wp:effectExtent l="0" t="0" r="19050" b="19050"/>
                <wp:wrapTopAndBottom/>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900" cy="5962650"/>
                          <a:chOff x="2714" y="2768"/>
                          <a:chExt cx="76542" cy="53315"/>
                        </a:xfrm>
                      </wpg:grpSpPr>
                      <wps:wsp>
                        <wps:cNvPr id="53" name="Straight Arrow Connector 19"/>
                        <wps:cNvCnPr>
                          <a:cxnSpLocks noChangeShapeType="1"/>
                        </wps:cNvCnPr>
                        <wps:spPr bwMode="auto">
                          <a:xfrm>
                            <a:off x="44162" y="24279"/>
                            <a:ext cx="19309" cy="409"/>
                          </a:xfrm>
                          <a:prstGeom prst="straightConnector1">
                            <a:avLst/>
                          </a:prstGeom>
                          <a:noFill/>
                          <a:ln w="25400">
                            <a:solidFill>
                              <a:sysClr val="windowText" lastClr="000000">
                                <a:lumMod val="100000"/>
                                <a:lumOff val="0"/>
                              </a:sys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54" name="Oval 54"/>
                        <wps:cNvSpPr>
                          <a:spLocks noChangeArrowheads="1"/>
                        </wps:cNvSpPr>
                        <wps:spPr bwMode="auto">
                          <a:xfrm>
                            <a:off x="4419" y="3733"/>
                            <a:ext cx="13716" cy="7316"/>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txbx>
                          <w:txbxContent>
                            <w:p w14:paraId="301C4DB1" w14:textId="77777777" w:rsidR="000332A0" w:rsidRPr="00894B50" w:rsidRDefault="000332A0" w:rsidP="008E47A3">
                              <w:pPr>
                                <w:pStyle w:val="NormalWeb"/>
                                <w:spacing w:before="0" w:beforeAutospacing="0" w:after="0" w:afterAutospacing="0"/>
                                <w:jc w:val="center"/>
                                <w:rPr>
                                  <w:rFonts w:eastAsia="Calibri"/>
                                  <w:sz w:val="18"/>
                                  <w:szCs w:val="18"/>
                                </w:rPr>
                              </w:pPr>
                              <w:r w:rsidRPr="00894B50">
                                <w:rPr>
                                  <w:rFonts w:eastAsia="Calibri"/>
                                  <w:sz w:val="18"/>
                                  <w:szCs w:val="18"/>
                                </w:rPr>
                                <w:t>Knowledge</w:t>
                              </w:r>
                            </w:p>
                            <w:p w14:paraId="48DD3BC5" w14:textId="77777777" w:rsidR="000332A0" w:rsidRPr="00101AC1" w:rsidRDefault="000332A0" w:rsidP="008E47A3">
                              <w:pPr>
                                <w:pStyle w:val="NormalWeb"/>
                                <w:spacing w:before="0" w:beforeAutospacing="0" w:after="0" w:afterAutospacing="0"/>
                                <w:jc w:val="center"/>
                                <w:rPr>
                                  <w:rFonts w:eastAsia="Calibri"/>
                                  <w:sz w:val="18"/>
                                  <w:szCs w:val="18"/>
                                </w:rPr>
                              </w:pPr>
                              <w:r>
                                <w:rPr>
                                  <w:rFonts w:eastAsia="Calibri"/>
                                  <w:sz w:val="18"/>
                                  <w:szCs w:val="18"/>
                                </w:rPr>
                                <w:t>Management Capabilities</w:t>
                              </w:r>
                            </w:p>
                          </w:txbxContent>
                        </wps:txbx>
                        <wps:bodyPr rot="0" vert="horz" wrap="square" lIns="91440" tIns="45720" rIns="91440" bIns="45720" anchor="ctr" anchorCtr="0" upright="1">
                          <a:noAutofit/>
                        </wps:bodyPr>
                      </wps:wsp>
                      <wps:wsp>
                        <wps:cNvPr id="55" name="Oval 4"/>
                        <wps:cNvSpPr>
                          <a:spLocks noChangeArrowheads="1"/>
                        </wps:cNvSpPr>
                        <wps:spPr bwMode="auto">
                          <a:xfrm>
                            <a:off x="29229" y="21078"/>
                            <a:ext cx="16625" cy="6401"/>
                          </a:xfrm>
                          <a:prstGeom prst="ellipse">
                            <a:avLst/>
                          </a:prstGeom>
                          <a:solidFill>
                            <a:srgbClr val="4F81BD">
                              <a:lumMod val="100000"/>
                              <a:lumOff val="0"/>
                            </a:srgbClr>
                          </a:solidFill>
                          <a:ln w="25400">
                            <a:solidFill>
                              <a:srgbClr val="4F81BD">
                                <a:lumMod val="50000"/>
                                <a:lumOff val="0"/>
                              </a:srgbClr>
                            </a:solidFill>
                            <a:round/>
                            <a:headEnd/>
                            <a:tailEnd/>
                          </a:ln>
                        </wps:spPr>
                        <wps:txbx>
                          <w:txbxContent>
                            <w:p w14:paraId="6A4ABE72" w14:textId="77777777" w:rsidR="000332A0" w:rsidRPr="00E82111" w:rsidRDefault="000332A0" w:rsidP="008E47A3">
                              <w:pPr>
                                <w:pStyle w:val="NormalWeb"/>
                                <w:spacing w:before="0" w:beforeAutospacing="0" w:after="200" w:afterAutospacing="0" w:line="276" w:lineRule="auto"/>
                                <w:jc w:val="center"/>
                                <w:rPr>
                                  <w:b/>
                                  <w:bCs/>
                                  <w:color w:val="FFFFFF" w:themeColor="background1"/>
                                </w:rPr>
                              </w:pPr>
                              <w:r w:rsidRPr="00E82111">
                                <w:rPr>
                                  <w:rFonts w:cs="Arial"/>
                                  <w:b/>
                                  <w:bCs/>
                                  <w:color w:val="FFFFFF" w:themeColor="background1"/>
                                </w:rPr>
                                <w:t xml:space="preserve">Organizational Learning </w:t>
                              </w:r>
                            </w:p>
                            <w:p w14:paraId="5078F900" w14:textId="77777777" w:rsidR="000332A0" w:rsidRPr="00DF2997" w:rsidRDefault="000332A0" w:rsidP="008E47A3">
                              <w:pPr>
                                <w:pStyle w:val="NormalWeb"/>
                                <w:spacing w:before="0" w:beforeAutospacing="0" w:after="0" w:afterAutospacing="0" w:line="252" w:lineRule="auto"/>
                                <w:jc w:val="center"/>
                                <w:rPr>
                                  <w:rFonts w:eastAsia="Calibri"/>
                                  <w:color w:val="FF0000"/>
                                </w:rPr>
                              </w:pPr>
                            </w:p>
                            <w:p w14:paraId="4BF549D2" w14:textId="77777777" w:rsidR="000332A0" w:rsidRDefault="000332A0" w:rsidP="008E47A3">
                              <w:pPr>
                                <w:pStyle w:val="NormalWeb"/>
                                <w:spacing w:before="0" w:beforeAutospacing="0" w:after="0" w:afterAutospacing="0" w:line="256" w:lineRule="auto"/>
                                <w:jc w:val="center"/>
                              </w:pPr>
                            </w:p>
                          </w:txbxContent>
                        </wps:txbx>
                        <wps:bodyPr rot="0" vert="horz" wrap="square" lIns="36000" tIns="45720" rIns="36000" bIns="45720" anchor="ctr" anchorCtr="0" upright="1">
                          <a:noAutofit/>
                        </wps:bodyPr>
                      </wps:wsp>
                      <wps:wsp>
                        <wps:cNvPr id="56" name="Oval 5"/>
                        <wps:cNvSpPr>
                          <a:spLocks noChangeArrowheads="1"/>
                        </wps:cNvSpPr>
                        <wps:spPr bwMode="auto">
                          <a:xfrm>
                            <a:off x="63471" y="20396"/>
                            <a:ext cx="15785" cy="8585"/>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txbx>
                          <w:txbxContent>
                            <w:p w14:paraId="1C1DC872" w14:textId="77777777" w:rsidR="000332A0" w:rsidRPr="00DF2997" w:rsidRDefault="000332A0" w:rsidP="008E47A3">
                              <w:pPr>
                                <w:pStyle w:val="NormalWeb"/>
                                <w:spacing w:before="0" w:beforeAutospacing="0" w:after="0" w:afterAutospacing="0"/>
                                <w:jc w:val="center"/>
                                <w:rPr>
                                  <w:rFonts w:eastAsia="Calibri"/>
                                  <w:b/>
                                </w:rPr>
                              </w:pPr>
                              <w:r w:rsidRPr="00DF2997">
                                <w:rPr>
                                  <w:rFonts w:eastAsia="Calibri"/>
                                  <w:b/>
                                </w:rPr>
                                <w:t>Knowledge Management Benefits</w:t>
                              </w:r>
                            </w:p>
                            <w:p w14:paraId="3D9F7802" w14:textId="77777777" w:rsidR="000332A0" w:rsidRPr="00DF2997" w:rsidRDefault="000332A0" w:rsidP="008E47A3">
                              <w:pPr>
                                <w:jc w:val="both"/>
                                <w:rPr>
                                  <w:rFonts w:eastAsia="Calibri" w:cs="Times New Roman"/>
                                  <w:sz w:val="20"/>
                                  <w:szCs w:val="20"/>
                                </w:rPr>
                              </w:pPr>
                            </w:p>
                            <w:p w14:paraId="29CBC037" w14:textId="77777777" w:rsidR="000332A0" w:rsidRPr="00DF2997" w:rsidRDefault="000332A0" w:rsidP="008E47A3">
                              <w:pPr>
                                <w:pStyle w:val="NormalWeb"/>
                                <w:spacing w:before="0" w:beforeAutospacing="0" w:after="0" w:afterAutospacing="0"/>
                                <w:jc w:val="center"/>
                                <w:rPr>
                                  <w:bCs/>
                                  <w:color w:val="0D0D0D" w:themeColor="text1" w:themeTint="F2"/>
                                </w:rPr>
                              </w:pPr>
                            </w:p>
                            <w:p w14:paraId="0899CF82" w14:textId="77777777" w:rsidR="000332A0" w:rsidRDefault="000332A0" w:rsidP="008E47A3">
                              <w:pPr>
                                <w:pStyle w:val="NormalWeb"/>
                                <w:spacing w:before="0" w:beforeAutospacing="0" w:after="0" w:afterAutospacing="0" w:line="256" w:lineRule="auto"/>
                                <w:jc w:val="center"/>
                              </w:pPr>
                            </w:p>
                          </w:txbxContent>
                        </wps:txbx>
                        <wps:bodyPr rot="0" vert="horz" wrap="square" lIns="91440" tIns="45720" rIns="91440" bIns="45720" anchor="ctr" anchorCtr="0" upright="1">
                          <a:noAutofit/>
                        </wps:bodyPr>
                      </wps:wsp>
                      <wps:wsp>
                        <wps:cNvPr id="57" name="Rectangle 10"/>
                        <wps:cNvSpPr>
                          <a:spLocks noChangeArrowheads="1"/>
                        </wps:cNvSpPr>
                        <wps:spPr bwMode="auto">
                          <a:xfrm>
                            <a:off x="2714" y="2768"/>
                            <a:ext cx="16840" cy="8890"/>
                          </a:xfrm>
                          <a:prstGeom prst="rect">
                            <a:avLst/>
                          </a:prstGeom>
                          <a:noFill/>
                          <a:ln w="19050">
                            <a:solidFill>
                              <a:sysClr val="windowText" lastClr="000000">
                                <a:lumMod val="100000"/>
                                <a:lumOff val="0"/>
                              </a:sysClr>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8" name="Rectangle 11"/>
                        <wps:cNvSpPr>
                          <a:spLocks noChangeArrowheads="1"/>
                        </wps:cNvSpPr>
                        <wps:spPr bwMode="auto">
                          <a:xfrm>
                            <a:off x="2714" y="25146"/>
                            <a:ext cx="18343" cy="30937"/>
                          </a:xfrm>
                          <a:prstGeom prst="rect">
                            <a:avLst/>
                          </a:prstGeom>
                          <a:noFill/>
                          <a:ln w="19050">
                            <a:solidFill>
                              <a:sysClr val="windowText" lastClr="000000">
                                <a:lumMod val="100000"/>
                                <a:lumOff val="0"/>
                              </a:sysClr>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0" name="Text Box 60"/>
                        <wps:cNvSpPr txBox="1">
                          <a:spLocks noChangeArrowheads="1"/>
                        </wps:cNvSpPr>
                        <wps:spPr bwMode="auto">
                          <a:xfrm>
                            <a:off x="4543" y="25269"/>
                            <a:ext cx="13812" cy="4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FBA5352" w14:textId="77777777" w:rsidR="000332A0" w:rsidRPr="00894B50" w:rsidRDefault="000332A0" w:rsidP="008E47A3">
                              <w:pPr>
                                <w:pStyle w:val="NormalWeb"/>
                                <w:spacing w:before="0" w:beforeAutospacing="0" w:after="0" w:afterAutospacing="0"/>
                                <w:jc w:val="center"/>
                                <w:rPr>
                                  <w:rFonts w:eastAsia="Calibri"/>
                                  <w:b/>
                                  <w:bCs/>
                                </w:rPr>
                              </w:pPr>
                              <w:r w:rsidRPr="00894B50">
                                <w:rPr>
                                  <w:rFonts w:eastAsia="Calibri"/>
                                  <w:b/>
                                  <w:bCs/>
                                </w:rPr>
                                <w:t xml:space="preserve">HR Practices for </w:t>
                              </w:r>
                            </w:p>
                            <w:p w14:paraId="7A1B20E4" w14:textId="77777777" w:rsidR="000332A0" w:rsidRPr="00894B50" w:rsidRDefault="000332A0" w:rsidP="008E47A3">
                              <w:pPr>
                                <w:pStyle w:val="NormalWeb"/>
                                <w:spacing w:before="0" w:beforeAutospacing="0" w:after="0" w:afterAutospacing="0"/>
                                <w:jc w:val="center"/>
                              </w:pPr>
                              <w:r w:rsidRPr="00894B50">
                                <w:rPr>
                                  <w:rFonts w:eastAsia="Calibri"/>
                                  <w:b/>
                                  <w:bCs/>
                                </w:rPr>
                                <w:t>Knowledge Sharing</w:t>
                              </w:r>
                            </w:p>
                            <w:p w14:paraId="7DC9BC31" w14:textId="77777777" w:rsidR="000332A0" w:rsidRDefault="000332A0" w:rsidP="008E47A3">
                              <w:pPr>
                                <w:pStyle w:val="NormalWeb"/>
                                <w:spacing w:before="0" w:beforeAutospacing="0" w:after="0" w:afterAutospacing="0" w:line="256" w:lineRule="auto"/>
                                <w:jc w:val="center"/>
                              </w:pPr>
                            </w:p>
                          </w:txbxContent>
                        </wps:txbx>
                        <wps:bodyPr rot="0" vert="horz" wrap="square" lIns="91440" tIns="45720" rIns="91440" bIns="45720" anchor="ctr" anchorCtr="0" upright="1">
                          <a:noAutofit/>
                        </wps:bodyPr>
                      </wps:wsp>
                      <wps:wsp>
                        <wps:cNvPr id="61" name="Straight Arrow Connector 14"/>
                        <wps:cNvCnPr>
                          <a:cxnSpLocks noChangeShapeType="1"/>
                        </wps:cNvCnPr>
                        <wps:spPr bwMode="auto">
                          <a:xfrm>
                            <a:off x="18135" y="7391"/>
                            <a:ext cx="45336" cy="17297"/>
                          </a:xfrm>
                          <a:prstGeom prst="straightConnector1">
                            <a:avLst/>
                          </a:prstGeom>
                          <a:noFill/>
                          <a:ln w="25400">
                            <a:solidFill>
                              <a:sysClr val="windowText" lastClr="000000">
                                <a:lumMod val="100000"/>
                                <a:lumOff val="0"/>
                              </a:sys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62" name="Straight Arrow Connector 15"/>
                        <wps:cNvCnPr>
                          <a:cxnSpLocks noChangeShapeType="1"/>
                        </wps:cNvCnPr>
                        <wps:spPr bwMode="auto">
                          <a:xfrm flipV="1">
                            <a:off x="17476" y="24688"/>
                            <a:ext cx="45995" cy="7909"/>
                          </a:xfrm>
                          <a:prstGeom prst="straightConnector1">
                            <a:avLst/>
                          </a:prstGeom>
                          <a:noFill/>
                          <a:ln w="25400">
                            <a:solidFill>
                              <a:sysClr val="windowText" lastClr="000000">
                                <a:lumMod val="100000"/>
                                <a:lumOff val="0"/>
                              </a:sys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63" name="Straight Arrow Connector 16"/>
                        <wps:cNvCnPr>
                          <a:cxnSpLocks noChangeShapeType="1"/>
                        </wps:cNvCnPr>
                        <wps:spPr bwMode="auto">
                          <a:xfrm flipV="1">
                            <a:off x="17476" y="24688"/>
                            <a:ext cx="45995" cy="14717"/>
                          </a:xfrm>
                          <a:prstGeom prst="straightConnector1">
                            <a:avLst/>
                          </a:prstGeom>
                          <a:noFill/>
                          <a:ln w="25400">
                            <a:solidFill>
                              <a:sysClr val="windowText" lastClr="000000">
                                <a:lumMod val="100000"/>
                                <a:lumOff val="0"/>
                              </a:sys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00" name="Straight Arrow Connector 17"/>
                        <wps:cNvCnPr>
                          <a:cxnSpLocks noChangeShapeType="1"/>
                        </wps:cNvCnPr>
                        <wps:spPr bwMode="auto">
                          <a:xfrm flipV="1">
                            <a:off x="17476" y="24688"/>
                            <a:ext cx="45995" cy="21082"/>
                          </a:xfrm>
                          <a:prstGeom prst="straightConnector1">
                            <a:avLst/>
                          </a:prstGeom>
                          <a:noFill/>
                          <a:ln w="25400">
                            <a:solidFill>
                              <a:sysClr val="windowText" lastClr="000000">
                                <a:lumMod val="100000"/>
                                <a:lumOff val="0"/>
                              </a:sys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01" name="Straight Arrow Connector 18"/>
                        <wps:cNvCnPr>
                          <a:cxnSpLocks noChangeShapeType="1"/>
                        </wps:cNvCnPr>
                        <wps:spPr bwMode="auto">
                          <a:xfrm flipV="1">
                            <a:off x="17476" y="24688"/>
                            <a:ext cx="45995" cy="27813"/>
                          </a:xfrm>
                          <a:prstGeom prst="straightConnector1">
                            <a:avLst/>
                          </a:prstGeom>
                          <a:noFill/>
                          <a:ln w="25400">
                            <a:solidFill>
                              <a:sysClr val="windowText" lastClr="000000">
                                <a:lumMod val="100000"/>
                                <a:lumOff val="0"/>
                              </a:sys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02" name="Straight Arrow Connector 20"/>
                        <wps:cNvCnPr>
                          <a:cxnSpLocks noChangeShapeType="1"/>
                        </wps:cNvCnPr>
                        <wps:spPr bwMode="auto">
                          <a:xfrm>
                            <a:off x="18135" y="7391"/>
                            <a:ext cx="11094" cy="16888"/>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303" name="Straight Arrow Connector 21"/>
                        <wps:cNvCnPr>
                          <a:cxnSpLocks noChangeShapeType="1"/>
                        </wps:cNvCnPr>
                        <wps:spPr bwMode="auto">
                          <a:xfrm flipV="1">
                            <a:off x="17476" y="24279"/>
                            <a:ext cx="11753" cy="8318"/>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304" name="Straight Arrow Connector 22"/>
                        <wps:cNvCnPr>
                          <a:cxnSpLocks noChangeShapeType="1"/>
                        </wps:cNvCnPr>
                        <wps:spPr bwMode="auto">
                          <a:xfrm flipV="1">
                            <a:off x="17476" y="24279"/>
                            <a:ext cx="11753" cy="15126"/>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305" name="Straight Arrow Connector 23"/>
                        <wps:cNvCnPr>
                          <a:cxnSpLocks noChangeShapeType="1"/>
                        </wps:cNvCnPr>
                        <wps:spPr bwMode="auto">
                          <a:xfrm flipV="1">
                            <a:off x="17476" y="24279"/>
                            <a:ext cx="11753" cy="21491"/>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306" name="Straight Arrow Connector 24"/>
                        <wps:cNvCnPr>
                          <a:cxnSpLocks noChangeShapeType="1"/>
                        </wps:cNvCnPr>
                        <wps:spPr bwMode="auto">
                          <a:xfrm flipV="1">
                            <a:off x="17476" y="24279"/>
                            <a:ext cx="11753" cy="28222"/>
                          </a:xfrm>
                          <a:prstGeom prst="straightConnector1">
                            <a:avLst/>
                          </a:prstGeom>
                          <a:noFill/>
                          <a:ln w="9525">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307" name="Text Box 3"/>
                        <wps:cNvSpPr txBox="1">
                          <a:spLocks noChangeArrowheads="1"/>
                        </wps:cNvSpPr>
                        <wps:spPr bwMode="auto">
                          <a:xfrm>
                            <a:off x="31098" y="11658"/>
                            <a:ext cx="4572" cy="2743"/>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F459D43" w14:textId="77777777" w:rsidR="000332A0" w:rsidRPr="008D79D8" w:rsidRDefault="000332A0" w:rsidP="008E47A3">
                              <w:pPr>
                                <w:jc w:val="center"/>
                                <w:rPr>
                                  <w:sz w:val="20"/>
                                  <w:szCs w:val="20"/>
                                </w:rPr>
                              </w:pPr>
                              <w:r w:rsidRPr="008D79D8">
                                <w:rPr>
                                  <w:sz w:val="20"/>
                                  <w:szCs w:val="20"/>
                                </w:rPr>
                                <w:t>H1</w:t>
                              </w:r>
                            </w:p>
                          </w:txbxContent>
                        </wps:txbx>
                        <wps:bodyPr rot="0" vert="horz" wrap="square" lIns="91440" tIns="45720" rIns="91440" bIns="45720" anchor="ctr" anchorCtr="0" upright="1">
                          <a:noAutofit/>
                        </wps:bodyPr>
                      </wps:wsp>
                      <wps:wsp>
                        <wps:cNvPr id="308" name="Text Box 3"/>
                        <wps:cNvSpPr txBox="1">
                          <a:spLocks noChangeArrowheads="1"/>
                        </wps:cNvSpPr>
                        <wps:spPr bwMode="auto">
                          <a:xfrm>
                            <a:off x="31098" y="32454"/>
                            <a:ext cx="4572" cy="2743"/>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CAED7BF" w14:textId="77777777" w:rsidR="000332A0" w:rsidRDefault="000332A0" w:rsidP="008E47A3">
                              <w:pPr>
                                <w:pStyle w:val="NormalWeb"/>
                                <w:spacing w:before="0" w:beforeAutospacing="0" w:after="0" w:afterAutospacing="0" w:line="256" w:lineRule="auto"/>
                                <w:jc w:val="center"/>
                              </w:pPr>
                              <w:r>
                                <w:rPr>
                                  <w:rFonts w:eastAsia="Calibri"/>
                                </w:rPr>
                                <w:t>H3</w:t>
                              </w:r>
                            </w:p>
                          </w:txbxContent>
                        </wps:txbx>
                        <wps:bodyPr rot="0" vert="horz" wrap="square" lIns="91440" tIns="45720" rIns="91440" bIns="45720" anchor="ctr" anchorCtr="0" upright="1">
                          <a:noAutofit/>
                        </wps:bodyPr>
                      </wps:wsp>
                      <wps:wsp>
                        <wps:cNvPr id="309" name="Text Box 3"/>
                        <wps:cNvSpPr txBox="1">
                          <a:spLocks noChangeArrowheads="1"/>
                        </wps:cNvSpPr>
                        <wps:spPr bwMode="auto">
                          <a:xfrm>
                            <a:off x="30933" y="28346"/>
                            <a:ext cx="4572" cy="2609"/>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A97B460" w14:textId="77777777" w:rsidR="000332A0" w:rsidRDefault="000332A0" w:rsidP="008E47A3">
                              <w:pPr>
                                <w:pStyle w:val="NormalWeb"/>
                                <w:spacing w:before="0" w:beforeAutospacing="0" w:after="0" w:afterAutospacing="0" w:line="256" w:lineRule="auto"/>
                                <w:jc w:val="center"/>
                              </w:pPr>
                              <w:r>
                                <w:rPr>
                                  <w:rFonts w:eastAsia="Calibri"/>
                                </w:rPr>
                                <w:t>H2</w:t>
                              </w:r>
                            </w:p>
                          </w:txbxContent>
                        </wps:txbx>
                        <wps:bodyPr rot="0" vert="horz" wrap="square" lIns="91440" tIns="45720" rIns="91440" bIns="45720" anchor="ctr" anchorCtr="0" upright="1">
                          <a:noAutofit/>
                        </wps:bodyPr>
                      </wps:wsp>
                      <wps:wsp>
                        <wps:cNvPr id="313" name="Text Box 3"/>
                        <wps:cNvSpPr txBox="1">
                          <a:spLocks noChangeArrowheads="1"/>
                        </wps:cNvSpPr>
                        <wps:spPr bwMode="auto">
                          <a:xfrm>
                            <a:off x="31098" y="36543"/>
                            <a:ext cx="4572" cy="2744"/>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8EF6F42" w14:textId="77777777" w:rsidR="000332A0" w:rsidRDefault="000332A0" w:rsidP="008E47A3">
                              <w:pPr>
                                <w:pStyle w:val="NormalWeb"/>
                                <w:spacing w:before="0" w:beforeAutospacing="0" w:after="0" w:afterAutospacing="0" w:line="256" w:lineRule="auto"/>
                                <w:jc w:val="center"/>
                              </w:pPr>
                              <w:r>
                                <w:rPr>
                                  <w:rFonts w:eastAsia="Calibri"/>
                                </w:rPr>
                                <w:t>H4</w:t>
                              </w:r>
                            </w:p>
                          </w:txbxContent>
                        </wps:txbx>
                        <wps:bodyPr rot="0" vert="horz" wrap="square" lIns="91440" tIns="45720" rIns="91440" bIns="45720" anchor="ctr" anchorCtr="0" upright="1">
                          <a:noAutofit/>
                        </wps:bodyPr>
                      </wps:wsp>
                      <wps:wsp>
                        <wps:cNvPr id="314" name="Text Box 3"/>
                        <wps:cNvSpPr txBox="1">
                          <a:spLocks noChangeArrowheads="1"/>
                        </wps:cNvSpPr>
                        <wps:spPr bwMode="auto">
                          <a:xfrm>
                            <a:off x="31251" y="40938"/>
                            <a:ext cx="4572" cy="2743"/>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48C3383" w14:textId="77777777" w:rsidR="000332A0" w:rsidRDefault="000332A0" w:rsidP="008E47A3">
                              <w:pPr>
                                <w:pStyle w:val="NormalWeb"/>
                                <w:spacing w:before="0" w:beforeAutospacing="0" w:after="0" w:afterAutospacing="0" w:line="256" w:lineRule="auto"/>
                                <w:jc w:val="center"/>
                              </w:pPr>
                              <w:r>
                                <w:rPr>
                                  <w:rFonts w:eastAsia="Calibri"/>
                                </w:rPr>
                                <w:t>H5</w:t>
                              </w:r>
                            </w:p>
                          </w:txbxContent>
                        </wps:txbx>
                        <wps:bodyPr rot="0" vert="horz" wrap="square" lIns="91440" tIns="45720" rIns="91440" bIns="45720" anchor="ctr" anchorCtr="0" upright="1">
                          <a:noAutofit/>
                        </wps:bodyPr>
                      </wps:wsp>
                      <wps:wsp>
                        <wps:cNvPr id="315" name="Text Box 3"/>
                        <wps:cNvSpPr txBox="1">
                          <a:spLocks noChangeArrowheads="1"/>
                        </wps:cNvSpPr>
                        <wps:spPr bwMode="auto">
                          <a:xfrm>
                            <a:off x="45070" y="21535"/>
                            <a:ext cx="8618" cy="2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A0D7DE" w14:textId="77777777" w:rsidR="000332A0" w:rsidRDefault="000332A0" w:rsidP="008E47A3">
                              <w:pPr>
                                <w:pStyle w:val="NormalWeb"/>
                                <w:spacing w:before="0" w:beforeAutospacing="0" w:after="0" w:afterAutospacing="0" w:line="256" w:lineRule="auto"/>
                                <w:jc w:val="center"/>
                              </w:pPr>
                              <w:r>
                                <w:rPr>
                                  <w:rFonts w:eastAsia="Calibri"/>
                                </w:rPr>
                                <w:t>H6 to H11</w:t>
                              </w:r>
                            </w:p>
                          </w:txbxContent>
                        </wps:txbx>
                        <wps:bodyPr rot="0" vert="horz" wrap="square" lIns="91440" tIns="45720" rIns="91440" bIns="45720" anchor="ctr" anchorCtr="0" upright="1">
                          <a:noAutofit/>
                        </wps:bodyPr>
                      </wps:wsp>
                      <wps:wsp>
                        <wps:cNvPr id="316" name="Oval 6"/>
                        <wps:cNvSpPr>
                          <a:spLocks noChangeArrowheads="1"/>
                        </wps:cNvSpPr>
                        <wps:spPr bwMode="auto">
                          <a:xfrm>
                            <a:off x="3733" y="29841"/>
                            <a:ext cx="14402" cy="5511"/>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txbx>
                          <w:txbxContent>
                            <w:p w14:paraId="72865116" w14:textId="77777777" w:rsidR="000332A0" w:rsidRPr="00DA271D" w:rsidRDefault="000332A0" w:rsidP="008E47A3">
                              <w:pPr>
                                <w:pStyle w:val="NormalWeb"/>
                                <w:spacing w:before="0" w:beforeAutospacing="0" w:after="0" w:afterAutospacing="0"/>
                                <w:jc w:val="center"/>
                                <w:rPr>
                                  <w:sz w:val="18"/>
                                  <w:szCs w:val="18"/>
                                </w:rPr>
                              </w:pPr>
                              <w:r w:rsidRPr="00DA271D">
                                <w:rPr>
                                  <w:rFonts w:eastAsia="Calibri"/>
                                  <w:sz w:val="18"/>
                                  <w:szCs w:val="18"/>
                                </w:rPr>
                                <w:t>Extrinsic</w:t>
                              </w:r>
                            </w:p>
                            <w:p w14:paraId="25E1B959" w14:textId="77777777" w:rsidR="000332A0" w:rsidRPr="00DA271D" w:rsidRDefault="000332A0" w:rsidP="008E47A3">
                              <w:pPr>
                                <w:pStyle w:val="NormalWeb"/>
                                <w:spacing w:before="0" w:beforeAutospacing="0" w:after="0" w:afterAutospacing="0"/>
                                <w:jc w:val="center"/>
                                <w:rPr>
                                  <w:rFonts w:eastAsia="Calibri"/>
                                  <w:sz w:val="18"/>
                                  <w:szCs w:val="18"/>
                                </w:rPr>
                              </w:pPr>
                              <w:r w:rsidRPr="00DA271D">
                                <w:rPr>
                                  <w:rFonts w:eastAsia="Calibri"/>
                                  <w:sz w:val="18"/>
                                  <w:szCs w:val="18"/>
                                </w:rPr>
                                <w:t>Motivation</w:t>
                              </w:r>
                              <w:r>
                                <w:rPr>
                                  <w:rFonts w:eastAsia="Calibri"/>
                                  <w:sz w:val="18"/>
                                  <w:szCs w:val="18"/>
                                </w:rPr>
                                <w:t xml:space="preserve"> </w:t>
                              </w:r>
                            </w:p>
                            <w:p w14:paraId="5F9044A7" w14:textId="77777777" w:rsidR="000332A0" w:rsidRPr="00DA271D" w:rsidRDefault="000332A0" w:rsidP="008E47A3">
                              <w:pPr>
                                <w:pStyle w:val="NormalWeb"/>
                                <w:spacing w:before="0" w:beforeAutospacing="0" w:after="0" w:afterAutospacing="0"/>
                                <w:rPr>
                                  <w:sz w:val="18"/>
                                  <w:szCs w:val="18"/>
                                </w:rPr>
                              </w:pPr>
                            </w:p>
                            <w:p w14:paraId="3CA692C9" w14:textId="77777777" w:rsidR="000332A0" w:rsidRDefault="000332A0" w:rsidP="008E47A3">
                              <w:pPr>
                                <w:pStyle w:val="NormalWeb"/>
                                <w:spacing w:before="0" w:beforeAutospacing="0" w:after="0" w:afterAutospacing="0" w:line="256" w:lineRule="auto"/>
                                <w:jc w:val="center"/>
                              </w:pPr>
                            </w:p>
                          </w:txbxContent>
                        </wps:txbx>
                        <wps:bodyPr rot="0" vert="horz" wrap="square" lIns="91440" tIns="45720" rIns="91440" bIns="45720" anchor="ctr" anchorCtr="0" upright="1">
                          <a:noAutofit/>
                        </wps:bodyPr>
                      </wps:wsp>
                      <wps:wsp>
                        <wps:cNvPr id="317" name="Oval 7"/>
                        <wps:cNvSpPr>
                          <a:spLocks noChangeArrowheads="1"/>
                        </wps:cNvSpPr>
                        <wps:spPr bwMode="auto">
                          <a:xfrm>
                            <a:off x="3733" y="36572"/>
                            <a:ext cx="14402" cy="5666"/>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txbx>
                          <w:txbxContent>
                            <w:p w14:paraId="5D59F3DF" w14:textId="77777777" w:rsidR="000332A0" w:rsidRDefault="000332A0" w:rsidP="008E47A3">
                              <w:pPr>
                                <w:pStyle w:val="NormalWeb"/>
                                <w:spacing w:before="0" w:beforeAutospacing="0" w:after="0" w:afterAutospacing="0"/>
                                <w:jc w:val="center"/>
                              </w:pPr>
                              <w:r>
                                <w:rPr>
                                  <w:rFonts w:eastAsia="Calibri"/>
                                  <w:sz w:val="18"/>
                                  <w:szCs w:val="18"/>
                                </w:rPr>
                                <w:t>Intrinsic</w:t>
                              </w:r>
                            </w:p>
                            <w:p w14:paraId="5EED9D75" w14:textId="77777777" w:rsidR="000332A0" w:rsidRDefault="000332A0" w:rsidP="008E47A3">
                              <w:pPr>
                                <w:pStyle w:val="NormalWeb"/>
                                <w:spacing w:before="0" w:beforeAutospacing="0" w:after="0" w:afterAutospacing="0"/>
                                <w:jc w:val="center"/>
                              </w:pPr>
                              <w:r>
                                <w:rPr>
                                  <w:rFonts w:eastAsia="Calibri"/>
                                  <w:sz w:val="18"/>
                                  <w:szCs w:val="18"/>
                                </w:rPr>
                                <w:t>Motivation</w:t>
                              </w:r>
                            </w:p>
                            <w:p w14:paraId="5CBE7D79" w14:textId="77777777" w:rsidR="000332A0" w:rsidRDefault="000332A0" w:rsidP="008E47A3">
                              <w:pPr>
                                <w:pStyle w:val="NormalWeb"/>
                                <w:spacing w:before="0" w:beforeAutospacing="0" w:after="0" w:afterAutospacing="0"/>
                              </w:pPr>
                              <w:r>
                                <w:rPr>
                                  <w:sz w:val="18"/>
                                  <w:szCs w:val="18"/>
                                </w:rPr>
                                <w:t> </w:t>
                              </w:r>
                            </w:p>
                            <w:p w14:paraId="12E08159" w14:textId="77777777" w:rsidR="000332A0" w:rsidRDefault="000332A0" w:rsidP="008E47A3">
                              <w:pPr>
                                <w:pStyle w:val="NormalWeb"/>
                                <w:spacing w:before="0" w:beforeAutospacing="0" w:after="0" w:afterAutospacing="0" w:line="254" w:lineRule="auto"/>
                                <w:jc w:val="center"/>
                              </w:pPr>
                              <w:r>
                                <w:t> </w:t>
                              </w:r>
                            </w:p>
                          </w:txbxContent>
                        </wps:txbx>
                        <wps:bodyPr rot="0" vert="horz" wrap="square" lIns="91440" tIns="45720" rIns="91440" bIns="45720" anchor="ctr" anchorCtr="0" upright="1">
                          <a:noAutofit/>
                        </wps:bodyPr>
                      </wps:wsp>
                      <wps:wsp>
                        <wps:cNvPr id="318" name="Oval 8"/>
                        <wps:cNvSpPr>
                          <a:spLocks noChangeArrowheads="1"/>
                        </wps:cNvSpPr>
                        <wps:spPr bwMode="auto">
                          <a:xfrm>
                            <a:off x="3734" y="43303"/>
                            <a:ext cx="14401" cy="4933"/>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txbx>
                          <w:txbxContent>
                            <w:p w14:paraId="49CEE682" w14:textId="77777777" w:rsidR="000332A0" w:rsidRDefault="000332A0" w:rsidP="008E47A3">
                              <w:pPr>
                                <w:pStyle w:val="NormalWeb"/>
                                <w:spacing w:before="0" w:beforeAutospacing="0" w:after="0" w:afterAutospacing="0"/>
                              </w:pPr>
                              <w:r>
                                <w:rPr>
                                  <w:rFonts w:eastAsia="Calibri"/>
                                  <w:sz w:val="18"/>
                                  <w:szCs w:val="18"/>
                                </w:rPr>
                                <w:t>Opportunities</w:t>
                              </w:r>
                            </w:p>
                            <w:p w14:paraId="216DE564" w14:textId="77777777" w:rsidR="000332A0" w:rsidRDefault="000332A0" w:rsidP="008E47A3">
                              <w:pPr>
                                <w:pStyle w:val="NormalWeb"/>
                                <w:spacing w:before="0" w:beforeAutospacing="0" w:after="0" w:afterAutospacing="0" w:line="254" w:lineRule="auto"/>
                                <w:jc w:val="center"/>
                              </w:pPr>
                              <w:r>
                                <w:t> </w:t>
                              </w:r>
                            </w:p>
                          </w:txbxContent>
                        </wps:txbx>
                        <wps:bodyPr rot="0" vert="horz" wrap="square" lIns="91440" tIns="45720" rIns="91440" bIns="45720" anchor="ctr" anchorCtr="0" upright="1">
                          <a:noAutofit/>
                        </wps:bodyPr>
                      </wps:wsp>
                      <wps:wsp>
                        <wps:cNvPr id="319" name="Oval 9"/>
                        <wps:cNvSpPr>
                          <a:spLocks noChangeArrowheads="1"/>
                        </wps:cNvSpPr>
                        <wps:spPr bwMode="auto">
                          <a:xfrm>
                            <a:off x="3734" y="50034"/>
                            <a:ext cx="14401" cy="4933"/>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txbx>
                          <w:txbxContent>
                            <w:p w14:paraId="1005F0D7" w14:textId="77777777" w:rsidR="000332A0" w:rsidRDefault="000332A0" w:rsidP="008E47A3">
                              <w:pPr>
                                <w:pStyle w:val="NormalWeb"/>
                                <w:spacing w:before="0" w:beforeAutospacing="0" w:after="0" w:afterAutospacing="0"/>
                                <w:jc w:val="center"/>
                              </w:pPr>
                              <w:r>
                                <w:rPr>
                                  <w:rFonts w:eastAsia="Calibri"/>
                                  <w:sz w:val="18"/>
                                  <w:szCs w:val="18"/>
                                </w:rPr>
                                <w:t>Abilities</w:t>
                              </w:r>
                            </w:p>
                            <w:p w14:paraId="4EF534D5" w14:textId="77777777" w:rsidR="000332A0" w:rsidRDefault="000332A0" w:rsidP="008E47A3">
                              <w:pPr>
                                <w:pStyle w:val="NormalWeb"/>
                                <w:spacing w:before="0" w:beforeAutospacing="0" w:after="0" w:afterAutospacing="0"/>
                              </w:pPr>
                              <w:r>
                                <w:rPr>
                                  <w:sz w:val="18"/>
                                  <w:szCs w:val="18"/>
                                </w:rPr>
                                <w:t> </w:t>
                              </w:r>
                            </w:p>
                            <w:p w14:paraId="2FF8A938" w14:textId="77777777" w:rsidR="000332A0" w:rsidRDefault="000332A0" w:rsidP="008E47A3">
                              <w:pPr>
                                <w:pStyle w:val="NormalWeb"/>
                                <w:spacing w:before="0" w:beforeAutospacing="0" w:after="0" w:afterAutospacing="0" w:line="254" w:lineRule="auto"/>
                                <w:jc w:val="center"/>
                              </w:pPr>
                              <w:r>
                                <w:t> </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DC7C1D7" id="Group 31" o:spid="_x0000_s1051" style="position:absolute;margin-left:-54.75pt;margin-top:35.95pt;width:507pt;height:469.5pt;z-index:-251652096;mso-position-horizontal-relative:margin;mso-position-vertical-relative:text;mso-width-relative:margin;mso-height-relative:margin" coordorigin="2714,2768" coordsize="76542,5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">
                <v:shapetype id="_x0000_t32" coordsize="21600,21600" o:spt="32" o:oned="t" path="m,l21600,21600e" filled="f">
                  <v:path arrowok="t" fillok="f" o:connecttype="none"/>
                  <o:lock v:ext="edit" shapetype="t"/>
                </v:shapetype>
                <v:shape id="Straight Arrow Connector 19" o:spid="_x0000_s1052" type="#_x0000_t32" style="position:absolute;left:44162;top:24279;width:19309;height:4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" strokeweight="2pt">
                  <v:stroke endarrow="block"/>
                  <v:shadow on="t" color="black" opacity="24903f" origin=",.5" offset="0,.55556mm"/>
                </v:shape>
                <v:oval id="Oval 54" o:spid="_x0000_s1053" style="position:absolute;left:4419;top:3733;width:13716;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" strokeweight="2pt">
                  <v:textbox>
                    <w:txbxContent>
                      <w:p w14:paraId="301C4DB1" w14:textId="77777777" w:rsidR="000332A0" w:rsidRPr="00894B50" w:rsidRDefault="000332A0" w:rsidP="008E47A3">
                        <w:pPr>
                          <w:pStyle w:val="NormalWeb"/>
                          <w:spacing w:before="0" w:beforeAutospacing="0" w:after="0" w:afterAutospacing="0"/>
                          <w:jc w:val="center"/>
                          <w:rPr>
                            <w:rFonts w:eastAsia="Calibri"/>
                            <w:sz w:val="18"/>
                            <w:szCs w:val="18"/>
                          </w:rPr>
                        </w:pPr>
                        <w:r w:rsidRPr="00894B50">
                          <w:rPr>
                            <w:rFonts w:eastAsia="Calibri"/>
                            <w:sz w:val="18"/>
                            <w:szCs w:val="18"/>
                          </w:rPr>
                          <w:t>Knowledge</w:t>
                        </w:r>
                      </w:p>
                      <w:p w14:paraId="48DD3BC5" w14:textId="77777777" w:rsidR="000332A0" w:rsidRPr="00101AC1" w:rsidRDefault="000332A0" w:rsidP="008E47A3">
                        <w:pPr>
                          <w:pStyle w:val="NormalWeb"/>
                          <w:spacing w:before="0" w:beforeAutospacing="0" w:after="0" w:afterAutospacing="0"/>
                          <w:jc w:val="center"/>
                          <w:rPr>
                            <w:rFonts w:eastAsia="Calibri"/>
                            <w:sz w:val="18"/>
                            <w:szCs w:val="18"/>
                          </w:rPr>
                        </w:pPr>
                        <w:r>
                          <w:rPr>
                            <w:rFonts w:eastAsia="Calibri"/>
                            <w:sz w:val="18"/>
                            <w:szCs w:val="18"/>
                          </w:rPr>
                          <w:t>Management Capabilities</w:t>
                        </w:r>
                      </w:p>
                    </w:txbxContent>
                  </v:textbox>
                </v:oval>
                <v:oval id="Oval 4" o:spid="_x0000_s1054" style="position:absolute;left:29229;top:21078;width:16625;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" fillcolor="#4f81bd" strokecolor="#254061" strokeweight="2pt">
                  <v:textbox inset="1mm,,1mm">
                    <w:txbxContent>
                      <w:p w14:paraId="6A4ABE72" w14:textId="77777777" w:rsidR="000332A0" w:rsidRPr="00E82111" w:rsidRDefault="000332A0" w:rsidP="008E47A3">
                        <w:pPr>
                          <w:pStyle w:val="NormalWeb"/>
                          <w:spacing w:before="0" w:beforeAutospacing="0" w:after="200" w:afterAutospacing="0" w:line="276" w:lineRule="auto"/>
                          <w:jc w:val="center"/>
                          <w:rPr>
                            <w:b/>
                            <w:bCs/>
                            <w:color w:val="FFFFFF" w:themeColor="background1"/>
                          </w:rPr>
                        </w:pPr>
                        <w:r w:rsidRPr="00E82111">
                          <w:rPr>
                            <w:rFonts w:cs="Arial"/>
                            <w:b/>
                            <w:bCs/>
                            <w:color w:val="FFFFFF" w:themeColor="background1"/>
                          </w:rPr>
                          <w:t xml:space="preserve">Organizational Learning </w:t>
                        </w:r>
                      </w:p>
                      <w:p w14:paraId="5078F900" w14:textId="77777777" w:rsidR="000332A0" w:rsidRPr="00DF2997" w:rsidRDefault="000332A0" w:rsidP="008E47A3">
                        <w:pPr>
                          <w:pStyle w:val="NormalWeb"/>
                          <w:spacing w:before="0" w:beforeAutospacing="0" w:after="0" w:afterAutospacing="0" w:line="252" w:lineRule="auto"/>
                          <w:jc w:val="center"/>
                          <w:rPr>
                            <w:rFonts w:eastAsia="Calibri"/>
                            <w:color w:val="FF0000"/>
                          </w:rPr>
                        </w:pPr>
                      </w:p>
                      <w:p w14:paraId="4BF549D2" w14:textId="77777777" w:rsidR="000332A0" w:rsidRDefault="000332A0" w:rsidP="008E47A3">
                        <w:pPr>
                          <w:pStyle w:val="NormalWeb"/>
                          <w:spacing w:before="0" w:beforeAutospacing="0" w:after="0" w:afterAutospacing="0" w:line="256" w:lineRule="auto"/>
                          <w:jc w:val="center"/>
                        </w:pPr>
                      </w:p>
                    </w:txbxContent>
                  </v:textbox>
                </v:oval>
                <v:oval id="Oval 5" o:spid="_x0000_s1055" style="position:absolute;left:63471;top:20396;width:15785;height:8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" strokeweight="2pt">
                  <v:textbox>
                    <w:txbxContent>
                      <w:p w14:paraId="1C1DC872" w14:textId="77777777" w:rsidR="000332A0" w:rsidRPr="00DF2997" w:rsidRDefault="000332A0" w:rsidP="008E47A3">
                        <w:pPr>
                          <w:pStyle w:val="NormalWeb"/>
                          <w:spacing w:before="0" w:beforeAutospacing="0" w:after="0" w:afterAutospacing="0"/>
                          <w:jc w:val="center"/>
                          <w:rPr>
                            <w:rFonts w:eastAsia="Calibri"/>
                            <w:b/>
                          </w:rPr>
                        </w:pPr>
                        <w:r w:rsidRPr="00DF2997">
                          <w:rPr>
                            <w:rFonts w:eastAsia="Calibri"/>
                            <w:b/>
                          </w:rPr>
                          <w:t>Knowledge Management Benefits</w:t>
                        </w:r>
                      </w:p>
                      <w:p w14:paraId="3D9F7802" w14:textId="77777777" w:rsidR="000332A0" w:rsidRPr="00DF2997" w:rsidRDefault="000332A0" w:rsidP="008E47A3">
                        <w:pPr>
                          <w:jc w:val="both"/>
                          <w:rPr>
                            <w:rFonts w:eastAsia="Calibri" w:cs="Times New Roman"/>
                            <w:sz w:val="20"/>
                            <w:szCs w:val="20"/>
                          </w:rPr>
                        </w:pPr>
                      </w:p>
                      <w:p w14:paraId="29CBC037" w14:textId="77777777" w:rsidR="000332A0" w:rsidRPr="00DF2997" w:rsidRDefault="000332A0" w:rsidP="008E47A3">
                        <w:pPr>
                          <w:pStyle w:val="NormalWeb"/>
                          <w:spacing w:before="0" w:beforeAutospacing="0" w:after="0" w:afterAutospacing="0"/>
                          <w:jc w:val="center"/>
                          <w:rPr>
                            <w:bCs/>
                            <w:color w:val="0D0D0D" w:themeColor="text1" w:themeTint="F2"/>
                          </w:rPr>
                        </w:pPr>
                      </w:p>
                      <w:p w14:paraId="0899CF82" w14:textId="77777777" w:rsidR="000332A0" w:rsidRDefault="000332A0" w:rsidP="008E47A3">
                        <w:pPr>
                          <w:pStyle w:val="NormalWeb"/>
                          <w:spacing w:before="0" w:beforeAutospacing="0" w:after="0" w:afterAutospacing="0" w:line="256" w:lineRule="auto"/>
                          <w:jc w:val="center"/>
                        </w:pPr>
                      </w:p>
                    </w:txbxContent>
                  </v:textbox>
                </v:oval>
                <v:rect id="Rectangle 10" o:spid="_x0000_s1056" style="position:absolute;left:2714;top:2768;width:16840;height:8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" filled="f" strokeweight="1.5pt">
                  <v:stroke dashstyle="dash"/>
                </v:rect>
                <v:rect id="Rectangle 11" o:spid="_x0000_s1057" style="position:absolute;left:2714;top:25146;width:18343;height:30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" filled="f" strokeweight="1.5pt">
                  <v:stroke dashstyle="dash"/>
                </v:rect>
                <v:shape id="Text Box 60" o:spid="_x0000_s1058" type="#_x0000_t202" style="position:absolute;left:4543;top:25269;width:13812;height:4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" filled="f" stroked="f" strokeweight=".5pt">
                  <v:textbox>
                    <w:txbxContent>
                      <w:p w14:paraId="0FBA5352" w14:textId="77777777" w:rsidR="000332A0" w:rsidRPr="00894B50" w:rsidRDefault="000332A0" w:rsidP="008E47A3">
                        <w:pPr>
                          <w:pStyle w:val="NormalWeb"/>
                          <w:spacing w:before="0" w:beforeAutospacing="0" w:after="0" w:afterAutospacing="0"/>
                          <w:jc w:val="center"/>
                          <w:rPr>
                            <w:rFonts w:eastAsia="Calibri"/>
                            <w:b/>
                            <w:bCs/>
                          </w:rPr>
                        </w:pPr>
                        <w:r w:rsidRPr="00894B50">
                          <w:rPr>
                            <w:rFonts w:eastAsia="Calibri"/>
                            <w:b/>
                            <w:bCs/>
                          </w:rPr>
                          <w:t xml:space="preserve">HR Practices for </w:t>
                        </w:r>
                      </w:p>
                      <w:p w14:paraId="7A1B20E4" w14:textId="77777777" w:rsidR="000332A0" w:rsidRPr="00894B50" w:rsidRDefault="000332A0" w:rsidP="008E47A3">
                        <w:pPr>
                          <w:pStyle w:val="NormalWeb"/>
                          <w:spacing w:before="0" w:beforeAutospacing="0" w:after="0" w:afterAutospacing="0"/>
                          <w:jc w:val="center"/>
                        </w:pPr>
                        <w:r w:rsidRPr="00894B50">
                          <w:rPr>
                            <w:rFonts w:eastAsia="Calibri"/>
                            <w:b/>
                            <w:bCs/>
                          </w:rPr>
                          <w:t>Knowledge Sharing</w:t>
                        </w:r>
                      </w:p>
                      <w:p w14:paraId="7DC9BC31" w14:textId="77777777" w:rsidR="000332A0" w:rsidRDefault="000332A0" w:rsidP="008E47A3">
                        <w:pPr>
                          <w:pStyle w:val="NormalWeb"/>
                          <w:spacing w:before="0" w:beforeAutospacing="0" w:after="0" w:afterAutospacing="0" w:line="256" w:lineRule="auto"/>
                          <w:jc w:val="center"/>
                        </w:pPr>
                      </w:p>
                    </w:txbxContent>
                  </v:textbox>
                </v:shape>
                <v:shape id="Straight Arrow Connector 14" o:spid="_x0000_s1059" type="#_x0000_t32" style="position:absolute;left:18135;top:7391;width:45336;height:17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" strokeweight="2pt">
                  <v:stroke endarrow="block"/>
                  <v:shadow on="t" color="black" opacity="24903f" origin=",.5" offset="0,.55556mm"/>
                </v:shape>
                <v:shape id="Straight Arrow Connector 15" o:spid="_x0000_s1060" type="#_x0000_t32" style="position:absolute;left:17476;top:24688;width:45995;height:790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" strokeweight="2pt">
                  <v:stroke endarrow="block"/>
                  <v:shadow on="t" color="black" opacity="24903f" origin=",.5" offset="0,.55556mm"/>
                </v:shape>
                <v:shape id="Straight Arrow Connector 16" o:spid="_x0000_s1061" type="#_x0000_t32" style="position:absolute;left:17476;top:24688;width:45995;height:147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" strokeweight="2pt">
                  <v:stroke endarrow="block"/>
                  <v:shadow on="t" color="black" opacity="24903f" origin=",.5" offset="0,.55556mm"/>
                </v:shape>
                <v:shape id="Straight Arrow Connector 17" o:spid="_x0000_s1062" type="#_x0000_t32" style="position:absolute;left:17476;top:24688;width:45995;height:210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" strokeweight="2pt">
                  <v:stroke endarrow="block"/>
                  <v:shadow on="t" color="black" opacity="24903f" origin=",.5" offset="0,.55556mm"/>
                </v:shape>
                <v:shape id="Straight Arrow Connector 18" o:spid="_x0000_s1063" type="#_x0000_t32" style="position:absolute;left:17476;top:24688;width:45995;height:278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" strokeweight="2pt">
                  <v:stroke endarrow="block"/>
                  <v:shadow on="t" color="black" opacity="24903f" origin=",.5" offset="0,.55556mm"/>
                </v:shape>
                <v:shape id="Straight Arrow Connector 20" o:spid="_x0000_s1064" type="#_x0000_t32" style="position:absolute;left:18135;top:7391;width:11094;height:168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">
                  <v:stroke endarrow="block"/>
                </v:shape>
                <v:shape id="Straight Arrow Connector 21" o:spid="_x0000_s1065" type="#_x0000_t32" style="position:absolute;left:17476;top:24279;width:11753;height:83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">
                  <v:stroke endarrow="block"/>
                </v:shape>
                <v:shape id="Straight Arrow Connector 22" o:spid="_x0000_s1066" type="#_x0000_t32" style="position:absolute;left:17476;top:24279;width:11753;height:151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">
                  <v:stroke endarrow="block"/>
                </v:shape>
                <v:shape id="Straight Arrow Connector 23" o:spid="_x0000_s1067" type="#_x0000_t32" style="position:absolute;left:17476;top:24279;width:11753;height:214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">
                  <v:stroke endarrow="block"/>
                </v:shape>
                <v:shape id="Straight Arrow Connector 24" o:spid="_x0000_s1068" type="#_x0000_t32" style="position:absolute;left:17476;top:24279;width:11753;height:282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">
                  <v:stroke endarrow="block"/>
                </v:shape>
                <v:shape id="Text Box 3" o:spid="_x0000_s1069" type="#_x0000_t202" style="position:absolute;left:31098;top:11658;width:4572;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" stroked="f" strokeweight=".5pt">
                  <v:textbox>
                    <w:txbxContent>
                      <w:p w14:paraId="3F459D43" w14:textId="77777777" w:rsidR="000332A0" w:rsidRPr="008D79D8" w:rsidRDefault="000332A0" w:rsidP="008E47A3">
                        <w:pPr>
                          <w:jc w:val="center"/>
                          <w:rPr>
                            <w:sz w:val="20"/>
                            <w:szCs w:val="20"/>
                          </w:rPr>
                        </w:pPr>
                        <w:r w:rsidRPr="008D79D8">
                          <w:rPr>
                            <w:sz w:val="20"/>
                            <w:szCs w:val="20"/>
                          </w:rPr>
                          <w:t>H1</w:t>
                        </w:r>
                      </w:p>
                    </w:txbxContent>
                  </v:textbox>
                </v:shape>
                <v:shape id="Text Box 3" o:spid="_x0000_s1070" type="#_x0000_t202" style="position:absolute;left:31098;top:32454;width:4572;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" stroked="f" strokeweight=".5pt">
                  <v:textbox>
                    <w:txbxContent>
                      <w:p w14:paraId="6CAED7BF" w14:textId="77777777" w:rsidR="000332A0" w:rsidRDefault="000332A0" w:rsidP="008E47A3">
                        <w:pPr>
                          <w:pStyle w:val="NormalWeb"/>
                          <w:spacing w:before="0" w:beforeAutospacing="0" w:after="0" w:afterAutospacing="0" w:line="256" w:lineRule="auto"/>
                          <w:jc w:val="center"/>
                        </w:pPr>
                        <w:r>
                          <w:rPr>
                            <w:rFonts w:eastAsia="Calibri"/>
                          </w:rPr>
                          <w:t>H3</w:t>
                        </w:r>
                      </w:p>
                    </w:txbxContent>
                  </v:textbox>
                </v:shape>
                <v:shape id="Text Box 3" o:spid="_x0000_s1071" type="#_x0000_t202" style="position:absolute;left:30933;top:28346;width:4572;height:2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" stroked="f" strokeweight=".5pt">
                  <v:textbox>
                    <w:txbxContent>
                      <w:p w14:paraId="0A97B460" w14:textId="77777777" w:rsidR="000332A0" w:rsidRDefault="000332A0" w:rsidP="008E47A3">
                        <w:pPr>
                          <w:pStyle w:val="NormalWeb"/>
                          <w:spacing w:before="0" w:beforeAutospacing="0" w:after="0" w:afterAutospacing="0" w:line="256" w:lineRule="auto"/>
                          <w:jc w:val="center"/>
                        </w:pPr>
                        <w:r>
                          <w:rPr>
                            <w:rFonts w:eastAsia="Calibri"/>
                          </w:rPr>
                          <w:t>H2</w:t>
                        </w:r>
                      </w:p>
                    </w:txbxContent>
                  </v:textbox>
                </v:shape>
                <v:shape id="Text Box 3" o:spid="_x0000_s1072" type="#_x0000_t202" style="position:absolute;left:31098;top:36543;width:4572;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" stroked="f" strokeweight=".5pt">
                  <v:textbox>
                    <w:txbxContent>
                      <w:p w14:paraId="78EF6F42" w14:textId="77777777" w:rsidR="000332A0" w:rsidRDefault="000332A0" w:rsidP="008E47A3">
                        <w:pPr>
                          <w:pStyle w:val="NormalWeb"/>
                          <w:spacing w:before="0" w:beforeAutospacing="0" w:after="0" w:afterAutospacing="0" w:line="256" w:lineRule="auto"/>
                          <w:jc w:val="center"/>
                        </w:pPr>
                        <w:r>
                          <w:rPr>
                            <w:rFonts w:eastAsia="Calibri"/>
                          </w:rPr>
                          <w:t>H4</w:t>
                        </w:r>
                      </w:p>
                    </w:txbxContent>
                  </v:textbox>
                </v:shape>
                <v:shape id="Text Box 3" o:spid="_x0000_s1073" type="#_x0000_t202" style="position:absolute;left:31251;top:40938;width:4572;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" stroked="f" strokeweight=".5pt">
                  <v:textbox>
                    <w:txbxContent>
                      <w:p w14:paraId="148C3383" w14:textId="77777777" w:rsidR="000332A0" w:rsidRDefault="000332A0" w:rsidP="008E47A3">
                        <w:pPr>
                          <w:pStyle w:val="NormalWeb"/>
                          <w:spacing w:before="0" w:beforeAutospacing="0" w:after="0" w:afterAutospacing="0" w:line="256" w:lineRule="auto"/>
                          <w:jc w:val="center"/>
                        </w:pPr>
                        <w:r>
                          <w:rPr>
                            <w:rFonts w:eastAsia="Calibri"/>
                          </w:rPr>
                          <w:t>H5</w:t>
                        </w:r>
                      </w:p>
                    </w:txbxContent>
                  </v:textbox>
                </v:shape>
                <v:shape id="Text Box 3" o:spid="_x0000_s1074" type="#_x0000_t202" style="position:absolute;left:45070;top:21535;width:8618;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" filled="f" stroked="f" strokeweight=".5pt">
                  <v:textbox>
                    <w:txbxContent>
                      <w:p w14:paraId="61A0D7DE" w14:textId="77777777" w:rsidR="000332A0" w:rsidRDefault="000332A0" w:rsidP="008E47A3">
                        <w:pPr>
                          <w:pStyle w:val="NormalWeb"/>
                          <w:spacing w:before="0" w:beforeAutospacing="0" w:after="0" w:afterAutospacing="0" w:line="256" w:lineRule="auto"/>
                          <w:jc w:val="center"/>
                        </w:pPr>
                        <w:r>
                          <w:rPr>
                            <w:rFonts w:eastAsia="Calibri"/>
                          </w:rPr>
                          <w:t>H6 to H11</w:t>
                        </w:r>
                      </w:p>
                    </w:txbxContent>
                  </v:textbox>
                </v:shape>
                <v:oval id="Oval 6" o:spid="_x0000_s1075" style="position:absolute;left:3733;top:29841;width:14402;height:5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" strokeweight="2pt">
                  <v:textbox>
                    <w:txbxContent>
                      <w:p w14:paraId="72865116" w14:textId="77777777" w:rsidR="000332A0" w:rsidRPr="00DA271D" w:rsidRDefault="000332A0" w:rsidP="008E47A3">
                        <w:pPr>
                          <w:pStyle w:val="NormalWeb"/>
                          <w:spacing w:before="0" w:beforeAutospacing="0" w:after="0" w:afterAutospacing="0"/>
                          <w:jc w:val="center"/>
                          <w:rPr>
                            <w:sz w:val="18"/>
                            <w:szCs w:val="18"/>
                          </w:rPr>
                        </w:pPr>
                        <w:r w:rsidRPr="00DA271D">
                          <w:rPr>
                            <w:rFonts w:eastAsia="Calibri"/>
                            <w:sz w:val="18"/>
                            <w:szCs w:val="18"/>
                          </w:rPr>
                          <w:t>Extrinsic</w:t>
                        </w:r>
                      </w:p>
                      <w:p w14:paraId="25E1B959" w14:textId="77777777" w:rsidR="000332A0" w:rsidRPr="00DA271D" w:rsidRDefault="000332A0" w:rsidP="008E47A3">
                        <w:pPr>
                          <w:pStyle w:val="NormalWeb"/>
                          <w:spacing w:before="0" w:beforeAutospacing="0" w:after="0" w:afterAutospacing="0"/>
                          <w:jc w:val="center"/>
                          <w:rPr>
                            <w:rFonts w:eastAsia="Calibri"/>
                            <w:sz w:val="18"/>
                            <w:szCs w:val="18"/>
                          </w:rPr>
                        </w:pPr>
                        <w:r w:rsidRPr="00DA271D">
                          <w:rPr>
                            <w:rFonts w:eastAsia="Calibri"/>
                            <w:sz w:val="18"/>
                            <w:szCs w:val="18"/>
                          </w:rPr>
                          <w:t>Motivation</w:t>
                        </w:r>
                        <w:r>
                          <w:rPr>
                            <w:rFonts w:eastAsia="Calibri"/>
                            <w:sz w:val="18"/>
                            <w:szCs w:val="18"/>
                          </w:rPr>
                          <w:t xml:space="preserve"> </w:t>
                        </w:r>
                      </w:p>
                      <w:p w14:paraId="5F9044A7" w14:textId="77777777" w:rsidR="000332A0" w:rsidRPr="00DA271D" w:rsidRDefault="000332A0" w:rsidP="008E47A3">
                        <w:pPr>
                          <w:pStyle w:val="NormalWeb"/>
                          <w:spacing w:before="0" w:beforeAutospacing="0" w:after="0" w:afterAutospacing="0"/>
                          <w:rPr>
                            <w:sz w:val="18"/>
                            <w:szCs w:val="18"/>
                          </w:rPr>
                        </w:pPr>
                      </w:p>
                      <w:p w14:paraId="3CA692C9" w14:textId="77777777" w:rsidR="000332A0" w:rsidRDefault="000332A0" w:rsidP="008E47A3">
                        <w:pPr>
                          <w:pStyle w:val="NormalWeb"/>
                          <w:spacing w:before="0" w:beforeAutospacing="0" w:after="0" w:afterAutospacing="0" w:line="256" w:lineRule="auto"/>
                          <w:jc w:val="center"/>
                        </w:pPr>
                      </w:p>
                    </w:txbxContent>
                  </v:textbox>
                </v:oval>
                <v:oval id="Oval 7" o:spid="_x0000_s1076" style="position:absolute;left:3733;top:36572;width:14402;height:5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" strokeweight="2pt">
                  <v:textbox>
                    <w:txbxContent>
                      <w:p w14:paraId="5D59F3DF" w14:textId="77777777" w:rsidR="000332A0" w:rsidRDefault="000332A0" w:rsidP="008E47A3">
                        <w:pPr>
                          <w:pStyle w:val="NormalWeb"/>
                          <w:spacing w:before="0" w:beforeAutospacing="0" w:after="0" w:afterAutospacing="0"/>
                          <w:jc w:val="center"/>
                        </w:pPr>
                        <w:r>
                          <w:rPr>
                            <w:rFonts w:eastAsia="Calibri"/>
                            <w:sz w:val="18"/>
                            <w:szCs w:val="18"/>
                          </w:rPr>
                          <w:t>Intrinsic</w:t>
                        </w:r>
                      </w:p>
                      <w:p w14:paraId="5EED9D75" w14:textId="77777777" w:rsidR="000332A0" w:rsidRDefault="000332A0" w:rsidP="008E47A3">
                        <w:pPr>
                          <w:pStyle w:val="NormalWeb"/>
                          <w:spacing w:before="0" w:beforeAutospacing="0" w:after="0" w:afterAutospacing="0"/>
                          <w:jc w:val="center"/>
                        </w:pPr>
                        <w:r>
                          <w:rPr>
                            <w:rFonts w:eastAsia="Calibri"/>
                            <w:sz w:val="18"/>
                            <w:szCs w:val="18"/>
                          </w:rPr>
                          <w:t>Motivation</w:t>
                        </w:r>
                      </w:p>
                      <w:p w14:paraId="5CBE7D79" w14:textId="77777777" w:rsidR="000332A0" w:rsidRDefault="000332A0" w:rsidP="008E47A3">
                        <w:pPr>
                          <w:pStyle w:val="NormalWeb"/>
                          <w:spacing w:before="0" w:beforeAutospacing="0" w:after="0" w:afterAutospacing="0"/>
                        </w:pPr>
                        <w:r>
                          <w:rPr>
                            <w:sz w:val="18"/>
                            <w:szCs w:val="18"/>
                          </w:rPr>
                          <w:t> </w:t>
                        </w:r>
                      </w:p>
                      <w:p w14:paraId="12E08159" w14:textId="77777777" w:rsidR="000332A0" w:rsidRDefault="000332A0" w:rsidP="008E47A3">
                        <w:pPr>
                          <w:pStyle w:val="NormalWeb"/>
                          <w:spacing w:before="0" w:beforeAutospacing="0" w:after="0" w:afterAutospacing="0" w:line="254" w:lineRule="auto"/>
                          <w:jc w:val="center"/>
                        </w:pPr>
                        <w:r>
                          <w:t> </w:t>
                        </w:r>
                      </w:p>
                    </w:txbxContent>
                  </v:textbox>
                </v:oval>
                <v:oval id="Oval 8" o:spid="_x0000_s1077" style="position:absolute;left:3734;top:43303;width:14401;height:4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" strokeweight="2pt">
                  <v:textbox>
                    <w:txbxContent>
                      <w:p w14:paraId="49CEE682" w14:textId="77777777" w:rsidR="000332A0" w:rsidRDefault="000332A0" w:rsidP="008E47A3">
                        <w:pPr>
                          <w:pStyle w:val="NormalWeb"/>
                          <w:spacing w:before="0" w:beforeAutospacing="0" w:after="0" w:afterAutospacing="0"/>
                        </w:pPr>
                        <w:r>
                          <w:rPr>
                            <w:rFonts w:eastAsia="Calibri"/>
                            <w:sz w:val="18"/>
                            <w:szCs w:val="18"/>
                          </w:rPr>
                          <w:t>Opportunities</w:t>
                        </w:r>
                      </w:p>
                      <w:p w14:paraId="216DE564" w14:textId="77777777" w:rsidR="000332A0" w:rsidRDefault="000332A0" w:rsidP="008E47A3">
                        <w:pPr>
                          <w:pStyle w:val="NormalWeb"/>
                          <w:spacing w:before="0" w:beforeAutospacing="0" w:after="0" w:afterAutospacing="0" w:line="254" w:lineRule="auto"/>
                          <w:jc w:val="center"/>
                        </w:pPr>
                        <w:r>
                          <w:t> </w:t>
                        </w:r>
                      </w:p>
                    </w:txbxContent>
                  </v:textbox>
                </v:oval>
                <v:oval id="Oval 9" o:spid="_x0000_s1078" style="position:absolute;left:3734;top:50034;width:14401;height:4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" strokeweight="2pt">
                  <v:textbox>
                    <w:txbxContent>
                      <w:p w14:paraId="1005F0D7" w14:textId="77777777" w:rsidR="000332A0" w:rsidRDefault="000332A0" w:rsidP="008E47A3">
                        <w:pPr>
                          <w:pStyle w:val="NormalWeb"/>
                          <w:spacing w:before="0" w:beforeAutospacing="0" w:after="0" w:afterAutospacing="0"/>
                          <w:jc w:val="center"/>
                        </w:pPr>
                        <w:r>
                          <w:rPr>
                            <w:rFonts w:eastAsia="Calibri"/>
                            <w:sz w:val="18"/>
                            <w:szCs w:val="18"/>
                          </w:rPr>
                          <w:t>Abilities</w:t>
                        </w:r>
                      </w:p>
                      <w:p w14:paraId="4EF534D5" w14:textId="77777777" w:rsidR="000332A0" w:rsidRDefault="000332A0" w:rsidP="008E47A3">
                        <w:pPr>
                          <w:pStyle w:val="NormalWeb"/>
                          <w:spacing w:before="0" w:beforeAutospacing="0" w:after="0" w:afterAutospacing="0"/>
                        </w:pPr>
                        <w:r>
                          <w:rPr>
                            <w:sz w:val="18"/>
                            <w:szCs w:val="18"/>
                          </w:rPr>
                          <w:t> </w:t>
                        </w:r>
                      </w:p>
                      <w:p w14:paraId="2FF8A938" w14:textId="77777777" w:rsidR="000332A0" w:rsidRDefault="000332A0" w:rsidP="008E47A3">
                        <w:pPr>
                          <w:pStyle w:val="NormalWeb"/>
                          <w:spacing w:before="0" w:beforeAutospacing="0" w:after="0" w:afterAutospacing="0" w:line="254" w:lineRule="auto"/>
                          <w:jc w:val="center"/>
                        </w:pPr>
                        <w:r>
                          <w:t> </w:t>
                        </w:r>
                      </w:p>
                    </w:txbxContent>
                  </v:textbox>
                </v:oval>
                <w10:wrap type="topAndBottom" anchorx="margin"/>
              </v:group>
            </w:pict>
          </mc:Fallback>
        </mc:AlternateContent>
      </w:r>
    </w:p>
    <w:p w14:paraId="79C6CCBE" w14:textId="46610036" w:rsidR="00EE00BF" w:rsidRPr="002A7627" w:rsidRDefault="007D7779" w:rsidP="0017121F">
      <w:pPr>
        <w:pStyle w:val="Heading1"/>
        <w:rPr>
          <w:color w:val="000000"/>
        </w:rPr>
      </w:pPr>
      <w:bookmarkStart w:id="153" w:name="_Toc13959639"/>
      <w:bookmarkStart w:id="154" w:name="_Toc22331673"/>
      <w:r>
        <w:rPr>
          <w:color w:val="000000"/>
        </w:rPr>
        <w:t xml:space="preserve">3.7. </w:t>
      </w:r>
      <w:r w:rsidR="008E47A3" w:rsidRPr="002A7627">
        <w:rPr>
          <w:color w:val="000000"/>
        </w:rPr>
        <w:t>Conclusion</w:t>
      </w:r>
      <w:bookmarkEnd w:id="153"/>
      <w:bookmarkEnd w:id="154"/>
    </w:p>
    <w:p w14:paraId="3522572A" w14:textId="00A1A16C" w:rsidR="00EE00BF" w:rsidRDefault="00EE00BF" w:rsidP="00263B9C">
      <w:pPr>
        <w:pStyle w:val="AAAAAAA"/>
        <w:rPr>
          <w:lang w:bidi="ar-AE"/>
        </w:rPr>
      </w:pPr>
      <w:r w:rsidRPr="002A7627">
        <w:rPr>
          <w:lang w:bidi="ar-AE"/>
        </w:rPr>
        <w:t>After reviewing the literature on knowledge management, this study makes three proposals:</w:t>
      </w:r>
    </w:p>
    <w:p w14:paraId="402B30BB" w14:textId="77777777" w:rsidR="001F049B" w:rsidRPr="002A7627" w:rsidRDefault="001F049B" w:rsidP="001D5F54">
      <w:pPr>
        <w:widowControl/>
        <w:numPr>
          <w:ilvl w:val="0"/>
          <w:numId w:val="32"/>
        </w:numPr>
        <w:autoSpaceDE/>
        <w:autoSpaceDN/>
        <w:adjustRightInd/>
        <w:spacing w:after="160" w:line="480" w:lineRule="auto"/>
        <w:ind w:left="720"/>
        <w:contextualSpacing/>
        <w:jc w:val="lowKashida"/>
        <w:rPr>
          <w:rFonts w:asciiTheme="majorBidi" w:eastAsiaTheme="minorEastAsia" w:hAnsiTheme="majorBidi" w:cstheme="majorBidi"/>
          <w:szCs w:val="24"/>
          <w:lang w:bidi="ar-AE"/>
        </w:rPr>
      </w:pPr>
      <w:r w:rsidRPr="002A7627">
        <w:rPr>
          <w:rFonts w:asciiTheme="majorBidi" w:eastAsiaTheme="minorEastAsia" w:hAnsiTheme="majorBidi" w:cstheme="majorBidi"/>
          <w:szCs w:val="24"/>
          <w:lang w:bidi="ar-AE"/>
        </w:rPr>
        <w:t xml:space="preserve">Knowledge management capabilities will be considered as </w:t>
      </w:r>
      <w:r>
        <w:rPr>
          <w:rFonts w:asciiTheme="majorBidi" w:eastAsiaTheme="minorEastAsia" w:hAnsiTheme="majorBidi" w:cstheme="majorBidi"/>
          <w:szCs w:val="24"/>
          <w:lang w:bidi="ar-AE"/>
        </w:rPr>
        <w:t>an independent factor and the impact on</w:t>
      </w:r>
      <w:r w:rsidRPr="002A7627">
        <w:rPr>
          <w:rFonts w:asciiTheme="majorBidi" w:eastAsiaTheme="minorEastAsia" w:hAnsiTheme="majorBidi" w:cstheme="majorBidi"/>
          <w:szCs w:val="24"/>
          <w:lang w:bidi="ar-AE"/>
        </w:rPr>
        <w:t xml:space="preserve"> knowledge management benefits</w:t>
      </w:r>
      <w:r>
        <w:rPr>
          <w:rFonts w:asciiTheme="majorBidi" w:eastAsiaTheme="minorEastAsia" w:hAnsiTheme="majorBidi" w:cstheme="majorBidi"/>
          <w:szCs w:val="24"/>
          <w:lang w:bidi="ar-AE"/>
        </w:rPr>
        <w:t xml:space="preserve"> will be examined</w:t>
      </w:r>
      <w:r w:rsidRPr="002A7627">
        <w:rPr>
          <w:rFonts w:asciiTheme="majorBidi" w:eastAsiaTheme="minorEastAsia" w:hAnsiTheme="majorBidi" w:cstheme="majorBidi"/>
          <w:szCs w:val="24"/>
          <w:lang w:bidi="ar-AE"/>
        </w:rPr>
        <w:t xml:space="preserve">. </w:t>
      </w:r>
    </w:p>
    <w:p w14:paraId="53F952C5" w14:textId="77777777" w:rsidR="001F049B" w:rsidRPr="002A7627" w:rsidRDefault="001F049B" w:rsidP="001D5F54">
      <w:pPr>
        <w:widowControl/>
        <w:numPr>
          <w:ilvl w:val="0"/>
          <w:numId w:val="32"/>
        </w:numPr>
        <w:autoSpaceDE/>
        <w:autoSpaceDN/>
        <w:adjustRightInd/>
        <w:spacing w:after="160" w:line="480" w:lineRule="auto"/>
        <w:ind w:left="720"/>
        <w:contextualSpacing/>
        <w:jc w:val="lowKashida"/>
        <w:rPr>
          <w:rFonts w:asciiTheme="majorBidi" w:eastAsiaTheme="minorEastAsia" w:hAnsiTheme="majorBidi" w:cstheme="majorBidi"/>
          <w:szCs w:val="24"/>
          <w:lang w:bidi="ar-AE"/>
        </w:rPr>
      </w:pPr>
      <w:r w:rsidRPr="002A7627">
        <w:rPr>
          <w:rFonts w:asciiTheme="majorBidi" w:eastAsiaTheme="minorEastAsia" w:hAnsiTheme="majorBidi" w:cstheme="majorBidi"/>
          <w:szCs w:val="24"/>
          <w:lang w:bidi="ar-AE"/>
        </w:rPr>
        <w:t xml:space="preserve">HR practices for knowledge sharing will be considered as </w:t>
      </w:r>
      <w:r>
        <w:rPr>
          <w:rFonts w:asciiTheme="majorBidi" w:eastAsiaTheme="minorEastAsia" w:hAnsiTheme="majorBidi" w:cstheme="majorBidi"/>
          <w:szCs w:val="24"/>
          <w:lang w:bidi="ar-AE"/>
        </w:rPr>
        <w:t>an independent factor and the impact on</w:t>
      </w:r>
      <w:r w:rsidRPr="002A7627">
        <w:rPr>
          <w:rFonts w:asciiTheme="majorBidi" w:eastAsiaTheme="minorEastAsia" w:hAnsiTheme="majorBidi" w:cstheme="majorBidi"/>
          <w:szCs w:val="24"/>
          <w:lang w:bidi="ar-AE"/>
        </w:rPr>
        <w:t xml:space="preserve"> knowledge management benefits</w:t>
      </w:r>
      <w:r>
        <w:rPr>
          <w:rFonts w:asciiTheme="majorBidi" w:eastAsiaTheme="minorEastAsia" w:hAnsiTheme="majorBidi" w:cstheme="majorBidi"/>
          <w:szCs w:val="24"/>
          <w:lang w:bidi="ar-AE"/>
        </w:rPr>
        <w:t xml:space="preserve"> will be examined</w:t>
      </w:r>
      <w:r w:rsidRPr="002A7627">
        <w:rPr>
          <w:rFonts w:asciiTheme="majorBidi" w:eastAsiaTheme="minorEastAsia" w:hAnsiTheme="majorBidi" w:cstheme="majorBidi"/>
          <w:szCs w:val="24"/>
          <w:lang w:bidi="ar-AE"/>
        </w:rPr>
        <w:t xml:space="preserve">. </w:t>
      </w:r>
    </w:p>
    <w:p w14:paraId="1EE92B6E" w14:textId="77777777" w:rsidR="001F049B" w:rsidRPr="00E05339" w:rsidRDefault="001F049B" w:rsidP="001D5F54">
      <w:pPr>
        <w:widowControl/>
        <w:numPr>
          <w:ilvl w:val="0"/>
          <w:numId w:val="32"/>
        </w:numPr>
        <w:autoSpaceDE/>
        <w:autoSpaceDN/>
        <w:adjustRightInd/>
        <w:spacing w:after="160" w:line="480" w:lineRule="auto"/>
        <w:ind w:left="720"/>
        <w:contextualSpacing/>
        <w:jc w:val="lowKashida"/>
        <w:rPr>
          <w:rFonts w:asciiTheme="majorBidi" w:eastAsiaTheme="minorEastAsia" w:hAnsiTheme="majorBidi" w:cstheme="majorBidi"/>
          <w:szCs w:val="24"/>
          <w:lang w:bidi="ar-AE"/>
        </w:rPr>
      </w:pPr>
      <w:r w:rsidRPr="002A7627">
        <w:rPr>
          <w:rFonts w:asciiTheme="majorBidi" w:eastAsiaTheme="minorEastAsia" w:hAnsiTheme="majorBidi" w:cstheme="majorBidi"/>
          <w:szCs w:val="24"/>
          <w:lang w:bidi="ar-AE"/>
        </w:rPr>
        <w:t xml:space="preserve">Organizational learning will be considered as a mediator of these relationships. </w:t>
      </w:r>
    </w:p>
    <w:p w14:paraId="671A7CD7" w14:textId="1E5A494B" w:rsidR="00EE00BF" w:rsidRPr="002A7627" w:rsidRDefault="001F049B" w:rsidP="00CF3A3E">
      <w:pPr>
        <w:pStyle w:val="AAAAAAA"/>
        <w:rPr>
          <w:rFonts w:asciiTheme="majorBidi" w:eastAsiaTheme="minorEastAsia" w:hAnsiTheme="majorBidi" w:cstheme="majorBidi"/>
          <w:lang w:bidi="ar-AE"/>
        </w:rPr>
      </w:pPr>
      <w:r>
        <w:rPr>
          <w:bCs/>
        </w:rPr>
        <w:t>T</w:t>
      </w:r>
      <w:r w:rsidRPr="000D0BFD">
        <w:t>his chapter</w:t>
      </w:r>
      <w:r>
        <w:rPr>
          <w:b/>
          <w:bCs/>
        </w:rPr>
        <w:t xml:space="preserve"> </w:t>
      </w:r>
      <w:r>
        <w:rPr>
          <w:bCs/>
        </w:rPr>
        <w:t xml:space="preserve">has </w:t>
      </w:r>
      <w:r w:rsidRPr="002A7627">
        <w:t>explore</w:t>
      </w:r>
      <w:r>
        <w:t>d</w:t>
      </w:r>
      <w:r w:rsidRPr="002A7627">
        <w:t xml:space="preserve"> prominent theories about knowledge management </w:t>
      </w:r>
      <w:r>
        <w:t>capabilities, HR practices for knowledge sharing and organizational learning</w:t>
      </w:r>
      <w:r w:rsidRPr="002A7627">
        <w:t>.</w:t>
      </w:r>
      <w:r>
        <w:t xml:space="preserve"> It</w:t>
      </w:r>
      <w:r w:rsidRPr="002A7627">
        <w:t xml:space="preserve"> </w:t>
      </w:r>
      <w:r>
        <w:t xml:space="preserve">has </w:t>
      </w:r>
      <w:r w:rsidRPr="002A7627">
        <w:t>outline</w:t>
      </w:r>
      <w:r>
        <w:t>d</w:t>
      </w:r>
      <w:r w:rsidRPr="002A7627">
        <w:t xml:space="preserve"> previous findings </w:t>
      </w:r>
      <w:r>
        <w:t>on the relationship among these constructs to develop hypotheses. Finally, a research framework was proposed</w:t>
      </w:r>
      <w:r w:rsidRPr="002A7627">
        <w:t>.</w:t>
      </w:r>
      <w:r w:rsidR="00445392">
        <w:t xml:space="preserve"> T</w:t>
      </w:r>
      <w:r w:rsidR="00EE00BF" w:rsidRPr="002A7627">
        <w:rPr>
          <w:rFonts w:asciiTheme="majorBidi" w:eastAsiaTheme="minorEastAsia" w:hAnsiTheme="majorBidi" w:cstheme="majorBidi"/>
          <w:lang w:bidi="ar-AE"/>
        </w:rPr>
        <w:t>he next chapter describes the methods used to investigate these relationships.</w:t>
      </w:r>
    </w:p>
    <w:p w14:paraId="196582A4" w14:textId="34046356" w:rsidR="00EE00BF" w:rsidRPr="002A7627" w:rsidRDefault="00EE00BF" w:rsidP="00074359">
      <w:pPr>
        <w:rPr>
          <w:lang w:bidi="en-US"/>
        </w:rPr>
      </w:pPr>
    </w:p>
    <w:p w14:paraId="27639D74" w14:textId="5F8C2AB3" w:rsidR="008E47A3" w:rsidRPr="002A7627" w:rsidRDefault="008E47A3" w:rsidP="00074359">
      <w:pPr>
        <w:rPr>
          <w:lang w:bidi="en-US"/>
        </w:rPr>
      </w:pPr>
    </w:p>
    <w:p w14:paraId="1488DA55" w14:textId="77777777" w:rsidR="00433598" w:rsidRPr="002A7627" w:rsidRDefault="00433598" w:rsidP="001D5F54">
      <w:pPr>
        <w:pStyle w:val="Title"/>
        <w:jc w:val="left"/>
        <w:rPr>
          <w:color w:val="000000"/>
        </w:rPr>
        <w:sectPr w:rsidR="00433598" w:rsidRPr="002A7627" w:rsidSect="005C2441">
          <w:headerReference w:type="default" r:id="rId23"/>
          <w:footerReference w:type="default" r:id="rId24"/>
          <w:pgSz w:w="12240" w:h="15840" w:code="9"/>
          <w:pgMar w:top="1800" w:right="2160" w:bottom="1800" w:left="2160" w:header="720" w:footer="720" w:gutter="0"/>
          <w:cols w:space="720"/>
          <w:docGrid w:linePitch="360"/>
        </w:sectPr>
      </w:pPr>
    </w:p>
    <w:p w14:paraId="73B13759" w14:textId="0DBF8902" w:rsidR="00446EB2" w:rsidRPr="002A7627" w:rsidRDefault="007A3F29" w:rsidP="007A3F29">
      <w:pPr>
        <w:pStyle w:val="Title"/>
        <w:rPr>
          <w:color w:val="000000"/>
        </w:rPr>
      </w:pPr>
      <w:bookmarkStart w:id="155" w:name="_Toc13959640"/>
      <w:bookmarkStart w:id="156" w:name="_Toc22331674"/>
      <w:r>
        <w:rPr>
          <w:color w:val="000000"/>
        </w:rPr>
        <w:t>CHAPTER 4: METHODOLOGY</w:t>
      </w:r>
      <w:bookmarkEnd w:id="155"/>
      <w:bookmarkEnd w:id="156"/>
    </w:p>
    <w:p w14:paraId="04D1EF4B" w14:textId="1EA36551" w:rsidR="00074359" w:rsidRDefault="00074359" w:rsidP="001D5F54">
      <w:pPr>
        <w:pStyle w:val="Heading1"/>
        <w:numPr>
          <w:ilvl w:val="1"/>
          <w:numId w:val="33"/>
        </w:numPr>
        <w:rPr>
          <w:color w:val="000000"/>
        </w:rPr>
      </w:pPr>
      <w:bookmarkStart w:id="157" w:name="_Toc13959641"/>
      <w:bookmarkStart w:id="158" w:name="_Toc22331675"/>
      <w:r w:rsidRPr="002A7627">
        <w:rPr>
          <w:color w:val="000000"/>
        </w:rPr>
        <w:t>Introduction</w:t>
      </w:r>
      <w:bookmarkEnd w:id="157"/>
      <w:bookmarkEnd w:id="158"/>
    </w:p>
    <w:p w14:paraId="03D7279E" w14:textId="7AB992D6" w:rsidR="00A93414" w:rsidRDefault="00A93414" w:rsidP="00A93414">
      <w:pPr>
        <w:pStyle w:val="AAAAAAA"/>
      </w:pPr>
      <w:r>
        <w:rPr>
          <w:noProof/>
          <w:lang w:val="en-GB" w:eastAsia="en-GB"/>
        </w:rPr>
        <mc:AlternateContent>
          <mc:Choice Requires="wps">
            <w:drawing>
              <wp:anchor distT="0" distB="0" distL="114300" distR="114300" simplePos="0" relativeHeight="251678720" behindDoc="0" locked="0" layoutInCell="1" allowOverlap="1" wp14:anchorId="4799A4F1" wp14:editId="472CCA8B">
                <wp:simplePos x="0" y="0"/>
                <wp:positionH relativeFrom="column">
                  <wp:posOffset>279400</wp:posOffset>
                </wp:positionH>
                <wp:positionV relativeFrom="paragraph">
                  <wp:posOffset>4801870</wp:posOffset>
                </wp:positionV>
                <wp:extent cx="4902200" cy="676910"/>
                <wp:effectExtent l="0" t="0" r="0" b="8890"/>
                <wp:wrapTopAndBottom/>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2200" cy="676910"/>
                        </a:xfrm>
                        <a:prstGeom prst="rect">
                          <a:avLst/>
                        </a:prstGeom>
                        <a:solidFill>
                          <a:prstClr val="white"/>
                        </a:solidFill>
                        <a:ln>
                          <a:noFill/>
                        </a:ln>
                      </wps:spPr>
                      <wps:txbx>
                        <w:txbxContent>
                          <w:p w14:paraId="03BE6F63" w14:textId="0B864752" w:rsidR="000332A0" w:rsidRPr="00035802" w:rsidRDefault="000332A0" w:rsidP="001D5F54">
                            <w:pPr>
                              <w:pStyle w:val="TableofFigures"/>
                            </w:pPr>
                            <w:bookmarkStart w:id="159" w:name="_Toc18650918"/>
                            <w:bookmarkStart w:id="160" w:name="_Toc18651251"/>
                            <w:bookmarkStart w:id="161" w:name="_Toc18752521"/>
                            <w:bookmarkStart w:id="162" w:name="_Toc18771707"/>
                            <w:bookmarkStart w:id="163" w:name="_Toc21074097"/>
                            <w:bookmarkStart w:id="164" w:name="_Toc18620228"/>
                            <w:bookmarkStart w:id="165" w:name="_Toc18620304"/>
                            <w:bookmarkStart w:id="166" w:name="_Toc18620329"/>
                            <w:bookmarkStart w:id="167" w:name="_Toc18620353"/>
                            <w:bookmarkStart w:id="168" w:name="_Toc18620399"/>
                            <w:r w:rsidRPr="00CB1E5B">
                              <w:rPr>
                                <w:szCs w:val="24"/>
                              </w:rPr>
                              <w:t xml:space="preserve">Figure </w:t>
                            </w:r>
                            <w:r w:rsidRPr="00CB1E5B">
                              <w:rPr>
                                <w:noProof/>
                                <w:szCs w:val="24"/>
                              </w:rPr>
                              <w:fldChar w:fldCharType="begin"/>
                            </w:r>
                            <w:r w:rsidRPr="00CB1E5B">
                              <w:rPr>
                                <w:noProof/>
                                <w:szCs w:val="24"/>
                              </w:rPr>
                              <w:instrText xml:space="preserve"> SEQ Figure \* ARABIC </w:instrText>
                            </w:r>
                            <w:r w:rsidRPr="00CB1E5B">
                              <w:rPr>
                                <w:noProof/>
                                <w:szCs w:val="24"/>
                              </w:rPr>
                              <w:fldChar w:fldCharType="separate"/>
                            </w:r>
                            <w:r>
                              <w:rPr>
                                <w:noProof/>
                                <w:szCs w:val="24"/>
                              </w:rPr>
                              <w:t>4</w:t>
                            </w:r>
                            <w:r w:rsidRPr="00CB1E5B">
                              <w:rPr>
                                <w:noProof/>
                                <w:szCs w:val="24"/>
                              </w:rPr>
                              <w:fldChar w:fldCharType="end"/>
                            </w:r>
                            <w:r w:rsidRPr="00CB1E5B">
                              <w:rPr>
                                <w:szCs w:val="24"/>
                              </w:rPr>
                              <w:t>. The research process onion</w:t>
                            </w:r>
                            <w:r w:rsidRPr="001D5F54">
                              <w:t>.</w:t>
                            </w:r>
                            <w:bookmarkEnd w:id="159"/>
                            <w:bookmarkEnd w:id="160"/>
                            <w:bookmarkEnd w:id="161"/>
                            <w:bookmarkEnd w:id="162"/>
                            <w:bookmarkEnd w:id="163"/>
                            <w:r w:rsidRPr="001D5F54">
                              <w:t xml:space="preserve"> </w:t>
                            </w:r>
                          </w:p>
                          <w:p w14:paraId="455329D3" w14:textId="5D1B517C" w:rsidR="000332A0" w:rsidRPr="001D5F54" w:rsidRDefault="000332A0" w:rsidP="001D5F54">
                            <w:pPr>
                              <w:jc w:val="lowKashida"/>
                            </w:pPr>
                            <w:r w:rsidRPr="001D5F54">
                              <w:t>Adapted from Saunders</w:t>
                            </w:r>
                            <w:r>
                              <w:t xml:space="preserve"> et al.</w:t>
                            </w:r>
                            <w:r w:rsidRPr="001D5F54">
                              <w:t xml:space="preserve"> </w:t>
                            </w:r>
                            <w:r>
                              <w:t>(</w:t>
                            </w:r>
                            <w:r w:rsidRPr="001D5F54">
                              <w:t>2009</w:t>
                            </w:r>
                            <w:r>
                              <w:t>)</w:t>
                            </w:r>
                            <w:bookmarkEnd w:id="164"/>
                            <w:bookmarkEnd w:id="165"/>
                            <w:bookmarkEnd w:id="166"/>
                            <w:bookmarkEnd w:id="167"/>
                            <w:bookmarkEnd w:id="1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9A4F1" id="Text Box 290" o:spid="_x0000_s1079" type="#_x0000_t202" style="position:absolute;left:0;text-align:left;margin-left:22pt;margin-top:378.1pt;width:386pt;height:5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" stroked="f">
                <v:textbox inset="0,0,0,0">
                  <w:txbxContent>
                    <w:p w14:paraId="03BE6F63" w14:textId="0B864752" w:rsidR="000332A0" w:rsidRPr="00035802" w:rsidRDefault="000332A0" w:rsidP="001D5F54">
                      <w:pPr>
                        <w:pStyle w:val="TableofFigures"/>
                      </w:pPr>
                      <w:bookmarkStart w:id="179" w:name="_Toc18650918"/>
                      <w:bookmarkStart w:id="180" w:name="_Toc18651251"/>
                      <w:bookmarkStart w:id="181" w:name="_Toc18752521"/>
                      <w:bookmarkStart w:id="182" w:name="_Toc18771707"/>
                      <w:bookmarkStart w:id="183" w:name="_Toc21074097"/>
                      <w:bookmarkStart w:id="184" w:name="_Toc18620228"/>
                      <w:bookmarkStart w:id="185" w:name="_Toc18620304"/>
                      <w:bookmarkStart w:id="186" w:name="_Toc18620329"/>
                      <w:bookmarkStart w:id="187" w:name="_Toc18620353"/>
                      <w:bookmarkStart w:id="188" w:name="_Toc18620399"/>
                      <w:r w:rsidRPr="00CB1E5B">
                        <w:rPr>
                          <w:szCs w:val="24"/>
                        </w:rPr>
                        <w:t xml:space="preserve">Figure </w:t>
                      </w:r>
                      <w:r w:rsidRPr="00CB1E5B">
                        <w:rPr>
                          <w:noProof/>
                          <w:szCs w:val="24"/>
                        </w:rPr>
                        <w:fldChar w:fldCharType="begin"/>
                      </w:r>
                      <w:r w:rsidRPr="00CB1E5B">
                        <w:rPr>
                          <w:noProof/>
                          <w:szCs w:val="24"/>
                        </w:rPr>
                        <w:instrText xml:space="preserve"> SEQ Figure \* ARABIC </w:instrText>
                      </w:r>
                      <w:r w:rsidRPr="00CB1E5B">
                        <w:rPr>
                          <w:noProof/>
                          <w:szCs w:val="24"/>
                        </w:rPr>
                        <w:fldChar w:fldCharType="separate"/>
                      </w:r>
                      <w:r>
                        <w:rPr>
                          <w:noProof/>
                          <w:szCs w:val="24"/>
                        </w:rPr>
                        <w:t>4</w:t>
                      </w:r>
                      <w:r w:rsidRPr="00CB1E5B">
                        <w:rPr>
                          <w:noProof/>
                          <w:szCs w:val="24"/>
                        </w:rPr>
                        <w:fldChar w:fldCharType="end"/>
                      </w:r>
                      <w:r w:rsidRPr="00CB1E5B">
                        <w:rPr>
                          <w:szCs w:val="24"/>
                        </w:rPr>
                        <w:t>. The research process onion</w:t>
                      </w:r>
                      <w:r w:rsidRPr="001D5F54">
                        <w:t>.</w:t>
                      </w:r>
                      <w:bookmarkEnd w:id="179"/>
                      <w:bookmarkEnd w:id="180"/>
                      <w:bookmarkEnd w:id="181"/>
                      <w:bookmarkEnd w:id="182"/>
                      <w:bookmarkEnd w:id="183"/>
                      <w:r w:rsidRPr="001D5F54">
                        <w:t xml:space="preserve"> </w:t>
                      </w:r>
                    </w:p>
                    <w:p w14:paraId="455329D3" w14:textId="5D1B517C" w:rsidR="000332A0" w:rsidRPr="001D5F54" w:rsidRDefault="000332A0" w:rsidP="001D5F54">
                      <w:pPr>
                        <w:jc w:val="lowKashida"/>
                      </w:pPr>
                      <w:r w:rsidRPr="001D5F54">
                        <w:t>Adapted from Saunders</w:t>
                      </w:r>
                      <w:r>
                        <w:t xml:space="preserve"> et al.</w:t>
                      </w:r>
                      <w:r w:rsidRPr="001D5F54">
                        <w:t xml:space="preserve"> </w:t>
                      </w:r>
                      <w:r>
                        <w:t>(</w:t>
                      </w:r>
                      <w:r w:rsidRPr="001D5F54">
                        <w:t>2009</w:t>
                      </w:r>
                      <w:r>
                        <w:t>)</w:t>
                      </w:r>
                      <w:bookmarkEnd w:id="184"/>
                      <w:bookmarkEnd w:id="185"/>
                      <w:bookmarkEnd w:id="186"/>
                      <w:bookmarkEnd w:id="187"/>
                      <w:bookmarkEnd w:id="188"/>
                    </w:p>
                  </w:txbxContent>
                </v:textbox>
                <w10:wrap type="topAndBottom"/>
              </v:shape>
            </w:pict>
          </mc:Fallback>
        </mc:AlternateContent>
      </w:r>
      <w:r w:rsidRPr="002A7627">
        <w:rPr>
          <w:noProof/>
          <w:lang w:val="en-GB" w:eastAsia="en-GB"/>
        </w:rPr>
        <w:drawing>
          <wp:anchor distT="0" distB="0" distL="114300" distR="114300" simplePos="0" relativeHeight="251676672" behindDoc="0" locked="0" layoutInCell="1" allowOverlap="1" wp14:anchorId="0646B5D9" wp14:editId="61BAFE8D">
            <wp:simplePos x="0" y="0"/>
            <wp:positionH relativeFrom="margin">
              <wp:posOffset>281940</wp:posOffset>
            </wp:positionH>
            <wp:positionV relativeFrom="margin">
              <wp:posOffset>2590800</wp:posOffset>
            </wp:positionV>
            <wp:extent cx="4902200" cy="2859405"/>
            <wp:effectExtent l="0" t="0" r="0" b="0"/>
            <wp:wrapTopAndBottom/>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24039" t="9847" r="26282" b="34230"/>
                    <a:stretch/>
                  </pic:blipFill>
                  <pic:spPr bwMode="auto">
                    <a:xfrm>
                      <a:off x="0" y="0"/>
                      <a:ext cx="4902200" cy="2859405"/>
                    </a:xfrm>
                    <a:prstGeom prst="rect">
                      <a:avLst/>
                    </a:prstGeom>
                    <a:ln>
                      <a:noFill/>
                    </a:ln>
                    <a:extLst>
                      <a:ext uri="{53640926-AAD7-44D8-BBD7-CCE9431645EC}">
                        <a14:shadowObscured xmlns:a14="http://schemas.microsoft.com/office/drawing/2010/main"/>
                      </a:ext>
                    </a:extLst>
                  </pic:spPr>
                </pic:pic>
              </a:graphicData>
            </a:graphic>
          </wp:anchor>
        </w:drawing>
      </w:r>
      <w:r w:rsidRPr="002A7627">
        <w:t xml:space="preserve">This </w:t>
      </w:r>
      <w:r>
        <w:t>section</w:t>
      </w:r>
      <w:r w:rsidRPr="002A7627">
        <w:t xml:space="preserve"> details the research methodology and </w:t>
      </w:r>
      <w:r w:rsidR="00AE0949">
        <w:t>describes the</w:t>
      </w:r>
      <w:r w:rsidR="00AE0949" w:rsidRPr="002A7627">
        <w:t xml:space="preserve"> </w:t>
      </w:r>
      <w:r w:rsidRPr="002A7627">
        <w:t xml:space="preserve">methods </w:t>
      </w:r>
      <w:r w:rsidR="00AE0949">
        <w:t>used</w:t>
      </w:r>
      <w:r w:rsidR="00AE0949" w:rsidRPr="002A7627">
        <w:t xml:space="preserve"> </w:t>
      </w:r>
      <w:r w:rsidRPr="002A7627">
        <w:t xml:space="preserve">to </w:t>
      </w:r>
      <w:r w:rsidR="00D00EEA">
        <w:t>accomplish the objectives of</w:t>
      </w:r>
      <w:r w:rsidRPr="002A7627">
        <w:t xml:space="preserve"> the study.</w:t>
      </w:r>
      <w:r>
        <w:t xml:space="preserve"> </w:t>
      </w:r>
      <w:r w:rsidRPr="002A7627">
        <w:rPr>
          <w:rFonts w:eastAsia="Calibri"/>
        </w:rPr>
        <w:fldChar w:fldCharType="begin" w:fldLock="1"/>
      </w:r>
      <w:r w:rsidRPr="002A7627">
        <w:rPr>
          <w:rFonts w:eastAsia="Calibri"/>
        </w:rPr>
        <w:instrText>ADDIN CSL_CITATION {"citationItems":[{"id":"ITEM-1","itemData":{"ISBN":"9780273716860","ISSN":"0047-2875","PMID":"15573286","abstract":"A comprehensive introduction to research methods in business for students planning or undertaking a dissertation or extensive research project in business and management.The fifth edition of Research Methods for Business Students brings the theory, philosophy and techniques of research to life and enables students to understand the practical relevance of the research methods. A highly accessible style and logical structure have made this the Āstudent choice' and run-away market leader.The book is written for students on undergraduate and postgraduate degree programmes in business, or business-related disciplines.The following online resources support the text: For Students: self-assessment questions, glossary, revision ĀflashcardsĀ, tutorials for SPSS and NVivo, plus Smarter Online Searching GuideFor Instructors: teaching manual, powerpoint slides, testbank","author":[{"dropping-particle":"","family":"Saunders","given":"M.","non-dropping-particle":"","parse-names":false,"suffix":""},{"dropping-particle":"","family":"Lewis","given":"P.","non-dropping-particle":"","parse-names":false,"suffix":""},{"dropping-particle":"","family":"Thornhill","given":"A.","non-dropping-particle":"","parse-names":false,"suffix":""}],"edition":"5th ed.","id":"ITEM-1","issued":{"date-parts":[["2009"]]},"publisher":"Pearson","publisher-place":"London, UK","title":"Research methods for business Students","type":"book"},"uris":["http://www.mendeley.com/documents/?uuid=09af60fa-03ed-4774-8c1e-97c1e1a9db81"]}],"mendeley":{"formattedCitation":"(Saunders, Lewis, &amp; Thornhill, 2009)","manualFormatting":"Saunders, Lewis, and Thornhill (2009)","plainTextFormattedCitation":"(Saunders, Lewis, &amp; Thornhill, 2009)","previouslyFormattedCitation":"(Saunders, Lewis, &amp; Thornhill, 2009)"},"properties":{"noteIndex":0},"schema":"https://github.com/citation-style-language/schema/raw/master/csl-citation.json"}</w:instrText>
      </w:r>
      <w:r w:rsidRPr="002A7627">
        <w:rPr>
          <w:rFonts w:eastAsia="Calibri"/>
        </w:rPr>
        <w:fldChar w:fldCharType="separate"/>
      </w:r>
      <w:r w:rsidRPr="002A7627">
        <w:rPr>
          <w:rFonts w:eastAsia="Calibri"/>
          <w:noProof/>
        </w:rPr>
        <w:t>Saunders, Lewis, and Thornhill (2009)</w:t>
      </w:r>
      <w:r w:rsidRPr="002A7627">
        <w:rPr>
          <w:rFonts w:eastAsia="Calibri"/>
        </w:rPr>
        <w:fldChar w:fldCharType="end"/>
      </w:r>
      <w:r>
        <w:rPr>
          <w:rFonts w:eastAsia="Calibri"/>
        </w:rPr>
        <w:t xml:space="preserve"> </w:t>
      </w:r>
      <w:r w:rsidR="00AE0949">
        <w:t>set out</w:t>
      </w:r>
      <w:r w:rsidR="00AE0949" w:rsidRPr="002A7627">
        <w:t xml:space="preserve"> </w:t>
      </w:r>
      <w:r w:rsidRPr="002A7627">
        <w:t xml:space="preserve">a pattern of research progress, known as the research process onion (see Figure 4), </w:t>
      </w:r>
      <w:r w:rsidR="00AE0949">
        <w:t xml:space="preserve">and </w:t>
      </w:r>
      <w:r w:rsidRPr="002A7627">
        <w:t xml:space="preserve">this procedure </w:t>
      </w:r>
      <w:r w:rsidR="00AE0949">
        <w:t>was</w:t>
      </w:r>
      <w:r w:rsidR="00AE0949" w:rsidRPr="002A7627">
        <w:t xml:space="preserve"> </w:t>
      </w:r>
      <w:r w:rsidRPr="002A7627">
        <w:t xml:space="preserve">followed in </w:t>
      </w:r>
      <w:r w:rsidR="00AE0949">
        <w:t>this</w:t>
      </w:r>
      <w:r w:rsidRPr="002A7627">
        <w:t xml:space="preserve"> study. </w:t>
      </w:r>
    </w:p>
    <w:p w14:paraId="70179DA2" w14:textId="77777777" w:rsidR="00A93414" w:rsidRPr="002A7627" w:rsidRDefault="00A93414" w:rsidP="00A93414">
      <w:pPr>
        <w:pStyle w:val="AAAAAAA"/>
        <w:sectPr w:rsidR="00A93414" w:rsidRPr="002A7627" w:rsidSect="00031AF8">
          <w:footerReference w:type="default" r:id="rId26"/>
          <w:pgSz w:w="12240" w:h="15840"/>
          <w:pgMar w:top="2880" w:right="2160" w:bottom="1800" w:left="2160" w:header="720" w:footer="720" w:gutter="0"/>
          <w:cols w:space="720"/>
          <w:docGrid w:linePitch="326"/>
        </w:sectPr>
      </w:pPr>
    </w:p>
    <w:p w14:paraId="55073A64" w14:textId="31784984" w:rsidR="00A93414" w:rsidRPr="002A7627" w:rsidRDefault="00AE0949" w:rsidP="00A93414">
      <w:pPr>
        <w:pStyle w:val="AAAAAAA"/>
      </w:pPr>
      <w:r>
        <w:t>T</w:t>
      </w:r>
      <w:r w:rsidR="00A93414" w:rsidRPr="002A7627">
        <w:t xml:space="preserve">his chapter </w:t>
      </w:r>
      <w:r>
        <w:t>therefore starts by setting out</w:t>
      </w:r>
      <w:r w:rsidR="00A93414" w:rsidRPr="002A7627">
        <w:t xml:space="preserve"> the philosophy </w:t>
      </w:r>
      <w:r w:rsidR="00A93414">
        <w:t xml:space="preserve">behind the </w:t>
      </w:r>
      <w:r w:rsidR="00A93414" w:rsidRPr="002A7627">
        <w:t xml:space="preserve">research and then </w:t>
      </w:r>
      <w:r>
        <w:t xml:space="preserve">describes the research </w:t>
      </w:r>
      <w:r w:rsidR="00A93414" w:rsidRPr="002A7627">
        <w:t>approach</w:t>
      </w:r>
      <w:r>
        <w:t>,</w:t>
      </w:r>
      <w:r w:rsidR="00A93414" w:rsidRPr="002A7627">
        <w:t xml:space="preserve"> introducing the conceptual framework and the research hypothes</w:t>
      </w:r>
      <w:r>
        <w:t>e</w:t>
      </w:r>
      <w:r w:rsidR="00A93414" w:rsidRPr="002A7627">
        <w:t xml:space="preserve">s. </w:t>
      </w:r>
      <w:r>
        <w:t>It goes on to</w:t>
      </w:r>
      <w:r w:rsidR="00A93414" w:rsidRPr="002A7627">
        <w:t xml:space="preserve"> discuss the research strategy, research choices, time interval, population and sampling, instrumentation, pilot testing, </w:t>
      </w:r>
      <w:r>
        <w:t xml:space="preserve">and </w:t>
      </w:r>
      <w:r w:rsidR="00D00EEA">
        <w:t>collecti</w:t>
      </w:r>
      <w:r>
        <w:t>o</w:t>
      </w:r>
      <w:r w:rsidR="00D00EEA">
        <w:t>n and analy</w:t>
      </w:r>
      <w:r>
        <w:t>sis of</w:t>
      </w:r>
      <w:r w:rsidR="00D00EEA">
        <w:t xml:space="preserve"> data.</w:t>
      </w:r>
    </w:p>
    <w:p w14:paraId="1157E446" w14:textId="461BDE72" w:rsidR="00A93414" w:rsidRPr="002A7627" w:rsidRDefault="00592B9D" w:rsidP="00A93414">
      <w:pPr>
        <w:pStyle w:val="Heading1"/>
        <w:rPr>
          <w:color w:val="000000"/>
        </w:rPr>
      </w:pPr>
      <w:bookmarkStart w:id="169" w:name="_Toc22331676"/>
      <w:r>
        <w:rPr>
          <w:color w:val="000000"/>
        </w:rPr>
        <w:t xml:space="preserve">4.2. </w:t>
      </w:r>
      <w:r w:rsidR="00A93414">
        <w:rPr>
          <w:color w:val="000000"/>
        </w:rPr>
        <w:t xml:space="preserve">Research </w:t>
      </w:r>
      <w:r w:rsidR="005F6EC8">
        <w:rPr>
          <w:color w:val="000000"/>
        </w:rPr>
        <w:t>C</w:t>
      </w:r>
      <w:r w:rsidR="00A93414">
        <w:rPr>
          <w:color w:val="000000"/>
        </w:rPr>
        <w:t>ontext</w:t>
      </w:r>
      <w:bookmarkEnd w:id="169"/>
    </w:p>
    <w:p w14:paraId="73DD1204" w14:textId="048DC27C" w:rsidR="00A93414" w:rsidRPr="00BD005E" w:rsidRDefault="00AE0949" w:rsidP="00EC4B2C">
      <w:pPr>
        <w:pStyle w:val="AAAAAAA"/>
        <w:rPr>
          <w:color w:val="000000" w:themeColor="text1"/>
        </w:rPr>
      </w:pPr>
      <w:r>
        <w:t xml:space="preserve">Abu Dhabi </w:t>
      </w:r>
      <w:r w:rsidR="00A93414">
        <w:t xml:space="preserve">Emirate is the biggest </w:t>
      </w:r>
      <w:r>
        <w:t>of the United Arab Emirates,</w:t>
      </w:r>
      <w:r w:rsidR="00A93414">
        <w:t xml:space="preserve"> and is where Abu Dhabi Police </w:t>
      </w:r>
      <w:r w:rsidR="00EC4B2C">
        <w:t>(</w:t>
      </w:r>
      <w:r w:rsidR="00A93414">
        <w:t>ADP</w:t>
      </w:r>
      <w:r w:rsidR="00EC4B2C">
        <w:t>)</w:t>
      </w:r>
      <w:r w:rsidR="00A93414">
        <w:t xml:space="preserve"> is located. Abu Dhabi</w:t>
      </w:r>
      <w:r w:rsidR="00A93414" w:rsidRPr="002A7627">
        <w:t xml:space="preserve"> covers around 80% of the UAE and includes the capital</w:t>
      </w:r>
      <w:r w:rsidR="006945A7">
        <w:t xml:space="preserve"> (Abu Dhabi)</w:t>
      </w:r>
      <w:r w:rsidR="00A93414" w:rsidRPr="002A7627">
        <w:t xml:space="preserve">, Al Ain, and Al </w:t>
      </w:r>
      <w:r w:rsidR="00A93414" w:rsidRPr="00BD005E">
        <w:rPr>
          <w:color w:val="000000" w:themeColor="text1"/>
        </w:rPr>
        <w:t xml:space="preserve">Dhafra. </w:t>
      </w:r>
      <w:r>
        <w:rPr>
          <w:color w:val="000000" w:themeColor="text1"/>
        </w:rPr>
        <w:t>T</w:t>
      </w:r>
      <w:r w:rsidR="00B70686" w:rsidRPr="00BD005E">
        <w:rPr>
          <w:color w:val="000000" w:themeColor="text1"/>
        </w:rPr>
        <w:t xml:space="preserve">his research is </w:t>
      </w:r>
      <w:r>
        <w:rPr>
          <w:color w:val="000000" w:themeColor="text1"/>
        </w:rPr>
        <w:t>therefore likely to have implications for the whole</w:t>
      </w:r>
      <w:r w:rsidR="00A93414" w:rsidRPr="00BD005E">
        <w:rPr>
          <w:color w:val="000000" w:themeColor="text1"/>
        </w:rPr>
        <w:t xml:space="preserve"> of </w:t>
      </w:r>
      <w:r w:rsidR="00EC4B2C" w:rsidRPr="00BD005E">
        <w:rPr>
          <w:color w:val="000000" w:themeColor="text1"/>
        </w:rPr>
        <w:t xml:space="preserve">the </w:t>
      </w:r>
      <w:r w:rsidR="00A93414" w:rsidRPr="00BD005E">
        <w:rPr>
          <w:color w:val="000000" w:themeColor="text1"/>
        </w:rPr>
        <w:t xml:space="preserve">UAE. </w:t>
      </w:r>
    </w:p>
    <w:p w14:paraId="03091353" w14:textId="40BEC346" w:rsidR="00A93414" w:rsidRPr="002A7627" w:rsidRDefault="00A93414" w:rsidP="0077179B">
      <w:pPr>
        <w:pStyle w:val="AAAAAAA"/>
      </w:pPr>
      <w:r w:rsidRPr="002A7627">
        <w:t xml:space="preserve">In the UAE, there are about </w:t>
      </w:r>
      <w:r w:rsidR="00AE0949">
        <w:t>22</w:t>
      </w:r>
      <w:r w:rsidRPr="002A7627">
        <w:t xml:space="preserve"> other regional </w:t>
      </w:r>
      <w:r w:rsidR="00AE0949">
        <w:t>and</w:t>
      </w:r>
      <w:r w:rsidRPr="002A7627">
        <w:t xml:space="preserve"> federal law enforcement</w:t>
      </w:r>
      <w:r w:rsidR="00BD005E">
        <w:t xml:space="preserve"> organizations (LEO</w:t>
      </w:r>
      <w:r w:rsidR="00AE0949">
        <w:t>s</w:t>
      </w:r>
      <w:r w:rsidR="00BD005E">
        <w:t>)</w:t>
      </w:r>
      <w:r w:rsidRPr="002A7627">
        <w:t xml:space="preserve">. </w:t>
      </w:r>
      <w:r w:rsidR="00EC4B2C">
        <w:t xml:space="preserve">The UAE consists of seven emirates and </w:t>
      </w:r>
      <w:r w:rsidR="00AE0949">
        <w:t xml:space="preserve">each one </w:t>
      </w:r>
      <w:r w:rsidRPr="002A7627">
        <w:t xml:space="preserve">has a </w:t>
      </w:r>
      <w:r>
        <w:t>police</w:t>
      </w:r>
      <w:r w:rsidR="00EC4B2C">
        <w:t xml:space="preserve"> force</w:t>
      </w:r>
      <w:r w:rsidRPr="002A7627">
        <w:t xml:space="preserve"> that </w:t>
      </w:r>
      <w:r w:rsidR="00D00EEA" w:rsidRPr="000F7F2A">
        <w:rPr>
          <w:color w:val="000000" w:themeColor="text1"/>
        </w:rPr>
        <w:t>pursue</w:t>
      </w:r>
      <w:r w:rsidR="00AE0949" w:rsidRPr="000F7F2A">
        <w:rPr>
          <w:color w:val="000000" w:themeColor="text1"/>
        </w:rPr>
        <w:t>s</w:t>
      </w:r>
      <w:r w:rsidR="00D00EEA" w:rsidRPr="000F7F2A">
        <w:rPr>
          <w:color w:val="000000" w:themeColor="text1"/>
        </w:rPr>
        <w:t xml:space="preserve"> </w:t>
      </w:r>
      <w:r>
        <w:t xml:space="preserve">nearly </w:t>
      </w:r>
      <w:r w:rsidRPr="002A7627">
        <w:t xml:space="preserve">the same strategic objectives </w:t>
      </w:r>
      <w:r w:rsidR="00AE0949">
        <w:t>as</w:t>
      </w:r>
      <w:r w:rsidR="00AE0949" w:rsidRPr="002A7627">
        <w:t xml:space="preserve"> </w:t>
      </w:r>
      <w:r w:rsidRPr="002A7627">
        <w:t xml:space="preserve">ADP. </w:t>
      </w:r>
      <w:r w:rsidR="00AE0949">
        <w:t>These forces will therefore also derive</w:t>
      </w:r>
      <w:r>
        <w:t xml:space="preserve"> useful information </w:t>
      </w:r>
      <w:r w:rsidR="00AE0949">
        <w:t>from this study</w:t>
      </w:r>
      <w:r>
        <w:t xml:space="preserve">. </w:t>
      </w:r>
      <w:r w:rsidR="00AE0949">
        <w:t>E</w:t>
      </w:r>
      <w:r>
        <w:t>very</w:t>
      </w:r>
      <w:r w:rsidRPr="002A7627">
        <w:t xml:space="preserve"> emirate </w:t>
      </w:r>
      <w:r w:rsidR="00AE0949">
        <w:t>has</w:t>
      </w:r>
      <w:r w:rsidR="00AE0949" w:rsidRPr="002A7627">
        <w:t xml:space="preserve"> </w:t>
      </w:r>
      <w:r w:rsidRPr="002A7627">
        <w:t xml:space="preserve">three or more regional or federal </w:t>
      </w:r>
      <w:r>
        <w:t>LE</w:t>
      </w:r>
      <w:r w:rsidR="00BD005E">
        <w:t>O</w:t>
      </w:r>
      <w:r>
        <w:t>s</w:t>
      </w:r>
      <w:r w:rsidRPr="002A7627">
        <w:t xml:space="preserve"> such as civil defen</w:t>
      </w:r>
      <w:r>
        <w:t xml:space="preserve">se, </w:t>
      </w:r>
      <w:r w:rsidRPr="002A7627">
        <w:t xml:space="preserve">judicial </w:t>
      </w:r>
      <w:r w:rsidR="00AE0949" w:rsidRPr="002A7627">
        <w:t xml:space="preserve">policing </w:t>
      </w:r>
      <w:r>
        <w:t>and immigration</w:t>
      </w:r>
      <w:r w:rsidR="00AE0949">
        <w:t xml:space="preserve"> agencies</w:t>
      </w:r>
      <w:r w:rsidRPr="002A7627">
        <w:t xml:space="preserve">. </w:t>
      </w:r>
    </w:p>
    <w:p w14:paraId="0E3711F9" w14:textId="6334DCE6" w:rsidR="00A93414" w:rsidRPr="002A7627" w:rsidRDefault="00A93414" w:rsidP="00A93414">
      <w:pPr>
        <w:pStyle w:val="AAAAAAA"/>
      </w:pPr>
      <w:r w:rsidRPr="002A7627">
        <w:t>ADP is one of the largest organi</w:t>
      </w:r>
      <w:r>
        <w:t>z</w:t>
      </w:r>
      <w:r w:rsidRPr="002A7627">
        <w:t>ations in the UAE</w:t>
      </w:r>
      <w:r w:rsidR="00AE0949">
        <w:t>, with</w:t>
      </w:r>
      <w:r w:rsidRPr="002A7627">
        <w:t xml:space="preserve"> more than 37,000 employees. </w:t>
      </w:r>
      <w:r w:rsidR="00AE0949">
        <w:t xml:space="preserve">In total, </w:t>
      </w:r>
      <w:r w:rsidRPr="002A7627">
        <w:t xml:space="preserve">16% of its employees are officers who hold managerial positions or experts. The level of education varies from doctorate to high school level. </w:t>
      </w:r>
      <w:r w:rsidR="00AE0949">
        <w:t>T</w:t>
      </w:r>
      <w:r w:rsidRPr="002A7627">
        <w:t xml:space="preserve">he level of </w:t>
      </w:r>
      <w:r>
        <w:t>technological</w:t>
      </w:r>
      <w:r w:rsidRPr="002A7627">
        <w:t xml:space="preserve"> skills </w:t>
      </w:r>
      <w:r w:rsidR="00AE0949">
        <w:t xml:space="preserve">also </w:t>
      </w:r>
      <w:r w:rsidRPr="002A7627">
        <w:t xml:space="preserve">varies </w:t>
      </w:r>
      <w:r>
        <w:t>depend</w:t>
      </w:r>
      <w:r w:rsidR="00AE0949">
        <w:t>ing</w:t>
      </w:r>
      <w:r>
        <w:t xml:space="preserve"> on the nature</w:t>
      </w:r>
      <w:r w:rsidR="00AE0949">
        <w:t xml:space="preserve"> of the job</w:t>
      </w:r>
      <w:r>
        <w:t>.</w:t>
      </w:r>
      <w:r w:rsidRPr="002A7627">
        <w:t xml:space="preserve"> </w:t>
      </w:r>
    </w:p>
    <w:p w14:paraId="71B9477C" w14:textId="2507F3D6" w:rsidR="00A93414" w:rsidRPr="002A7627" w:rsidRDefault="00A93414" w:rsidP="00351480">
      <w:pPr>
        <w:pStyle w:val="AAAAAAA"/>
      </w:pPr>
      <w:r w:rsidRPr="002A7627">
        <w:t xml:space="preserve">ADP and </w:t>
      </w:r>
      <w:r w:rsidR="00AE0949">
        <w:t xml:space="preserve">the </w:t>
      </w:r>
      <w:r w:rsidRPr="002A7627">
        <w:t xml:space="preserve">other </w:t>
      </w:r>
      <w:r w:rsidR="00BD005E">
        <w:t>LEOs</w:t>
      </w:r>
      <w:r w:rsidR="00BD005E" w:rsidRPr="002A7627">
        <w:t xml:space="preserve"> </w:t>
      </w:r>
      <w:r w:rsidRPr="002A7627">
        <w:t xml:space="preserve">are </w:t>
      </w:r>
      <w:r>
        <w:t>not-for-profit organizations</w:t>
      </w:r>
      <w:r w:rsidR="00AE0949">
        <w:t>.</w:t>
      </w:r>
      <w:r w:rsidRPr="002A7627">
        <w:t xml:space="preserve"> </w:t>
      </w:r>
      <w:r w:rsidR="00AE0949">
        <w:t>T</w:t>
      </w:r>
      <w:r>
        <w:t xml:space="preserve">he purpose of </w:t>
      </w:r>
      <w:r w:rsidR="00AE0949">
        <w:t xml:space="preserve">these </w:t>
      </w:r>
      <w:r>
        <w:t xml:space="preserve">organizations is </w:t>
      </w:r>
      <w:r w:rsidR="00AE0949">
        <w:t xml:space="preserve">to </w:t>
      </w:r>
      <w:r w:rsidR="00D00EEA">
        <w:t>provid</w:t>
      </w:r>
      <w:r w:rsidR="00AE0949">
        <w:t>e</w:t>
      </w:r>
      <w:r>
        <w:t xml:space="preserve"> a high level of </w:t>
      </w:r>
      <w:r w:rsidRPr="002A7627">
        <w:t xml:space="preserve">quality services within their region. </w:t>
      </w:r>
      <w:r w:rsidR="00AE0949">
        <w:t>They</w:t>
      </w:r>
      <w:r>
        <w:t xml:space="preserve"> </w:t>
      </w:r>
      <w:r w:rsidRPr="002A7627">
        <w:t>compete with each other</w:t>
      </w:r>
      <w:r w:rsidR="00AE0949">
        <w:t xml:space="preserve"> to support </w:t>
      </w:r>
      <w:r w:rsidRPr="002A7627">
        <w:t>the vision of the UAE</w:t>
      </w:r>
      <w:r w:rsidR="00AE0949">
        <w:t xml:space="preserve"> government </w:t>
      </w:r>
      <w:r w:rsidRPr="002A7627">
        <w:t xml:space="preserve">to </w:t>
      </w:r>
      <w:r w:rsidR="0077179B">
        <w:t xml:space="preserve">provide </w:t>
      </w:r>
      <w:r>
        <w:t>residents of the UAE</w:t>
      </w:r>
      <w:r w:rsidRPr="002A7627">
        <w:t xml:space="preserve"> with </w:t>
      </w:r>
      <w:r w:rsidR="00992811">
        <w:t xml:space="preserve">a </w:t>
      </w:r>
      <w:r>
        <w:t xml:space="preserve">high </w:t>
      </w:r>
      <w:r w:rsidR="00992811">
        <w:t xml:space="preserve">standard </w:t>
      </w:r>
      <w:r>
        <w:t xml:space="preserve">of living </w:t>
      </w:r>
      <w:r w:rsidR="0077179B">
        <w:t>and</w:t>
      </w:r>
      <w:r w:rsidR="00992811">
        <w:t xml:space="preserve"> level of</w:t>
      </w:r>
      <w:r w:rsidR="0077179B">
        <w:t xml:space="preserve"> happiness</w:t>
      </w:r>
      <w:r w:rsidR="000D30FA">
        <w:t xml:space="preserve"> (The UAE government portal</w:t>
      </w:r>
      <w:r w:rsidR="002C2F0F">
        <w:t>, 2019</w:t>
      </w:r>
      <w:r w:rsidR="000D30FA">
        <w:t>)</w:t>
      </w:r>
      <w:r w:rsidRPr="002A7627">
        <w:t xml:space="preserve">. </w:t>
      </w:r>
      <w:r>
        <w:t>This is not an easy thing to promise and deliver</w:t>
      </w:r>
      <w:r w:rsidR="00AE0949">
        <w:t xml:space="preserve">, and policing is fundamental to achieving it. </w:t>
      </w:r>
      <w:r>
        <w:t>T</w:t>
      </w:r>
      <w:r w:rsidR="00AE0949">
        <w:t>o support its vision, t</w:t>
      </w:r>
      <w:r w:rsidRPr="002A7627">
        <w:t xml:space="preserve">he </w:t>
      </w:r>
      <w:r w:rsidR="00AE0949">
        <w:t xml:space="preserve">government </w:t>
      </w:r>
      <w:r w:rsidRPr="002A7627">
        <w:t xml:space="preserve">launched </w:t>
      </w:r>
      <w:r w:rsidR="00AE0949">
        <w:t xml:space="preserve">several </w:t>
      </w:r>
      <w:r w:rsidRPr="002A7627">
        <w:t xml:space="preserve">excellence awards, covering key areas such as artificial intelligence, future-shaping, knowledge management, innovation, performance, customer services, and overall outcomes and their impact. In 2015, ADP </w:t>
      </w:r>
      <w:r>
        <w:t xml:space="preserve">received </w:t>
      </w:r>
      <w:r w:rsidRPr="002A7627">
        <w:t xml:space="preserve">two excellence awards on </w:t>
      </w:r>
      <w:r w:rsidR="00AE0949">
        <w:t>knowledge management</w:t>
      </w:r>
      <w:r>
        <w:t xml:space="preserve"> </w:t>
      </w:r>
      <w:r w:rsidRPr="002A7627">
        <w:fldChar w:fldCharType="begin" w:fldLock="1"/>
      </w:r>
      <w:r w:rsidRPr="002A7627">
        <w:instrText>ADDIN CSL_CITATION {"citationItems":[{"id":"ITEM-1","itemData":{"URL":"https://www.adpolice.gov.ae/en/pages/awards.aspx","accessed":{"date-parts":[["2019","6","11"]]},"author":[{"dropping-particle":"","family":"Abu Dhabi Police","given":"","non-dropping-particle":"","parse-names":false,"suffix":""}],"id":"ITEM-1","issued":{"date-parts":[["2018"]]},"title":"Awards","type":"webpage"},"uris":["http://www.mendeley.com/documents/?uuid=3b9101a1-68da-342d-9479-0b53aedaffcb"]}],"mendeley":{"formattedCitation":"(Abu Dhabi Police, 2018)","plainTextFormattedCitation":"(Abu Dhabi Police, 2018)","previouslyFormattedCitation":"(Abu Dhabi Police, 2018)"},"properties":{"noteIndex":0},"schema":"https://github.com/citation-style-language/schema/raw/master/csl-citation.json"}</w:instrText>
      </w:r>
      <w:r w:rsidRPr="002A7627">
        <w:fldChar w:fldCharType="separate"/>
      </w:r>
      <w:r w:rsidRPr="002A7627">
        <w:rPr>
          <w:noProof/>
        </w:rPr>
        <w:t>(Abu Dhabi Police, 2018)</w:t>
      </w:r>
      <w:r w:rsidRPr="002A7627">
        <w:fldChar w:fldCharType="end"/>
      </w:r>
      <w:r w:rsidRPr="002A7627">
        <w:t xml:space="preserve">. By 2017, ADP had </w:t>
      </w:r>
      <w:r>
        <w:t>significant</w:t>
      </w:r>
      <w:r w:rsidR="00AE0949">
        <w:t>ly</w:t>
      </w:r>
      <w:r w:rsidRPr="002A7627">
        <w:t xml:space="preserve"> restructur</w:t>
      </w:r>
      <w:r w:rsidR="00AE0949">
        <w:t>ed</w:t>
      </w:r>
      <w:r w:rsidRPr="002A7627">
        <w:t xml:space="preserve"> its organi</w:t>
      </w:r>
      <w:r>
        <w:t>z</w:t>
      </w:r>
      <w:r w:rsidRPr="002A7627">
        <w:t>ational chart and established the Knowledge Management Center</w:t>
      </w:r>
      <w:r w:rsidR="00AE0949">
        <w:t>,</w:t>
      </w:r>
      <w:r w:rsidRPr="002A7627">
        <w:t xml:space="preserve"> reporting to </w:t>
      </w:r>
      <w:r w:rsidR="00AE0949">
        <w:t xml:space="preserve">the </w:t>
      </w:r>
      <w:r w:rsidR="00BD005E">
        <w:t>S</w:t>
      </w:r>
      <w:r w:rsidRPr="002A7627">
        <w:t xml:space="preserve">trategic </w:t>
      </w:r>
      <w:r w:rsidR="00BD005E">
        <w:t>P</w:t>
      </w:r>
      <w:r w:rsidRPr="002A7627">
        <w:t xml:space="preserve">lanning and </w:t>
      </w:r>
      <w:r w:rsidR="00BD005E">
        <w:t>D</w:t>
      </w:r>
      <w:r w:rsidRPr="002A7627">
        <w:t xml:space="preserve">evelopment </w:t>
      </w:r>
      <w:r w:rsidR="00BD005E">
        <w:t>C</w:t>
      </w:r>
      <w:r w:rsidRPr="002A7627">
        <w:t>ent</w:t>
      </w:r>
      <w:r>
        <w:t>er</w:t>
      </w:r>
      <w:r w:rsidRPr="002A7627">
        <w:t xml:space="preserve">. The </w:t>
      </w:r>
      <w:r w:rsidR="00AE0949">
        <w:t>Knowledge Management C</w:t>
      </w:r>
      <w:r w:rsidRPr="002A7627">
        <w:t>ent</w:t>
      </w:r>
      <w:r>
        <w:t>er</w:t>
      </w:r>
      <w:r w:rsidRPr="002A7627">
        <w:t xml:space="preserve"> has worked to build and sustain the organi</w:t>
      </w:r>
      <w:r>
        <w:t>z</w:t>
      </w:r>
      <w:r w:rsidRPr="002A7627">
        <w:t xml:space="preserve">ation’s intellectual property, </w:t>
      </w:r>
      <w:r w:rsidR="00D00EEA">
        <w:t xml:space="preserve">which is related to </w:t>
      </w:r>
      <w:r w:rsidR="00DB0B98">
        <w:t>documenting</w:t>
      </w:r>
      <w:r w:rsidR="00D00EEA">
        <w:t xml:space="preserve"> </w:t>
      </w:r>
      <w:r w:rsidRPr="002A7627">
        <w:t xml:space="preserve">tacit knowledge. The strategic objective of “knowledge management efficiency” is reviewed </w:t>
      </w:r>
      <w:r w:rsidR="00351480">
        <w:t>on a yearly basis</w:t>
      </w:r>
      <w:r w:rsidRPr="002A7627">
        <w:t>, and</w:t>
      </w:r>
      <w:r>
        <w:t xml:space="preserve"> </w:t>
      </w:r>
      <w:r w:rsidR="00351480">
        <w:t>many ideas and initiatives</w:t>
      </w:r>
      <w:r>
        <w:t xml:space="preserve"> are </w:t>
      </w:r>
      <w:r w:rsidR="00351480">
        <w:t xml:space="preserve">implemented to enhance </w:t>
      </w:r>
      <w:r>
        <w:t>the capabilities of the organization</w:t>
      </w:r>
      <w:r w:rsidR="00351480">
        <w:t xml:space="preserve"> </w:t>
      </w:r>
      <w:r w:rsidR="00AE0949">
        <w:t>and</w:t>
      </w:r>
      <w:r w:rsidR="00351480">
        <w:t xml:space="preserve"> maximiz</w:t>
      </w:r>
      <w:r w:rsidR="00AE0949">
        <w:t>e</w:t>
      </w:r>
      <w:r w:rsidR="00351480">
        <w:t xml:space="preserve"> the knowledge management benefits</w:t>
      </w:r>
      <w:r>
        <w:t>.</w:t>
      </w:r>
    </w:p>
    <w:p w14:paraId="6BF86292" w14:textId="7BC0B66A" w:rsidR="00A93414" w:rsidRPr="002A7627" w:rsidRDefault="00A93414" w:rsidP="00351480">
      <w:pPr>
        <w:pStyle w:val="AAAAAAA"/>
      </w:pPr>
      <w:r w:rsidRPr="002A7627">
        <w:t xml:space="preserve">The </w:t>
      </w:r>
      <w:r>
        <w:t>policing organization</w:t>
      </w:r>
      <w:r w:rsidRPr="002A7627">
        <w:t xml:space="preserve"> consists of eight main sectors.</w:t>
      </w:r>
      <w:r>
        <w:t xml:space="preserve"> </w:t>
      </w:r>
      <w:r w:rsidR="00351480">
        <w:t xml:space="preserve">Each sector is </w:t>
      </w:r>
      <w:r w:rsidR="00DB0B98">
        <w:t>in charge of</w:t>
      </w:r>
      <w:r w:rsidR="00351480">
        <w:t xml:space="preserve"> specific objectives and </w:t>
      </w:r>
      <w:r w:rsidR="00DB0B98">
        <w:t xml:space="preserve">specializations </w:t>
      </w:r>
      <w:r w:rsidR="00351480">
        <w:t xml:space="preserve">in the organization, including special tasks, </w:t>
      </w:r>
      <w:r w:rsidRPr="002A7627">
        <w:t xml:space="preserve">criminal security, central operations, </w:t>
      </w:r>
      <w:r>
        <w:t xml:space="preserve">and </w:t>
      </w:r>
      <w:r w:rsidR="00351480">
        <w:t>human resources</w:t>
      </w:r>
      <w:r>
        <w:t xml:space="preserve">. </w:t>
      </w:r>
    </w:p>
    <w:p w14:paraId="32EA6510" w14:textId="3D7AF59B" w:rsidR="00A93414" w:rsidRDefault="00A93414" w:rsidP="00541B42">
      <w:pPr>
        <w:numPr>
          <w:ilvl w:val="0"/>
          <w:numId w:val="1"/>
        </w:numPr>
        <w:spacing w:line="480" w:lineRule="auto"/>
        <w:contextualSpacing/>
        <w:jc w:val="both"/>
        <w:rPr>
          <w:rFonts w:cs="Times New Roman"/>
          <w:szCs w:val="24"/>
        </w:rPr>
      </w:pPr>
      <w:r>
        <w:rPr>
          <w:rFonts w:cs="Times New Roman"/>
          <w:szCs w:val="24"/>
        </w:rPr>
        <w:t>In S</w:t>
      </w:r>
      <w:r w:rsidR="00AE0949">
        <w:rPr>
          <w:rFonts w:cs="Times New Roman"/>
          <w:szCs w:val="24"/>
        </w:rPr>
        <w:t xml:space="preserve">ector </w:t>
      </w:r>
      <w:r>
        <w:rPr>
          <w:rFonts w:cs="Times New Roman"/>
          <w:szCs w:val="24"/>
        </w:rPr>
        <w:t>2</w:t>
      </w:r>
      <w:r w:rsidR="00351480">
        <w:rPr>
          <w:rFonts w:cs="Times New Roman"/>
          <w:szCs w:val="24"/>
        </w:rPr>
        <w:t>,</w:t>
      </w:r>
      <w:r>
        <w:rPr>
          <w:rFonts w:cs="Times New Roman"/>
          <w:szCs w:val="24"/>
        </w:rPr>
        <w:t xml:space="preserve"> the main tasks are quality, strategic</w:t>
      </w:r>
      <w:r w:rsidR="00AE0949">
        <w:rPr>
          <w:rFonts w:cs="Times New Roman"/>
          <w:szCs w:val="24"/>
        </w:rPr>
        <w:t xml:space="preserve"> management and knowledge management, and it contains </w:t>
      </w:r>
      <w:r>
        <w:rPr>
          <w:rFonts w:cs="Times New Roman"/>
          <w:szCs w:val="24"/>
        </w:rPr>
        <w:t xml:space="preserve">10% </w:t>
      </w:r>
      <w:r w:rsidR="00AE0949">
        <w:rPr>
          <w:rFonts w:cs="Times New Roman"/>
          <w:szCs w:val="24"/>
        </w:rPr>
        <w:t xml:space="preserve">of </w:t>
      </w:r>
      <w:r>
        <w:rPr>
          <w:rFonts w:cs="Times New Roman"/>
          <w:szCs w:val="24"/>
        </w:rPr>
        <w:t>employees.</w:t>
      </w:r>
    </w:p>
    <w:p w14:paraId="6533F18C" w14:textId="5E2B87B7" w:rsidR="00A93414" w:rsidRPr="002A7627" w:rsidRDefault="00A93414" w:rsidP="00541B42">
      <w:pPr>
        <w:numPr>
          <w:ilvl w:val="0"/>
          <w:numId w:val="1"/>
        </w:numPr>
        <w:spacing w:line="480" w:lineRule="auto"/>
        <w:contextualSpacing/>
        <w:jc w:val="both"/>
        <w:rPr>
          <w:rFonts w:cs="Times New Roman"/>
          <w:szCs w:val="24"/>
        </w:rPr>
      </w:pPr>
      <w:r>
        <w:rPr>
          <w:rFonts w:cs="Times New Roman"/>
          <w:szCs w:val="24"/>
        </w:rPr>
        <w:t>S</w:t>
      </w:r>
      <w:r w:rsidR="00AE0949">
        <w:rPr>
          <w:rFonts w:cs="Times New Roman"/>
          <w:szCs w:val="24"/>
        </w:rPr>
        <w:t xml:space="preserve">ector </w:t>
      </w:r>
      <w:r>
        <w:rPr>
          <w:rFonts w:cs="Times New Roman"/>
          <w:szCs w:val="24"/>
        </w:rPr>
        <w:t>5</w:t>
      </w:r>
      <w:r w:rsidR="00541B42">
        <w:rPr>
          <w:rFonts w:cs="Times New Roman"/>
          <w:szCs w:val="24"/>
        </w:rPr>
        <w:t>,</w:t>
      </w:r>
      <w:r>
        <w:rPr>
          <w:rFonts w:cs="Times New Roman"/>
          <w:szCs w:val="24"/>
        </w:rPr>
        <w:t xml:space="preserve"> which </w:t>
      </w:r>
      <w:r w:rsidR="00AE0949">
        <w:rPr>
          <w:rFonts w:cs="Times New Roman"/>
          <w:szCs w:val="24"/>
        </w:rPr>
        <w:t>contains</w:t>
      </w:r>
      <w:r>
        <w:rPr>
          <w:rFonts w:cs="Times New Roman"/>
          <w:szCs w:val="24"/>
        </w:rPr>
        <w:t xml:space="preserve"> 14% </w:t>
      </w:r>
      <w:r w:rsidR="00AE0949">
        <w:rPr>
          <w:rFonts w:cs="Times New Roman"/>
          <w:szCs w:val="24"/>
        </w:rPr>
        <w:t xml:space="preserve">of </w:t>
      </w:r>
      <w:r>
        <w:rPr>
          <w:rFonts w:cs="Times New Roman"/>
          <w:szCs w:val="24"/>
        </w:rPr>
        <w:t>employees</w:t>
      </w:r>
      <w:r w:rsidR="00541B42">
        <w:rPr>
          <w:rFonts w:cs="Times New Roman"/>
          <w:szCs w:val="24"/>
        </w:rPr>
        <w:t xml:space="preserve">, </w:t>
      </w:r>
      <w:r w:rsidR="00AE0949">
        <w:rPr>
          <w:rFonts w:cs="Times New Roman"/>
          <w:szCs w:val="24"/>
        </w:rPr>
        <w:t xml:space="preserve">has </w:t>
      </w:r>
      <w:r>
        <w:rPr>
          <w:rFonts w:cs="Times New Roman"/>
          <w:szCs w:val="24"/>
        </w:rPr>
        <w:t>primary responsibilit</w:t>
      </w:r>
      <w:r w:rsidR="00AE0949">
        <w:rPr>
          <w:rFonts w:cs="Times New Roman"/>
          <w:szCs w:val="24"/>
        </w:rPr>
        <w:t>y for</w:t>
      </w:r>
      <w:r>
        <w:rPr>
          <w:rFonts w:cs="Times New Roman"/>
          <w:szCs w:val="24"/>
        </w:rPr>
        <w:t xml:space="preserve"> analyzing and managing pieces of evidence (K9).</w:t>
      </w:r>
      <w:r w:rsidRPr="002A7627">
        <w:rPr>
          <w:rFonts w:cs="Times New Roman"/>
          <w:szCs w:val="24"/>
        </w:rPr>
        <w:t xml:space="preserve"> </w:t>
      </w:r>
    </w:p>
    <w:p w14:paraId="14C686CA" w14:textId="164E6111" w:rsidR="00A93414" w:rsidRPr="00E0106D" w:rsidRDefault="00A93414" w:rsidP="00A93414">
      <w:pPr>
        <w:numPr>
          <w:ilvl w:val="0"/>
          <w:numId w:val="1"/>
        </w:numPr>
        <w:spacing w:line="480" w:lineRule="auto"/>
        <w:contextualSpacing/>
        <w:jc w:val="both"/>
        <w:rPr>
          <w:rFonts w:cs="Times New Roman"/>
          <w:szCs w:val="24"/>
        </w:rPr>
      </w:pPr>
      <w:r>
        <w:rPr>
          <w:rFonts w:cs="Times New Roman"/>
          <w:szCs w:val="24"/>
        </w:rPr>
        <w:t>The primary function</w:t>
      </w:r>
      <w:r w:rsidR="00AE0949">
        <w:rPr>
          <w:rFonts w:cs="Times New Roman"/>
          <w:szCs w:val="24"/>
        </w:rPr>
        <w:t>s</w:t>
      </w:r>
      <w:r>
        <w:rPr>
          <w:rFonts w:cs="Times New Roman"/>
          <w:szCs w:val="24"/>
        </w:rPr>
        <w:t xml:space="preserve"> of S</w:t>
      </w:r>
      <w:r w:rsidR="00AE0949">
        <w:rPr>
          <w:rFonts w:cs="Times New Roman"/>
          <w:szCs w:val="24"/>
        </w:rPr>
        <w:t xml:space="preserve">ector </w:t>
      </w:r>
      <w:r>
        <w:rPr>
          <w:rFonts w:cs="Times New Roman"/>
          <w:szCs w:val="24"/>
        </w:rPr>
        <w:t xml:space="preserve">8 include </w:t>
      </w:r>
      <w:r w:rsidR="00AE0949">
        <w:rPr>
          <w:rFonts w:cs="Times New Roman"/>
          <w:szCs w:val="24"/>
        </w:rPr>
        <w:t>IT</w:t>
      </w:r>
      <w:r>
        <w:rPr>
          <w:rFonts w:cs="Times New Roman"/>
          <w:szCs w:val="24"/>
        </w:rPr>
        <w:t xml:space="preserve">, emergencies and operations. It </w:t>
      </w:r>
      <w:r w:rsidR="00AE0949">
        <w:rPr>
          <w:rFonts w:cs="Times New Roman"/>
          <w:szCs w:val="24"/>
        </w:rPr>
        <w:t xml:space="preserve">contains </w:t>
      </w:r>
      <w:r>
        <w:rPr>
          <w:rFonts w:cs="Times New Roman"/>
          <w:szCs w:val="24"/>
        </w:rPr>
        <w:t xml:space="preserve">19% of the </w:t>
      </w:r>
      <w:r w:rsidR="00AE0949">
        <w:rPr>
          <w:rFonts w:cs="Times New Roman"/>
          <w:szCs w:val="24"/>
        </w:rPr>
        <w:t xml:space="preserve">organization’s </w:t>
      </w:r>
      <w:r>
        <w:rPr>
          <w:rFonts w:cs="Times New Roman"/>
          <w:szCs w:val="24"/>
        </w:rPr>
        <w:t>employees.</w:t>
      </w:r>
      <w:r w:rsidRPr="00E0106D">
        <w:rPr>
          <w:rFonts w:cs="Times New Roman"/>
          <w:szCs w:val="24"/>
        </w:rPr>
        <w:t xml:space="preserve"> </w:t>
      </w:r>
    </w:p>
    <w:p w14:paraId="1F2DC1AF" w14:textId="74F15029" w:rsidR="00A93414" w:rsidRPr="002A7627" w:rsidRDefault="00A93414" w:rsidP="00541B42">
      <w:pPr>
        <w:numPr>
          <w:ilvl w:val="0"/>
          <w:numId w:val="1"/>
        </w:numPr>
        <w:spacing w:line="480" w:lineRule="auto"/>
        <w:contextualSpacing/>
        <w:jc w:val="both"/>
        <w:rPr>
          <w:rFonts w:cs="Times New Roman"/>
          <w:szCs w:val="24"/>
        </w:rPr>
      </w:pPr>
      <w:r>
        <w:rPr>
          <w:rFonts w:cs="Times New Roman"/>
          <w:szCs w:val="24"/>
        </w:rPr>
        <w:t>S</w:t>
      </w:r>
      <w:r w:rsidR="00AE0949">
        <w:rPr>
          <w:rFonts w:cs="Times New Roman"/>
          <w:szCs w:val="24"/>
        </w:rPr>
        <w:t xml:space="preserve">ector </w:t>
      </w:r>
      <w:r>
        <w:rPr>
          <w:rFonts w:cs="Times New Roman"/>
          <w:szCs w:val="24"/>
        </w:rPr>
        <w:t xml:space="preserve">3 </w:t>
      </w:r>
      <w:r w:rsidR="00AE0949">
        <w:rPr>
          <w:rFonts w:cs="Times New Roman"/>
          <w:szCs w:val="24"/>
        </w:rPr>
        <w:t xml:space="preserve">contains </w:t>
      </w:r>
      <w:r>
        <w:rPr>
          <w:rFonts w:cs="Times New Roman"/>
          <w:szCs w:val="24"/>
        </w:rPr>
        <w:t xml:space="preserve">about 31% of the employees and their main goal is to look after the </w:t>
      </w:r>
      <w:r w:rsidR="00541B42">
        <w:rPr>
          <w:rFonts w:cs="Times New Roman"/>
          <w:szCs w:val="24"/>
        </w:rPr>
        <w:t xml:space="preserve">core </w:t>
      </w:r>
      <w:r>
        <w:rPr>
          <w:rFonts w:cs="Times New Roman"/>
          <w:szCs w:val="24"/>
        </w:rPr>
        <w:t xml:space="preserve">business </w:t>
      </w:r>
      <w:r w:rsidR="00D34952">
        <w:rPr>
          <w:rFonts w:cs="Times New Roman"/>
          <w:szCs w:val="24"/>
        </w:rPr>
        <w:t xml:space="preserve">of the organization, </w:t>
      </w:r>
      <w:r>
        <w:rPr>
          <w:rFonts w:cs="Times New Roman"/>
          <w:szCs w:val="24"/>
        </w:rPr>
        <w:t>such as traffic, investigations and incidents.</w:t>
      </w:r>
    </w:p>
    <w:p w14:paraId="74F6BF72" w14:textId="6094051A" w:rsidR="00592B9D" w:rsidRPr="00592B9D" w:rsidRDefault="00592B9D" w:rsidP="001D5F54">
      <w:pPr>
        <w:pStyle w:val="Heading1"/>
        <w:rPr>
          <w:rStyle w:val="Heading2Char"/>
          <w:u w:val="none"/>
        </w:rPr>
      </w:pPr>
      <w:bookmarkStart w:id="170" w:name="_Toc22331677"/>
      <w:r>
        <w:rPr>
          <w:rStyle w:val="Heading2Char"/>
          <w:b/>
          <w:u w:val="none"/>
        </w:rPr>
        <w:t>4.3</w:t>
      </w:r>
      <w:r w:rsidRPr="001D5F54">
        <w:t xml:space="preserve">. </w:t>
      </w:r>
      <w:r w:rsidR="00A93414" w:rsidRPr="001D5F54">
        <w:t xml:space="preserve">Overview of the </w:t>
      </w:r>
      <w:r w:rsidR="005F6EC8">
        <w:t>P</w:t>
      </w:r>
      <w:r w:rsidR="00A93414" w:rsidRPr="001D5F54">
        <w:t xml:space="preserve">hilosophy of </w:t>
      </w:r>
      <w:r w:rsidR="00D34952">
        <w:t xml:space="preserve">the </w:t>
      </w:r>
      <w:r w:rsidR="005F6EC8">
        <w:t>R</w:t>
      </w:r>
      <w:r w:rsidR="00A93414" w:rsidRPr="001D5F54">
        <w:t>esearch</w:t>
      </w:r>
      <w:bookmarkEnd w:id="170"/>
      <w:r w:rsidR="00A93414" w:rsidRPr="00592B9D">
        <w:rPr>
          <w:rStyle w:val="Heading2Char"/>
          <w:b/>
          <w:u w:val="none"/>
        </w:rPr>
        <w:t xml:space="preserve"> </w:t>
      </w:r>
    </w:p>
    <w:p w14:paraId="396C294C" w14:textId="4564C07B" w:rsidR="00A93414" w:rsidRDefault="00A93414" w:rsidP="001D491F">
      <w:pPr>
        <w:pStyle w:val="AAAAAAA"/>
      </w:pPr>
      <w:r w:rsidRPr="002A7627">
        <w:t xml:space="preserve">The philosophy </w:t>
      </w:r>
      <w:r>
        <w:t xml:space="preserve">of the </w:t>
      </w:r>
      <w:r w:rsidRPr="002A7627">
        <w:t xml:space="preserve">research reflects </w:t>
      </w:r>
      <w:r>
        <w:t>critical</w:t>
      </w:r>
      <w:r w:rsidRPr="002A7627">
        <w:t xml:space="preserve"> assumptions </w:t>
      </w:r>
      <w:r w:rsidR="00B9419B">
        <w:t>supporting</w:t>
      </w:r>
      <w:r w:rsidR="00E32F04" w:rsidRPr="002A7627">
        <w:t xml:space="preserve"> </w:t>
      </w:r>
      <w:r w:rsidRPr="002A7627">
        <w:t>the</w:t>
      </w:r>
      <w:r w:rsidR="00B9419B">
        <w:t xml:space="preserve"> research</w:t>
      </w:r>
      <w:r w:rsidRPr="002A7627">
        <w:t xml:space="preserve"> strategy and the </w:t>
      </w:r>
      <w:r w:rsidR="00E32F04">
        <w:t>methods used</w:t>
      </w:r>
      <w:r w:rsidR="00E32F04" w:rsidRPr="002A7627">
        <w:t xml:space="preserve"> </w:t>
      </w:r>
      <w:r w:rsidRPr="002A7627">
        <w:t xml:space="preserve">as </w:t>
      </w:r>
      <w:r w:rsidR="00B9419B">
        <w:t>part</w:t>
      </w:r>
      <w:r w:rsidRPr="002A7627">
        <w:t xml:space="preserve"> of that strategy </w:t>
      </w:r>
      <w:r w:rsidRPr="002A7627">
        <w:fldChar w:fldCharType="begin" w:fldLock="1"/>
      </w:r>
      <w:r w:rsidRPr="002A7627">
        <w:instrText>ADDIN CSL_CITATION {"citationItems":[{"id":"ITEM-1","itemData":{"ISBN":"9781412912228","abstract":"v. 1. Recent methodological debates and disputes in business and management research -- v. 2. Positivism : deductive research methologies -- v. 3. Neo-empiricism : inductive research methodologies -- v. 4. Combining empiricist methods : multi-method research and case studies -- v. 5. Social constructionist research methodologies -- v. 6. Evaluating research and the question of criteriology.","author":[{"dropping-particle":"","family":"Johnson","given":"Phil","non-dropping-particle":"","parse-names":false,"suffix":""},{"dropping-particle":"","family":"Clark","given":"Murray","non-dropping-particle":"","parse-names":false,"suffix":""}],"id":"ITEM-1","issued":{"date-parts":[["2014"]]},"publisher":"SAGE","publisher-place":"London, UK","title":"Business and management research methodologies","type":"book"},"uris":["http://www.mendeley.com/documents/?uuid=3b507a05-7d57-4df7-b4e0-20a776226543"]},{"id":"ITEM-2","itemData":{"ISBN":"9780273716860","ISSN":"0047-2875","PMID":"15573286","abstract":"A comprehensive introduction to research methods in business for students planning or undertaking a dissertation or extensive research project in business and management.The fifth edition of Research Methods for Business Students brings the theory, philosophy and techniques of research to life and enables students to understand the practical relevance of the research methods. A highly accessible style and logical structure have made this the Āstudent choice' and run-away market leader.The book is written for students on undergraduate and postgraduate degree programmes in business, or business-related disciplines.The following online resources support the text: For Students: self-assessment questions, glossary, revision ĀflashcardsĀ, tutorials for SPSS and NVivo, plus Smarter Online Searching GuideFor Instructors: teaching manual, powerpoint slides, testbank","author":[{"dropping-particle":"","family":"Saunders","given":"M.","non-dropping-particle":"","parse-names":false,"suffix":""},{"dropping-particle":"","family":"Lewis","given":"P.","non-dropping-particle":"","parse-names":false,"suffix":""},{"dropping-particle":"","family":"Thornhill","given":"A.","non-dropping-particle":"","parse-names":false,"suffix":""}],"edition":"5th ed.","id":"ITEM-2","issued":{"date-parts":[["2009"]]},"publisher":"Pearson","publisher-place":"London, UK","title":"Research methods for business Students","type":"book"},"uris":["http://www.mendeley.com/documents/?uuid=09af60fa-03ed-4774-8c1e-97c1e1a9db81"]}],"mendeley":{"formattedCitation":"(P. Johnson &amp; Clark, 2014; Saunders et al., 2009)","manualFormatting":"(Johnson &amp; Clark, 2014; Saunders et al., 2009)","plainTextFormattedCitation":"(P. Johnson &amp; Clark, 2014; Saunders et al., 2009)","previouslyFormattedCitation":"(P. Johnson &amp; Clark, 2014; Saunders et al., 2009)"},"properties":{"noteIndex":0},"schema":"https://github.com/citation-style-language/schema/raw/master/csl-citation.json"}</w:instrText>
      </w:r>
      <w:r w:rsidRPr="002A7627">
        <w:fldChar w:fldCharType="separate"/>
      </w:r>
      <w:r w:rsidRPr="002A7627">
        <w:rPr>
          <w:noProof/>
        </w:rPr>
        <w:t>(Johnson &amp; Clark, 2014; Saunders</w:t>
      </w:r>
      <w:r w:rsidRPr="002A7627">
        <w:rPr>
          <w:noProof/>
          <w:lang w:bidi="fa-IR"/>
        </w:rPr>
        <w:t xml:space="preserve"> et al.</w:t>
      </w:r>
      <w:r w:rsidRPr="002A7627">
        <w:rPr>
          <w:noProof/>
        </w:rPr>
        <w:t>, 2009)</w:t>
      </w:r>
      <w:r w:rsidRPr="002A7627">
        <w:fldChar w:fldCharType="end"/>
      </w:r>
      <w:r w:rsidRPr="002A7627">
        <w:t xml:space="preserve">. </w:t>
      </w:r>
      <w:r w:rsidRPr="002A7627">
        <w:fldChar w:fldCharType="begin" w:fldLock="1"/>
      </w:r>
      <w:r w:rsidRPr="002A7627">
        <w:instrText>ADDIN CSL_CITATION {"citationItems":[{"id":"ITEM-1","itemData":{"ISBN":"9781412965569","ISSN":"1356689X","PMID":"15175990","abstract":"(from the cover) The Third Edition of John W. Creswell's best-selling Research Design enables readers to compare three approaches to research—qualitative, quantitative, and mixed methods—in a single research methods text. The book examines these methodologies side by side within the process of research, from the beginning steps of philosophical assumptions to the writing and presenting of research. Written in a user-friendly manner, this text showcases ideas in a system of scaffolds so that the reader understands concepts from the simple to the complex. (PsycINFO Database Record (c) 2012 APA, all rights reserved) (cover)","author":[{"dropping-particle":"","family":"Creswell","given":"John W","non-dropping-particle":"","parse-names":false,"suffix":""}],"edition":"3rd ed.","id":"ITEM-1","issued":{"date-parts":[["2009"]]},"publisher":"Sage","publisher-place":"London, UK","title":"Research design: Qualitative, quantitative, and mixed methods approaches","type":"book"},"uris":["http://www.mendeley.com/documents/?uuid=ab302401-24db-40cf-aa66-3f81ac861aa1"]}],"mendeley":{"formattedCitation":"(Creswell, 2009)","manualFormatting":"Creswell (2009)","plainTextFormattedCitation":"(Creswell, 2009)","previouslyFormattedCitation":"(Creswell, 2009)"},"properties":{"noteIndex":0},"schema":"https://github.com/citation-style-language/schema/raw/master/csl-citation.json"}</w:instrText>
      </w:r>
      <w:r w:rsidRPr="002A7627">
        <w:fldChar w:fldCharType="separate"/>
      </w:r>
      <w:r w:rsidRPr="002A7627">
        <w:rPr>
          <w:noProof/>
        </w:rPr>
        <w:t>Creswell (2009)</w:t>
      </w:r>
      <w:r w:rsidRPr="002A7627">
        <w:fldChar w:fldCharType="end"/>
      </w:r>
      <w:r w:rsidRPr="002A7627">
        <w:t xml:space="preserve"> </w:t>
      </w:r>
      <w:r w:rsidR="00B9419B">
        <w:t>described</w:t>
      </w:r>
      <w:r w:rsidR="00B9419B" w:rsidRPr="002A7627">
        <w:t xml:space="preserve"> </w:t>
      </w:r>
      <w:r w:rsidRPr="002A7627">
        <w:t>three parts of the philosophical approach for any researcher: 1) The philosophical position of the researcher</w:t>
      </w:r>
      <w:r w:rsidR="00B9419B">
        <w:t>,</w:t>
      </w:r>
      <w:r w:rsidRPr="002A7627">
        <w:t xml:space="preserve"> which reflects the assumption</w:t>
      </w:r>
      <w:r w:rsidR="00B9419B">
        <w:t>s under</w:t>
      </w:r>
      <w:r w:rsidRPr="002A7627">
        <w:t xml:space="preserve"> which the researcher views the world</w:t>
      </w:r>
      <w:r w:rsidR="00B9419B">
        <w:t>;</w:t>
      </w:r>
      <w:r w:rsidRPr="002A7627">
        <w:t xml:space="preserve"> 2) The strategy </w:t>
      </w:r>
      <w:r w:rsidR="00B9419B">
        <w:t xml:space="preserve">chosen </w:t>
      </w:r>
      <w:r w:rsidRPr="002A7627">
        <w:t>for the study</w:t>
      </w:r>
      <w:r w:rsidR="00B9419B">
        <w:t>;</w:t>
      </w:r>
      <w:r w:rsidRPr="002A7627">
        <w:t xml:space="preserve"> and 3) the </w:t>
      </w:r>
      <w:r>
        <w:t xml:space="preserve">research </w:t>
      </w:r>
      <w:r w:rsidRPr="002A7627">
        <w:t xml:space="preserve">methodology. The </w:t>
      </w:r>
      <w:r w:rsidR="00B9419B">
        <w:t xml:space="preserve">research </w:t>
      </w:r>
      <w:r w:rsidRPr="002A7627">
        <w:t xml:space="preserve">philosophy enables </w:t>
      </w:r>
      <w:r w:rsidR="00B9419B">
        <w:t xml:space="preserve">the researcher </w:t>
      </w:r>
      <w:r w:rsidRPr="002A7627">
        <w:t xml:space="preserve">to </w:t>
      </w:r>
      <w:r w:rsidR="00DB0B98">
        <w:t>clarify</w:t>
      </w:r>
      <w:r w:rsidR="00DB0B98" w:rsidRPr="002A7627">
        <w:t xml:space="preserve"> </w:t>
      </w:r>
      <w:r w:rsidRPr="002A7627">
        <w:t xml:space="preserve">existing knowledge about the </w:t>
      </w:r>
      <w:r w:rsidR="00DB0B98">
        <w:t>study</w:t>
      </w:r>
      <w:r w:rsidR="00DB0B98" w:rsidRPr="002A7627">
        <w:t xml:space="preserve"> </w:t>
      </w:r>
      <w:r w:rsidR="00B9419B">
        <w:t>subject</w:t>
      </w:r>
      <w:r w:rsidRPr="002A7627">
        <w:t xml:space="preserve"> </w:t>
      </w:r>
      <w:r w:rsidRPr="002A7627">
        <w:rPr>
          <w:noProof/>
        </w:rPr>
        <w:t>(</w:t>
      </w:r>
      <w:bookmarkStart w:id="171" w:name="_Hlk19992770"/>
      <w:r w:rsidRPr="002A7627">
        <w:rPr>
          <w:noProof/>
        </w:rPr>
        <w:t>Johnson</w:t>
      </w:r>
      <w:bookmarkEnd w:id="171"/>
      <w:r w:rsidRPr="002A7627">
        <w:rPr>
          <w:noProof/>
        </w:rPr>
        <w:t xml:space="preserve"> &amp; Clark, 2014)</w:t>
      </w:r>
      <w:r w:rsidRPr="002A7627">
        <w:t xml:space="preserve">. A researcher should adopt a suitable philosophy </w:t>
      </w:r>
      <w:r w:rsidR="00B9419B">
        <w:t xml:space="preserve">so that the study will </w:t>
      </w:r>
      <w:r w:rsidRPr="002A7627">
        <w:t xml:space="preserve">add value to the field rather than being in an opposing position </w:t>
      </w:r>
      <w:r w:rsidRPr="002A7627">
        <w:fldChar w:fldCharType="begin" w:fldLock="1"/>
      </w:r>
      <w:r w:rsidRPr="002A7627">
        <w:instrText>ADDIN CSL_CITATION {"citationItems":[{"id":"ITEM-1","itemData":{"DOI":"10.2307/2655606","ISSN":"00943061","abstract":"Looking for a practical guide to using mixed methodologies? Authors Abbas Tashakkori and Charles Teddlie explore the most resourceful way to combine qualitative and quantitative methodologies. Beginning with a discussion of the paradigm wars between positivism and constructivism, Mixed Methodology explains the differences between using mixed methods in only the research methodology portion of a study versus using mixed model studies across all phases of the research process, and then presents a typology of mixed methods and mixed model studies. The authors next examine sampling and internal validity issues, reliability and validity questions, data collection procedures (includiong self-report techniques, questionnaires, observational methods, interaction analysis, and archival data/cultural artifacts), and data analysis techniques. Tashakkori and Teddlie conclude with detailed examples of current published and unpublished research that utilize mixed approaches. Researchers wanting to learn how to think about and utilize mixed methods in their studies will find this an indispensable guide for their work.","author":[{"dropping-particle":"","family":"Cotten","given":"Shelia R.","non-dropping-particle":"","parse-names":false,"suffix":""},{"dropping-particle":"","family":"Tashakkori","given":"Abbas","non-dropping-particle":"","parse-names":false,"suffix":""},{"dropping-particle":"","family":"Teddlie","given":"Charles","non-dropping-particle":"","parse-names":false,"suffix":""}],"container-title":"Contemporary Sociology","id":"ITEM-1","issued":{"date-parts":[["1999"]]},"title":"Mixed Methodology: Combining Qualitative and Quantitative Approaches","type":"article-journal"},"uris":["http://www.mendeley.com/documents/?uuid=e908d365-bc16-4714-a290-e34555eb6df9"]}],"mendeley":{"formattedCitation":"(Cotten, Tashakkori, &amp; Teddlie, 1999)","plainTextFormattedCitation":"(Cotten, Tashakkori, &amp; Teddlie, 1999)","previouslyFormattedCitation":"(Cotten, Tashakkori, &amp; Teddlie, 1999)"},"properties":{"noteIndex":0},"schema":"https://github.com/citation-style-language/schema/raw/master/csl-citation.json"}</w:instrText>
      </w:r>
      <w:r w:rsidRPr="002A7627">
        <w:fldChar w:fldCharType="separate"/>
      </w:r>
      <w:r w:rsidRPr="002A7627">
        <w:rPr>
          <w:noProof/>
        </w:rPr>
        <w:t>(</w:t>
      </w:r>
      <w:r w:rsidR="007F3B13">
        <w:t>Tashakkori, Teddlie, &amp; Teddlie, 1998</w:t>
      </w:r>
      <w:r w:rsidRPr="002A7627">
        <w:rPr>
          <w:noProof/>
        </w:rPr>
        <w:t>)</w:t>
      </w:r>
      <w:r w:rsidRPr="002A7627">
        <w:fldChar w:fldCharType="end"/>
      </w:r>
      <w:r w:rsidRPr="002A7627">
        <w:t xml:space="preserve">. </w:t>
      </w:r>
    </w:p>
    <w:p w14:paraId="21352829" w14:textId="4018AAEC" w:rsidR="001D5F54" w:rsidRDefault="001D5F54" w:rsidP="001D5F54">
      <w:pPr>
        <w:pStyle w:val="AAAAAAA"/>
      </w:pPr>
      <w:r>
        <w:t>T</w:t>
      </w:r>
      <w:r w:rsidRPr="002A7627">
        <w:t xml:space="preserve">he research paradigm should be clarified </w:t>
      </w:r>
      <w:r>
        <w:t>by its</w:t>
      </w:r>
      <w:r w:rsidRPr="002A7627">
        <w:t xml:space="preserve"> </w:t>
      </w:r>
      <w:r>
        <w:t>o</w:t>
      </w:r>
      <w:r w:rsidRPr="002A7627">
        <w:t xml:space="preserve">ntology </w:t>
      </w:r>
      <w:r>
        <w:t>and</w:t>
      </w:r>
      <w:r w:rsidRPr="002A7627">
        <w:t xml:space="preserve"> </w:t>
      </w:r>
      <w:r>
        <w:t>e</w:t>
      </w:r>
      <w:r w:rsidRPr="002A7627">
        <w:t>pistemology</w:t>
      </w:r>
      <w:r>
        <w:t>.</w:t>
      </w:r>
      <w:r w:rsidRPr="002A7627">
        <w:t xml:space="preserve"> The </w:t>
      </w:r>
      <w:r>
        <w:t>o</w:t>
      </w:r>
      <w:r w:rsidRPr="002A7627">
        <w:t xml:space="preserve">ntology relates to the </w:t>
      </w:r>
      <w:r w:rsidR="006A53A3">
        <w:t xml:space="preserve">researcher’s </w:t>
      </w:r>
      <w:r w:rsidRPr="002A7627">
        <w:t xml:space="preserve">assumptions </w:t>
      </w:r>
      <w:r w:rsidRPr="000F7F2A">
        <w:rPr>
          <w:color w:val="000000" w:themeColor="text1"/>
        </w:rPr>
        <w:t xml:space="preserve">about the nature of reality. </w:t>
      </w:r>
      <w:r>
        <w:t>T</w:t>
      </w:r>
      <w:r w:rsidRPr="002A7627">
        <w:t>here are two epistemological positions</w:t>
      </w:r>
      <w:r w:rsidR="006A53A3">
        <w:t>,</w:t>
      </w:r>
      <w:r w:rsidRPr="002A7627">
        <w:t xml:space="preserve"> positivism and interpretivism. Positivists prefer quantitative scientific methods, while interpretivists prefer humanistic qualitative methods.</w:t>
      </w:r>
    </w:p>
    <w:p w14:paraId="670B6563" w14:textId="734AFA30" w:rsidR="001D5F54" w:rsidRPr="004D08C5" w:rsidRDefault="001D5F54" w:rsidP="001D5F54">
      <w:pPr>
        <w:pStyle w:val="AAAAAAA"/>
        <w:rPr>
          <w:color w:val="000000" w:themeColor="text1"/>
        </w:rPr>
      </w:pPr>
      <w:r w:rsidRPr="004D08C5">
        <w:rPr>
          <w:color w:val="000000" w:themeColor="text1"/>
        </w:rPr>
        <w:t xml:space="preserve">Positivism falls into the epistemology of objectivism. It </w:t>
      </w:r>
      <w:r w:rsidR="0057295E">
        <w:rPr>
          <w:color w:val="000000" w:themeColor="text1"/>
        </w:rPr>
        <w:t xml:space="preserve">can be defined as a kind of philosophy that is based on facts </w:t>
      </w:r>
      <w:r w:rsidR="00992811">
        <w:rPr>
          <w:color w:val="000000" w:themeColor="text1"/>
        </w:rPr>
        <w:t xml:space="preserve">and scientific proof </w:t>
      </w:r>
      <w:r w:rsidR="0057295E">
        <w:rPr>
          <w:color w:val="000000" w:themeColor="text1"/>
        </w:rPr>
        <w:t xml:space="preserve">rather than ideas </w:t>
      </w:r>
      <w:r w:rsidRPr="004D08C5">
        <w:rPr>
          <w:color w:val="000000" w:themeColor="text1"/>
        </w:rPr>
        <w:fldChar w:fldCharType="begin" w:fldLock="1"/>
      </w:r>
      <w:r w:rsidRPr="004D08C5">
        <w:rPr>
          <w:color w:val="000000" w:themeColor="text1"/>
        </w:rPr>
        <w:instrText>ADDIN CSL_CITATION {"citationItems":[{"id":"ITEM-1","itemData":{"ISBN":"1-4039-4320-6","ISSN":"00943061","PMID":"805","abstract":"Choosing a research method can be bewildering. How can you be sure which methodology is appropriate, or whether your chosen combination of methods is consistent with the theoretical perspective you want to take? This book links methodology and theory with great clarity and precision, showing students and researchers how to navigate the maze of conflicting terminology. The major epistemological stances and theoretical perspectives that colour and shape current social research are detailed and the author reveals the philosophical origins of these schools of inquiry and shows how various disciplines contribute to the practice of social research as it is known today.","author":[{"dropping-particle":"","family":"Crotty","given":"Michael","non-dropping-particle":"","parse-names":false,"suffix":""}],"id":"ITEM-1","issued":{"date-parts":[["1998"]]},"publisher":"Sage","publisher-place":"London, UK","title":"The foundations of social research: Meaning and perspective in the research process","type":"book"},"uris":["http://www.mendeley.com/documents/?uuid=89aaf8b9-fc0f-4211-87c5-341530aab982"]}],"mendeley":{"formattedCitation":"(Crotty, 1998)","plainTextFormattedCitation":"(Crotty, 1998)","previouslyFormattedCitation":"(Crotty, 1998)"},"properties":{"noteIndex":0},"schema":"https://github.com/citation-style-language/schema/raw/master/csl-citation.json"}</w:instrText>
      </w:r>
      <w:r w:rsidRPr="004D08C5">
        <w:rPr>
          <w:color w:val="000000" w:themeColor="text1"/>
        </w:rPr>
        <w:fldChar w:fldCharType="separate"/>
      </w:r>
      <w:r w:rsidRPr="004D08C5">
        <w:rPr>
          <w:noProof/>
          <w:color w:val="000000" w:themeColor="text1"/>
        </w:rPr>
        <w:t>(Crotty, 1998)</w:t>
      </w:r>
      <w:r w:rsidRPr="004D08C5">
        <w:rPr>
          <w:color w:val="000000" w:themeColor="text1"/>
        </w:rPr>
        <w:fldChar w:fldCharType="end"/>
      </w:r>
      <w:r w:rsidRPr="004D08C5">
        <w:rPr>
          <w:color w:val="000000" w:themeColor="text1"/>
        </w:rPr>
        <w:t xml:space="preserve">. Under this paradigm, phenomena must be measured and supported by evidence to be fully understood </w:t>
      </w:r>
      <w:r w:rsidRPr="004D08C5">
        <w:rPr>
          <w:color w:val="000000" w:themeColor="text1"/>
        </w:rPr>
        <w:fldChar w:fldCharType="begin" w:fldLock="1"/>
      </w:r>
      <w:r w:rsidRPr="004D08C5">
        <w:rPr>
          <w:color w:val="000000" w:themeColor="text1"/>
        </w:rPr>
        <w:instrText>ADDIN CSL_CITATION {"citationItems":[{"id":"ITEM-1","itemData":{"author":[{"dropping-particle":"","family":"Hammersley","given":"M","non-dropping-particle":"","parse-names":false,"suffix":""}],"id":"ITEM-1","issued":{"date-parts":[["2012"]]},"publisher":"Bloomsbury","publisher-place":"New York, NY","title":"What is qualitative research?","type":"book"},"uris":["http://www.mendeley.com/documents/?uuid=a84855f7-d3ba-3b74-9e9a-305f4b36e576"]}],"mendeley":{"formattedCitation":"(Hammersley, 2012)","plainTextFormattedCitation":"(Hammersley, 2012)","previouslyFormattedCitation":"(Hammersley, 2012)"},"properties":{"noteIndex":0},"schema":"https://github.com/citation-style-language/schema/raw/master/csl-citation.json"}</w:instrText>
      </w:r>
      <w:r w:rsidRPr="004D08C5">
        <w:rPr>
          <w:color w:val="000000" w:themeColor="text1"/>
        </w:rPr>
        <w:fldChar w:fldCharType="separate"/>
      </w:r>
      <w:r w:rsidRPr="004D08C5">
        <w:rPr>
          <w:noProof/>
          <w:color w:val="000000" w:themeColor="text1"/>
        </w:rPr>
        <w:t>(Hammersley, 2012)</w:t>
      </w:r>
      <w:r w:rsidRPr="004D08C5">
        <w:rPr>
          <w:color w:val="000000" w:themeColor="text1"/>
        </w:rPr>
        <w:fldChar w:fldCharType="end"/>
      </w:r>
      <w:r w:rsidRPr="004D08C5">
        <w:rPr>
          <w:color w:val="000000" w:themeColor="text1"/>
        </w:rPr>
        <w:t xml:space="preserve">. For example, a study might explore the </w:t>
      </w:r>
      <w:r w:rsidR="0057295E">
        <w:rPr>
          <w:color w:val="000000" w:themeColor="text1"/>
        </w:rPr>
        <w:t>impact of an independent variable on</w:t>
      </w:r>
      <w:r w:rsidRPr="004D08C5">
        <w:rPr>
          <w:color w:val="000000" w:themeColor="text1"/>
        </w:rPr>
        <w:t xml:space="preserve"> one or more dependent variables by making causal inferences and using experimental designs. Researchers can maximize the </w:t>
      </w:r>
      <w:r w:rsidR="0057295E" w:rsidRPr="004D08C5">
        <w:rPr>
          <w:color w:val="000000" w:themeColor="text1"/>
        </w:rPr>
        <w:t>effect</w:t>
      </w:r>
      <w:r w:rsidRPr="004D08C5">
        <w:rPr>
          <w:color w:val="000000" w:themeColor="text1"/>
        </w:rPr>
        <w:t xml:space="preserve"> of the independent variable on the dependent variable and events through this process </w:t>
      </w:r>
      <w:r w:rsidRPr="004D08C5">
        <w:rPr>
          <w:color w:val="000000" w:themeColor="text1"/>
        </w:rPr>
        <w:fldChar w:fldCharType="begin" w:fldLock="1"/>
      </w:r>
      <w:r w:rsidRPr="004D08C5">
        <w:rPr>
          <w:color w:val="000000" w:themeColor="text1"/>
        </w:rPr>
        <w:instrText>ADDIN CSL_CITATION {"citationItems":[{"id":"ITEM-1","itemData":{"DOI":"10.1080/19415257.2011.643130","ISBN":"0415195411","ISSN":"1941-5257","abstract":"This fully updated sixth edition of the international bestseller Research Methods in Education covers the whole range of methods currently employed by educational research at all stages. It is divided into five main parts: the context of educational research; planning educational research; styles of educational research; strategies for data collection and researching; and data analysis. The book also contains references to a comprehensive dedicated website of accompanying materials. The sixth edition includes new material on: complexity theory, ethics, sampling and sensitive educational research experimental research, questionnaire design and administration with practical guidance qualitative and quantitative data analysis, with practical examples internet based research. Research Methods in Education is essential reading for the professional researcher and continues to be the standard text for students and lecturers in educationalresearch.","author":[{"dropping-particle":"","family":"Ingleby","given":"Ewan","non-dropping-particle":"","parse-names":false,"suffix":""}],"container-title":"Professional Development in Education","id":"ITEM-1","issue":"3","issued":{"date-parts":[["2012","7"]]},"page":"507-509","title":"Research methods in education","type":"article-journal","volume":"38"},"uris":["http://www.mendeley.com/documents/?uuid=366fabda-cb95-40c4-8534-64cde73dda80"]}],"mendeley":{"formattedCitation":"(Ingleby, 2012)","manualFormatting":"(Cohen, Manion, &amp; Morrison, 2012)","plainTextFormattedCitation":"(Ingleby, 2012)","previouslyFormattedCitation":"(Ingleby, 2012)"},"properties":{"noteIndex":0},"schema":"https://github.com/citation-style-language/schema/raw/master/csl-citation.json"}</w:instrText>
      </w:r>
      <w:r w:rsidRPr="004D08C5">
        <w:rPr>
          <w:color w:val="000000" w:themeColor="text1"/>
        </w:rPr>
        <w:fldChar w:fldCharType="separate"/>
      </w:r>
      <w:r w:rsidRPr="004D08C5">
        <w:rPr>
          <w:noProof/>
          <w:color w:val="000000" w:themeColor="text1"/>
        </w:rPr>
        <w:t xml:space="preserve">(Cohen, Manion, &amp; Morrison, </w:t>
      </w:r>
      <w:r w:rsidR="00D84A8E" w:rsidRPr="004D08C5">
        <w:rPr>
          <w:noProof/>
          <w:color w:val="000000" w:themeColor="text1"/>
        </w:rPr>
        <w:t>201</w:t>
      </w:r>
      <w:r w:rsidR="00D84A8E">
        <w:rPr>
          <w:noProof/>
          <w:color w:val="000000" w:themeColor="text1"/>
        </w:rPr>
        <w:t>1</w:t>
      </w:r>
      <w:r w:rsidRPr="004D08C5">
        <w:rPr>
          <w:noProof/>
          <w:color w:val="000000" w:themeColor="text1"/>
        </w:rPr>
        <w:t>)</w:t>
      </w:r>
      <w:r w:rsidRPr="004D08C5">
        <w:rPr>
          <w:color w:val="000000" w:themeColor="text1"/>
        </w:rPr>
        <w:fldChar w:fldCharType="end"/>
      </w:r>
      <w:r w:rsidRPr="004D08C5">
        <w:rPr>
          <w:color w:val="000000" w:themeColor="text1"/>
        </w:rPr>
        <w:t xml:space="preserve">. Positivist researchers aim to understand objects </w:t>
      </w:r>
      <w:r w:rsidR="006A53A3">
        <w:rPr>
          <w:color w:val="000000" w:themeColor="text1"/>
        </w:rPr>
        <w:t>through</w:t>
      </w:r>
      <w:r w:rsidR="006A53A3" w:rsidRPr="004D08C5">
        <w:rPr>
          <w:color w:val="000000" w:themeColor="text1"/>
        </w:rPr>
        <w:t xml:space="preserve"> </w:t>
      </w:r>
      <w:r w:rsidRPr="004D08C5">
        <w:rPr>
          <w:color w:val="000000" w:themeColor="text1"/>
        </w:rPr>
        <w:t xml:space="preserve">empirical tests and methods such as sampling, measurement, </w:t>
      </w:r>
      <w:r w:rsidR="0057295E" w:rsidRPr="004D08C5">
        <w:rPr>
          <w:color w:val="000000" w:themeColor="text1"/>
        </w:rPr>
        <w:t xml:space="preserve">focus group discussions </w:t>
      </w:r>
      <w:r w:rsidR="0057295E">
        <w:rPr>
          <w:color w:val="000000" w:themeColor="text1"/>
        </w:rPr>
        <w:t xml:space="preserve">and </w:t>
      </w:r>
      <w:r w:rsidRPr="004D08C5">
        <w:rPr>
          <w:color w:val="000000" w:themeColor="text1"/>
        </w:rPr>
        <w:t xml:space="preserve">questionnaires. This empirical foundation means that the insights </w:t>
      </w:r>
      <w:r w:rsidR="0057295E">
        <w:rPr>
          <w:color w:val="000000" w:themeColor="text1"/>
        </w:rPr>
        <w:t>determined</w:t>
      </w:r>
      <w:r w:rsidR="0057295E" w:rsidRPr="004D08C5">
        <w:rPr>
          <w:color w:val="000000" w:themeColor="text1"/>
        </w:rPr>
        <w:t xml:space="preserve"> </w:t>
      </w:r>
      <w:r w:rsidRPr="004D08C5">
        <w:rPr>
          <w:color w:val="000000" w:themeColor="text1"/>
        </w:rPr>
        <w:t xml:space="preserve">by positivist researchers are likely to have a high standard of </w:t>
      </w:r>
      <w:r w:rsidR="0057295E">
        <w:rPr>
          <w:color w:val="000000" w:themeColor="text1"/>
        </w:rPr>
        <w:t>reliability and validity</w:t>
      </w:r>
      <w:r w:rsidRPr="004D08C5">
        <w:rPr>
          <w:color w:val="000000" w:themeColor="text1"/>
        </w:rPr>
        <w:t xml:space="preserve"> and can often be generalized to population level </w:t>
      </w:r>
      <w:r w:rsidRPr="004D08C5">
        <w:rPr>
          <w:color w:val="000000" w:themeColor="text1"/>
        </w:rPr>
        <w:fldChar w:fldCharType="begin" w:fldLock="1"/>
      </w:r>
      <w:r w:rsidRPr="004D08C5">
        <w:rPr>
          <w:color w:val="000000" w:themeColor="text1"/>
        </w:rPr>
        <w:instrText>ADDIN CSL_CITATION {"citationItems":[{"id":"ITEM-1","itemData":{"DOI":"10.3102/0013189X033007014","ISSN":"0013-189X","abstract":"The purposes of this article are to position mixed methods research (mixed research is a synonym) as the natural complement to tradi- tional qualitative and quantitative research, to present pragmatism as offering an attractive philosophical partner for mixed methods re- search, and to provide a framework for designing and conducting mixed methods research. In doing this, we briefly review the para- digm “wars” and incompatibility thesis, we show some commonali- ties between quantitative and qualitative research, we explain the tenets of pragmatism, we explain the fundamental principle of mixed research and how to apply it, we provide specific sets of designs for the two major types of mixed methods research (mixed-model de- signs and mixed-method designs), and, finally, we explain mixed meth- ods research as following (recursively) an eight-step process. A key feature of mixed methods research is its methodological pluralism or eclecticism, which frequently results in superior research (com- pared to monomethod research). Mixed methods research will be successful as more investigators study and help advance its concepts and as they regularly practice it.","author":[{"dropping-particle":"","family":"Johnson","given":"R. Burke","non-dropping-particle":"","parse-names":false,"suffix":""},{"dropping-particle":"","family":"Onwuegbuzie","given":"Anthony J.","non-dropping-particle":"","parse-names":false,"suffix":""}],"container-title":"Educational Researcher","id":"ITEM-1","issue":"7","issued":{"date-parts":[["2004","10"]]},"page":"14-26","title":"Mixed methods research: A research paradigm whose time has come","type":"article-journal","volume":"33"},"uris":["http://www.mendeley.com/documents/?uuid=acf812b8-eb8f-47c4-8ae8-5cf7fbbba754"]}],"mendeley":{"formattedCitation":"(R. B. Johnson &amp; Onwuegbuzie, 2004)","manualFormatting":"(Johnson &amp; Onwuegbuzie, 2004)","plainTextFormattedCitation":"(R. B. Johnson &amp; Onwuegbuzie, 2004)","previouslyFormattedCitation":"(R. B. Johnson &amp; Onwuegbuzie, 2004)"},"properties":{"noteIndex":0},"schema":"https://github.com/citation-style-language/schema/raw/master/csl-citation.json"}</w:instrText>
      </w:r>
      <w:r w:rsidRPr="004D08C5">
        <w:rPr>
          <w:color w:val="000000" w:themeColor="text1"/>
        </w:rPr>
        <w:fldChar w:fldCharType="separate"/>
      </w:r>
      <w:r w:rsidRPr="004D08C5">
        <w:rPr>
          <w:noProof/>
          <w:color w:val="000000" w:themeColor="text1"/>
        </w:rPr>
        <w:t>(Johnson &amp; Onwuegbuzie, 2004)</w:t>
      </w:r>
      <w:r w:rsidRPr="004D08C5">
        <w:rPr>
          <w:color w:val="000000" w:themeColor="text1"/>
        </w:rPr>
        <w:fldChar w:fldCharType="end"/>
      </w:r>
      <w:r w:rsidRPr="004D08C5">
        <w:rPr>
          <w:color w:val="000000" w:themeColor="text1"/>
        </w:rPr>
        <w:t xml:space="preserve">. </w:t>
      </w:r>
    </w:p>
    <w:p w14:paraId="05791078" w14:textId="4690FD6B" w:rsidR="00A93414" w:rsidRPr="002A7627" w:rsidRDefault="00A93414" w:rsidP="00D53597">
      <w:pPr>
        <w:pStyle w:val="AAAAAAA"/>
      </w:pPr>
      <w:r w:rsidRPr="002A7627">
        <w:t>Th</w:t>
      </w:r>
      <w:r w:rsidR="006A53A3">
        <w:t>is study’s</w:t>
      </w:r>
      <w:r w:rsidRPr="002A7627">
        <w:t xml:space="preserve"> ontological perspective </w:t>
      </w:r>
      <w:r w:rsidR="006A53A3">
        <w:t xml:space="preserve">is based in </w:t>
      </w:r>
      <w:r w:rsidRPr="002A7627">
        <w:t xml:space="preserve">understanding the nature of human </w:t>
      </w:r>
      <w:r w:rsidR="00B040E4" w:rsidRPr="002A7627">
        <w:t>behavio</w:t>
      </w:r>
      <w:r w:rsidR="00B040E4">
        <w:t>r</w:t>
      </w:r>
      <w:r w:rsidRPr="002A7627">
        <w:t xml:space="preserve"> in a </w:t>
      </w:r>
      <w:r>
        <w:t>particular</w:t>
      </w:r>
      <w:r w:rsidRPr="002A7627">
        <w:t xml:space="preserve"> context and then </w:t>
      </w:r>
      <w:r w:rsidR="00B040E4" w:rsidRPr="002A7627">
        <w:t>generali</w:t>
      </w:r>
      <w:r w:rsidR="00B040E4">
        <w:t>z</w:t>
      </w:r>
      <w:r w:rsidR="00B040E4" w:rsidRPr="002A7627">
        <w:t>ing</w:t>
      </w:r>
      <w:r w:rsidRPr="002A7627">
        <w:t xml:space="preserve"> the findin</w:t>
      </w:r>
      <w:r>
        <w:t xml:space="preserve">gs and interpreting them </w:t>
      </w:r>
      <w:r w:rsidRPr="002A7627">
        <w:fldChar w:fldCharType="begin" w:fldLock="1"/>
      </w:r>
      <w:r w:rsidRPr="002A7627">
        <w:instrText>ADDIN CSL_CITATION {"citationItems":[{"id":"ITEM-1","itemData":{"author":[{"dropping-particle":"","family":"Stylidis","given":"Dimitrios","non-dropping-particle":"","parse-names":false,"suffix":""}],"id":"ITEM-1","issued":{"date-parts":[["2012"]]},"publisher":"University of Surrey","publisher-place":"Guildford, UK JANUARY","title":"Tourism and community life: Building a conceptual framework","type":"thesis"},"uris":["http://www.mendeley.com/documents/?uuid=01716983-99d1-3925-8032-f3b504c11761"]}],"mendeley":{"formattedCitation":"(Stylidis, 2012)","plainTextFormattedCitation":"(Stylidis, 2012)","previouslyFormattedCitation":"(Stylidis, 2012)"},"properties":{"noteIndex":0},"schema":"https://github.com/citation-style-language/schema/raw/master/csl-citation.json"}</w:instrText>
      </w:r>
      <w:r w:rsidRPr="002A7627">
        <w:fldChar w:fldCharType="separate"/>
      </w:r>
      <w:r w:rsidRPr="002A7627">
        <w:rPr>
          <w:noProof/>
        </w:rPr>
        <w:t>(Stylidis, 2012)</w:t>
      </w:r>
      <w:r w:rsidRPr="002A7627">
        <w:fldChar w:fldCharType="end"/>
      </w:r>
      <w:r w:rsidRPr="002A7627">
        <w:t xml:space="preserve">. </w:t>
      </w:r>
      <w:r w:rsidR="006A53A3">
        <w:t>It</w:t>
      </w:r>
      <w:r w:rsidRPr="002A7627">
        <w:t xml:space="preserve"> tries to explain human behavior in a particular context through understanding the relationships between the independent variables of </w:t>
      </w:r>
      <w:r w:rsidR="006A53A3" w:rsidRPr="002A7627">
        <w:t xml:space="preserve">knowledge management capabilities </w:t>
      </w:r>
      <w:r w:rsidRPr="002A7627">
        <w:t xml:space="preserve">and HR </w:t>
      </w:r>
      <w:r w:rsidR="006A53A3" w:rsidRPr="002A7627">
        <w:t>practices for knowledge sharing (</w:t>
      </w:r>
      <w:r w:rsidR="006A53A3">
        <w:t xml:space="preserve">enhancing </w:t>
      </w:r>
      <w:r w:rsidR="006A53A3" w:rsidRPr="002A7627">
        <w:t xml:space="preserve">extrinsic motivation, intrinsic motivation, opportunities and abilities) and the dependent variable of knowledge management benefits, through the mediating variable of organizational learning. </w:t>
      </w:r>
    </w:p>
    <w:p w14:paraId="1079867E" w14:textId="3D9AF480" w:rsidR="00A93414" w:rsidRPr="002A7627" w:rsidRDefault="00A93414" w:rsidP="00A93414">
      <w:pPr>
        <w:pStyle w:val="AAAAAAA"/>
      </w:pPr>
      <w:r w:rsidRPr="002A7627">
        <w:t xml:space="preserve">As the research strategy, this study </w:t>
      </w:r>
      <w:r w:rsidR="0057295E">
        <w:t>develop</w:t>
      </w:r>
      <w:r w:rsidR="00992811">
        <w:t>ed</w:t>
      </w:r>
      <w:r w:rsidR="0057295E">
        <w:t xml:space="preserve"> hypotheses using related theories </w:t>
      </w:r>
      <w:r w:rsidR="0002111F">
        <w:t>to</w:t>
      </w:r>
      <w:r w:rsidRPr="002A7627">
        <w:t xml:space="preserve"> explain the </w:t>
      </w:r>
      <w:r>
        <w:t>links</w:t>
      </w:r>
      <w:r w:rsidRPr="002A7627">
        <w:t xml:space="preserve"> between the research variables. </w:t>
      </w:r>
      <w:r w:rsidR="00992811">
        <w:t>It used</w:t>
      </w:r>
      <w:r w:rsidRPr="002A7627">
        <w:t xml:space="preserve"> quantitative method</w:t>
      </w:r>
      <w:r w:rsidR="0002111F">
        <w:t>s to</w:t>
      </w:r>
      <w:r w:rsidRPr="002A7627">
        <w:t xml:space="preserve"> collect data from a sample of potential respondents</w:t>
      </w:r>
      <w:r w:rsidR="0002111F">
        <w:t>,</w:t>
      </w:r>
      <w:r w:rsidRPr="002A7627">
        <w:t xml:space="preserve"> via a questionnaire survey, </w:t>
      </w:r>
      <w:r w:rsidR="005E6936" w:rsidRPr="002A7627">
        <w:t>analy</w:t>
      </w:r>
      <w:r w:rsidR="005E6936">
        <w:t>z</w:t>
      </w:r>
      <w:r w:rsidR="005E6936" w:rsidRPr="002A7627">
        <w:t>ing</w:t>
      </w:r>
      <w:r w:rsidRPr="002A7627">
        <w:t xml:space="preserve"> the data using suitable software to </w:t>
      </w:r>
      <w:r w:rsidR="0057295E">
        <w:t>test</w:t>
      </w:r>
      <w:r w:rsidR="0057295E" w:rsidRPr="002A7627">
        <w:t xml:space="preserve"> </w:t>
      </w:r>
      <w:r w:rsidRPr="002A7627">
        <w:t xml:space="preserve">causal relationships between the variables and </w:t>
      </w:r>
      <w:r w:rsidR="005E6936" w:rsidRPr="002A7627">
        <w:t>generali</w:t>
      </w:r>
      <w:r w:rsidR="005E6936">
        <w:t>z</w:t>
      </w:r>
      <w:r w:rsidR="005E6936" w:rsidRPr="002A7627">
        <w:t>ing</w:t>
      </w:r>
      <w:r w:rsidRPr="002A7627">
        <w:t xml:space="preserve"> the findings to the entire population. </w:t>
      </w:r>
      <w:r w:rsidR="0002111F">
        <w:t>It therefore follow</w:t>
      </w:r>
      <w:r w:rsidR="00992811">
        <w:t>ed</w:t>
      </w:r>
      <w:r w:rsidR="0002111F">
        <w:t xml:space="preserve"> a</w:t>
      </w:r>
      <w:r w:rsidRPr="002A7627">
        <w:t xml:space="preserve"> positivist paradigm.</w:t>
      </w:r>
    </w:p>
    <w:p w14:paraId="21293A69" w14:textId="2F69EDCF" w:rsidR="00A93414" w:rsidRPr="002A7627" w:rsidRDefault="00592B9D" w:rsidP="00A93414">
      <w:pPr>
        <w:pStyle w:val="Heading1"/>
        <w:rPr>
          <w:color w:val="000000"/>
        </w:rPr>
      </w:pPr>
      <w:bookmarkStart w:id="172" w:name="_Toc22331678"/>
      <w:r>
        <w:rPr>
          <w:color w:val="000000"/>
        </w:rPr>
        <w:t xml:space="preserve">4.4. </w:t>
      </w:r>
      <w:r w:rsidR="00A93414" w:rsidRPr="002A7627">
        <w:rPr>
          <w:color w:val="000000"/>
        </w:rPr>
        <w:t>Research Approach</w:t>
      </w:r>
      <w:bookmarkEnd w:id="172"/>
    </w:p>
    <w:p w14:paraId="45B28F2F" w14:textId="14C5B616" w:rsidR="00A93414" w:rsidRPr="002A7627" w:rsidRDefault="0002111F" w:rsidP="00D53597">
      <w:pPr>
        <w:pStyle w:val="AAAAAAA"/>
      </w:pPr>
      <w:r>
        <w:t>The r</w:t>
      </w:r>
      <w:r w:rsidR="00A93414" w:rsidRPr="002A7627">
        <w:t xml:space="preserve">esearch approach is </w:t>
      </w:r>
      <w:r>
        <w:t>usually either</w:t>
      </w:r>
      <w:r w:rsidR="00A93414" w:rsidRPr="002A7627">
        <w:t xml:space="preserve"> deductive or inductive. An inductive approach means collecting data, analy</w:t>
      </w:r>
      <w:r w:rsidR="00A93414">
        <w:t>z</w:t>
      </w:r>
      <w:r w:rsidR="00A93414" w:rsidRPr="002A7627">
        <w:t xml:space="preserve">ing it, and then developing a </w:t>
      </w:r>
      <w:r w:rsidR="00D53597">
        <w:t>theory</w:t>
      </w:r>
      <w:r w:rsidR="00D53597" w:rsidRPr="002A7627">
        <w:t xml:space="preserve"> </w:t>
      </w:r>
      <w:r w:rsidR="00A93414" w:rsidRPr="002A7627">
        <w:fldChar w:fldCharType="begin" w:fldLock="1"/>
      </w:r>
      <w:r w:rsidR="00A93414" w:rsidRPr="002A7627">
        <w:instrText>ADDIN CSL_CITATION {"citationItems":[{"id":"ITEM-1","itemData":{"ISBN":"9780273716860","ISSN":"0047-2875","PMID":"15573286","abstract":"A comprehensive introduction to research methods in business for students planning or undertaking a dissertation or extensive research project in business and management.The fifth edition of Research Methods for Business Students brings the theory, philosophy and techniques of research to life and enables students to understand the practical relevance of the research methods. A highly accessible style and logical structure have made this the Āstudent choice' and run-away market leader.The book is written for students on undergraduate and postgraduate degree programmes in business, or business-related disciplines.The following online resources support the text: For Students: self-assessment questions, glossary, revision ĀflashcardsĀ, tutorials for SPSS and NVivo, plus Smarter Online Searching GuideFor Instructors: teaching manual, powerpoint slides, testbank","author":[{"dropping-particle":"","family":"Saunders","given":"M.","non-dropping-particle":"","parse-names":false,"suffix":""},{"dropping-particle":"","family":"Lewis","given":"P.","non-dropping-particle":"","parse-names":false,"suffix":""},{"dropping-particle":"","family":"Thornhill","given":"A.","non-dropping-particle":"","parse-names":false,"suffix":""}],"edition":"5th ed.","id":"ITEM-1","issued":{"date-parts":[["2009"]]},"publisher":"Pearson","publisher-place":"London, UK","title":"Research methods for business Students","type":"book"},"uris":["http://www.mendeley.com/documents/?uuid=09af60fa-03ed-4774-8c1e-97c1e1a9db81"]}],"mendeley":{"formattedCitation":"(Saunders et al., 2009)","plainTextFormattedCitation":"(Saunders et al., 2009)","previouslyFormattedCitation":"(Saunders et al., 2009)"},"properties":{"noteIndex":0},"schema":"https://github.com/citation-style-language/schema/raw/master/csl-citation.json"}</w:instrText>
      </w:r>
      <w:r w:rsidR="00A93414" w:rsidRPr="002A7627">
        <w:fldChar w:fldCharType="separate"/>
      </w:r>
      <w:r w:rsidR="00A93414" w:rsidRPr="002A7627">
        <w:rPr>
          <w:noProof/>
        </w:rPr>
        <w:t>(Saunders et al., 2009)</w:t>
      </w:r>
      <w:r w:rsidR="00A93414" w:rsidRPr="002A7627">
        <w:fldChar w:fldCharType="end"/>
      </w:r>
      <w:r w:rsidR="00A93414" w:rsidRPr="002A7627">
        <w:t>.</w:t>
      </w:r>
      <w:r w:rsidR="00A93414">
        <w:t xml:space="preserve"> </w:t>
      </w:r>
      <w:r>
        <w:t>D</w:t>
      </w:r>
      <w:r w:rsidR="00A93414" w:rsidRPr="002A7627">
        <w:t xml:space="preserve">eductive </w:t>
      </w:r>
      <w:r w:rsidR="00D53597">
        <w:t>method</w:t>
      </w:r>
      <w:r>
        <w:t>s use</w:t>
      </w:r>
      <w:r w:rsidR="00A93414" w:rsidRPr="002A7627">
        <w:t xml:space="preserve"> four stages including </w:t>
      </w:r>
      <w:r>
        <w:t>d</w:t>
      </w:r>
      <w:r w:rsidR="00A93414" w:rsidRPr="002A7627">
        <w:t>educing the research hypotheses</w:t>
      </w:r>
      <w:r w:rsidR="00992811">
        <w:t>,</w:t>
      </w:r>
      <w:r w:rsidR="00A93414" w:rsidRPr="002A7627">
        <w:t xml:space="preserve"> testing the proposition among variables</w:t>
      </w:r>
      <w:r>
        <w:t>,</w:t>
      </w:r>
      <w:r w:rsidR="00A93414" w:rsidRPr="002A7627">
        <w:t xml:space="preserve"> </w:t>
      </w:r>
      <w:r w:rsidR="00992811">
        <w:t>examining</w:t>
      </w:r>
      <w:r w:rsidR="00A93414" w:rsidRPr="002A7627">
        <w:t xml:space="preserve"> the hypotheses </w:t>
      </w:r>
      <w:r w:rsidR="00992811">
        <w:t>by measuring</w:t>
      </w:r>
      <w:r w:rsidR="00A93414">
        <w:t xml:space="preserve"> </w:t>
      </w:r>
      <w:r>
        <w:t>variables,</w:t>
      </w:r>
      <w:r w:rsidR="00A93414">
        <w:t xml:space="preserve"> </w:t>
      </w:r>
      <w:r w:rsidR="00A93414" w:rsidRPr="002A7627">
        <w:t xml:space="preserve">and </w:t>
      </w:r>
      <w:r>
        <w:t>looking c</w:t>
      </w:r>
      <w:r w:rsidR="00A93414">
        <w:t>losely at</w:t>
      </w:r>
      <w:r w:rsidR="00A93414" w:rsidRPr="002A7627">
        <w:t xml:space="preserve"> the outcomes to find out whether they support the hypotheses </w:t>
      </w:r>
      <w:r w:rsidR="00A93414" w:rsidRPr="002A7627">
        <w:fldChar w:fldCharType="begin" w:fldLock="1"/>
      </w:r>
      <w:r w:rsidR="00A93414" w:rsidRPr="002A7627">
        <w:instrText>ADDIN CSL_CITATION {"citationItems":[{"id":"ITEM-1","itemData":{"ISBN":"9780273716860","ISSN":"0047-2875","PMID":"15573286","abstract":"A comprehensive introduction to research methods in business for students planning or undertaking a dissertation or extensive research project in business and management.The fifth edition of Research Methods for Business Students brings the theory, philosophy and techniques of research to life and enables students to understand the practical relevance of the research methods. A highly accessible style and logical structure have made this the Āstudent choice' and run-away market leader.The book is written for students on undergraduate and postgraduate degree programmes in business, or business-related disciplines.The following online resources support the text: For Students: self-assessment questions, glossary, revision ĀflashcardsĀ, tutorials for SPSS and NVivo, plus Smarter Online Searching GuideFor Instructors: teaching manual, powerpoint slides, testbank","author":[{"dropping-particle":"","family":"Saunders","given":"M.","non-dropping-particle":"","parse-names":false,"suffix":""},{"dropping-particle":"","family":"Lewis","given":"P.","non-dropping-particle":"","parse-names":false,"suffix":""},{"dropping-particle":"","family":"Thornhill","given":"A.","non-dropping-particle":"","parse-names":false,"suffix":""}],"edition":"5th ed.","id":"ITEM-1","issued":{"date-parts":[["2009"]]},"publisher":"Pearson","publisher-place":"London, UK","title":"Research methods for business Students","type":"book"},"uris":["http://www.mendeley.com/documents/?uuid=09af60fa-03ed-4774-8c1e-97c1e1a9db81"]}],"mendeley":{"formattedCitation":"(Saunders et al., 2009)","plainTextFormattedCitation":"(Saunders et al., 2009)","previouslyFormattedCitation":"(Saunders et al., 2009)"},"properties":{"noteIndex":0},"schema":"https://github.com/citation-style-language/schema/raw/master/csl-citation.json"}</w:instrText>
      </w:r>
      <w:r w:rsidR="00A93414" w:rsidRPr="002A7627">
        <w:fldChar w:fldCharType="separate"/>
      </w:r>
      <w:r w:rsidR="00A93414" w:rsidRPr="002A7627">
        <w:rPr>
          <w:noProof/>
        </w:rPr>
        <w:t>(Saunders et al., 2009)</w:t>
      </w:r>
      <w:r w:rsidR="00A93414" w:rsidRPr="002A7627">
        <w:fldChar w:fldCharType="end"/>
      </w:r>
      <w:r w:rsidR="00A93414" w:rsidRPr="002A7627">
        <w:t>.</w:t>
      </w:r>
    </w:p>
    <w:p w14:paraId="46EFB08E" w14:textId="35D318B5" w:rsidR="00A93414" w:rsidRPr="002A7627" w:rsidRDefault="0002111F" w:rsidP="0000749A">
      <w:pPr>
        <w:pStyle w:val="AAAAAAA"/>
      </w:pPr>
      <w:r>
        <w:t>This</w:t>
      </w:r>
      <w:r w:rsidR="00A93414" w:rsidRPr="002A7627">
        <w:t xml:space="preserve"> study </w:t>
      </w:r>
      <w:r>
        <w:t>used a</w:t>
      </w:r>
      <w:r w:rsidR="00A93414" w:rsidRPr="002A7627">
        <w:t xml:space="preserve"> deductive approach. </w:t>
      </w:r>
      <w:r>
        <w:t>I</w:t>
      </w:r>
      <w:r w:rsidR="00992811">
        <w:t>t</w:t>
      </w:r>
      <w:r>
        <w:t xml:space="preserve"> </w:t>
      </w:r>
      <w:r w:rsidR="00A93414" w:rsidRPr="002A7627">
        <w:t>trie</w:t>
      </w:r>
      <w:r w:rsidR="00992811">
        <w:t>d</w:t>
      </w:r>
      <w:r w:rsidR="00A93414" w:rsidRPr="002A7627">
        <w:t xml:space="preserve"> to test and develop a framework for knowledge management in ADP by proposing 11 hypotheses. </w:t>
      </w:r>
      <w:r>
        <w:t>T</w:t>
      </w:r>
      <w:r w:rsidR="00A93414">
        <w:t xml:space="preserve">he theoretical framework is </w:t>
      </w:r>
      <w:r w:rsidR="0057295E">
        <w:t>shown</w:t>
      </w:r>
      <w:r w:rsidR="00A93414" w:rsidRPr="002A7627">
        <w:t xml:space="preserve"> in Figure </w:t>
      </w:r>
      <w:r w:rsidR="00FB4A03">
        <w:t>3</w:t>
      </w:r>
      <w:r w:rsidR="00A93414" w:rsidRPr="002A7627">
        <w:t xml:space="preserve">, </w:t>
      </w:r>
      <w:r>
        <w:t>including the</w:t>
      </w:r>
      <w:r w:rsidRPr="002A7627">
        <w:t xml:space="preserve"> </w:t>
      </w:r>
      <w:r w:rsidR="00A93414" w:rsidRPr="002A7627">
        <w:t xml:space="preserve">research hypotheses. The </w:t>
      </w:r>
      <w:r w:rsidR="00A93414">
        <w:t>theoretic</w:t>
      </w:r>
      <w:r w:rsidR="00A93414" w:rsidRPr="002A7627">
        <w:t xml:space="preserve">al framework of the </w:t>
      </w:r>
      <w:r w:rsidR="00A93414">
        <w:t>study</w:t>
      </w:r>
      <w:r w:rsidR="00A93414" w:rsidRPr="002A7627">
        <w:t xml:space="preserve"> illustrates two </w:t>
      </w:r>
      <w:r w:rsidR="0057295E">
        <w:t>factors</w:t>
      </w:r>
      <w:r w:rsidR="0057295E" w:rsidRPr="002A7627">
        <w:t xml:space="preserve"> </w:t>
      </w:r>
      <w:r w:rsidR="00A93414" w:rsidRPr="002A7627">
        <w:t xml:space="preserve">for knowledge management: 1) </w:t>
      </w:r>
      <w:r>
        <w:t>knowledge management</w:t>
      </w:r>
      <w:r w:rsidRPr="002A7627">
        <w:t xml:space="preserve"> </w:t>
      </w:r>
      <w:r w:rsidR="00A93414" w:rsidRPr="002A7627">
        <w:t xml:space="preserve">capabilities and human resources practices for knowledge sharing, and 2) </w:t>
      </w:r>
      <w:r w:rsidR="00992811">
        <w:t>o</w:t>
      </w:r>
      <w:r w:rsidR="0000749A">
        <w:t xml:space="preserve">rganizational learning and </w:t>
      </w:r>
      <w:r>
        <w:t xml:space="preserve">knowledge management </w:t>
      </w:r>
      <w:r w:rsidR="0000749A">
        <w:t>benefit</w:t>
      </w:r>
      <w:r w:rsidR="00A93414" w:rsidRPr="002A7627">
        <w:t xml:space="preserve">. Knowledge management capabilities </w:t>
      </w:r>
      <w:r w:rsidR="0000749A">
        <w:t xml:space="preserve">focusing on </w:t>
      </w:r>
      <w:r w:rsidR="00A93414" w:rsidRPr="002A7627">
        <w:t>knowledge technological capabilities</w:t>
      </w:r>
      <w:r w:rsidR="0000749A">
        <w:t>,</w:t>
      </w:r>
      <w:r w:rsidR="00A93414" w:rsidRPr="002A7627">
        <w:t xml:space="preserve"> and human resources practices for knowledge sharing (</w:t>
      </w:r>
      <w:r>
        <w:t>including</w:t>
      </w:r>
      <w:r w:rsidR="00A93414" w:rsidRPr="002A7627">
        <w:t xml:space="preserve"> </w:t>
      </w:r>
      <w:r>
        <w:t xml:space="preserve">practices to enhance </w:t>
      </w:r>
      <w:r w:rsidR="00A93414" w:rsidRPr="002A7627">
        <w:t xml:space="preserve">four </w:t>
      </w:r>
      <w:r>
        <w:t>elements</w:t>
      </w:r>
      <w:r w:rsidR="00A93414" w:rsidRPr="002A7627">
        <w:t xml:space="preserve">: extrinsic motivation, intrinsic motivation, opportunities and abilities) </w:t>
      </w:r>
      <w:r>
        <w:t>were</w:t>
      </w:r>
      <w:r w:rsidR="00A93414" w:rsidRPr="002A7627">
        <w:t xml:space="preserve"> the independent research variables. </w:t>
      </w:r>
      <w:r w:rsidR="0057295E">
        <w:t xml:space="preserve">Knowledge management benefits </w:t>
      </w:r>
      <w:r>
        <w:t>was</w:t>
      </w:r>
      <w:r w:rsidR="0057295E">
        <w:t xml:space="preserve"> t</w:t>
      </w:r>
      <w:r w:rsidR="00A93414" w:rsidRPr="002A7627">
        <w:t>he dependent variable of the study (</w:t>
      </w:r>
      <w:r>
        <w:t>including</w:t>
      </w:r>
      <w:r w:rsidR="00A93414" w:rsidRPr="002A7627">
        <w:t xml:space="preserve"> driving strategy, solving problems, diffusing best practices, improving embedded knowledge, increasing innovation, enhancing </w:t>
      </w:r>
      <w:r w:rsidR="005E6936" w:rsidRPr="002A7627">
        <w:t>organi</w:t>
      </w:r>
      <w:r w:rsidR="005E6936">
        <w:t>z</w:t>
      </w:r>
      <w:r w:rsidR="005E6936" w:rsidRPr="002A7627">
        <w:t>ation</w:t>
      </w:r>
      <w:r>
        <w:t>al</w:t>
      </w:r>
      <w:r w:rsidR="00A93414" w:rsidRPr="002A7627">
        <w:t xml:space="preserve"> position and building </w:t>
      </w:r>
      <w:r w:rsidR="005E6936" w:rsidRPr="002A7627">
        <w:t>organi</w:t>
      </w:r>
      <w:r w:rsidR="005E6936">
        <w:t>z</w:t>
      </w:r>
      <w:r w:rsidR="005E6936" w:rsidRPr="002A7627">
        <w:t>ational</w:t>
      </w:r>
      <w:r w:rsidR="00A93414" w:rsidRPr="002A7627">
        <w:t xml:space="preserve"> memory). </w:t>
      </w:r>
      <w:r w:rsidR="005E6936" w:rsidRPr="002A7627">
        <w:t>Organi</w:t>
      </w:r>
      <w:r w:rsidR="005E6936">
        <w:t>z</w:t>
      </w:r>
      <w:r w:rsidR="005E6936" w:rsidRPr="002A7627">
        <w:t>ational</w:t>
      </w:r>
      <w:r w:rsidR="00A93414" w:rsidRPr="002A7627">
        <w:t xml:space="preserve"> learning </w:t>
      </w:r>
      <w:r>
        <w:t xml:space="preserve">was also tested </w:t>
      </w:r>
      <w:r w:rsidR="00A93414" w:rsidRPr="002A7627">
        <w:t xml:space="preserve">as a mediator </w:t>
      </w:r>
      <w:r w:rsidR="00A93414">
        <w:t xml:space="preserve">between </w:t>
      </w:r>
      <w:r w:rsidR="0000749A">
        <w:t xml:space="preserve">knowledge management capabilities, HR practices for knowledge sharing and knowledge management benefits. </w:t>
      </w:r>
    </w:p>
    <w:p w14:paraId="74552008" w14:textId="4221AA56" w:rsidR="00A93414" w:rsidRPr="002A7627" w:rsidRDefault="00592B9D" w:rsidP="00A93414">
      <w:pPr>
        <w:pStyle w:val="Heading1"/>
        <w:rPr>
          <w:color w:val="000000"/>
        </w:rPr>
      </w:pPr>
      <w:bookmarkStart w:id="173" w:name="_Toc22331679"/>
      <w:r>
        <w:rPr>
          <w:color w:val="000000"/>
        </w:rPr>
        <w:t xml:space="preserve">4.5. </w:t>
      </w:r>
      <w:r w:rsidR="00A93414" w:rsidRPr="002A7627">
        <w:rPr>
          <w:color w:val="000000"/>
        </w:rPr>
        <w:t>Research Strategy</w:t>
      </w:r>
      <w:bookmarkEnd w:id="173"/>
    </w:p>
    <w:p w14:paraId="00BADB0E" w14:textId="3D25185D" w:rsidR="00A93414" w:rsidRPr="002A7627" w:rsidRDefault="00A93414" w:rsidP="00A93414">
      <w:pPr>
        <w:pStyle w:val="AAAAAAA"/>
      </w:pPr>
      <w:r w:rsidRPr="002A7627">
        <w:t xml:space="preserve">A study can be exploratory, explanatory or descriptive, </w:t>
      </w:r>
      <w:r w:rsidR="00F33F27">
        <w:t>depending</w:t>
      </w:r>
      <w:r w:rsidRPr="002A7627">
        <w:t xml:space="preserve"> on the study objectives, </w:t>
      </w:r>
      <w:r w:rsidR="00F33F27">
        <w:t>and the</w:t>
      </w:r>
      <w:r w:rsidRPr="002A7627">
        <w:t xml:space="preserve"> researcher can </w:t>
      </w:r>
      <w:r w:rsidR="00F33F27">
        <w:t>use</w:t>
      </w:r>
      <w:r w:rsidRPr="002A7627">
        <w:t xml:space="preserve"> different approaches such as</w:t>
      </w:r>
      <w:r w:rsidR="0000749A">
        <w:t xml:space="preserve"> </w:t>
      </w:r>
      <w:r w:rsidR="00F972F1">
        <w:t>survey, ethnography, case study and grounded theory</w:t>
      </w:r>
      <w:r w:rsidRPr="002A7627">
        <w:t xml:space="preserve"> </w:t>
      </w:r>
      <w:r w:rsidRPr="002A7627">
        <w:fldChar w:fldCharType="begin" w:fldLock="1"/>
      </w:r>
      <w:r w:rsidRPr="002A7627">
        <w:instrText>ADDIN CSL_CITATION {"citationItems":[{"id":"ITEM-1","itemData":{"ISBN":"9780273716860","ISSN":"0047-2875","PMID":"15573286","abstract":"A comprehensive introduction to research methods in business for students planning or undertaking a dissertation or extensive research project in business and management.The fifth edition of Research Methods for Business Students brings the theory, philosophy and techniques of research to life and enables students to understand the practical relevance of the research methods. A highly accessible style and logical structure have made this the Āstudent choice' and run-away market leader.The book is written for students on undergraduate and postgraduate degree programmes in business, or business-related disciplines.The following online resources support the text: For Students: self-assessment questions, glossary, revision ĀflashcardsĀ, tutorials for SPSS and NVivo, plus Smarter Online Searching GuideFor Instructors: teaching manual, powerpoint slides, testbank","author":[{"dropping-particle":"","family":"Saunders","given":"M.","non-dropping-particle":"","parse-names":false,"suffix":""},{"dropping-particle":"","family":"Lewis","given":"P.","non-dropping-particle":"","parse-names":false,"suffix":""},{"dropping-particle":"","family":"Thornhill","given":"A.","non-dropping-particle":"","parse-names":false,"suffix":""}],"edition":"5th ed.","id":"ITEM-1","issued":{"date-parts":[["2009"]]},"publisher":"Pearson","publisher-place":"London, UK","title":"Research methods for business Students","type":"book"},"uris":["http://www.mendeley.com/documents/?uuid=09af60fa-03ed-4774-8c1e-97c1e1a9db81"]}],"mendeley":{"formattedCitation":"(Saunders et al., 2009)","plainTextFormattedCitation":"(Saunders et al., 2009)","previouslyFormattedCitation":"(Saunders et al., 2009)"},"properties":{"noteIndex":0},"schema":"https://github.com/citation-style-language/schema/raw/master/csl-citation.json"}</w:instrText>
      </w:r>
      <w:r w:rsidRPr="002A7627">
        <w:fldChar w:fldCharType="separate"/>
      </w:r>
      <w:r w:rsidRPr="002A7627">
        <w:rPr>
          <w:noProof/>
        </w:rPr>
        <w:t>(Saunders et al., 2009)</w:t>
      </w:r>
      <w:r w:rsidRPr="002A7627">
        <w:fldChar w:fldCharType="end"/>
      </w:r>
      <w:r w:rsidRPr="002A7627">
        <w:t xml:space="preserve">. There is no </w:t>
      </w:r>
      <w:r w:rsidR="00F33F27">
        <w:t>‘best’</w:t>
      </w:r>
      <w:r w:rsidR="00F33F27" w:rsidRPr="002A7627">
        <w:t xml:space="preserve"> </w:t>
      </w:r>
      <w:r w:rsidRPr="002A7627">
        <w:t>approach</w:t>
      </w:r>
      <w:r w:rsidR="00F33F27">
        <w:t xml:space="preserve">, because the choice depends on </w:t>
      </w:r>
      <w:r w:rsidRPr="002A7627">
        <w:t xml:space="preserve">the nature of the research. Choosing one of these approaches depends on different factors, such as the degree of knowledge, time, and resources </w:t>
      </w:r>
      <w:r w:rsidRPr="002A7627">
        <w:fldChar w:fldCharType="begin" w:fldLock="1"/>
      </w:r>
      <w:r w:rsidRPr="002A7627">
        <w:instrText>ADDIN CSL_CITATION {"citationItems":[{"id":"ITEM-1","itemData":{"ISBN":"9780273716860","ISSN":"0047-2875","PMID":"15573286","abstract":"A comprehensive introduction to research methods in business for students planning or undertaking a dissertation or extensive research project in business and management.The fifth edition of Research Methods for Business Students brings the theory, philosophy and techniques of research to life and enables students to understand the practical relevance of the research methods. A highly accessible style and logical structure have made this the Āstudent choice' and run-away market leader.The book is written for students on undergraduate and postgraduate degree programmes in business, or business-related disciplines.The following online resources support the text: For Students: self-assessment questions, glossary, revision ĀflashcardsĀ, tutorials for SPSS and NVivo, plus Smarter Online Searching GuideFor Instructors: teaching manual, powerpoint slides, testbank","author":[{"dropping-particle":"","family":"Saunders","given":"M.","non-dropping-particle":"","parse-names":false,"suffix":""},{"dropping-particle":"","family":"Lewis","given":"P.","non-dropping-particle":"","parse-names":false,"suffix":""},{"dropping-particle":"","family":"Thornhill","given":"A.","non-dropping-particle":"","parse-names":false,"suffix":""}],"edition":"5th ed.","id":"ITEM-1","issued":{"date-parts":[["2009"]]},"publisher":"Pearson","publisher-place":"London, UK","title":"Research methods for business Students","type":"book"},"uris":["http://www.mendeley.com/documents/?uuid=09af60fa-03ed-4774-8c1e-97c1e1a9db81"]}],"mendeley":{"formattedCitation":"(Saunders et al., 2009)","plainTextFormattedCitation":"(Saunders et al., 2009)","previouslyFormattedCitation":"(Saunders et al., 2009)"},"properties":{"noteIndex":0},"schema":"https://github.com/citation-style-language/schema/raw/master/csl-citation.json"}</w:instrText>
      </w:r>
      <w:r w:rsidRPr="002A7627">
        <w:fldChar w:fldCharType="separate"/>
      </w:r>
      <w:r w:rsidRPr="002A7627">
        <w:rPr>
          <w:noProof/>
        </w:rPr>
        <w:t>(Saunders et al., 2009)</w:t>
      </w:r>
      <w:r w:rsidRPr="002A7627">
        <w:fldChar w:fldCharType="end"/>
      </w:r>
      <w:r w:rsidRPr="002A7627">
        <w:t>.</w:t>
      </w:r>
    </w:p>
    <w:p w14:paraId="1B725D36" w14:textId="49C5D4BD" w:rsidR="00A93414" w:rsidRDefault="00A93414" w:rsidP="00AA56A8">
      <w:pPr>
        <w:pStyle w:val="AAAAAAA"/>
      </w:pPr>
      <w:r>
        <w:t xml:space="preserve">This research </w:t>
      </w:r>
      <w:r w:rsidR="00F33F27">
        <w:t>used a</w:t>
      </w:r>
      <w:r w:rsidRPr="002A7627">
        <w:t xml:space="preserve"> </w:t>
      </w:r>
      <w:r>
        <w:t xml:space="preserve">survey </w:t>
      </w:r>
      <w:r w:rsidRPr="002A7627">
        <w:t xml:space="preserve">strategy because of the particular advantages this strategy usually provides. </w:t>
      </w:r>
      <w:r w:rsidR="00F33F27">
        <w:t>In particular, t</w:t>
      </w:r>
      <w:r w:rsidR="00F972F1">
        <w:t>he researcher can</w:t>
      </w:r>
      <w:r w:rsidRPr="002A7627">
        <w:t xml:space="preserve"> collect a </w:t>
      </w:r>
      <w:r>
        <w:t xml:space="preserve">significant </w:t>
      </w:r>
      <w:r w:rsidRPr="002A7627">
        <w:t xml:space="preserve">amount of </w:t>
      </w:r>
      <w:r>
        <w:t xml:space="preserve">different </w:t>
      </w:r>
      <w:r w:rsidRPr="002A7627">
        <w:t xml:space="preserve">data from the selected population in a limited period. </w:t>
      </w:r>
      <w:r w:rsidR="00F33F27">
        <w:t>Surveys also</w:t>
      </w:r>
      <w:r w:rsidRPr="002A7627">
        <w:t xml:space="preserve"> </w:t>
      </w:r>
      <w:r>
        <w:t>enable</w:t>
      </w:r>
      <w:r w:rsidRPr="002A7627">
        <w:t xml:space="preserve"> the collection of data that can be used </w:t>
      </w:r>
      <w:r w:rsidR="00F33F27">
        <w:t>to examine</w:t>
      </w:r>
      <w:r w:rsidR="00F33F27" w:rsidRPr="002A7627">
        <w:t xml:space="preserve"> </w:t>
      </w:r>
      <w:r>
        <w:t xml:space="preserve">different </w:t>
      </w:r>
      <w:r w:rsidRPr="002A7627">
        <w:t xml:space="preserve">statistics </w:t>
      </w:r>
      <w:r w:rsidRPr="002A7627">
        <w:fldChar w:fldCharType="begin" w:fldLock="1"/>
      </w:r>
      <w:r w:rsidRPr="002A7627">
        <w:instrText>ADDIN CSL_CITATION {"citationItems":[{"id":"ITEM-1","itemData":{"ISBN":"9780273716860","ISSN":"0047-2875","PMID":"15573286","abstract":"A comprehensive introduction to research methods in business for students planning or undertaking a dissertation or extensive research project in business and management.The fifth edition of Research Methods for Business Students brings the theory, philosophy and techniques of research to life and enables students to understand the practical relevance of the research methods. A highly accessible style and logical structure have made this the Āstudent choice' and run-away market leader.The book is written for students on undergraduate and postgraduate degree programmes in business, or business-related disciplines.The following online resources support the text: For Students: self-assessment questions, glossary, revision ĀflashcardsĀ, tutorials for SPSS and NVivo, plus Smarter Online Searching GuideFor Instructors: teaching manual, powerpoint slides, testbank","author":[{"dropping-particle":"","family":"Saunders","given":"M.","non-dropping-particle":"","parse-names":false,"suffix":""},{"dropping-particle":"","family":"Lewis","given":"P.","non-dropping-particle":"","parse-names":false,"suffix":""},{"dropping-particle":"","family":"Thornhill","given":"A.","non-dropping-particle":"","parse-names":false,"suffix":""}],"edition":"5th ed.","id":"ITEM-1","issued":{"date-parts":[["2009"]]},"publisher":"Pearson","publisher-place":"London, UK","title":"Research methods for business Students","type":"book"},"uris":["http://www.mendeley.com/documents/?uuid=09af60fa-03ed-4774-8c1e-97c1e1a9db81"]}],"mendeley":{"formattedCitation":"(Saunders et al., 2009)","manualFormatting":"(Saunders et al., 2009","plainTextFormattedCitation":"(Saunders et al., 2009)","previouslyFormattedCitation":"(Saunders et al., 2009)"},"properties":{"noteIndex":0},"schema":"https://github.com/citation-style-language/schema/raw/master/csl-citation.json"}</w:instrText>
      </w:r>
      <w:r w:rsidRPr="002A7627">
        <w:fldChar w:fldCharType="separate"/>
      </w:r>
      <w:r w:rsidRPr="002A7627">
        <w:rPr>
          <w:noProof/>
        </w:rPr>
        <w:t>(Saunders et al., 2009</w:t>
      </w:r>
      <w:r w:rsidRPr="002A7627">
        <w:fldChar w:fldCharType="end"/>
      </w:r>
      <w:r w:rsidRPr="002A7627">
        <w:t xml:space="preserve">). </w:t>
      </w:r>
      <w:r>
        <w:t>A survey</w:t>
      </w:r>
      <w:r w:rsidR="00992811">
        <w:t xml:space="preserve"> </w:t>
      </w:r>
      <w:r w:rsidRPr="002A7627">
        <w:t>form</w:t>
      </w:r>
      <w:r>
        <w:t xml:space="preserve"> </w:t>
      </w:r>
      <w:r w:rsidR="00F33F27">
        <w:t xml:space="preserve">was </w:t>
      </w:r>
      <w:r>
        <w:t xml:space="preserve">used in this </w:t>
      </w:r>
      <w:r w:rsidR="00F33F27">
        <w:t xml:space="preserve">study </w:t>
      </w:r>
      <w:r>
        <w:t xml:space="preserve">to </w:t>
      </w:r>
      <w:r w:rsidR="00F33F27">
        <w:t xml:space="preserve">obtain </w:t>
      </w:r>
      <w:r>
        <w:t>a wide range of facts and figures.</w:t>
      </w:r>
    </w:p>
    <w:p w14:paraId="457F4508" w14:textId="77777777" w:rsidR="00031AF8" w:rsidRPr="002A7627" w:rsidRDefault="00031AF8" w:rsidP="00AA56A8">
      <w:pPr>
        <w:pStyle w:val="AAAAAAA"/>
      </w:pPr>
    </w:p>
    <w:p w14:paraId="0D6EB225" w14:textId="0A933216" w:rsidR="00A93414" w:rsidRPr="002A7627" w:rsidRDefault="005F6EC8" w:rsidP="00A93414">
      <w:pPr>
        <w:pStyle w:val="Heading1"/>
        <w:rPr>
          <w:color w:val="000000"/>
        </w:rPr>
      </w:pPr>
      <w:bookmarkStart w:id="174" w:name="_Toc22331680"/>
      <w:r>
        <w:rPr>
          <w:color w:val="000000"/>
        </w:rPr>
        <w:t xml:space="preserve">4.6. </w:t>
      </w:r>
      <w:r w:rsidR="00A93414">
        <w:rPr>
          <w:color w:val="000000"/>
        </w:rPr>
        <w:t>Research</w:t>
      </w:r>
      <w:r w:rsidR="00F33F27">
        <w:rPr>
          <w:color w:val="000000"/>
        </w:rPr>
        <w:t xml:space="preserve"> Choices</w:t>
      </w:r>
      <w:bookmarkEnd w:id="174"/>
    </w:p>
    <w:p w14:paraId="6AB4E608" w14:textId="3041FB7F" w:rsidR="00A93414" w:rsidRPr="002A7627" w:rsidRDefault="00A93414" w:rsidP="00CA0897">
      <w:pPr>
        <w:pStyle w:val="AAAAAAA"/>
      </w:pPr>
      <w:r w:rsidRPr="002A7627">
        <w:t xml:space="preserve">The research choice is selected based on the research methodology, which can be qualitative, quantitative, or </w:t>
      </w:r>
      <w:r w:rsidR="00F33F27">
        <w:t xml:space="preserve">a </w:t>
      </w:r>
      <w:r>
        <w:t xml:space="preserve">combination of </w:t>
      </w:r>
      <w:r w:rsidR="00F33F27">
        <w:t>the two</w:t>
      </w:r>
      <w:r w:rsidRPr="002A7627">
        <w:t xml:space="preserve">. </w:t>
      </w:r>
      <w:r w:rsidR="00F33F27">
        <w:t>R</w:t>
      </w:r>
      <w:r>
        <w:t xml:space="preserve">esearch can </w:t>
      </w:r>
      <w:r w:rsidR="00AA56A8">
        <w:t xml:space="preserve">be mono-method or multiple method. </w:t>
      </w:r>
      <w:r w:rsidR="00F33F27">
        <w:t>M</w:t>
      </w:r>
      <w:r w:rsidR="00AA56A8">
        <w:t>on</w:t>
      </w:r>
      <w:r w:rsidR="00F33F27">
        <w:t>o</w:t>
      </w:r>
      <w:r w:rsidR="00AA56A8">
        <w:t xml:space="preserve">-method </w:t>
      </w:r>
      <w:r w:rsidR="00F33F27">
        <w:t xml:space="preserve">research uses a </w:t>
      </w:r>
      <w:r w:rsidR="00AA56A8">
        <w:t xml:space="preserve">single data collection technique, </w:t>
      </w:r>
      <w:r w:rsidR="00F33F27">
        <w:t>and</w:t>
      </w:r>
      <w:r w:rsidR="00AA56A8">
        <w:t xml:space="preserve"> multiple method </w:t>
      </w:r>
      <w:r w:rsidR="00F33F27">
        <w:t xml:space="preserve">research </w:t>
      </w:r>
      <w:r w:rsidR="00AA56A8">
        <w:t xml:space="preserve">uses more techniques for data collection </w:t>
      </w:r>
      <w:r w:rsidRPr="002A7627">
        <w:fldChar w:fldCharType="begin" w:fldLock="1"/>
      </w:r>
      <w:r w:rsidRPr="002A7627">
        <w:instrText>ADDIN CSL_CITATION {"citationItems":[{"id":"ITEM-1","itemData":{"ISBN":"9780273716860","ISSN":"0047-2875","PMID":"15573286","abstract":"A comprehensive introduction to research methods in business for students planning or undertaking a dissertation or extensive research project in business and management.The fifth edition of Research Methods for Business Students brings the theory, philosophy and techniques of research to life and enables students to understand the practical relevance of the research methods. A highly accessible style and logical structure have made this the Āstudent choice' and run-away market leader.The book is written for students on undergraduate and postgraduate degree programmes in business, or business-related disciplines.The following online resources support the text: For Students: self-assessment questions, glossary, revision ĀflashcardsĀ, tutorials for SPSS and NVivo, plus Smarter Online Searching GuideFor Instructors: teaching manual, powerpoint slides, testbank","author":[{"dropping-particle":"","family":"Saunders","given":"M.","non-dropping-particle":"","parse-names":false,"suffix":""},{"dropping-particle":"","family":"Lewis","given":"P.","non-dropping-particle":"","parse-names":false,"suffix":""},{"dropping-particle":"","family":"Thornhill","given":"A.","non-dropping-particle":"","parse-names":false,"suffix":""}],"edition":"5th ed.","id":"ITEM-1","issued":{"date-parts":[["2009"]]},"publisher":"Pearson","publisher-place":"London, UK","title":"Research methods for business Students","type":"book"},"uris":["http://www.mendeley.com/documents/?uuid=09af60fa-03ed-4774-8c1e-97c1e1a9db81"]}],"mendeley":{"formattedCitation":"(Saunders et al., 2009)","manualFormatting":"(Saunders et al., 2009","plainTextFormattedCitation":"(Saunders et al., 2009)","previouslyFormattedCitation":"(Saunders et al., 2009)"},"properties":{"noteIndex":0},"schema":"https://github.com/citation-style-language/schema/raw/master/csl-citation.json"}</w:instrText>
      </w:r>
      <w:r w:rsidRPr="002A7627">
        <w:fldChar w:fldCharType="separate"/>
      </w:r>
      <w:r w:rsidRPr="002A7627">
        <w:rPr>
          <w:noProof/>
        </w:rPr>
        <w:t>(Saunders et al., 2009</w:t>
      </w:r>
      <w:r w:rsidRPr="002A7627">
        <w:fldChar w:fldCharType="end"/>
      </w:r>
      <w:r w:rsidRPr="002A7627">
        <w:t>).</w:t>
      </w:r>
      <w:r w:rsidR="00902DB0">
        <w:t xml:space="preserve"> </w:t>
      </w:r>
      <w:r w:rsidRPr="002A7627">
        <w:t xml:space="preserve">This </w:t>
      </w:r>
      <w:r>
        <w:t xml:space="preserve">study </w:t>
      </w:r>
      <w:r w:rsidR="00F33F27">
        <w:t>used a</w:t>
      </w:r>
      <w:r w:rsidR="006369D5">
        <w:t xml:space="preserve"> </w:t>
      </w:r>
      <w:r>
        <w:t>mono-method</w:t>
      </w:r>
      <w:r w:rsidR="00F33F27">
        <w:t xml:space="preserve"> approach</w:t>
      </w:r>
      <w:r w:rsidRPr="002A7627">
        <w:t xml:space="preserve">, based on </w:t>
      </w:r>
      <w:r w:rsidR="00F33F27">
        <w:t xml:space="preserve">a </w:t>
      </w:r>
      <w:r w:rsidRPr="002A7627">
        <w:t>quantitative strategy</w:t>
      </w:r>
      <w:r w:rsidR="00F33F27">
        <w:t>,</w:t>
      </w:r>
      <w:r w:rsidR="006369D5">
        <w:t xml:space="preserve"> to collect data through the</w:t>
      </w:r>
      <w:r w:rsidRPr="002A7627">
        <w:t xml:space="preserve"> us</w:t>
      </w:r>
      <w:r>
        <w:t xml:space="preserve">e </w:t>
      </w:r>
      <w:r w:rsidR="006369D5">
        <w:t>of a survey questionnaire.</w:t>
      </w:r>
      <w:r w:rsidRPr="002A7627">
        <w:t xml:space="preserve"> </w:t>
      </w:r>
      <w:r w:rsidR="00F33F27">
        <w:t>A</w:t>
      </w:r>
      <w:r w:rsidRPr="002A7627">
        <w:t xml:space="preserve"> quantitative approach </w:t>
      </w:r>
      <w:r w:rsidR="00F33F27">
        <w:t xml:space="preserve">was chosen </w:t>
      </w:r>
      <w:r w:rsidRPr="002A7627">
        <w:t xml:space="preserve">to meet the research objectives of testing existing theories and relationships among constructs. </w:t>
      </w:r>
      <w:r w:rsidR="00F33F27">
        <w:t>T</w:t>
      </w:r>
      <w:r w:rsidRPr="002A7627">
        <w:t xml:space="preserve">his approach </w:t>
      </w:r>
      <w:r w:rsidR="00F33F27">
        <w:t xml:space="preserve">also </w:t>
      </w:r>
      <w:r w:rsidRPr="002A7627">
        <w:t xml:space="preserve">provides </w:t>
      </w:r>
      <w:r w:rsidR="006369D5">
        <w:t>structural</w:t>
      </w:r>
      <w:r w:rsidR="006369D5" w:rsidRPr="002A7627">
        <w:t xml:space="preserve"> </w:t>
      </w:r>
      <w:r w:rsidRPr="002A7627">
        <w:t xml:space="preserve">strategies for researchers to follow </w:t>
      </w:r>
      <w:r w:rsidR="00F33F27">
        <w:t>to</w:t>
      </w:r>
      <w:r w:rsidRPr="002A7627">
        <w:t xml:space="preserve"> </w:t>
      </w:r>
      <w:r w:rsidR="006369D5" w:rsidRPr="002A7627">
        <w:t>analy</w:t>
      </w:r>
      <w:r w:rsidR="006369D5">
        <w:t>z</w:t>
      </w:r>
      <w:r w:rsidR="00F33F27">
        <w:t>e</w:t>
      </w:r>
      <w:r w:rsidRPr="002A7627">
        <w:t xml:space="preserve"> data and produc</w:t>
      </w:r>
      <w:r w:rsidR="00F33F27">
        <w:t>e</w:t>
      </w:r>
      <w:r w:rsidRPr="002A7627">
        <w:t xml:space="preserve"> a reliable outcome </w:t>
      </w:r>
      <w:r w:rsidRPr="002A7627">
        <w:fldChar w:fldCharType="begin" w:fldLock="1"/>
      </w:r>
      <w:r w:rsidRPr="002A7627">
        <w:instrText>ADDIN CSL_CITATION {"citationItems":[{"id":"ITEM-1","itemData":{"ISBN":"9780273716860","ISSN":"0047-2875","PMID":"15573286","abstract":"A comprehensive introduction to research methods in business for students planning or undertaking a dissertation or extensive research project in business and management.The fifth edition of Research Methods for Business Students brings the theory, philosophy and techniques of research to life and enables students to understand the practical relevance of the research methods. A highly accessible style and logical structure have made this the Āstudent choice' and run-away market leader.The book is written for students on undergraduate and postgraduate degree programmes in business, or business-related disciplines.The following online resources support the text: For Students: self-assessment questions, glossary, revision ĀflashcardsĀ, tutorials for SPSS and NVivo, plus Smarter Online Searching GuideFor Instructors: teaching manual, powerpoint slides, testbank","author":[{"dropping-particle":"","family":"Saunders","given":"M.","non-dropping-particle":"","parse-names":false,"suffix":""},{"dropping-particle":"","family":"Lewis","given":"P.","non-dropping-particle":"","parse-names":false,"suffix":""},{"dropping-particle":"","family":"Thornhill","given":"A.","non-dropping-particle":"","parse-names":false,"suffix":""}],"edition":"5th ed.","id":"ITEM-1","issued":{"date-parts":[["2009"]]},"publisher":"Pearson","publisher-place":"London, UK","title":"Research methods for business Students","type":"book"},"uris":["http://www.mendeley.com/documents/?uuid=09af60fa-03ed-4774-8c1e-97c1e1a9db81"]}],"mendeley":{"formattedCitation":"(Saunders et al., 2009)","plainTextFormattedCitation":"(Saunders et al., 2009)","previouslyFormattedCitation":"(Saunders et al., 2009)"},"properties":{"noteIndex":0},"schema":"https://github.com/citation-style-language/schema/raw/master/csl-citation.json"}</w:instrText>
      </w:r>
      <w:r w:rsidRPr="002A7627">
        <w:fldChar w:fldCharType="separate"/>
      </w:r>
      <w:r w:rsidRPr="002A7627">
        <w:rPr>
          <w:noProof/>
        </w:rPr>
        <w:t>(Saunders et al., 2009)</w:t>
      </w:r>
      <w:r w:rsidRPr="002A7627">
        <w:fldChar w:fldCharType="end"/>
      </w:r>
      <w:r w:rsidRPr="002A7627">
        <w:t xml:space="preserve">. This approach is </w:t>
      </w:r>
      <w:r w:rsidR="00F33F27">
        <w:t>often</w:t>
      </w:r>
      <w:r w:rsidR="00F33F27" w:rsidRPr="002A7627">
        <w:t xml:space="preserve"> </w:t>
      </w:r>
      <w:r w:rsidRPr="002A7627">
        <w:t xml:space="preserve">used in knowledge management research </w:t>
      </w:r>
      <w:r w:rsidR="00F33F27">
        <w:t>to</w:t>
      </w:r>
      <w:r w:rsidR="006369D5">
        <w:t xml:space="preserve"> test relationship</w:t>
      </w:r>
      <w:r w:rsidR="00F33F27">
        <w:t>s</w:t>
      </w:r>
      <w:r w:rsidR="006369D5">
        <w:t xml:space="preserve"> among constructs</w:t>
      </w:r>
      <w:r w:rsidR="00CA0897">
        <w:t xml:space="preserve"> as well as</w:t>
      </w:r>
      <w:r w:rsidR="006369D5">
        <w:t xml:space="preserve"> </w:t>
      </w:r>
      <w:r w:rsidRPr="002A7627">
        <w:t xml:space="preserve">hypotheses </w:t>
      </w:r>
      <w:r w:rsidRPr="002A7627">
        <w:fldChar w:fldCharType="begin" w:fldLock="1"/>
      </w:r>
      <w:r w:rsidRPr="002A7627">
        <w:instrText>ADDIN CSL_CITATION {"citationItems":[{"id":"ITEM-1","itemData":{"DOI":"10.1108/JAMR-07-2013-0043","ISSN":"0972-7981","abstract":"Abstract Purpose – The research practice in management research is dominantly based on structural equation modeling (SEM), but almost exclusively, and often misguidedly, on covariance-based SEM. The purpose of this paper is to question the current research myopia in management research, because the paper adumbrates theoretical foundations and guidance for the two SEM streams: covariance-based and variance-based SEM; and improves the conceptual knowledge by comparing the most important procedures and elements in the SEM study, using different theoretical criteria. Design/methodology/approach – The study thoroughly analyzes, reviews and presents two streams using common methodological background. The conceptual framework discusses the two streams by analysis of theory, measurement model specification, sample and goodness-of-fit. Findings – The paper identifies and discusses the use and misuse of covariance-based and variance- based SEM utilizing common topics such as: first, theory (theory background, relation to theory and research orientation); second, measurement model specification (type of latent construct, type of study, reliability measures, etc.); third, sample (sample size and data distribution assumption); and fourth, goodness-of-fit (measurement of the model fit and residual co/variance). Originality/value – The paper questions the usefulness of Cronbach’s a research paradigm and discusses alternatives that are well established in social science, but not well known in the management research community. The author presents short research illustration inwhich analyzes the four recently published papers using common methodological background. The paper concludes with discussion of some open questions in management research practice that remain under-investigated and unutilized. Keywords Structural equation modeling, Modeling Paper","author":[{"dropping-particle":"","family":"Davcik","given":"Nebojsa S.","non-dropping-particle":"","parse-names":false,"suffix":""}],"container-title":"Journal of Advances in Management Research","id":"ITEM-1","issue":"1","issued":{"date-parts":[["2014","4","29"]]},"page":"47-81","title":"The use and misuse of structural equation modeling in management research","type":"article-journal","volume":"11"},"uris":["http://www.mendeley.com/documents/?uuid=121cff15-f4af-4809-8d10-545f222be807"]}],"mendeley":{"formattedCitation":"(Davcik, 2014)","manualFormatting":"(Davcik, 2014)","plainTextFormattedCitation":"(Davcik, 2014)","previouslyFormattedCitation":"(Davcik, 2014)"},"properties":{"noteIndex":0},"schema":"https://github.com/citation-style-language/schema/raw/master/csl-citation.json"}</w:instrText>
      </w:r>
      <w:r w:rsidRPr="002A7627">
        <w:fldChar w:fldCharType="separate"/>
      </w:r>
      <w:r w:rsidRPr="002A7627">
        <w:rPr>
          <w:noProof/>
        </w:rPr>
        <w:t>(Davcik, 2014)</w:t>
      </w:r>
      <w:r w:rsidRPr="002A7627">
        <w:fldChar w:fldCharType="end"/>
      </w:r>
      <w:r w:rsidRPr="002A7627">
        <w:t xml:space="preserve">. This tool also </w:t>
      </w:r>
      <w:r w:rsidR="00CA0897">
        <w:t>enable</w:t>
      </w:r>
      <w:r w:rsidR="00F33F27">
        <w:t>s</w:t>
      </w:r>
      <w:r w:rsidR="00CA0897" w:rsidRPr="002A7627">
        <w:t xml:space="preserve"> </w:t>
      </w:r>
      <w:r w:rsidRPr="002A7627">
        <w:t xml:space="preserve">the researcher to </w:t>
      </w:r>
      <w:r w:rsidR="00CA0897">
        <w:t>collect</w:t>
      </w:r>
      <w:r w:rsidR="00CA0897" w:rsidRPr="002A7627">
        <w:t xml:space="preserve"> </w:t>
      </w:r>
      <w:r w:rsidRPr="002A7627">
        <w:t xml:space="preserve">information using a statistical sample of the population and </w:t>
      </w:r>
      <w:r w:rsidR="00CA0897" w:rsidRPr="002A7627">
        <w:t>analy</w:t>
      </w:r>
      <w:r w:rsidR="00CA0897">
        <w:t>z</w:t>
      </w:r>
      <w:r w:rsidR="00F33F27">
        <w:t>e</w:t>
      </w:r>
      <w:r w:rsidRPr="002A7627">
        <w:t xml:space="preserve"> data through reliable tests and statistical methods, </w:t>
      </w:r>
      <w:r w:rsidR="00CA0897" w:rsidRPr="002A7627">
        <w:t>generali</w:t>
      </w:r>
      <w:r w:rsidR="00CA0897">
        <w:t>z</w:t>
      </w:r>
      <w:r w:rsidR="00F33F27">
        <w:t>ing</w:t>
      </w:r>
      <w:r w:rsidRPr="002A7627">
        <w:t xml:space="preserve"> the findings to the entire research population </w:t>
      </w:r>
      <w:r w:rsidRPr="002A7627">
        <w:fldChar w:fldCharType="begin" w:fldLock="1"/>
      </w:r>
      <w:r w:rsidRPr="002A7627">
        <w:instrText>ADDIN CSL_CITATION {"citationItems":[{"id":"ITEM-1","itemData":{"ISBN":"013242553X","abstract":"2nd ed. Ch. 1. The Research Process -- Ch. 2. Research Designs -- Ch. 3. Reading and Evaluating Research Reports -- Ch. 4. Reading and Evaluating Introductory Sections: Abstract, Background, and Purpose -- Ch. 5. Reading and Evaluating Subject Sections -- Ch. 6. Reading and Evaluating Instrument Sections -- Ch. 7. Reading and Evaluating Procedure Sections -- Ch. 8. Reading and Interpreting Results Sections -- Ch. 9. Reading and Evaluating Discussion Sections -- Ch. 10. Reading and Interpreting Reviews of Research -- Ch. 11. Locating Information About Research Reports -- App. A. Glossary -- App. B. Research Reports and Reviews for Analysis -- App. C. Ethical Standards of the American Educational Research Association.","author":[{"dropping-particle":"","family":"Hittleman","given":"Daniel R.","non-dropping-particle":"","parse-names":false,"suffix":""},{"dropping-particle":"","family":"Simon","given":"Alan J.","non-dropping-particle":"","parse-names":false,"suffix":""}],"id":"ITEM-1","issued":{"date-parts":[["1997"]]},"number-of-pages":"475","publisher":"Merrill","publisher-place":"New York, NY","title":"Interpreting educational research: An introduction for consumers of research","type":"book"},"uris":["http://www.mendeley.com/documents/?uuid=f80b9408-b478-30ed-b3a7-e2781e813b77"]},{"id":"ITEM-2","itemData":{"ISBN":"9780273716860","ISSN":"0047-2875","PMID":"15573286","abstract":"A comprehensive introduction to research methods in business for students planning or undertaking a dissertation or extensive research project in business and management.The fifth edition of Research Methods for Business Students brings the theory, philosophy and techniques of research to life and enables students to understand the practical relevance of the research methods. A highly accessible style and logical structure have made this the Āstudent choice' and run-away market leader.The book is written for students on undergraduate and postgraduate degree programmes in business, or business-related disciplines.The following online resources support the text: For Students: self-assessment questions, glossary, revision ĀflashcardsĀ, tutorials for SPSS and NVivo, plus Smarter Online Searching GuideFor Instructors: teaching manual, powerpoint slides, testbank","author":[{"dropping-particle":"","family":"Saunders","given":"M.","non-dropping-particle":"","parse-names":false,"suffix":""},{"dropping-particle":"","family":"Lewis","given":"P.","non-dropping-particle":"","parse-names":false,"suffix":""},{"dropping-particle":"","family":"Thornhill","given":"A.","non-dropping-particle":"","parse-names":false,"suffix":""}],"edition":"5th ed.","id":"ITEM-2","issued":{"date-parts":[["2009"]]},"publisher":"Pearson","publisher-place":"London, UK","title":"Research methods for business Students","type":"book"},"uris":["http://www.mendeley.com/documents/?uuid=09af60fa-03ed-4774-8c1e-97c1e1a9db81"]}],"mendeley":{"formattedCitation":"(Hittleman &amp; Simon, 1997; Saunders et al., 2009)","manualFormatting":"(Hittleman &amp; Simon, 1997; Saunders et al., 2009)","plainTextFormattedCitation":"(Hittleman &amp; Simon, 1997; Saunders et al., 2009)","previouslyFormattedCitation":"(Hittleman &amp; Simon, 1997; Saunders et al., 2009)"},"properties":{"noteIndex":0},"schema":"https://github.com/citation-style-language/schema/raw/master/csl-citation.json"}</w:instrText>
      </w:r>
      <w:r w:rsidRPr="002A7627">
        <w:fldChar w:fldCharType="separate"/>
      </w:r>
      <w:r w:rsidRPr="002A7627">
        <w:rPr>
          <w:noProof/>
        </w:rPr>
        <w:t>(Hittleman &amp; Simon, 1997; Saunders et al., 2009)</w:t>
      </w:r>
      <w:r w:rsidRPr="002A7627">
        <w:fldChar w:fldCharType="end"/>
      </w:r>
      <w:r w:rsidRPr="002A7627">
        <w:t xml:space="preserve">. </w:t>
      </w:r>
      <w:r w:rsidR="00F33F27">
        <w:t>A quantitative method was chosen here because of</w:t>
      </w:r>
      <w:r w:rsidR="00F33F27" w:rsidRPr="002A7627">
        <w:t xml:space="preserve"> </w:t>
      </w:r>
      <w:r w:rsidRPr="002A7627">
        <w:t xml:space="preserve">the </w:t>
      </w:r>
      <w:r>
        <w:t>diverse</w:t>
      </w:r>
      <w:r w:rsidRPr="002A7627">
        <w:t xml:space="preserve"> population and </w:t>
      </w:r>
      <w:r w:rsidR="00F33F27">
        <w:t xml:space="preserve">its size, as well as </w:t>
      </w:r>
      <w:r w:rsidRPr="002A7627">
        <w:t>the nature of the study, which focuse</w:t>
      </w:r>
      <w:r w:rsidR="00992811">
        <w:t>d</w:t>
      </w:r>
      <w:r w:rsidRPr="002A7627">
        <w:t xml:space="preserve"> on existing theories and testing hypotheses. </w:t>
      </w:r>
    </w:p>
    <w:p w14:paraId="38E9A606" w14:textId="1662B466" w:rsidR="00A93414" w:rsidRPr="002A7627" w:rsidRDefault="005F6EC8" w:rsidP="00A93414">
      <w:pPr>
        <w:pStyle w:val="Heading1"/>
        <w:rPr>
          <w:color w:val="000000"/>
        </w:rPr>
      </w:pPr>
      <w:bookmarkStart w:id="175" w:name="_Toc22331681"/>
      <w:r>
        <w:rPr>
          <w:color w:val="000000"/>
        </w:rPr>
        <w:t xml:space="preserve">4.7. </w:t>
      </w:r>
      <w:r w:rsidR="00A93414" w:rsidRPr="002A7627">
        <w:rPr>
          <w:color w:val="000000"/>
        </w:rPr>
        <w:t>Time Interval</w:t>
      </w:r>
      <w:bookmarkEnd w:id="175"/>
    </w:p>
    <w:p w14:paraId="7692FF8E" w14:textId="30E834D6" w:rsidR="00A93414" w:rsidRDefault="00A93414" w:rsidP="00CA0897">
      <w:pPr>
        <w:pStyle w:val="AAAAAAA"/>
      </w:pPr>
      <w:r w:rsidRPr="002A7627">
        <w:t xml:space="preserve">Saunders et al. </w:t>
      </w:r>
      <w:r w:rsidRPr="002A7627">
        <w:fldChar w:fldCharType="begin" w:fldLock="1"/>
      </w:r>
      <w:r w:rsidRPr="002A7627">
        <w:instrText>ADDIN CSL_CITATION {"citationItems":[{"id":"ITEM-1","itemData":{"ISBN":"9780273716860","ISSN":"0047-2875","PMID":"15573286","abstract":"A comprehensive introduction to research methods in business for students planning or undertaking a dissertation or extensive research project in business and management.The fifth edition of Research Methods for Business Students brings the theory, philosophy and techniques of research to life and enables students to understand the practical relevance of the research methods. A highly accessible style and logical structure have made this the Āstudent choice' and run-away market leader.The book is written for students on undergraduate and postgraduate degree programmes in business, or business-related disciplines.The following online resources support the text: For Students: self-assessment questions, glossary, revision ĀflashcardsĀ, tutorials for SPSS and NVivo, plus Smarter Online Searching GuideFor Instructors: teaching manual, powerpoint slides, testbank","author":[{"dropping-particle":"","family":"Saunders","given":"M.","non-dropping-particle":"","parse-names":false,"suffix":""},{"dropping-particle":"","family":"Lewis","given":"P.","non-dropping-particle":"","parse-names":false,"suffix":""},{"dropping-particle":"","family":"Thornhill","given":"A.","non-dropping-particle":"","parse-names":false,"suffix":""}],"edition":"5th ed.","id":"ITEM-1","issued":{"date-parts":[["2009"]]},"publisher":"Pearson","publisher-place":"London, UK","title":"Research methods for business Students","type":"book"},"suppress-author":1,"uris":["http://www.mendeley.com/documents/?uuid=09af60fa-03ed-4774-8c1e-97c1e1a9db81"]}],"mendeley":{"formattedCitation":"(2009)","plainTextFormattedCitation":"(2009)","previouslyFormattedCitation":"(2009)"},"properties":{"noteIndex":0},"schema":"https://github.com/citation-style-language/schema/raw/master/csl-citation.json"}</w:instrText>
      </w:r>
      <w:r w:rsidRPr="002A7627">
        <w:fldChar w:fldCharType="separate"/>
      </w:r>
      <w:r w:rsidRPr="002A7627">
        <w:rPr>
          <w:noProof/>
        </w:rPr>
        <w:t>(2009)</w:t>
      </w:r>
      <w:r w:rsidRPr="002A7627">
        <w:fldChar w:fldCharType="end"/>
      </w:r>
      <w:r w:rsidRPr="002A7627">
        <w:t xml:space="preserve"> identified two types of research, cross-sectional </w:t>
      </w:r>
      <w:r w:rsidR="00F33F27">
        <w:t>and</w:t>
      </w:r>
      <w:r w:rsidR="00F33F27" w:rsidRPr="002A7627">
        <w:t xml:space="preserve"> </w:t>
      </w:r>
      <w:r w:rsidRPr="002A7627">
        <w:t xml:space="preserve">longitudinal. When a researcher aims to show a snapshot of events and examines phenomena at a particular </w:t>
      </w:r>
      <w:r w:rsidR="00F33F27">
        <w:t xml:space="preserve">point in </w:t>
      </w:r>
      <w:r w:rsidRPr="002A7627">
        <w:t xml:space="preserve">time, then </w:t>
      </w:r>
      <w:r w:rsidR="00F33F27">
        <w:t>a</w:t>
      </w:r>
      <w:r w:rsidR="00F33F27" w:rsidRPr="002A7627">
        <w:t xml:space="preserve"> </w:t>
      </w:r>
      <w:r w:rsidRPr="002A7627">
        <w:t xml:space="preserve">cross-sectional </w:t>
      </w:r>
      <w:r>
        <w:t>analysis</w:t>
      </w:r>
      <w:r w:rsidRPr="002A7627">
        <w:t xml:space="preserve"> is more appropriate. </w:t>
      </w:r>
      <w:r w:rsidR="00F33F27">
        <w:t>L</w:t>
      </w:r>
      <w:r w:rsidRPr="002A7627">
        <w:t>ongitudinal stud</w:t>
      </w:r>
      <w:r w:rsidR="00F33F27">
        <w:t>ies are</w:t>
      </w:r>
      <w:r w:rsidRPr="002A7627">
        <w:t xml:space="preserve"> usually done during a</w:t>
      </w:r>
      <w:r w:rsidR="00CA0897">
        <w:t xml:space="preserve"> specific period </w:t>
      </w:r>
      <w:r w:rsidR="00902DB0">
        <w:t xml:space="preserve">of </w:t>
      </w:r>
      <w:r w:rsidRPr="002A7627">
        <w:t xml:space="preserve">time </w:t>
      </w:r>
      <w:r w:rsidRPr="002A7627">
        <w:rPr>
          <w:noProof/>
        </w:rPr>
        <w:t>(Easterby-Smith, Thorpe,</w:t>
      </w:r>
      <w:r w:rsidR="005A5C98">
        <w:rPr>
          <w:noProof/>
        </w:rPr>
        <w:t xml:space="preserve"> &amp; Jackson,</w:t>
      </w:r>
      <w:r w:rsidRPr="002A7627">
        <w:rPr>
          <w:noProof/>
        </w:rPr>
        <w:t xml:space="preserve"> 2012; Robson, 2002)</w:t>
      </w:r>
      <w:r w:rsidRPr="002A7627">
        <w:t xml:space="preserve">. This </w:t>
      </w:r>
      <w:r w:rsidR="00CA0897">
        <w:t>study</w:t>
      </w:r>
      <w:r w:rsidR="00CA0897" w:rsidRPr="002A7627">
        <w:t xml:space="preserve"> </w:t>
      </w:r>
      <w:r w:rsidRPr="002A7627">
        <w:t>follows the cross-sectional approach to investigate the knowledge management benefits in the Abu Dhabi Police</w:t>
      </w:r>
      <w:r w:rsidR="00F33F27">
        <w:t>,</w:t>
      </w:r>
      <w:r w:rsidRPr="002A7627">
        <w:t xml:space="preserve"> collecting data from three regional areas, Abu Dhabi, Al Ain, and Al Dhafra</w:t>
      </w:r>
      <w:r w:rsidR="00F33F27">
        <w:t>,</w:t>
      </w:r>
      <w:r w:rsidRPr="002A7627">
        <w:t xml:space="preserve"> in 2018</w:t>
      </w:r>
      <w:r w:rsidR="00F33F27">
        <w:t>–</w:t>
      </w:r>
      <w:r w:rsidRPr="002A7627">
        <w:t>2019.</w:t>
      </w:r>
      <w:r w:rsidR="00606D42">
        <w:t xml:space="preserve"> </w:t>
      </w:r>
      <w:r w:rsidR="00F33F27">
        <w:t>Using a c</w:t>
      </w:r>
      <w:r w:rsidR="001507D9">
        <w:t>ross-sectional survey</w:t>
      </w:r>
      <w:r w:rsidR="00F33F27">
        <w:t>,</w:t>
      </w:r>
      <w:r w:rsidR="001507D9">
        <w:t xml:space="preserve"> 693 police officers </w:t>
      </w:r>
      <w:r w:rsidR="00992811">
        <w:t xml:space="preserve">across the three areas </w:t>
      </w:r>
      <w:r w:rsidR="001507D9">
        <w:t xml:space="preserve">were asked to </w:t>
      </w:r>
      <w:r w:rsidR="00992811">
        <w:t>respond to a survey</w:t>
      </w:r>
      <w:r w:rsidR="001507D9">
        <w:t xml:space="preserve"> within a period of three weeks.</w:t>
      </w:r>
    </w:p>
    <w:p w14:paraId="7487C417" w14:textId="6DBB9492" w:rsidR="005E6936" w:rsidRPr="002A7627" w:rsidRDefault="005E6936" w:rsidP="005E6936">
      <w:pPr>
        <w:pStyle w:val="Heading1"/>
        <w:rPr>
          <w:color w:val="000000"/>
        </w:rPr>
      </w:pPr>
      <w:bookmarkStart w:id="176" w:name="_Toc22331682"/>
      <w:r>
        <w:rPr>
          <w:color w:val="000000"/>
        </w:rPr>
        <w:t xml:space="preserve">4.8. </w:t>
      </w:r>
      <w:r w:rsidRPr="002A7627">
        <w:rPr>
          <w:color w:val="000000"/>
        </w:rPr>
        <w:t>Instrumentation</w:t>
      </w:r>
      <w:bookmarkEnd w:id="176"/>
    </w:p>
    <w:p w14:paraId="177AA117" w14:textId="55BEBB3E" w:rsidR="005E6936" w:rsidRDefault="000C5006" w:rsidP="005E6936">
      <w:pPr>
        <w:pStyle w:val="AAAAAAA"/>
      </w:pPr>
      <w:r>
        <w:t>T</w:t>
      </w:r>
      <w:r w:rsidR="005E6936" w:rsidRPr="002A7627">
        <w:t xml:space="preserve">he </w:t>
      </w:r>
      <w:r w:rsidR="005E6936">
        <w:t>primary</w:t>
      </w:r>
      <w:r w:rsidR="005E6936" w:rsidRPr="002A7627">
        <w:t xml:space="preserve"> tool of this research </w:t>
      </w:r>
      <w:r>
        <w:t>was</w:t>
      </w:r>
      <w:r w:rsidRPr="002A7627">
        <w:t xml:space="preserve"> </w:t>
      </w:r>
      <w:r w:rsidR="005E6936" w:rsidRPr="002A7627">
        <w:t>a self-administ</w:t>
      </w:r>
      <w:r w:rsidR="00992811">
        <w:t>e</w:t>
      </w:r>
      <w:r w:rsidR="005E6936" w:rsidRPr="002A7627">
        <w:t>red questionnaire</w:t>
      </w:r>
      <w:r w:rsidR="00902DB0" w:rsidRPr="002A7627">
        <w:t>.</w:t>
      </w:r>
      <w:r w:rsidR="00902DB0">
        <w:t xml:space="preserve"> </w:t>
      </w:r>
      <w:r>
        <w:t xml:space="preserve">It was created from instruments used in studies </w:t>
      </w:r>
      <w:r w:rsidR="005E6936" w:rsidRPr="002A7627">
        <w:t xml:space="preserve">that </w:t>
      </w:r>
      <w:r>
        <w:t>were</w:t>
      </w:r>
      <w:r w:rsidR="005E6936" w:rsidRPr="002A7627">
        <w:t xml:space="preserve"> published in well-known journals indexed </w:t>
      </w:r>
      <w:r>
        <w:t>by</w:t>
      </w:r>
      <w:r w:rsidRPr="002A7627">
        <w:t xml:space="preserve"> </w:t>
      </w:r>
      <w:r w:rsidR="005E6936" w:rsidRPr="002A7627">
        <w:t xml:space="preserve">Scopus. </w:t>
      </w:r>
      <w:r>
        <w:t>This gave a</w:t>
      </w:r>
      <w:r w:rsidR="005E6936">
        <w:t xml:space="preserve"> high level of reliability as well as validity. </w:t>
      </w:r>
    </w:p>
    <w:p w14:paraId="5682B736" w14:textId="3FC0E095" w:rsidR="005E6936" w:rsidRDefault="005E6936" w:rsidP="005E6936">
      <w:pPr>
        <w:pStyle w:val="AAAAAAA"/>
      </w:pPr>
      <w:r w:rsidRPr="002A7627">
        <w:t>The questionnaire consisted of five sections</w:t>
      </w:r>
      <w:r w:rsidR="00FC2674">
        <w:t xml:space="preserve"> (see Appendix 1)</w:t>
      </w:r>
      <w:r w:rsidRPr="002A7627">
        <w:t xml:space="preserve">. Section A </w:t>
      </w:r>
      <w:r w:rsidR="000C5006">
        <w:t>covered</w:t>
      </w:r>
      <w:r w:rsidRPr="002A7627">
        <w:t xml:space="preserve"> demographic information</w:t>
      </w:r>
      <w:r w:rsidR="000C5006">
        <w:t>, and</w:t>
      </w:r>
      <w:r w:rsidRPr="002A7627">
        <w:t xml:space="preserve"> </w:t>
      </w:r>
      <w:r>
        <w:t>includ</w:t>
      </w:r>
      <w:r w:rsidRPr="002A7627">
        <w:t>ed eight questions</w:t>
      </w:r>
      <w:r w:rsidR="00992811">
        <w:t>, on</w:t>
      </w:r>
      <w:r w:rsidRPr="002A7627">
        <w:t xml:space="preserve"> </w:t>
      </w:r>
      <w:r w:rsidRPr="002A7627">
        <w:rPr>
          <w:rFonts w:eastAsia="Calibri"/>
          <w:lang w:bidi="fa-IR"/>
        </w:rPr>
        <w:t xml:space="preserve">1) </w:t>
      </w:r>
      <w:r w:rsidR="000C5006" w:rsidRPr="002A7627">
        <w:rPr>
          <w:rFonts w:eastAsia="Calibri"/>
          <w:lang w:bidi="fa-IR"/>
        </w:rPr>
        <w:t>gender, 2) age, 3) job</w:t>
      </w:r>
      <w:r w:rsidR="000C5006">
        <w:rPr>
          <w:rFonts w:eastAsia="Calibri"/>
          <w:lang w:bidi="fa-IR"/>
        </w:rPr>
        <w:t xml:space="preserve"> </w:t>
      </w:r>
      <w:r w:rsidR="000C5006" w:rsidRPr="002A7627">
        <w:rPr>
          <w:rFonts w:eastAsia="Calibri"/>
          <w:lang w:bidi="fa-IR"/>
        </w:rPr>
        <w:t xml:space="preserve">function, 4) level of education, 5) position, 6) years of experience, 7) sector and 8) </w:t>
      </w:r>
      <w:r w:rsidR="00992811">
        <w:rPr>
          <w:rFonts w:eastAsia="Calibri"/>
          <w:lang w:bidi="fa-IR"/>
        </w:rPr>
        <w:t xml:space="preserve">whether the respondent worked in a </w:t>
      </w:r>
      <w:r w:rsidR="000C5006" w:rsidRPr="002A7627">
        <w:rPr>
          <w:rFonts w:eastAsia="Calibri"/>
          <w:lang w:bidi="fa-IR"/>
        </w:rPr>
        <w:t>p</w:t>
      </w:r>
      <w:r w:rsidR="000C5006">
        <w:rPr>
          <w:rFonts w:eastAsia="Calibri"/>
          <w:lang w:bidi="fa-IR"/>
        </w:rPr>
        <w:t>olice</w:t>
      </w:r>
      <w:r w:rsidR="000C5006" w:rsidRPr="002A7627">
        <w:rPr>
          <w:rFonts w:eastAsia="Calibri"/>
          <w:lang w:bidi="fa-IR"/>
        </w:rPr>
        <w:t xml:space="preserve"> station</w:t>
      </w:r>
      <w:r w:rsidRPr="002A7627">
        <w:t xml:space="preserve">. Section B examined </w:t>
      </w:r>
      <w:r w:rsidR="000C5006">
        <w:t>k</w:t>
      </w:r>
      <w:r w:rsidRPr="002A7627">
        <w:t>nowledge management capabilities and included four questions adapted from Mao</w:t>
      </w:r>
      <w:r w:rsidR="005A5C98">
        <w:t xml:space="preserve"> et al.</w:t>
      </w:r>
      <w:r w:rsidRPr="002A7627">
        <w:t xml:space="preserve"> </w:t>
      </w:r>
      <w:r w:rsidRPr="002A7627">
        <w:fldChar w:fldCharType="begin" w:fldLock="1"/>
      </w:r>
      <w:r w:rsidRPr="002A7627">
        <w:instrText>ADDIN CSL_CITATION {"citationItems":[{"id":"ITEM-1","itemData":{"DOI":"10.1016/j.ijinfomgt.2016.07.001","ISSN":"02684012","author":[{"dropping-particle":"","family":"Mao","given":"Hongyi","non-dropping-particle":"","parse-names":false,"suffix":""},{"dropping-particle":"","family":"Liu","given":"Shan","non-dropping-particle":"","parse-names":false,"suffix":""},{"dropping-particle":"","family":"Zhang","given":"Jinlong","non-dropping-particle":"","parse-names":false,"suffix":""},{"dropping-particle":"","family":"Deng","given":"Zhaohua","non-dropping-particle":"","parse-names":false,"suffix":""}],"container-title":"International Journal of Information Management","id":"ITEM-1","issue":"6","issued":{"date-parts":[["2016","12"]]},"page":"1062-1074","title":"Information technology resource, knowledge management capability, and competitive advantage: The moderating role of resource commitment","type":"article-journal","volume":"36"},"suppress-author":1,"uris":["http://www.mendeley.com/documents/?uuid=f4b33ae6-823b-40bd-ab25-1538058e5e73"]}],"mendeley":{"formattedCitation":"(2016)","plainTextFormattedCitation":"(2016)","previouslyFormattedCitation":"(2016)"},"properties":{"noteIndex":0},"schema":"https://github.com/citation-style-language/schema/raw/master/csl-citation.json"}</w:instrText>
      </w:r>
      <w:r w:rsidRPr="002A7627">
        <w:fldChar w:fldCharType="separate"/>
      </w:r>
      <w:r w:rsidRPr="002A7627">
        <w:rPr>
          <w:noProof/>
        </w:rPr>
        <w:t>(2016)</w:t>
      </w:r>
      <w:r w:rsidRPr="002A7627">
        <w:fldChar w:fldCharType="end"/>
      </w:r>
      <w:r>
        <w:t xml:space="preserve">. </w:t>
      </w:r>
      <w:r w:rsidRPr="002A7627">
        <w:t xml:space="preserve">Section C measured HR practices for knowledge sharing </w:t>
      </w:r>
      <w:r w:rsidR="000C5006">
        <w:t>covering</w:t>
      </w:r>
      <w:r w:rsidRPr="002A7627">
        <w:t xml:space="preserve"> extrinsic motivation (three items), intrinsic motivation (three </w:t>
      </w:r>
      <w:r w:rsidR="000C5006">
        <w:t>items</w:t>
      </w:r>
      <w:r w:rsidRPr="002A7627">
        <w:t xml:space="preserve">), opportunities (nine </w:t>
      </w:r>
      <w:r w:rsidR="000C5006">
        <w:t>items</w:t>
      </w:r>
      <w:r w:rsidRPr="002A7627">
        <w:t xml:space="preserve">), and abilities (three </w:t>
      </w:r>
      <w:r w:rsidR="000C5006">
        <w:t>items</w:t>
      </w:r>
      <w:r w:rsidRPr="002A7627">
        <w:t xml:space="preserve">), </w:t>
      </w:r>
      <w:r w:rsidR="000C5006">
        <w:t>giving</w:t>
      </w:r>
      <w:r w:rsidRPr="002A7627">
        <w:t xml:space="preserve"> 18 questions</w:t>
      </w:r>
      <w:r w:rsidR="000C5006">
        <w:t xml:space="preserve"> in total</w:t>
      </w:r>
      <w:r>
        <w:t>.</w:t>
      </w:r>
    </w:p>
    <w:p w14:paraId="461369ED" w14:textId="45DA6A43" w:rsidR="001B2B3C" w:rsidRPr="002A7627" w:rsidRDefault="000C5006" w:rsidP="001B2B3C">
      <w:pPr>
        <w:pStyle w:val="AAAAAAA"/>
      </w:pPr>
      <w:r>
        <w:t>To</w:t>
      </w:r>
      <w:r w:rsidRPr="002A7627">
        <w:t xml:space="preserve"> </w:t>
      </w:r>
      <w:r w:rsidR="001B2B3C" w:rsidRPr="002A7627">
        <w:t>measur</w:t>
      </w:r>
      <w:r>
        <w:t>e</w:t>
      </w:r>
      <w:r w:rsidR="001B2B3C" w:rsidRPr="002A7627">
        <w:t xml:space="preserve"> extrinsic motivation-enhancing HR practices, </w:t>
      </w:r>
      <w:r>
        <w:t xml:space="preserve">the study drew on </w:t>
      </w:r>
      <w:r w:rsidR="001B2B3C" w:rsidRPr="002A7627">
        <w:t xml:space="preserve">theories such as the </w:t>
      </w:r>
      <w:r w:rsidR="001B2B3C">
        <w:t>s</w:t>
      </w:r>
      <w:r w:rsidR="001B2B3C" w:rsidRPr="002A7627">
        <w:t xml:space="preserve">elf-determination theory </w:t>
      </w:r>
      <w:r w:rsidR="001B2B3C" w:rsidRPr="002A7627">
        <w:fldChar w:fldCharType="begin" w:fldLock="1"/>
      </w:r>
      <w:r w:rsidR="001B2B3C" w:rsidRPr="002A7627">
        <w:instrText>ADDIN CSL_CITATION {"citationItems":[{"id":"ITEM-1","itemData":{"ISSN":"1939-1315","author":[{"dropping-particle":"","family":"Ryan","given":"Richard M","non-dropping-particle":"","parse-names":false,"suffix":""},{"dropping-particle":"","family":"Connell","given":"James P","non-dropping-particle":"","parse-names":false,"suffix":""}],"container-title":"Journal of personality and social psychology","id":"ITEM-1","issue":"5","issued":{"date-parts":[["1989"]]},"page":"749","title":"Perceived locus of causality and internalization: Examining reasons for acting in two domains","type":"article-journal","volume":"57"},"uris":["http://www.mendeley.com/documents/?uuid=18c3e1d3-b14a-4aa2-aa26-15dbae3ce732"]}],"mendeley":{"formattedCitation":"(R. M. Ryan &amp; Connell, 1989)","manualFormatting":"(Ryan &amp; Connell, 1989)","plainTextFormattedCitation":"(R. M. Ryan &amp; Connell, 1989)","previouslyFormattedCitation":"(R. M. Ryan &amp; Connell, 1989)"},"properties":{"noteIndex":0},"schema":"https://github.com/citation-style-language/schema/raw/master/csl-citation.json"}</w:instrText>
      </w:r>
      <w:r w:rsidR="001B2B3C" w:rsidRPr="002A7627">
        <w:fldChar w:fldCharType="separate"/>
      </w:r>
      <w:r w:rsidR="001B2B3C" w:rsidRPr="002A7627">
        <w:rPr>
          <w:noProof/>
        </w:rPr>
        <w:t>(Ryan &amp; Connell, 1989)</w:t>
      </w:r>
      <w:r w:rsidR="001B2B3C" w:rsidRPr="002A7627">
        <w:fldChar w:fldCharType="end"/>
      </w:r>
      <w:r w:rsidR="001B2B3C" w:rsidRPr="002A7627">
        <w:t xml:space="preserve"> </w:t>
      </w:r>
      <w:r>
        <w:t xml:space="preserve">and selected items from </w:t>
      </w:r>
      <w:r w:rsidR="001B2B3C" w:rsidRPr="002A7627">
        <w:t xml:space="preserve">the scale </w:t>
      </w:r>
      <w:r w:rsidR="00960F88" w:rsidRPr="002A7627">
        <w:t>v</w:t>
      </w:r>
      <w:r w:rsidR="00960F88">
        <w:t>erified</w:t>
      </w:r>
      <w:r w:rsidR="006615FD" w:rsidRPr="002A7627">
        <w:t xml:space="preserve"> </w:t>
      </w:r>
      <w:r w:rsidR="001B2B3C" w:rsidRPr="002A7627">
        <w:t xml:space="preserve">by </w:t>
      </w:r>
      <w:r w:rsidR="001B2B3C" w:rsidRPr="002A7627">
        <w:rPr>
          <w:noProof/>
        </w:rPr>
        <w:t xml:space="preserve">Kianto, Andreeva, </w:t>
      </w:r>
      <w:r>
        <w:rPr>
          <w:noProof/>
        </w:rPr>
        <w:t>and</w:t>
      </w:r>
      <w:r w:rsidRPr="002A7627">
        <w:rPr>
          <w:noProof/>
        </w:rPr>
        <w:t xml:space="preserve"> </w:t>
      </w:r>
      <w:r w:rsidR="001B2B3C" w:rsidRPr="002A7627">
        <w:rPr>
          <w:noProof/>
        </w:rPr>
        <w:t xml:space="preserve">Shi </w:t>
      </w:r>
      <w:r>
        <w:rPr>
          <w:noProof/>
        </w:rPr>
        <w:t>(</w:t>
      </w:r>
      <w:r w:rsidR="001B2B3C" w:rsidRPr="002A7627">
        <w:rPr>
          <w:noProof/>
        </w:rPr>
        <w:t>2011)</w:t>
      </w:r>
      <w:r w:rsidR="001B2B3C" w:rsidRPr="002A7627">
        <w:t xml:space="preserve">. The researcher adopted three items </w:t>
      </w:r>
      <w:r w:rsidR="00FC2674">
        <w:t>on</w:t>
      </w:r>
      <w:r w:rsidR="001B2B3C" w:rsidRPr="002A7627">
        <w:t xml:space="preserve"> knowledge sharing</w:t>
      </w:r>
      <w:r w:rsidR="007B4E04">
        <w:t>,</w:t>
      </w:r>
      <w:r w:rsidR="001B2B3C" w:rsidRPr="002A7627">
        <w:t xml:space="preserve"> </w:t>
      </w:r>
      <w:r w:rsidR="00960F88">
        <w:t>asking</w:t>
      </w:r>
      <w:r w:rsidR="00960F88" w:rsidRPr="002A7627">
        <w:t xml:space="preserve"> </w:t>
      </w:r>
      <w:r w:rsidR="001B2B3C" w:rsidRPr="002A7627">
        <w:t xml:space="preserve">the employees to </w:t>
      </w:r>
      <w:r w:rsidR="00960F88" w:rsidRPr="002A7627">
        <w:t>specify</w:t>
      </w:r>
      <w:r w:rsidR="001B2B3C" w:rsidRPr="002A7627">
        <w:t xml:space="preserve"> to what </w:t>
      </w:r>
      <w:r w:rsidR="00960F88" w:rsidRPr="002A7627">
        <w:t>level</w:t>
      </w:r>
      <w:r w:rsidR="001B2B3C" w:rsidRPr="002A7627">
        <w:t xml:space="preserve"> the organization provided monetary or non-monetary rewards for knowledge sharing, and whether the organization consider</w:t>
      </w:r>
      <w:r w:rsidR="007B4E04">
        <w:t>ed</w:t>
      </w:r>
      <w:r w:rsidR="001B2B3C" w:rsidRPr="002A7627">
        <w:t xml:space="preserve"> knowledge sharing as a </w:t>
      </w:r>
      <w:r w:rsidR="00960F88" w:rsidRPr="002A7627">
        <w:t>factor</w:t>
      </w:r>
      <w:r w:rsidR="001B2B3C" w:rsidRPr="002A7627">
        <w:t xml:space="preserve"> </w:t>
      </w:r>
      <w:r w:rsidR="00FC2674">
        <w:t>in</w:t>
      </w:r>
      <w:r w:rsidR="00FC2674" w:rsidRPr="002A7627">
        <w:t xml:space="preserve"> </w:t>
      </w:r>
      <w:r w:rsidR="001B2B3C" w:rsidRPr="002A7627">
        <w:t>an HR evaluation system</w:t>
      </w:r>
      <w:r w:rsidR="00902DB0" w:rsidRPr="002A7627">
        <w:t>.</w:t>
      </w:r>
      <w:r w:rsidR="00902DB0">
        <w:t xml:space="preserve"> </w:t>
      </w:r>
      <w:r w:rsidR="001B2B3C" w:rsidRPr="002A7627">
        <w:t xml:space="preserve">The scale was also validated by </w:t>
      </w:r>
      <w:r w:rsidR="001B2B3C" w:rsidRPr="002A7627">
        <w:fldChar w:fldCharType="begin" w:fldLock="1"/>
      </w:r>
      <w:r w:rsidR="001B2B3C" w:rsidRPr="002A7627">
        <w:instrText>ADDIN CSL_CITATION {"citationItems":[{"id":"ITEM-1","itemData":{"DOI":"10.1111/1748-8583.12100","ISSN":"17488583","abstract":"This article examines how individual-level antecedents such as motivation and ability to share knowledge mediate the relationship between HR practices and knowledge-sharing behaviour. The results of a survey of 329 secondary school teachers reveal the contradictory effects of different HR practices on the mediating roles of intrinsic and extrinsic motivation to share knowledge and subsequent knowledge-sharing behaviour of teachers. The study demonstrates that opportunity-enhancing HR practices act as a moderating condition that activates either intrinsic or extrinsic motivation to share knowledge and may completely offset the effect of motivation-enhancing HR practices. The study makes a distinctive contribution by demonstrating how certain combinations of HR practices aimed to enhance knowledge sharing might in fact be a costly solution for organisations, as they activate different mediating mechanisms in the HRM–knowledge-sharing behaviour link.","author":[{"dropping-particle":"","family":"Andreeva","given":"Tatiana","non-dropping-particle":"","parse-names":false,"suffix":""},{"dropping-particle":"","family":"Sergeeva","given":"Anastasia","non-dropping-particle":"","parse-names":false,"suffix":""}],"container-title":"Human Resource Management Journal","id":"ITEM-1","issue":"2","issued":{"date-parts":[["2016","4","1"]]},"page":"151-171","publisher":"Blackwell Publishing Ltd","title":"The more the better .. or is it? The contradictory effects of HR practices on knowledge-sharing motivation and behaviour","type":"article-journal","volume":"26"},"uris":["http://www.mendeley.com/documents/?uuid=3fc63dfe-0dba-33b3-8a6d-3e39ff842349"]}],"mendeley":{"formattedCitation":"(Andreeva &amp; Sergeeva, 2016)","manualFormatting":"Andreeva and Sergeeva (2016)","plainTextFormattedCitation":"(Andreeva &amp; Sergeeva, 2016)","previouslyFormattedCitation":"(Andreeva &amp; Sergeeva, 2016)"},"properties":{"noteIndex":0},"schema":"https://github.com/citation-style-language/schema/raw/master/csl-citation.json"}</w:instrText>
      </w:r>
      <w:r w:rsidR="001B2B3C" w:rsidRPr="002A7627">
        <w:fldChar w:fldCharType="separate"/>
      </w:r>
      <w:r w:rsidR="001B2B3C" w:rsidRPr="002A7627">
        <w:rPr>
          <w:noProof/>
        </w:rPr>
        <w:t>Andreeva and Sergeeva (2016)</w:t>
      </w:r>
      <w:r w:rsidR="001B2B3C" w:rsidRPr="002A7627">
        <w:fldChar w:fldCharType="end"/>
      </w:r>
      <w:r w:rsidR="001B2B3C" w:rsidRPr="002A7627">
        <w:t xml:space="preserve">. </w:t>
      </w:r>
    </w:p>
    <w:p w14:paraId="489508FD" w14:textId="0EE3FE19" w:rsidR="005E6936" w:rsidRPr="002A7627" w:rsidRDefault="007B4E04" w:rsidP="005E6936">
      <w:pPr>
        <w:pStyle w:val="AAAAAAA"/>
      </w:pPr>
      <w:r>
        <w:t>To</w:t>
      </w:r>
      <w:r w:rsidR="005E6936" w:rsidRPr="002A7627">
        <w:t xml:space="preserve"> measur</w:t>
      </w:r>
      <w:r>
        <w:t>e</w:t>
      </w:r>
      <w:r w:rsidR="005E6936" w:rsidRPr="002A7627">
        <w:t xml:space="preserve"> intrinsic motivation-enhancing HR practices, the three selected items were adopted from the social exchange theory </w:t>
      </w:r>
      <w:r w:rsidR="005E6936" w:rsidRPr="002A7627">
        <w:rPr>
          <w:rFonts w:cs="Courier New"/>
          <w:szCs w:val="28"/>
        </w:rPr>
        <w:fldChar w:fldCharType="begin" w:fldLock="1"/>
      </w:r>
      <w:r w:rsidR="005E6936" w:rsidRPr="002A7627">
        <w:instrText>ADDIN CSL_CITATION {"citationItems":[{"id":"ITEM-1","itemData":{"DOI":"10.1002/hrm.21464","ISSN":"00904848","author":[{"dropping-particle":"","family":"Kuvaas","given":"Bård","non-dropping-particle":"","parse-names":false,"suffix":""},{"dropping-particle":"","family":"Buch","given":"Robert","non-dropping-particle":"","parse-names":false,"suffix":""},{"dropping-particle":"","family":"Dysvik","given":"Anders","non-dropping-particle":"","parse-names":false,"suffix":""}],"container-title":"Human Resource Management","id":"ITEM-1","issue":"2","issued":{"date-parts":[["2012","3"]]},"page":"167-187","title":"Perceived training intensity and knowledge sharing: Sharing for intrinsic and prosocial reasons","type":"article-journal","volume":"51"},"uris":["http://www.mendeley.com/documents/?uuid=f14bfd1c-e11e-4a76-b810-0d418d656618"]}],"mendeley":{"formattedCitation":"(Kuvaas et al., 2012)","manualFormatting":"(Kuvaas et al., 2012)","plainTextFormattedCitation":"(Kuvaas et al., 2012)","previouslyFormattedCitation":"(Kuvaas et al., 2012)"},"properties":{"noteIndex":0},"schema":"https://github.com/citation-style-language/schema/raw/master/csl-citation.json"}</w:instrText>
      </w:r>
      <w:r w:rsidR="005E6936" w:rsidRPr="002A7627">
        <w:rPr>
          <w:rFonts w:cs="Courier New"/>
          <w:szCs w:val="28"/>
        </w:rPr>
        <w:fldChar w:fldCharType="separate"/>
      </w:r>
      <w:r w:rsidR="005E6936" w:rsidRPr="002A7627">
        <w:rPr>
          <w:noProof/>
        </w:rPr>
        <w:t>(Kuvaas et al., 2012)</w:t>
      </w:r>
      <w:r w:rsidR="005E6936" w:rsidRPr="002A7627">
        <w:fldChar w:fldCharType="end"/>
      </w:r>
      <w:r w:rsidR="005E6936" w:rsidRPr="002A7627">
        <w:t xml:space="preserve"> and based on the scale developed by </w:t>
      </w:r>
      <w:r w:rsidR="00902DB0" w:rsidRPr="002A7627">
        <w:fldChar w:fldCharType="begin" w:fldLock="1"/>
      </w:r>
      <w:r w:rsidR="00902DB0" w:rsidRPr="002A7627">
        <w:instrText>ADDIN CSL_CITATION {"citationItems":[{"id":"ITEM-1","itemData":{"ISSN":"1099-050X","author":[{"dropping-particle":"","family":"Foss","given":"Nicolai J","non-dropping-particle":"","parse-names":false,"suffix":""},{"dropping-particle":"","family":"Minbaeva","given":"Dana B","non-dropping-particle":"","parse-names":false,"suffix":""},{"dropping-particle":"","family":"Pedersen","given":"Torben","non-dropping-particle":"","parse-names":false,"suffix":""},{"dropping-particle":"","family":"Reinholt","given":"Mia","non-dropping-particle":"","parse-names":false,"suffix":""}],"container-title":"Human resource management","id":"ITEM-1","issue":"6","issued":{"date-parts":[["2009"]]},"page":"871-893","title":"Encouraging knowledge sharing among employees: How job design matters","type":"article-journal","volume":"48"},"uris":["http://www.mendeley.com/documents/?uuid=361ca78b-f395-48dd-8e07-b3d5c21def9e"]},{"id":"ITEM-2","itemData":{"DOI":"10.1111/1748-8583.12100","ISSN":"17488583","abstract":"This article examines how individual-level antecedents such as motivation and ability to share knowledge mediate the relationship between HR practices and knowledge-sharing behaviour. The results of a survey of 329 secondary school teachers reveal the contradictory effects of different HR practices on the mediating roles of intrinsic and extrinsic motivation to share knowledge and subsequent knowledge-sharing behaviour of teachers. The study demonstrates that opportunity-enhancing HR practices act as a moderating condition that activates either intrinsic or extrinsic motivation to share knowledge and may completely offset the effect of motivation-enhancing HR practices. The study makes a distinctive contribution by demonstrating how certain combinations of HR practices aimed to enhance knowledge sharing might in fact be a costly solution for organisations, as they activate different mediating mechanisms in the HRM–knowledge-sharing behaviour link.","author":[{"dropping-particle":"","family":"Andreeva","given":"Tatiana","non-dropping-particle":"","parse-names":false,"suffix":""},{"dropping-particle":"","family":"Sergeeva","given":"Anastasia","non-dropping-particle":"","parse-names":false,"suffix":""}],"container-title":"Human Resource Management Journal","id":"ITEM-2","issue":"2","issued":{"date-parts":[["2016","4","1"]]},"page":"151-171","publisher":"Blackwell Publishing Ltd","title":"The more the better .. or is it? The contradictory effects of HR practices on knowledge-sharing motivation and behaviour","type":"article-journal","volume":"26"},"uris":["http://www.mendeley.com/documents/?uuid=3fc63dfe-0dba-33b3-8a6d-3e39ff842349"]}],"mendeley":{"formattedCitation":"(Andreeva &amp; Sergeeva, 2016; Foss et al., 2009)","manualFormatting":"Andreeva and Sergeeva (2016), and Foss et al. (2009)","plainTextFormattedCitation":"(Andreeva &amp; Sergeeva, 2016; Foss et al., 2009)","previouslyFormattedCitation":"(Andreeva &amp; Sergeeva, 2016; Foss et al., 2009)"},"properties":{"noteIndex":0},"schema":"https://github.com/citation-style-language/schema/raw/master/csl-citation.json"}</w:instrText>
      </w:r>
      <w:r w:rsidR="00902DB0" w:rsidRPr="002A7627">
        <w:fldChar w:fldCharType="separate"/>
      </w:r>
      <w:r w:rsidR="00902DB0" w:rsidRPr="002A7627">
        <w:rPr>
          <w:noProof/>
        </w:rPr>
        <w:t>Andreeva and Sergeeva (2016), and Foss</w:t>
      </w:r>
      <w:r w:rsidR="00902DB0" w:rsidRPr="002A7627">
        <w:rPr>
          <w:noProof/>
          <w:lang w:bidi="fa-IR"/>
        </w:rPr>
        <w:t xml:space="preserve"> et al.</w:t>
      </w:r>
      <w:r w:rsidR="00902DB0" w:rsidRPr="002A7627">
        <w:rPr>
          <w:noProof/>
        </w:rPr>
        <w:t xml:space="preserve"> (2009)</w:t>
      </w:r>
      <w:r w:rsidR="00902DB0" w:rsidRPr="002A7627">
        <w:fldChar w:fldCharType="end"/>
      </w:r>
      <w:r w:rsidR="00902DB0" w:rsidRPr="002A7627">
        <w:t>.</w:t>
      </w:r>
      <w:r w:rsidR="00902DB0">
        <w:t xml:space="preserve"> </w:t>
      </w:r>
      <w:r>
        <w:t xml:space="preserve">To </w:t>
      </w:r>
      <w:r w:rsidR="005E6936" w:rsidRPr="002A7627">
        <w:t>measur</w:t>
      </w:r>
      <w:r>
        <w:t>e</w:t>
      </w:r>
      <w:r w:rsidR="005E6936" w:rsidRPr="002A7627">
        <w:t xml:space="preserve"> opportunity-enhancing HR practices, </w:t>
      </w:r>
      <w:r>
        <w:t>the study</w:t>
      </w:r>
      <w:r w:rsidR="005E6936" w:rsidRPr="002A7627">
        <w:t xml:space="preserve"> </w:t>
      </w:r>
      <w:r>
        <w:t xml:space="preserve">adopted </w:t>
      </w:r>
      <w:r w:rsidR="005E6936" w:rsidRPr="002A7627">
        <w:t xml:space="preserve">the scale </w:t>
      </w:r>
      <w:r w:rsidR="00960F88">
        <w:t xml:space="preserve">used </w:t>
      </w:r>
      <w:r w:rsidR="005E6936" w:rsidRPr="002A7627">
        <w:t xml:space="preserve">by </w:t>
      </w:r>
      <w:r w:rsidR="00902DB0" w:rsidRPr="002A7627">
        <w:rPr>
          <w:noProof/>
        </w:rPr>
        <w:t>Andreeva and Sergeeva (2016), and Wu</w:t>
      </w:r>
      <w:r w:rsidR="005A5C98">
        <w:rPr>
          <w:noProof/>
        </w:rPr>
        <w:t xml:space="preserve"> et al.</w:t>
      </w:r>
      <w:r w:rsidR="00902DB0" w:rsidRPr="002A7627">
        <w:rPr>
          <w:noProof/>
        </w:rPr>
        <w:t xml:space="preserve"> (2007)</w:t>
      </w:r>
      <w:r w:rsidR="00902DB0" w:rsidRPr="002A7627">
        <w:t>.</w:t>
      </w:r>
      <w:r w:rsidR="00902DB0">
        <w:t xml:space="preserve"> </w:t>
      </w:r>
      <w:r w:rsidR="005E6936" w:rsidRPr="002A7627">
        <w:t xml:space="preserve">It includes nine items that </w:t>
      </w:r>
      <w:r w:rsidR="00960F88">
        <w:t>focus on</w:t>
      </w:r>
      <w:r w:rsidR="00960F88" w:rsidRPr="002A7627">
        <w:t xml:space="preserve"> </w:t>
      </w:r>
      <w:r w:rsidR="005E6936" w:rsidRPr="002A7627">
        <w:t xml:space="preserve">the practices of social interaction for knowledge sharing. </w:t>
      </w:r>
    </w:p>
    <w:p w14:paraId="1886A5D5" w14:textId="440811E7" w:rsidR="005E6936" w:rsidRPr="002A7627" w:rsidRDefault="007B4E04" w:rsidP="005E6936">
      <w:pPr>
        <w:pStyle w:val="AAAAAAA"/>
      </w:pPr>
      <w:r>
        <w:t>To</w:t>
      </w:r>
      <w:r w:rsidRPr="002A7627">
        <w:t xml:space="preserve"> </w:t>
      </w:r>
      <w:r w:rsidR="005E6936" w:rsidRPr="002A7627">
        <w:t>measur</w:t>
      </w:r>
      <w:r>
        <w:t>e</w:t>
      </w:r>
      <w:r w:rsidR="005E6936" w:rsidRPr="002A7627">
        <w:t xml:space="preserve"> ability-enhancing HR practices, the measuring items were adopted from the work of </w:t>
      </w:r>
      <w:r w:rsidR="005E6936" w:rsidRPr="002A7627">
        <w:fldChar w:fldCharType="begin" w:fldLock="1"/>
      </w:r>
      <w:r w:rsidR="005E6936" w:rsidRPr="002A7627">
        <w:instrText>ADDIN CSL_CITATION {"citationItems":[{"id":"ITEM-1","itemData":{"DOI":"10.1111/1748-8583.12100","ISSN":"17488583","abstract":"This article examines how individual-level antecedents such as motivation and ability to share knowledge mediate the relationship between HR practices and knowledge-sharing behaviour. The results of a survey of 329 secondary school teachers reveal the contradictory effects of different HR practices on the mediating roles of intrinsic and extrinsic motivation to share knowledge and subsequent knowledge-sharing behaviour of teachers. The study demonstrates that opportunity-enhancing HR practices act as a moderating condition that activates either intrinsic or extrinsic motivation to share knowledge and may completely offset the effect of motivation-enhancing HR practices. The study makes a distinctive contribution by demonstrating how certain combinations of HR practices aimed to enhance knowledge sharing might in fact be a costly solution for organisations, as they activate different mediating mechanisms in the HRM–knowledge-sharing behaviour link.","author":[{"dropping-particle":"","family":"Andreeva","given":"Tatiana","non-dropping-particle":"","parse-names":false,"suffix":""},{"dropping-particle":"","family":"Sergeeva","given":"Anastasia","non-dropping-particle":"","parse-names":false,"suffix":""}],"container-title":"Human Resource Management Journal","id":"ITEM-1","issue":"2","issued":{"date-parts":[["2016","4","1"]]},"page":"151-171","publisher":"Blackwell Publishing Ltd","title":"The more the better .. or is it? The contradictory effects of HR practices on knowledge-sharing motivation and behaviour","type":"article-journal","volume":"26"},"uris":["http://www.mendeley.com/documents/?uuid=3fc63dfe-0dba-33b3-8a6d-3e39ff842349"]}],"mendeley":{"formattedCitation":"(Andreeva &amp; Sergeeva, 2016)","manualFormatting":"Andreeva and Sergeeva (2016)","plainTextFormattedCitation":"(Andreeva &amp; Sergeeva, 2016)","previouslyFormattedCitation":"(Andreeva &amp; Sergeeva, 2016)"},"properties":{"noteIndex":0},"schema":"https://github.com/citation-style-language/schema/raw/master/csl-citation.json"}</w:instrText>
      </w:r>
      <w:r w:rsidR="005E6936" w:rsidRPr="002A7627">
        <w:fldChar w:fldCharType="separate"/>
      </w:r>
      <w:r w:rsidR="005E6936" w:rsidRPr="002A7627">
        <w:rPr>
          <w:noProof/>
        </w:rPr>
        <w:t>Andreeva and Sergeeva (2016)</w:t>
      </w:r>
      <w:r w:rsidR="005E6936" w:rsidRPr="002A7627">
        <w:fldChar w:fldCharType="end"/>
      </w:r>
      <w:r>
        <w:t>,</w:t>
      </w:r>
      <w:r w:rsidR="005E6936" w:rsidRPr="002A7627">
        <w:t xml:space="preserve"> based on the conceptual framework developed by </w:t>
      </w:r>
      <w:r w:rsidR="005E6936" w:rsidRPr="002A7627">
        <w:fldChar w:fldCharType="begin" w:fldLock="1"/>
      </w:r>
      <w:r w:rsidR="005E6936" w:rsidRPr="002A7627">
        <w:instrText>ADDIN CSL_CITATION {"citationItems":[{"id":"ITEM-1","itemData":{"ISBN":"0742-7301","author":[{"dropping-particle":"","family":"Jackson","given":"Susan E","non-dropping-particle":"","parse-names":false,"suffix":""},{"dropping-particle":"","family":"Chuang","given":"Chih-Hsun","non-dropping-particle":"","parse-names":false,"suffix":""},{"dropping-particle":"","family":"Harden","given":"Erika E","non-dropping-particle":"","parse-names":false,"suffix":""},{"dropping-particle":"","family":"Jiang","given":"Yuan","non-dropping-particle":"","parse-names":false,"suffix":""}],"container-title":"Research in personnel and human resources management","editor":[{"dropping-particle":"","family":"Werther","given":"W B","non-dropping-particle":"","parse-names":false,"suffix":""},{"dropping-particle":"","family":"Davis","given":"K","non-dropping-particle":"","parse-names":false,"suffix":""}],"id":"ITEM-1","issued":{"date-parts":[["2006"]]},"page":"27-70","publisher":"Emerald","publisher-place":"London, UK","title":"Toward developing human resource management systems for knowledge-intensive teamwork","type":"chapter"},"uris":["http://www.mendeley.com/documents/?uuid=7cf166af-c77c-470d-b512-1ad41d2ca7f0"]}],"mendeley":{"formattedCitation":"(Jackson, Chuang, Harden, &amp; Jiang, 2006)","manualFormatting":"Jackson, Chuang, Harden, and Jiang (2006)","plainTextFormattedCitation":"(Jackson, Chuang, Harden, &amp; Jiang, 2006)","previouslyFormattedCitation":"(Jackson, Chuang, Harden, &amp; Jiang, 2006)"},"properties":{"noteIndex":0},"schema":"https://github.com/citation-style-language/schema/raw/master/csl-citation.json"}</w:instrText>
      </w:r>
      <w:r w:rsidR="005E6936" w:rsidRPr="002A7627">
        <w:fldChar w:fldCharType="separate"/>
      </w:r>
      <w:r w:rsidR="005E6936" w:rsidRPr="002A7627">
        <w:rPr>
          <w:noProof/>
        </w:rPr>
        <w:t>Jackson, Chuang, Harden, and Jiang (2006)</w:t>
      </w:r>
      <w:r w:rsidR="005E6936" w:rsidRPr="002A7627">
        <w:fldChar w:fldCharType="end"/>
      </w:r>
      <w:r w:rsidR="005E6936" w:rsidRPr="002A7627">
        <w:t xml:space="preserve"> and the considerations </w:t>
      </w:r>
      <w:r w:rsidR="005E6936">
        <w:t xml:space="preserve">of various theories </w:t>
      </w:r>
      <w:r w:rsidR="005E6936" w:rsidRPr="002A7627">
        <w:t xml:space="preserve">by </w:t>
      </w:r>
      <w:r w:rsidR="00902DB0" w:rsidRPr="002A7627">
        <w:fldChar w:fldCharType="begin" w:fldLock="1"/>
      </w:r>
      <w:r w:rsidR="00902DB0" w:rsidRPr="002A7627">
        <w:instrText>ADDIN CSL_CITATION {"citationItems":[{"id":"ITEM-1","itemData":{"ISSN":"0001-4273","author":[{"dropping-particle":"","family":"Jiang","given":"Kaifeng","non-dropping-particle":"","parse-names":false,"suffix":""},{"dropping-particle":"","family":"Lepak","given":"David P","non-dropping-particle":"","parse-names":false,"suffix":""},{"dropping-particle":"","family":"Hu","given":"Jia","non-dropping-particle":"","parse-names":false,"suffix":""},{"dropping-particle":"","family":"Baer","given":"Judith C","non-dropping-particle":"","parse-names":false,"suffix":""}],"container-title":"Academy of management Journal","id":"ITEM-1","issue":"6","issued":{"date-parts":[["2012"]]},"page":"1264-1294","title":"How does human resource management influence organizational outcomes? A meta-analytic investigation of mediating mechanisms","type":"article-journal","volume":"55"},"uris":["http://www.mendeley.com/documents/?uuid=4963b699-5dc2-4205-a4bd-d55ae9f8e840"]}],"mendeley":{"formattedCitation":"(Jiang, Lepak, Hu, et al., 2012)","manualFormatting":"Jiang, Lepak, Hu et al. (2012)","plainTextFormattedCitation":"(Jiang, Lepak, Hu, et al., 2012)","previouslyFormattedCitation":"(Jiang, Lepak, Hu, et al., 2012)"},"properties":{"noteIndex":0},"schema":"https://github.com/citation-style-language/schema/raw/master/csl-citation.json"}</w:instrText>
      </w:r>
      <w:r w:rsidR="00902DB0" w:rsidRPr="002A7627">
        <w:fldChar w:fldCharType="separate"/>
      </w:r>
      <w:r w:rsidR="00902DB0" w:rsidRPr="002A7627">
        <w:rPr>
          <w:noProof/>
        </w:rPr>
        <w:t>Jiang, Lepak, Hu et al. (2012)</w:t>
      </w:r>
      <w:r w:rsidR="00902DB0" w:rsidRPr="002A7627">
        <w:fldChar w:fldCharType="end"/>
      </w:r>
      <w:r w:rsidR="00902DB0" w:rsidRPr="002A7627">
        <w:t>.</w:t>
      </w:r>
      <w:r w:rsidR="00902DB0">
        <w:t xml:space="preserve"> </w:t>
      </w:r>
      <w:r w:rsidR="005E6936" w:rsidRPr="002A7627">
        <w:t xml:space="preserve">The construct of ability consisted of three items which were designed to ask the employees if the </w:t>
      </w:r>
      <w:r w:rsidR="00C52075" w:rsidRPr="002A7627">
        <w:t>organi</w:t>
      </w:r>
      <w:r w:rsidR="00C52075">
        <w:t>z</w:t>
      </w:r>
      <w:r w:rsidR="00C52075" w:rsidRPr="002A7627">
        <w:t>ation</w:t>
      </w:r>
      <w:r w:rsidR="005E6936" w:rsidRPr="002A7627">
        <w:t xml:space="preserve"> provided training for developing their skills. </w:t>
      </w:r>
    </w:p>
    <w:p w14:paraId="0094A0A5" w14:textId="7B07E99A" w:rsidR="005E6936" w:rsidRDefault="005E6936" w:rsidP="005E6936">
      <w:pPr>
        <w:pStyle w:val="AAAAAAA"/>
      </w:pPr>
      <w:r w:rsidRPr="002A7627">
        <w:t xml:space="preserve">Section D measured the construct of </w:t>
      </w:r>
      <w:r w:rsidR="00C52075" w:rsidRPr="002A7627">
        <w:t>organi</w:t>
      </w:r>
      <w:r w:rsidR="00C52075">
        <w:t>z</w:t>
      </w:r>
      <w:r w:rsidR="00C52075" w:rsidRPr="002A7627">
        <w:t>ational</w:t>
      </w:r>
      <w:r w:rsidRPr="002A7627">
        <w:t xml:space="preserve"> learning through four questions (</w:t>
      </w:r>
      <w:r>
        <w:t xml:space="preserve">Slater </w:t>
      </w:r>
      <w:r w:rsidR="007B4E04">
        <w:t xml:space="preserve">&amp; </w:t>
      </w:r>
      <w:r>
        <w:t xml:space="preserve">Narver, </w:t>
      </w:r>
      <w:r w:rsidRPr="00AD0A21">
        <w:t>1995</w:t>
      </w:r>
      <w:r w:rsidRPr="002A7627">
        <w:t xml:space="preserve">). The selected items reflected </w:t>
      </w:r>
      <w:r w:rsidR="007B4E04">
        <w:t xml:space="preserve">the chosen </w:t>
      </w:r>
      <w:r w:rsidRPr="002A7627">
        <w:t xml:space="preserve">definition of </w:t>
      </w:r>
      <w:r w:rsidR="00C52075">
        <w:t>organizational</w:t>
      </w:r>
      <w:r w:rsidRPr="002A7627">
        <w:t xml:space="preserve"> learning. </w:t>
      </w:r>
      <w:r w:rsidR="007B4E04">
        <w:t>I</w:t>
      </w:r>
      <w:r w:rsidRPr="002A7627">
        <w:t xml:space="preserve">tems related to the construct of </w:t>
      </w:r>
      <w:r w:rsidR="00C52075">
        <w:t>organizational</w:t>
      </w:r>
      <w:r w:rsidRPr="002A7627">
        <w:t xml:space="preserve"> learning </w:t>
      </w:r>
      <w:r w:rsidR="007B4E04">
        <w:t xml:space="preserve">were selected to </w:t>
      </w:r>
      <w:r w:rsidRPr="002A7627">
        <w:t xml:space="preserve">fit with the structure of the questionnaire </w:t>
      </w:r>
      <w:r w:rsidR="007B4E04">
        <w:t>as well as</w:t>
      </w:r>
      <w:r w:rsidRPr="002A7627">
        <w:t xml:space="preserve"> protecting the quality and reliability of the measuring items. </w:t>
      </w:r>
      <w:r w:rsidR="007B4E04">
        <w:t>The study therefore</w:t>
      </w:r>
      <w:r w:rsidRPr="002A7627">
        <w:t xml:space="preserve"> developed four new items </w:t>
      </w:r>
      <w:r w:rsidR="007B4E04">
        <w:t xml:space="preserve">using </w:t>
      </w:r>
      <w:r>
        <w:t xml:space="preserve">the scale </w:t>
      </w:r>
      <w:r w:rsidRPr="002A7627">
        <w:t xml:space="preserve">tested and authenticated by </w:t>
      </w:r>
      <w:r w:rsidRPr="002A7627">
        <w:fldChar w:fldCharType="begin" w:fldLock="1"/>
      </w:r>
      <w:r w:rsidRPr="002A7627">
        <w:instrText>ADDIN CSL_CITATION {"citationItems":[{"id":"ITEM-1","itemData":{"DOI":"10.1108/13552551211204201","ISBN":"1355-2554","ISSN":"1355-2554","PMID":"923390986","abstract":"(2012),\"The role of personnel commitment to strategy implementation and organisational learning within the relationship between strategic planning and company performance\",","author":[{"dropping-particle":"","family":"Kohtamäki","given":"Marko","non-dropping-particle":"","parse-names":false,"suffix":""},{"dropping-particle":"","family":"Kraus","given":"Sascha","non-dropping-particle":"","parse-names":false,"suffix":""},{"dropping-particle":"","family":"Mäkelä","given":"Markus","non-dropping-particle":"","parse-names":false,"suffix":""},{"dropping-particle":"","family":"Rönkkö","given":"Mikko","non-dropping-particle":"","parse-names":false,"suffix":""}],"container-title":"International Journal of Entrepreneurial Behavior and Research","id":"ITEM-1","issue":"2","issued":{"date-parts":[["2012","3","2"]]},"page":"159-178","title":"The role of personnel commitment to strategy implementation and organisational learning within the relationship between strategic planning and company performance","type":"article-journal","volume":"18"},"uris":["http://www.mendeley.com/documents/?uuid=3e5e1639-2886-43d1-add7-ea9a5c0f143b"]}],"mendeley":{"formattedCitation":"(Kohtamäki et al., 2012)","manualFormatting":"Kohtamäki et al. (2012)","plainTextFormattedCitation":"(Kohtamäki et al., 2012)","previouslyFormattedCitation":"(Kohtamäki et al., 2012)"},"properties":{"noteIndex":0},"schema":"https://github.com/citation-style-language/schema/raw/master/csl-citation.json"}</w:instrText>
      </w:r>
      <w:r w:rsidRPr="002A7627">
        <w:fldChar w:fldCharType="separate"/>
      </w:r>
      <w:r w:rsidRPr="002A7627">
        <w:rPr>
          <w:noProof/>
        </w:rPr>
        <w:t xml:space="preserve">Kohtamäki </w:t>
      </w:r>
      <w:r w:rsidRPr="002A7627">
        <w:rPr>
          <w:noProof/>
          <w:lang w:bidi="fa-IR"/>
        </w:rPr>
        <w:t>et al.</w:t>
      </w:r>
      <w:r w:rsidRPr="002A7627">
        <w:rPr>
          <w:noProof/>
        </w:rPr>
        <w:t xml:space="preserve"> (2012)</w:t>
      </w:r>
      <w:r w:rsidRPr="002A7627">
        <w:fldChar w:fldCharType="end"/>
      </w:r>
      <w:r w:rsidRPr="002A7627">
        <w:t>.</w:t>
      </w:r>
    </w:p>
    <w:p w14:paraId="60E37942" w14:textId="20922F1A" w:rsidR="005E6936" w:rsidRPr="002A7627" w:rsidRDefault="005E6936" w:rsidP="005E6936">
      <w:pPr>
        <w:pStyle w:val="AAAAAAA"/>
      </w:pPr>
      <w:r w:rsidRPr="002A7627">
        <w:t xml:space="preserve">Section E </w:t>
      </w:r>
      <w:r w:rsidR="007B4E04">
        <w:t>covered</w:t>
      </w:r>
      <w:r w:rsidRPr="002A7627">
        <w:t xml:space="preserve"> the construct of </w:t>
      </w:r>
      <w:r w:rsidR="007B4E04">
        <w:t>knowledge management benefits and included</w:t>
      </w:r>
      <w:r w:rsidRPr="002A7627">
        <w:t xml:space="preserve"> seven questions. The </w:t>
      </w:r>
      <w:r>
        <w:t xml:space="preserve">items </w:t>
      </w:r>
      <w:r w:rsidRPr="002A7627">
        <w:t xml:space="preserve">selected </w:t>
      </w:r>
      <w:r w:rsidR="00FC2674">
        <w:t xml:space="preserve">were </w:t>
      </w:r>
      <w:r w:rsidRPr="002A7627">
        <w:t xml:space="preserve">based on items proposed by </w:t>
      </w:r>
      <w:r w:rsidRPr="002A7627">
        <w:fldChar w:fldCharType="begin" w:fldLock="1"/>
      </w:r>
      <w:r w:rsidRPr="002A7627">
        <w:instrText>ADDIN CSL_CITATION {"citationItems":[{"id":"ITEM-1","itemData":{"author":[{"dropping-particle":"","family":"Dalkir","given":"K.","non-dropping-particle":"","parse-names":false,"suffix":""}],"id":"ITEM-1","issued":{"date-parts":[["2017"]]},"publisher":"Massachusetts Institute of Technology","publisher-place":"Cambridge, MA","title":"Knowledge management in theory and practice","type":"book"},"uris":["http://www.mendeley.com/documents/?uuid=7919d89b-6c2d-467b-b622-402430e489b6"]}],"mendeley":{"formattedCitation":"(Dalkir, 2017)","manualFormatting":"Dalkir (2017)","plainTextFormattedCitation":"(Dalkir, 2017)","previouslyFormattedCitation":"(Dalkir, 2017)"},"properties":{"noteIndex":0},"schema":"https://github.com/citation-style-language/schema/raw/master/csl-citation.json"}</w:instrText>
      </w:r>
      <w:r w:rsidRPr="002A7627">
        <w:fldChar w:fldCharType="separate"/>
      </w:r>
      <w:r w:rsidRPr="002A7627">
        <w:rPr>
          <w:noProof/>
        </w:rPr>
        <w:t>Dalkir (2017)</w:t>
      </w:r>
      <w:r w:rsidRPr="002A7627">
        <w:fldChar w:fldCharType="end"/>
      </w:r>
      <w:r w:rsidRPr="002A7627">
        <w:t xml:space="preserve"> and </w:t>
      </w:r>
      <w:r w:rsidRPr="002A7627">
        <w:rPr>
          <w:noProof/>
        </w:rPr>
        <w:t>Sundiman, Idrus, Troena, and Rahayu (2013)</w:t>
      </w:r>
      <w:r w:rsidRPr="002A7627">
        <w:t xml:space="preserve">. </w:t>
      </w:r>
      <w:r>
        <w:rPr>
          <w:rFonts w:asciiTheme="majorBidi" w:eastAsiaTheme="minorEastAsia" w:hAnsiTheme="majorBidi" w:cstheme="majorBidi"/>
          <w:noProof/>
        </w:rPr>
        <w:t>Dalkir</w:t>
      </w:r>
      <w:r w:rsidR="007B4E04">
        <w:rPr>
          <w:rFonts w:asciiTheme="majorBidi" w:eastAsiaTheme="minorEastAsia" w:hAnsiTheme="majorBidi" w:cstheme="majorBidi"/>
          <w:noProof/>
        </w:rPr>
        <w:t xml:space="preserve"> </w:t>
      </w:r>
      <w:r>
        <w:rPr>
          <w:rFonts w:asciiTheme="majorBidi" w:eastAsiaTheme="minorEastAsia" w:hAnsiTheme="majorBidi" w:cstheme="majorBidi"/>
          <w:noProof/>
        </w:rPr>
        <w:t>(</w:t>
      </w:r>
      <w:r w:rsidRPr="002A7627">
        <w:rPr>
          <w:rFonts w:asciiTheme="majorBidi" w:eastAsiaTheme="minorEastAsia" w:hAnsiTheme="majorBidi" w:cstheme="majorBidi"/>
          <w:noProof/>
        </w:rPr>
        <w:t>2017)</w:t>
      </w:r>
      <w:r w:rsidR="00FD6A0A">
        <w:rPr>
          <w:rFonts w:asciiTheme="majorBidi" w:eastAsiaTheme="minorEastAsia" w:hAnsiTheme="majorBidi" w:cstheme="majorBidi"/>
        </w:rPr>
        <w:t xml:space="preserve"> </w:t>
      </w:r>
      <w:r w:rsidRPr="002A7627">
        <w:t xml:space="preserve">suggested </w:t>
      </w:r>
      <w:r w:rsidR="007B4E04">
        <w:t>a</w:t>
      </w:r>
      <w:r w:rsidR="007B4E04" w:rsidRPr="002A7627">
        <w:t xml:space="preserve"> </w:t>
      </w:r>
      <w:r w:rsidRPr="002A7627">
        <w:t xml:space="preserve">scale of </w:t>
      </w:r>
      <w:r w:rsidR="007B4E04">
        <w:t>knowledge management benefits</w:t>
      </w:r>
      <w:r w:rsidR="007B4E04" w:rsidRPr="002A7627">
        <w:t xml:space="preserve"> </w:t>
      </w:r>
      <w:r w:rsidRPr="002A7627">
        <w:t>for individual</w:t>
      </w:r>
      <w:r w:rsidR="007B4E04">
        <w:t>s</w:t>
      </w:r>
      <w:r w:rsidRPr="002A7627">
        <w:t>, communit</w:t>
      </w:r>
      <w:r w:rsidR="007B4E04">
        <w:t>ies</w:t>
      </w:r>
      <w:r w:rsidRPr="002A7627">
        <w:t>, and organi</w:t>
      </w:r>
      <w:r>
        <w:t>z</w:t>
      </w:r>
      <w:r w:rsidRPr="002A7627">
        <w:t xml:space="preserve">ations. </w:t>
      </w:r>
      <w:r w:rsidR="007B4E04">
        <w:t xml:space="preserve">However, </w:t>
      </w:r>
      <w:r w:rsidRPr="002A7627">
        <w:t xml:space="preserve">the focus of </w:t>
      </w:r>
      <w:r w:rsidR="007B4E04">
        <w:t>this</w:t>
      </w:r>
      <w:r w:rsidRPr="002A7627">
        <w:t xml:space="preserve"> research </w:t>
      </w:r>
      <w:r w:rsidR="007B4E04">
        <w:t xml:space="preserve">was an </w:t>
      </w:r>
      <w:r w:rsidRPr="002A7627">
        <w:t>organi</w:t>
      </w:r>
      <w:r>
        <w:t>z</w:t>
      </w:r>
      <w:r w:rsidRPr="002A7627">
        <w:t xml:space="preserve">ation, </w:t>
      </w:r>
      <w:r w:rsidR="007B4E04">
        <w:t xml:space="preserve">so </w:t>
      </w:r>
      <w:r w:rsidRPr="002A7627">
        <w:t xml:space="preserve">only </w:t>
      </w:r>
      <w:r w:rsidR="007B4E04">
        <w:t xml:space="preserve">the </w:t>
      </w:r>
      <w:r w:rsidR="00FC2674">
        <w:t>knowledge management benefits</w:t>
      </w:r>
      <w:r w:rsidR="00FC2674" w:rsidRPr="002A7627">
        <w:t xml:space="preserve"> </w:t>
      </w:r>
      <w:r w:rsidR="007B4E04">
        <w:t>applying to</w:t>
      </w:r>
      <w:r w:rsidR="007B4E04" w:rsidRPr="002A7627">
        <w:t xml:space="preserve"> </w:t>
      </w:r>
      <w:r w:rsidRPr="002A7627">
        <w:t>organi</w:t>
      </w:r>
      <w:r>
        <w:t>z</w:t>
      </w:r>
      <w:r w:rsidRPr="002A7627">
        <w:t xml:space="preserve">ations </w:t>
      </w:r>
      <w:r w:rsidR="007B4E04">
        <w:t>were</w:t>
      </w:r>
      <w:r w:rsidRPr="002A7627">
        <w:t xml:space="preserve"> considered. </w:t>
      </w:r>
    </w:p>
    <w:p w14:paraId="66DAC5C1" w14:textId="3E880CBD" w:rsidR="008C565D" w:rsidRDefault="007B4E04" w:rsidP="00031AF8">
      <w:pPr>
        <w:pStyle w:val="AAAAAAA"/>
      </w:pPr>
      <w:r>
        <w:t>T</w:t>
      </w:r>
      <w:r w:rsidR="005E6936" w:rsidRPr="002A7627">
        <w:t xml:space="preserve">he </w:t>
      </w:r>
      <w:r>
        <w:t xml:space="preserve">final </w:t>
      </w:r>
      <w:r w:rsidR="005E6936" w:rsidRPr="002A7627">
        <w:t xml:space="preserve">questionnaire consisted of </w:t>
      </w:r>
      <w:r w:rsidR="009336CD">
        <w:t>41</w:t>
      </w:r>
      <w:r w:rsidR="009336CD" w:rsidRPr="002A7627">
        <w:t xml:space="preserve"> </w:t>
      </w:r>
      <w:r w:rsidR="005E6936" w:rsidRPr="002A7627">
        <w:t xml:space="preserve">questions and its sections were arranged in a way that is </w:t>
      </w:r>
      <w:r>
        <w:t>often used by</w:t>
      </w:r>
      <w:r w:rsidR="005E6936" w:rsidRPr="002A7627">
        <w:t xml:space="preserve"> Abu Dhabi Police</w:t>
      </w:r>
      <w:r>
        <w:t>,</w:t>
      </w:r>
      <w:r w:rsidR="005E6936" w:rsidRPr="002A7627">
        <w:t xml:space="preserve"> to allow the participants to feel more comfortable.</w:t>
      </w:r>
      <w:r w:rsidR="00902DB0">
        <w:t xml:space="preserve"> </w:t>
      </w:r>
      <w:r w:rsidR="005E6936" w:rsidRPr="002A7627">
        <w:t xml:space="preserve">Table </w:t>
      </w:r>
      <w:r>
        <w:t>5 shows</w:t>
      </w:r>
      <w:r w:rsidR="005E6936" w:rsidRPr="002A7627">
        <w:t xml:space="preserve"> </w:t>
      </w:r>
      <w:r>
        <w:t xml:space="preserve">details of the </w:t>
      </w:r>
      <w:r w:rsidR="005E6936" w:rsidRPr="002A7627">
        <w:t>instrument,</w:t>
      </w:r>
      <w:r>
        <w:t xml:space="preserve"> including</w:t>
      </w:r>
      <w:r w:rsidR="005E6936" w:rsidRPr="002A7627">
        <w:t xml:space="preserve"> the constructs</w:t>
      </w:r>
      <w:r>
        <w:t xml:space="preserve"> </w:t>
      </w:r>
      <w:r w:rsidR="005E6936" w:rsidRPr="002A7627">
        <w:t xml:space="preserve">and related items. </w:t>
      </w:r>
    </w:p>
    <w:p w14:paraId="2A9F0E4B" w14:textId="78713D84" w:rsidR="008C565D" w:rsidRPr="002A7627" w:rsidRDefault="00004BFD" w:rsidP="00263B9C">
      <w:pPr>
        <w:pStyle w:val="Caption"/>
        <w:keepNext/>
        <w:rPr>
          <w:i/>
          <w:iCs/>
          <w:color w:val="000000"/>
        </w:rPr>
      </w:pPr>
      <w:bookmarkStart w:id="177" w:name="_Toc19478583"/>
      <w:bookmarkStart w:id="178" w:name="_Toc21074073"/>
      <w:r>
        <w:t xml:space="preserve">Table </w:t>
      </w:r>
      <w:r w:rsidR="006D32F8">
        <w:rPr>
          <w:noProof/>
        </w:rPr>
        <w:fldChar w:fldCharType="begin"/>
      </w:r>
      <w:r w:rsidR="006D32F8">
        <w:rPr>
          <w:noProof/>
        </w:rPr>
        <w:instrText xml:space="preserve"> SEQ Table \* ARABIC </w:instrText>
      </w:r>
      <w:r w:rsidR="006D32F8">
        <w:rPr>
          <w:noProof/>
        </w:rPr>
        <w:fldChar w:fldCharType="separate"/>
      </w:r>
      <w:r w:rsidR="00972C3F">
        <w:rPr>
          <w:noProof/>
        </w:rPr>
        <w:t>5</w:t>
      </w:r>
      <w:r w:rsidR="006D32F8">
        <w:rPr>
          <w:noProof/>
        </w:rPr>
        <w:fldChar w:fldCharType="end"/>
      </w:r>
      <w:r>
        <w:t xml:space="preserve">. </w:t>
      </w:r>
      <w:r w:rsidRPr="008027B2">
        <w:t>Summary of the Research Instrument.</w:t>
      </w:r>
      <w:bookmarkEnd w:id="177"/>
      <w:bookmarkEnd w:id="178"/>
    </w:p>
    <w:tbl>
      <w:tblPr>
        <w:tblStyle w:val="APAReport"/>
        <w:tblpPr w:leftFromText="187" w:rightFromText="187" w:vertAnchor="text" w:horzAnchor="margin" w:tblpXSpec="center" w:tblpY="1"/>
        <w:tblW w:w="9810" w:type="dxa"/>
        <w:tblCellMar>
          <w:top w:w="86" w:type="dxa"/>
          <w:left w:w="115" w:type="dxa"/>
          <w:bottom w:w="86" w:type="dxa"/>
          <w:right w:w="115" w:type="dxa"/>
        </w:tblCellMar>
        <w:tblLook w:val="04A0" w:firstRow="1" w:lastRow="0" w:firstColumn="1" w:lastColumn="0" w:noHBand="0" w:noVBand="1"/>
      </w:tblPr>
      <w:tblGrid>
        <w:gridCol w:w="654"/>
        <w:gridCol w:w="1956"/>
        <w:gridCol w:w="5670"/>
        <w:gridCol w:w="1530"/>
      </w:tblGrid>
      <w:tr w:rsidR="008C565D" w:rsidRPr="002A7627" w14:paraId="4C41238A" w14:textId="77777777" w:rsidTr="00780272">
        <w:trPr>
          <w:cnfStyle w:val="100000000000" w:firstRow="1" w:lastRow="0" w:firstColumn="0" w:lastColumn="0" w:oddVBand="0" w:evenVBand="0" w:oddHBand="0" w:evenHBand="0" w:firstRowFirstColumn="0" w:firstRowLastColumn="0" w:lastRowFirstColumn="0" w:lastRowLastColumn="0"/>
        </w:trPr>
        <w:tc>
          <w:tcPr>
            <w:tcW w:w="654" w:type="dxa"/>
          </w:tcPr>
          <w:p w14:paraId="32F41D6D" w14:textId="77777777" w:rsidR="008C565D" w:rsidRPr="002A7627" w:rsidRDefault="008C565D" w:rsidP="00780272">
            <w:pPr>
              <w:jc w:val="both"/>
              <w:rPr>
                <w:rFonts w:cs="Times New Roman"/>
                <w:b/>
                <w:bCs/>
                <w:sz w:val="20"/>
                <w:szCs w:val="20"/>
              </w:rPr>
            </w:pPr>
            <w:r w:rsidRPr="002A7627">
              <w:rPr>
                <w:rFonts w:cs="Times New Roman"/>
                <w:b/>
                <w:bCs/>
                <w:sz w:val="20"/>
                <w:szCs w:val="20"/>
              </w:rPr>
              <w:t>Q</w:t>
            </w:r>
          </w:p>
        </w:tc>
        <w:tc>
          <w:tcPr>
            <w:tcW w:w="1956" w:type="dxa"/>
          </w:tcPr>
          <w:p w14:paraId="5A19B1B1" w14:textId="77777777" w:rsidR="008C565D" w:rsidRPr="002A7627" w:rsidRDefault="008C565D" w:rsidP="00780272">
            <w:pPr>
              <w:jc w:val="both"/>
              <w:rPr>
                <w:rFonts w:cs="Times New Roman"/>
                <w:b/>
                <w:bCs/>
                <w:sz w:val="20"/>
                <w:szCs w:val="20"/>
              </w:rPr>
            </w:pPr>
            <w:r w:rsidRPr="002A7627">
              <w:rPr>
                <w:rFonts w:cs="Times New Roman"/>
                <w:b/>
                <w:bCs/>
                <w:sz w:val="20"/>
                <w:szCs w:val="20"/>
              </w:rPr>
              <w:t>Factor</w:t>
            </w:r>
          </w:p>
        </w:tc>
        <w:tc>
          <w:tcPr>
            <w:tcW w:w="5670" w:type="dxa"/>
          </w:tcPr>
          <w:p w14:paraId="26C2BE00" w14:textId="77777777" w:rsidR="008C565D" w:rsidRPr="002A7627" w:rsidRDefault="008C565D" w:rsidP="00780272">
            <w:pPr>
              <w:jc w:val="both"/>
              <w:rPr>
                <w:rFonts w:cs="Times New Roman"/>
                <w:b/>
                <w:bCs/>
                <w:sz w:val="20"/>
                <w:szCs w:val="20"/>
              </w:rPr>
            </w:pPr>
            <w:r w:rsidRPr="002A7627">
              <w:rPr>
                <w:rFonts w:cs="Times New Roman"/>
                <w:b/>
                <w:bCs/>
                <w:sz w:val="20"/>
                <w:szCs w:val="20"/>
              </w:rPr>
              <w:t>Items</w:t>
            </w:r>
          </w:p>
        </w:tc>
        <w:tc>
          <w:tcPr>
            <w:tcW w:w="1530" w:type="dxa"/>
          </w:tcPr>
          <w:p w14:paraId="17FFD2A8" w14:textId="77777777" w:rsidR="008C565D" w:rsidRPr="002A7627" w:rsidRDefault="008C565D" w:rsidP="00780272">
            <w:pPr>
              <w:jc w:val="both"/>
              <w:rPr>
                <w:rFonts w:cs="Times New Roman"/>
                <w:b/>
                <w:bCs/>
                <w:sz w:val="20"/>
                <w:szCs w:val="20"/>
              </w:rPr>
            </w:pPr>
            <w:r w:rsidRPr="002A7627">
              <w:rPr>
                <w:rFonts w:cs="Times New Roman"/>
                <w:b/>
                <w:bCs/>
                <w:sz w:val="20"/>
                <w:szCs w:val="20"/>
              </w:rPr>
              <w:t>Measurement source</w:t>
            </w:r>
          </w:p>
        </w:tc>
      </w:tr>
      <w:tr w:rsidR="008C565D" w:rsidRPr="002A7627" w14:paraId="1FDAAC82" w14:textId="77777777" w:rsidTr="00780272">
        <w:tc>
          <w:tcPr>
            <w:tcW w:w="9810" w:type="dxa"/>
            <w:gridSpan w:val="4"/>
          </w:tcPr>
          <w:p w14:paraId="5B88881D" w14:textId="7B8DC2AA" w:rsidR="008C565D" w:rsidRPr="00C240F9" w:rsidRDefault="008C565D" w:rsidP="00780272">
            <w:pPr>
              <w:jc w:val="both"/>
              <w:rPr>
                <w:rFonts w:cs="Times New Roman"/>
                <w:b/>
                <w:bCs/>
                <w:sz w:val="20"/>
                <w:szCs w:val="20"/>
              </w:rPr>
            </w:pPr>
            <w:r w:rsidRPr="00C240F9">
              <w:rPr>
                <w:rFonts w:cs="Times New Roman"/>
                <w:b/>
                <w:bCs/>
                <w:sz w:val="20"/>
                <w:szCs w:val="20"/>
              </w:rPr>
              <w:t>Section B</w:t>
            </w:r>
          </w:p>
        </w:tc>
      </w:tr>
      <w:tr w:rsidR="008C565D" w:rsidRPr="002A7627" w14:paraId="7EDAE33B" w14:textId="77777777" w:rsidTr="00780272">
        <w:tc>
          <w:tcPr>
            <w:tcW w:w="654" w:type="dxa"/>
          </w:tcPr>
          <w:p w14:paraId="79FD3AEC" w14:textId="77777777" w:rsidR="008C565D" w:rsidRPr="002A7627" w:rsidRDefault="008C565D" w:rsidP="00780272">
            <w:pPr>
              <w:jc w:val="both"/>
              <w:rPr>
                <w:rFonts w:cs="Times New Roman"/>
                <w:b/>
                <w:bCs/>
                <w:color w:val="000000" w:themeColor="text1"/>
                <w:sz w:val="20"/>
                <w:szCs w:val="20"/>
              </w:rPr>
            </w:pPr>
            <w:r w:rsidRPr="002A7627">
              <w:rPr>
                <w:rFonts w:cs="Times New Roman"/>
                <w:b/>
                <w:bCs/>
                <w:sz w:val="20"/>
                <w:szCs w:val="20"/>
              </w:rPr>
              <w:t>Q1</w:t>
            </w:r>
          </w:p>
        </w:tc>
        <w:tc>
          <w:tcPr>
            <w:tcW w:w="1956" w:type="dxa"/>
            <w:vMerge w:val="restart"/>
          </w:tcPr>
          <w:p w14:paraId="02CA6F1E" w14:textId="77777777" w:rsidR="008C565D" w:rsidRPr="002A7627" w:rsidRDefault="008C565D" w:rsidP="00780272">
            <w:pPr>
              <w:jc w:val="both"/>
              <w:rPr>
                <w:rFonts w:cs="Times New Roman"/>
                <w:b/>
                <w:bCs/>
                <w:sz w:val="20"/>
                <w:szCs w:val="20"/>
              </w:rPr>
            </w:pPr>
            <w:r w:rsidRPr="002A7627">
              <w:rPr>
                <w:rFonts w:cs="Times New Roman"/>
                <w:b/>
                <w:bCs/>
                <w:sz w:val="20"/>
                <w:szCs w:val="20"/>
              </w:rPr>
              <w:t>Knowledge</w:t>
            </w:r>
          </w:p>
          <w:p w14:paraId="2B157D49" w14:textId="77777777" w:rsidR="008C565D" w:rsidRPr="002A7627" w:rsidRDefault="008C565D" w:rsidP="00780272">
            <w:pPr>
              <w:jc w:val="both"/>
              <w:rPr>
                <w:rFonts w:cs="Times New Roman"/>
                <w:b/>
                <w:bCs/>
                <w:sz w:val="20"/>
                <w:szCs w:val="20"/>
              </w:rPr>
            </w:pPr>
            <w:r w:rsidRPr="002A7627">
              <w:rPr>
                <w:rFonts w:cs="Times New Roman"/>
                <w:b/>
                <w:bCs/>
                <w:sz w:val="20"/>
                <w:szCs w:val="20"/>
              </w:rPr>
              <w:t>Management</w:t>
            </w:r>
          </w:p>
          <w:p w14:paraId="72741383" w14:textId="77777777" w:rsidR="008C565D" w:rsidRPr="002A7627" w:rsidRDefault="008C565D" w:rsidP="00780272">
            <w:pPr>
              <w:jc w:val="both"/>
              <w:rPr>
                <w:rFonts w:cs="Times New Roman"/>
                <w:i/>
                <w:iCs/>
                <w:color w:val="000000" w:themeColor="text1"/>
                <w:sz w:val="20"/>
                <w:szCs w:val="20"/>
              </w:rPr>
            </w:pPr>
            <w:r w:rsidRPr="002A7627">
              <w:rPr>
                <w:rFonts w:cs="Times New Roman"/>
                <w:b/>
                <w:bCs/>
                <w:sz w:val="20"/>
                <w:szCs w:val="20"/>
              </w:rPr>
              <w:t>Capabilities</w:t>
            </w:r>
          </w:p>
        </w:tc>
        <w:tc>
          <w:tcPr>
            <w:tcW w:w="5670" w:type="dxa"/>
          </w:tcPr>
          <w:p w14:paraId="6A1D900F" w14:textId="77777777" w:rsidR="008C565D" w:rsidRPr="002A7627" w:rsidRDefault="008C565D" w:rsidP="00780272">
            <w:pPr>
              <w:jc w:val="both"/>
              <w:rPr>
                <w:rFonts w:cs="Times New Roman"/>
                <w:color w:val="000000" w:themeColor="text1"/>
                <w:sz w:val="20"/>
                <w:szCs w:val="20"/>
              </w:rPr>
            </w:pPr>
            <w:r w:rsidRPr="002A7627">
              <w:rPr>
                <w:rStyle w:val="Hyperlink"/>
                <w:rFonts w:cs="Times New Roman"/>
                <w:color w:val="000000"/>
                <w:sz w:val="20"/>
                <w:szCs w:val="20"/>
                <w:u w:val="none"/>
              </w:rPr>
              <w:t>My organization has processes to gain knowledge of our suppliers, customers, and partners.</w:t>
            </w:r>
          </w:p>
        </w:tc>
        <w:tc>
          <w:tcPr>
            <w:tcW w:w="1530" w:type="dxa"/>
            <w:vMerge w:val="restart"/>
          </w:tcPr>
          <w:p w14:paraId="0B2C78E0" w14:textId="77777777" w:rsidR="008C565D" w:rsidRPr="002A7627" w:rsidRDefault="008C565D" w:rsidP="00780272">
            <w:pPr>
              <w:jc w:val="both"/>
              <w:rPr>
                <w:rFonts w:cs="Times New Roman"/>
                <w:noProof/>
                <w:sz w:val="20"/>
                <w:szCs w:val="20"/>
              </w:rPr>
            </w:pPr>
            <w:r w:rsidRPr="002A7627">
              <w:rPr>
                <w:rFonts w:cs="Times New Roman"/>
                <w:sz w:val="20"/>
                <w:szCs w:val="20"/>
              </w:rPr>
              <w:fldChar w:fldCharType="begin" w:fldLock="1"/>
            </w:r>
            <w:r w:rsidRPr="002A7627">
              <w:rPr>
                <w:rFonts w:cs="Times New Roman"/>
                <w:sz w:val="20"/>
                <w:szCs w:val="20"/>
              </w:rPr>
              <w:instrText>ADDIN CSL_CITATION {"citationItems":[{"id":"ITEM-1","itemData":{"DOI":"10.1080/07421222.2001.11045669","ISSN":"07421222","abstract":"A hallmark of the new economy is the ability of organizations to realize economic value from their collection of knowledge assets as well as their assets of information, production distribution, and affiliation. Despite the competitive necessity of becoming a knowledge-based organization, senior managers have found it difficult to transform their firms through programs of knowledge management. This is particularly true if their organizations have long histories of process and a tradition of business success. This research examines the issue of effective knowledge management from the perspective of organizational capabilities. This perspective suggests that a knowledge infrastructure consisting of technology, structure, and culture along with a knowledge process architecture of acquisition, conversion, application, and protection are essential organizational capabilities or \"preconditions\" for effective knowledge management. Through analysis of surveys collected from over 300 senior executives, this research empirically models and uncovers key aspects of these dimensions. The results provide a basis for understanding the competitive predisposition of a firm as it enters a program of knowledge management.","author":[{"dropping-particle":"","family":"Gold","given":"Andrew H.","non-dropping-particle":"","parse-names":false,"suffix":""},{"dropping-particle":"","family":"Malhotra","given":"Arvind","non-dropping-particle":"","parse-names":false,"suffix":""},{"dropping-particle":"","family":"Segars","given":"Albert H.","non-dropping-particle":"","parse-names":false,"suffix":""}],"container-title":"Journal of Management Information Systems","id":"ITEM-1","issue":"1","issued":{"date-parts":[["2001"]]},"page":"185–214","title":"Knowledge management: An organizational capabilities perspective","type":"article-journal","volume":"18"},"uris":["http://www.mendeley.com/documents/?uuid=8b28cae1-41b6-477b-9137-a41900d8e27d"]},{"id":"ITEM-2","itemData":{"DOI":"10.1016/j.ijinfomgt.2016.07.001","ISSN":"02684012","author":[{"dropping-particle":"","family":"Mao","given":"Hongyi","non-dropping-particle":"","parse-names":false,"suffix":""},{"dropping-particle":"","family":"Liu","given":"Shan","non-dropping-particle":"","parse-names":false,"suffix":""},{"dropping-particle":"","family":"Zhang","given":"Jinlong","non-dropping-particle":"","parse-names":false,"suffix":""},{"dropping-particle":"","family":"Deng","given":"Zhaohua","non-dropping-particle":"","parse-names":false,"suffix":""}],"container-title":"International Journal of Information Management","id":"ITEM-2","issue":"6","issued":{"date-parts":[["2016","12"]]},"page":"1062-1074","title":"Information technology resource, knowledge management capability, and competitive advantage: The moderating role of resource commitment","type":"article-journal","volume":"36"},"uris":["http://www.mendeley.com/documents/?uuid=f4b33ae6-823b-40bd-ab25-1538058e5e73"]}],"mendeley":{"formattedCitation":"(Gold et al., 2001; Mao et al., 2016)","manualFormatting":"Gold et al. (2001) \rMao et al. (2016)","plainTextFormattedCitation":"(Gold et al., 2001; Mao et al., 2016)","previouslyFormattedCitation":"(Gold et al., 2001; Mao et al., 2016)"},"properties":{"noteIndex":0},"schema":"https://github.com/citation-style-language/schema/raw/master/csl-citation.json"}</w:instrText>
            </w:r>
            <w:r w:rsidRPr="002A7627">
              <w:rPr>
                <w:rFonts w:cs="Times New Roman"/>
                <w:sz w:val="20"/>
                <w:szCs w:val="20"/>
              </w:rPr>
              <w:fldChar w:fldCharType="separate"/>
            </w:r>
            <w:r w:rsidRPr="002A7627">
              <w:rPr>
                <w:rFonts w:cs="Times New Roman"/>
                <w:noProof/>
                <w:sz w:val="20"/>
                <w:szCs w:val="20"/>
              </w:rPr>
              <w:t xml:space="preserve">Gold et al. (2001) </w:t>
            </w:r>
          </w:p>
          <w:p w14:paraId="4425F2A8" w14:textId="77777777" w:rsidR="008C565D" w:rsidRPr="002A7627" w:rsidRDefault="008C565D" w:rsidP="00780272">
            <w:pPr>
              <w:jc w:val="both"/>
              <w:rPr>
                <w:rFonts w:cs="Times New Roman"/>
                <w:sz w:val="20"/>
                <w:szCs w:val="20"/>
              </w:rPr>
            </w:pPr>
            <w:r w:rsidRPr="002A7627">
              <w:rPr>
                <w:rFonts w:cs="Times New Roman"/>
                <w:noProof/>
                <w:sz w:val="20"/>
                <w:szCs w:val="20"/>
              </w:rPr>
              <w:t>Mao et al. (2016)</w:t>
            </w:r>
            <w:r w:rsidRPr="002A7627">
              <w:rPr>
                <w:rFonts w:cs="Times New Roman"/>
                <w:sz w:val="20"/>
                <w:szCs w:val="20"/>
              </w:rPr>
              <w:fldChar w:fldCharType="end"/>
            </w:r>
          </w:p>
        </w:tc>
      </w:tr>
      <w:tr w:rsidR="008C565D" w:rsidRPr="002A7627" w14:paraId="74CF267B" w14:textId="77777777" w:rsidTr="00780272">
        <w:tc>
          <w:tcPr>
            <w:tcW w:w="654" w:type="dxa"/>
          </w:tcPr>
          <w:p w14:paraId="2E4C4439"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Q2</w:t>
            </w:r>
          </w:p>
        </w:tc>
        <w:tc>
          <w:tcPr>
            <w:tcW w:w="1956" w:type="dxa"/>
            <w:vMerge/>
          </w:tcPr>
          <w:p w14:paraId="3EE206DD" w14:textId="77777777" w:rsidR="008C565D" w:rsidRPr="002A7627" w:rsidRDefault="008C565D" w:rsidP="00780272">
            <w:pPr>
              <w:jc w:val="both"/>
              <w:rPr>
                <w:rFonts w:cs="Times New Roman"/>
                <w:i/>
                <w:iCs/>
                <w:color w:val="000000" w:themeColor="text1"/>
                <w:sz w:val="20"/>
                <w:szCs w:val="20"/>
              </w:rPr>
            </w:pPr>
          </w:p>
        </w:tc>
        <w:tc>
          <w:tcPr>
            <w:tcW w:w="5670" w:type="dxa"/>
          </w:tcPr>
          <w:p w14:paraId="002E230E" w14:textId="77777777" w:rsidR="008C565D" w:rsidRPr="002A7627" w:rsidRDefault="008C565D" w:rsidP="00780272">
            <w:pPr>
              <w:jc w:val="both"/>
              <w:rPr>
                <w:rFonts w:cs="Times New Roman"/>
                <w:sz w:val="20"/>
                <w:szCs w:val="20"/>
              </w:rPr>
            </w:pPr>
            <w:r w:rsidRPr="002A7627">
              <w:rPr>
                <w:rFonts w:cs="Times New Roman"/>
                <w:sz w:val="20"/>
                <w:szCs w:val="20"/>
              </w:rPr>
              <w:t>Computerized information systems are available and can be accessed to share information with others.</w:t>
            </w:r>
          </w:p>
        </w:tc>
        <w:tc>
          <w:tcPr>
            <w:tcW w:w="1530" w:type="dxa"/>
            <w:vMerge/>
          </w:tcPr>
          <w:p w14:paraId="0503909A" w14:textId="77777777" w:rsidR="008C565D" w:rsidRPr="002A7627" w:rsidRDefault="008C565D" w:rsidP="00780272">
            <w:pPr>
              <w:jc w:val="both"/>
              <w:rPr>
                <w:rFonts w:cs="Times New Roman"/>
                <w:sz w:val="20"/>
                <w:szCs w:val="20"/>
              </w:rPr>
            </w:pPr>
          </w:p>
        </w:tc>
      </w:tr>
      <w:tr w:rsidR="008C565D" w:rsidRPr="002A7627" w14:paraId="06CF3DD1" w14:textId="77777777" w:rsidTr="00780272">
        <w:tc>
          <w:tcPr>
            <w:tcW w:w="654" w:type="dxa"/>
          </w:tcPr>
          <w:p w14:paraId="4A043049"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Q3</w:t>
            </w:r>
          </w:p>
        </w:tc>
        <w:tc>
          <w:tcPr>
            <w:tcW w:w="1956" w:type="dxa"/>
            <w:vMerge/>
          </w:tcPr>
          <w:p w14:paraId="1DBD2DEC" w14:textId="77777777" w:rsidR="008C565D" w:rsidRPr="002A7627" w:rsidRDefault="008C565D" w:rsidP="00780272">
            <w:pPr>
              <w:jc w:val="both"/>
              <w:rPr>
                <w:rFonts w:cs="Times New Roman"/>
                <w:i/>
                <w:iCs/>
                <w:color w:val="000000" w:themeColor="text1"/>
                <w:sz w:val="20"/>
                <w:szCs w:val="20"/>
              </w:rPr>
            </w:pPr>
          </w:p>
        </w:tc>
        <w:tc>
          <w:tcPr>
            <w:tcW w:w="5670" w:type="dxa"/>
          </w:tcPr>
          <w:p w14:paraId="7D97828F" w14:textId="77777777" w:rsidR="008C565D" w:rsidRPr="002A7627" w:rsidRDefault="008C565D" w:rsidP="00780272">
            <w:pPr>
              <w:jc w:val="both"/>
              <w:rPr>
                <w:rFonts w:cs="Times New Roman"/>
                <w:color w:val="000000" w:themeColor="text1"/>
                <w:sz w:val="20"/>
                <w:szCs w:val="20"/>
              </w:rPr>
            </w:pPr>
            <w:r w:rsidRPr="002A7627">
              <w:rPr>
                <w:rStyle w:val="Hyperlink"/>
                <w:rFonts w:cs="Times New Roman"/>
                <w:color w:val="000000"/>
                <w:sz w:val="20"/>
                <w:szCs w:val="20"/>
                <w:u w:val="none"/>
              </w:rPr>
              <w:t>My organization has processes in place to distribute knowledge throughout the organization.</w:t>
            </w:r>
          </w:p>
        </w:tc>
        <w:tc>
          <w:tcPr>
            <w:tcW w:w="1530" w:type="dxa"/>
            <w:vMerge/>
          </w:tcPr>
          <w:p w14:paraId="3878A142" w14:textId="77777777" w:rsidR="008C565D" w:rsidRPr="002A7627" w:rsidRDefault="008C565D" w:rsidP="00780272">
            <w:pPr>
              <w:jc w:val="both"/>
              <w:rPr>
                <w:rFonts w:cs="Times New Roman"/>
                <w:sz w:val="20"/>
                <w:szCs w:val="20"/>
              </w:rPr>
            </w:pPr>
          </w:p>
        </w:tc>
      </w:tr>
      <w:tr w:rsidR="008C565D" w:rsidRPr="002A7627" w14:paraId="356F58C0" w14:textId="77777777" w:rsidTr="00780272">
        <w:tc>
          <w:tcPr>
            <w:tcW w:w="654" w:type="dxa"/>
          </w:tcPr>
          <w:p w14:paraId="5783306C"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Q4</w:t>
            </w:r>
          </w:p>
        </w:tc>
        <w:tc>
          <w:tcPr>
            <w:tcW w:w="1956" w:type="dxa"/>
            <w:vMerge/>
          </w:tcPr>
          <w:p w14:paraId="5EE59399" w14:textId="77777777" w:rsidR="008C565D" w:rsidRPr="002A7627" w:rsidRDefault="008C565D" w:rsidP="00780272">
            <w:pPr>
              <w:jc w:val="both"/>
              <w:rPr>
                <w:rFonts w:cs="Times New Roman"/>
                <w:i/>
                <w:iCs/>
                <w:color w:val="000000" w:themeColor="text1"/>
                <w:sz w:val="20"/>
                <w:szCs w:val="20"/>
              </w:rPr>
            </w:pPr>
          </w:p>
        </w:tc>
        <w:tc>
          <w:tcPr>
            <w:tcW w:w="5670" w:type="dxa"/>
          </w:tcPr>
          <w:p w14:paraId="285C31CB" w14:textId="77777777" w:rsidR="008C565D" w:rsidRPr="002A7627" w:rsidRDefault="008C565D" w:rsidP="00780272">
            <w:pPr>
              <w:jc w:val="both"/>
              <w:rPr>
                <w:rFonts w:cs="Times New Roman"/>
                <w:color w:val="000000" w:themeColor="text1"/>
                <w:sz w:val="20"/>
                <w:szCs w:val="20"/>
              </w:rPr>
            </w:pPr>
            <w:r w:rsidRPr="002A7627">
              <w:rPr>
                <w:rStyle w:val="Hyperlink"/>
                <w:rFonts w:cs="Times New Roman"/>
                <w:color w:val="000000"/>
                <w:sz w:val="20"/>
                <w:szCs w:val="20"/>
                <w:u w:val="none"/>
              </w:rPr>
              <w:t>In my organization, knowledge is accessible to those who need it.</w:t>
            </w:r>
          </w:p>
        </w:tc>
        <w:tc>
          <w:tcPr>
            <w:tcW w:w="1530" w:type="dxa"/>
            <w:vMerge/>
          </w:tcPr>
          <w:p w14:paraId="73EF1115" w14:textId="77777777" w:rsidR="008C565D" w:rsidRPr="002A7627" w:rsidRDefault="008C565D" w:rsidP="00780272">
            <w:pPr>
              <w:jc w:val="both"/>
              <w:rPr>
                <w:rFonts w:cs="Times New Roman"/>
                <w:sz w:val="20"/>
                <w:szCs w:val="20"/>
              </w:rPr>
            </w:pPr>
          </w:p>
        </w:tc>
      </w:tr>
      <w:tr w:rsidR="008C565D" w:rsidRPr="002A7627" w14:paraId="5CD9447D" w14:textId="77777777" w:rsidTr="00780272">
        <w:tc>
          <w:tcPr>
            <w:tcW w:w="654" w:type="dxa"/>
          </w:tcPr>
          <w:p w14:paraId="0BAC9CFD"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Q5</w:t>
            </w:r>
          </w:p>
        </w:tc>
        <w:tc>
          <w:tcPr>
            <w:tcW w:w="1956" w:type="dxa"/>
            <w:vMerge/>
          </w:tcPr>
          <w:p w14:paraId="780F4436" w14:textId="77777777" w:rsidR="008C565D" w:rsidRPr="002A7627" w:rsidRDefault="008C565D" w:rsidP="00780272">
            <w:pPr>
              <w:jc w:val="both"/>
              <w:rPr>
                <w:rFonts w:cs="Times New Roman"/>
                <w:b/>
                <w:bCs/>
                <w:color w:val="000000" w:themeColor="text1"/>
                <w:sz w:val="20"/>
                <w:szCs w:val="20"/>
              </w:rPr>
            </w:pPr>
          </w:p>
        </w:tc>
        <w:tc>
          <w:tcPr>
            <w:tcW w:w="5670" w:type="dxa"/>
          </w:tcPr>
          <w:p w14:paraId="7CB8D58F" w14:textId="77777777" w:rsidR="008C565D" w:rsidRPr="002A7627" w:rsidRDefault="008C565D" w:rsidP="00780272">
            <w:pPr>
              <w:jc w:val="both"/>
              <w:rPr>
                <w:rFonts w:cs="Times New Roman"/>
                <w:color w:val="000000" w:themeColor="text1"/>
                <w:sz w:val="20"/>
                <w:szCs w:val="20"/>
              </w:rPr>
            </w:pPr>
            <w:r w:rsidRPr="002A7627">
              <w:rPr>
                <w:rStyle w:val="Hyperlink"/>
                <w:rFonts w:cs="Times New Roman"/>
                <w:color w:val="000000"/>
                <w:sz w:val="20"/>
                <w:szCs w:val="20"/>
                <w:u w:val="none"/>
              </w:rPr>
              <w:t>My organization holds periodic meetings to inform employees about the latest innovations.</w:t>
            </w:r>
          </w:p>
        </w:tc>
        <w:tc>
          <w:tcPr>
            <w:tcW w:w="1530" w:type="dxa"/>
          </w:tcPr>
          <w:p w14:paraId="59E5B839" w14:textId="77777777" w:rsidR="008C565D" w:rsidRPr="002A7627" w:rsidRDefault="008C565D" w:rsidP="00780272">
            <w:pPr>
              <w:jc w:val="both"/>
              <w:rPr>
                <w:rStyle w:val="Hyperlink"/>
                <w:rFonts w:cs="Times New Roman"/>
                <w:color w:val="000000"/>
                <w:sz w:val="20"/>
                <w:szCs w:val="20"/>
                <w:u w:val="none"/>
              </w:rPr>
            </w:pPr>
            <w:r w:rsidRPr="002A7627">
              <w:rPr>
                <w:rStyle w:val="Hyperlink"/>
                <w:rFonts w:cs="Times New Roman"/>
                <w:color w:val="000000"/>
                <w:sz w:val="20"/>
                <w:szCs w:val="20"/>
                <w:u w:val="none"/>
              </w:rPr>
              <w:t>Removed</w:t>
            </w:r>
          </w:p>
        </w:tc>
      </w:tr>
      <w:tr w:rsidR="008C565D" w:rsidRPr="002A7627" w14:paraId="086F86B3" w14:textId="77777777" w:rsidTr="00780272">
        <w:tc>
          <w:tcPr>
            <w:tcW w:w="654" w:type="dxa"/>
          </w:tcPr>
          <w:p w14:paraId="16254AD3"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Q6</w:t>
            </w:r>
          </w:p>
        </w:tc>
        <w:tc>
          <w:tcPr>
            <w:tcW w:w="1956" w:type="dxa"/>
            <w:vMerge/>
          </w:tcPr>
          <w:p w14:paraId="2FB44B35" w14:textId="77777777" w:rsidR="008C565D" w:rsidRPr="002A7627" w:rsidRDefault="008C565D" w:rsidP="00780272">
            <w:pPr>
              <w:jc w:val="both"/>
              <w:rPr>
                <w:rFonts w:cs="Times New Roman"/>
                <w:b/>
                <w:bCs/>
                <w:color w:val="000000" w:themeColor="text1"/>
                <w:sz w:val="20"/>
                <w:szCs w:val="20"/>
              </w:rPr>
            </w:pPr>
          </w:p>
        </w:tc>
        <w:tc>
          <w:tcPr>
            <w:tcW w:w="5670" w:type="dxa"/>
          </w:tcPr>
          <w:p w14:paraId="32B5FFD4" w14:textId="13A37BC1" w:rsidR="008C565D" w:rsidRPr="002A7627" w:rsidRDefault="008C565D" w:rsidP="004F4485">
            <w:pPr>
              <w:jc w:val="both"/>
              <w:rPr>
                <w:rFonts w:cs="Times New Roman"/>
                <w:color w:val="000000" w:themeColor="text1"/>
                <w:sz w:val="20"/>
                <w:szCs w:val="20"/>
              </w:rPr>
            </w:pPr>
            <w:r w:rsidRPr="002A7627">
              <w:rPr>
                <w:rStyle w:val="Hyperlink"/>
                <w:rFonts w:cs="Times New Roman"/>
                <w:color w:val="000000"/>
                <w:sz w:val="20"/>
                <w:szCs w:val="20"/>
                <w:u w:val="none"/>
              </w:rPr>
              <w:t xml:space="preserve">My organization has a formal process to share the best practices among the different fields of activities. </w:t>
            </w:r>
          </w:p>
        </w:tc>
        <w:tc>
          <w:tcPr>
            <w:tcW w:w="1530" w:type="dxa"/>
          </w:tcPr>
          <w:p w14:paraId="0B243E1D" w14:textId="77777777" w:rsidR="008C565D" w:rsidRPr="002A7627" w:rsidRDefault="008C565D" w:rsidP="00780272">
            <w:pPr>
              <w:jc w:val="both"/>
              <w:rPr>
                <w:rStyle w:val="Hyperlink"/>
                <w:rFonts w:cs="Times New Roman"/>
                <w:color w:val="000000"/>
                <w:sz w:val="20"/>
                <w:szCs w:val="20"/>
                <w:u w:val="none"/>
              </w:rPr>
            </w:pPr>
            <w:r w:rsidRPr="002A7627">
              <w:rPr>
                <w:rStyle w:val="Hyperlink"/>
                <w:rFonts w:cs="Times New Roman"/>
                <w:color w:val="000000"/>
                <w:sz w:val="20"/>
                <w:szCs w:val="20"/>
                <w:u w:val="none"/>
              </w:rPr>
              <w:t>Removed</w:t>
            </w:r>
          </w:p>
        </w:tc>
      </w:tr>
      <w:tr w:rsidR="008C565D" w:rsidRPr="002A7627" w14:paraId="2F671544" w14:textId="77777777" w:rsidTr="00780272">
        <w:tc>
          <w:tcPr>
            <w:tcW w:w="9810" w:type="dxa"/>
            <w:gridSpan w:val="4"/>
          </w:tcPr>
          <w:p w14:paraId="69442D63" w14:textId="70B039F4" w:rsidR="008C565D" w:rsidRPr="002A7627" w:rsidRDefault="00C240F9" w:rsidP="00C240F9">
            <w:pPr>
              <w:jc w:val="both"/>
              <w:rPr>
                <w:rFonts w:cs="Times New Roman"/>
                <w:b/>
                <w:bCs/>
                <w:sz w:val="20"/>
                <w:szCs w:val="20"/>
              </w:rPr>
            </w:pPr>
            <w:r>
              <w:rPr>
                <w:rFonts w:cs="Times New Roman"/>
                <w:b/>
                <w:bCs/>
                <w:sz w:val="20"/>
                <w:szCs w:val="20"/>
              </w:rPr>
              <w:t>Sect</w:t>
            </w:r>
            <w:r w:rsidR="008C565D">
              <w:rPr>
                <w:rFonts w:cs="Times New Roman"/>
                <w:b/>
                <w:bCs/>
                <w:sz w:val="20"/>
                <w:szCs w:val="20"/>
              </w:rPr>
              <w:t xml:space="preserve">ion C: </w:t>
            </w:r>
            <w:r w:rsidR="008C565D" w:rsidRPr="002A7627">
              <w:rPr>
                <w:rFonts w:cs="Times New Roman"/>
                <w:b/>
                <w:bCs/>
                <w:sz w:val="20"/>
                <w:szCs w:val="20"/>
              </w:rPr>
              <w:t>HR Practices</w:t>
            </w:r>
            <w:r w:rsidR="008C565D">
              <w:rPr>
                <w:rFonts w:cs="Times New Roman"/>
                <w:b/>
                <w:bCs/>
                <w:sz w:val="20"/>
                <w:szCs w:val="20"/>
              </w:rPr>
              <w:t xml:space="preserve"> for knowledge sharing</w:t>
            </w:r>
          </w:p>
          <w:p w14:paraId="2F083774" w14:textId="0829FFEC" w:rsidR="008C565D" w:rsidRPr="002A7627" w:rsidRDefault="008C565D" w:rsidP="00780272">
            <w:pPr>
              <w:jc w:val="both"/>
              <w:rPr>
                <w:rFonts w:cs="Times New Roman"/>
                <w:sz w:val="20"/>
                <w:szCs w:val="20"/>
              </w:rPr>
            </w:pPr>
          </w:p>
          <w:p w14:paraId="4BAC6337" w14:textId="77777777" w:rsidR="008C565D" w:rsidRPr="002A7627" w:rsidRDefault="008C565D" w:rsidP="00780272">
            <w:pPr>
              <w:jc w:val="both"/>
              <w:rPr>
                <w:rStyle w:val="Hyperlink"/>
                <w:rFonts w:cs="Times New Roman"/>
                <w:color w:val="000000"/>
                <w:sz w:val="20"/>
                <w:szCs w:val="20"/>
                <w:u w:val="none"/>
              </w:rPr>
            </w:pPr>
          </w:p>
        </w:tc>
      </w:tr>
      <w:tr w:rsidR="008C565D" w:rsidRPr="002A7627" w14:paraId="25BD5F73" w14:textId="77777777" w:rsidTr="00780272">
        <w:tc>
          <w:tcPr>
            <w:tcW w:w="654" w:type="dxa"/>
          </w:tcPr>
          <w:p w14:paraId="20A794D7" w14:textId="77777777" w:rsidR="008C565D" w:rsidRPr="002A7627" w:rsidRDefault="008C565D" w:rsidP="00780272">
            <w:pPr>
              <w:jc w:val="both"/>
              <w:rPr>
                <w:rFonts w:cs="Times New Roman"/>
                <w:b/>
                <w:bCs/>
                <w:color w:val="000000" w:themeColor="text1"/>
                <w:sz w:val="20"/>
                <w:szCs w:val="20"/>
              </w:rPr>
            </w:pPr>
            <w:r w:rsidRPr="002A7627">
              <w:rPr>
                <w:rFonts w:cs="Times New Roman"/>
                <w:sz w:val="20"/>
                <w:szCs w:val="20"/>
              </w:rPr>
              <w:t>Q5</w:t>
            </w:r>
          </w:p>
        </w:tc>
        <w:tc>
          <w:tcPr>
            <w:tcW w:w="1956" w:type="dxa"/>
            <w:vMerge w:val="restart"/>
          </w:tcPr>
          <w:p w14:paraId="5805CC5A" w14:textId="77777777" w:rsidR="008C565D" w:rsidRPr="002A7627" w:rsidRDefault="008C565D" w:rsidP="00780272">
            <w:pPr>
              <w:jc w:val="both"/>
              <w:rPr>
                <w:rFonts w:cs="Times New Roman"/>
                <w:b/>
                <w:bCs/>
                <w:color w:val="000000" w:themeColor="text1"/>
                <w:sz w:val="20"/>
                <w:szCs w:val="20"/>
              </w:rPr>
            </w:pPr>
            <w:r w:rsidRPr="002A7627">
              <w:rPr>
                <w:rFonts w:cs="Times New Roman"/>
                <w:b/>
                <w:bCs/>
                <w:sz w:val="20"/>
                <w:szCs w:val="20"/>
              </w:rPr>
              <w:t>Extrinsic motivation-enhancing HR practices</w:t>
            </w:r>
          </w:p>
        </w:tc>
        <w:tc>
          <w:tcPr>
            <w:tcW w:w="5670" w:type="dxa"/>
          </w:tcPr>
          <w:p w14:paraId="717D8723" w14:textId="77777777" w:rsidR="008C565D" w:rsidRPr="002A7627" w:rsidRDefault="008C565D" w:rsidP="00780272">
            <w:pPr>
              <w:jc w:val="both"/>
              <w:rPr>
                <w:rFonts w:cs="Times New Roman"/>
                <w:color w:val="000000" w:themeColor="text1"/>
                <w:sz w:val="20"/>
                <w:szCs w:val="20"/>
                <w:rtl/>
              </w:rPr>
            </w:pPr>
            <w:r w:rsidRPr="002A7627">
              <w:rPr>
                <w:rFonts w:cs="Times New Roman"/>
                <w:sz w:val="20"/>
                <w:szCs w:val="20"/>
              </w:rPr>
              <w:t>Our organization specifically rewards knowledge sharing with monetary incentives.</w:t>
            </w:r>
          </w:p>
        </w:tc>
        <w:tc>
          <w:tcPr>
            <w:tcW w:w="1530" w:type="dxa"/>
            <w:vMerge w:val="restart"/>
          </w:tcPr>
          <w:p w14:paraId="77B63FE0" w14:textId="77777777" w:rsidR="008C565D" w:rsidRPr="002A7627" w:rsidRDefault="008C565D" w:rsidP="00780272">
            <w:pPr>
              <w:jc w:val="both"/>
              <w:rPr>
                <w:rFonts w:cs="Times New Roman"/>
                <w:sz w:val="20"/>
                <w:szCs w:val="20"/>
              </w:rPr>
            </w:pPr>
            <w:r w:rsidRPr="002A7627">
              <w:rPr>
                <w:rFonts w:cs="Times New Roman"/>
                <w:sz w:val="20"/>
                <w:szCs w:val="20"/>
              </w:rPr>
              <w:fldChar w:fldCharType="begin" w:fldLock="1"/>
            </w:r>
            <w:r w:rsidRPr="002A7627">
              <w:rPr>
                <w:rFonts w:cs="Times New Roman"/>
                <w:sz w:val="20"/>
                <w:szCs w:val="20"/>
              </w:rPr>
              <w:instrText>ADDIN CSL_CITATION {"citationItems":[{"id":"ITEM-1","itemData":{"DOI":"10.1111/1748-8583.12100","ISSN":"17488583","abstract":"This article examines how individual-level antecedents such as motivation and ability to share knowledge mediate the relationship between HR practices and knowledge-sharing behaviour. The results of a survey of 329 secondary school teachers reveal the contradictory effects of different HR practices on the mediating roles of intrinsic and extrinsic motivation to share knowledge and subsequent knowledge-sharing behaviour of teachers. The study demonstrates that opportunity-enhancing HR practices act as a moderating condition that activates either intrinsic or extrinsic motivation to share knowledge and may completely offset the effect of motivation-enhancing HR practices. The study makes a distinctive contribution by demonstrating how certain combinations of HR practices aimed to enhance knowledge sharing might in fact be a costly solution for organisations, as they activate different mediating mechanisms in the HRM–knowledge-sharing behaviour link.","author":[{"dropping-particle":"","family":"Andreeva","given":"Tatiana","non-dropping-particle":"","parse-names":false,"suffix":""},{"dropping-particle":"","family":"Sergeeva","given":"Anastasia","non-dropping-particle":"","parse-names":false,"suffix":""}],"container-title":"Human Resource Management Journal","id":"ITEM-1","issue":"2","issued":{"date-parts":[["2016","4","1"]]},"page":"151-171","publisher":"Blackwell Publishing Ltd","title":"The more the better .. or is it? The contradictory effects of HR practices on knowledge-sharing motivation and behaviour","type":"article-journal","volume":"26"},"uris":["http://www.mendeley.com/documents/?uuid=3fc63dfe-0dba-33b3-8a6d-3e39ff842349"]},{"id":"ITEM-2","itemData":{"author":[{"dropping-particle":"","family":"Kianto","given":"A.","non-dropping-particle":"","parse-names":false,"suffix":""},{"dropping-particle":"","family":"Andreeva","given":"T.","non-dropping-particle":"","parse-names":false,"suffix":""},{"dropping-particle":"","family":"Shi","given":"X.","non-dropping-particle":"","parse-names":false,"suffix":""}],"container-title":"12th European Conference on Knowledge Management","editor":[{"dropping-particle":"","family":"Lehner","given":"F.","non-dropping-particle":"","parse-names":false,"suffix":""},{"dropping-particle":"","family":"Bredl","given":"K.","non-dropping-particle":"","parse-names":false,"suffix":""}],"id":"ITEM-2","issued":{"date-parts":[["2011"]]},"page":"2-3","publisher":"Reading Academic Publishing","publisher-place":"Passau, Germany","title":"Knowledge management across the globe – an international survey of KM awareness, spending, practices and performance","type":"paper-conference"},"uris":["http://www.mendeley.com/documents/?uuid=b74e8179-9f2b-4753-a11f-a4b7273a2ed9"]}],"mendeley":{"formattedCitation":"(Andreeva &amp; Sergeeva, 2016; Kianto et al., 2011)","manualFormatting":"Andreeva and Sergeeva (2016)\u000bKianto et al. (2011)","plainTextFormattedCitation":"(Andreeva &amp; Sergeeva, 2016; Kianto et al., 2011)","previouslyFormattedCitation":"(Andreeva &amp; Sergeeva, 2016; Kianto et al., 2011)"},"properties":{"noteIndex":0},"schema":"https://github.com/citation-style-language/schema/raw/master/csl-citation.json"}</w:instrText>
            </w:r>
            <w:r w:rsidRPr="002A7627">
              <w:rPr>
                <w:rFonts w:cs="Times New Roman"/>
                <w:sz w:val="20"/>
                <w:szCs w:val="20"/>
              </w:rPr>
              <w:fldChar w:fldCharType="separate"/>
            </w:r>
            <w:r w:rsidRPr="002A7627">
              <w:rPr>
                <w:rFonts w:cs="Times New Roman"/>
                <w:noProof/>
                <w:sz w:val="20"/>
                <w:szCs w:val="20"/>
              </w:rPr>
              <w:t>Andreeva and Sergeeva (2016)</w:t>
            </w:r>
            <w:r w:rsidRPr="002A7627">
              <w:rPr>
                <w:rFonts w:cs="Times New Roman"/>
                <w:noProof/>
                <w:sz w:val="20"/>
                <w:szCs w:val="20"/>
              </w:rPr>
              <w:br/>
              <w:t>Kianto et al. (2011)</w:t>
            </w:r>
            <w:r w:rsidRPr="002A7627">
              <w:rPr>
                <w:rFonts w:cs="Times New Roman"/>
                <w:sz w:val="20"/>
                <w:szCs w:val="20"/>
              </w:rPr>
              <w:fldChar w:fldCharType="end"/>
            </w:r>
            <w:r w:rsidRPr="002A7627">
              <w:rPr>
                <w:rFonts w:cs="Times New Roman"/>
                <w:sz w:val="20"/>
                <w:szCs w:val="20"/>
              </w:rPr>
              <w:t xml:space="preserve"> </w:t>
            </w:r>
          </w:p>
        </w:tc>
      </w:tr>
      <w:tr w:rsidR="008C565D" w:rsidRPr="002A7627" w14:paraId="05F0B5C7" w14:textId="77777777" w:rsidTr="00780272">
        <w:tc>
          <w:tcPr>
            <w:tcW w:w="654" w:type="dxa"/>
          </w:tcPr>
          <w:p w14:paraId="6D0387FB" w14:textId="77777777" w:rsidR="008C565D" w:rsidRPr="002A7627" w:rsidRDefault="008C565D" w:rsidP="00780272">
            <w:pPr>
              <w:jc w:val="both"/>
              <w:rPr>
                <w:rFonts w:cs="Times New Roman"/>
                <w:b/>
                <w:bCs/>
                <w:color w:val="000000" w:themeColor="text1"/>
                <w:sz w:val="20"/>
                <w:szCs w:val="20"/>
              </w:rPr>
            </w:pPr>
            <w:r w:rsidRPr="002A7627">
              <w:rPr>
                <w:rFonts w:cs="Times New Roman"/>
                <w:sz w:val="20"/>
                <w:szCs w:val="20"/>
              </w:rPr>
              <w:t>Q6</w:t>
            </w:r>
          </w:p>
        </w:tc>
        <w:tc>
          <w:tcPr>
            <w:tcW w:w="1956" w:type="dxa"/>
            <w:vMerge/>
          </w:tcPr>
          <w:p w14:paraId="3B8493C8" w14:textId="77777777" w:rsidR="008C565D" w:rsidRPr="002A7627" w:rsidRDefault="008C565D" w:rsidP="00780272">
            <w:pPr>
              <w:jc w:val="both"/>
              <w:rPr>
                <w:rFonts w:cs="Times New Roman"/>
                <w:b/>
                <w:bCs/>
                <w:color w:val="000000" w:themeColor="text1"/>
                <w:sz w:val="20"/>
                <w:szCs w:val="20"/>
              </w:rPr>
            </w:pPr>
          </w:p>
        </w:tc>
        <w:tc>
          <w:tcPr>
            <w:tcW w:w="5670" w:type="dxa"/>
          </w:tcPr>
          <w:p w14:paraId="68263333" w14:textId="77777777" w:rsidR="008C565D" w:rsidRPr="002A7627" w:rsidRDefault="008C565D" w:rsidP="00780272">
            <w:pPr>
              <w:jc w:val="both"/>
              <w:rPr>
                <w:rFonts w:cs="Times New Roman"/>
                <w:color w:val="000000" w:themeColor="text1"/>
                <w:sz w:val="20"/>
                <w:szCs w:val="20"/>
                <w:rtl/>
              </w:rPr>
            </w:pPr>
            <w:r w:rsidRPr="002A7627">
              <w:rPr>
                <w:rFonts w:cs="Times New Roman"/>
                <w:sz w:val="20"/>
                <w:szCs w:val="20"/>
              </w:rPr>
              <w:t>Our organization specifically rewards knowledge sharing with non-monetary incentives.</w:t>
            </w:r>
          </w:p>
        </w:tc>
        <w:tc>
          <w:tcPr>
            <w:tcW w:w="1530" w:type="dxa"/>
            <w:vMerge/>
          </w:tcPr>
          <w:p w14:paraId="1C8719AD" w14:textId="77777777" w:rsidR="008C565D" w:rsidRPr="002A7627" w:rsidRDefault="008C565D" w:rsidP="00780272">
            <w:pPr>
              <w:jc w:val="both"/>
              <w:rPr>
                <w:rFonts w:cs="Times New Roman"/>
                <w:sz w:val="20"/>
                <w:szCs w:val="20"/>
              </w:rPr>
            </w:pPr>
          </w:p>
        </w:tc>
      </w:tr>
      <w:tr w:rsidR="008C565D" w:rsidRPr="002A7627" w14:paraId="1472C254" w14:textId="77777777" w:rsidTr="00780272">
        <w:tc>
          <w:tcPr>
            <w:tcW w:w="654" w:type="dxa"/>
          </w:tcPr>
          <w:p w14:paraId="7E7A420B" w14:textId="77777777" w:rsidR="008C565D" w:rsidRPr="002A7627" w:rsidRDefault="008C565D" w:rsidP="00780272">
            <w:pPr>
              <w:jc w:val="both"/>
              <w:rPr>
                <w:rFonts w:cs="Times New Roman"/>
                <w:b/>
                <w:bCs/>
                <w:color w:val="000000" w:themeColor="text1"/>
                <w:sz w:val="20"/>
                <w:szCs w:val="20"/>
              </w:rPr>
            </w:pPr>
            <w:r w:rsidRPr="002A7627">
              <w:rPr>
                <w:rFonts w:cs="Times New Roman"/>
                <w:sz w:val="20"/>
                <w:szCs w:val="20"/>
              </w:rPr>
              <w:t>Q7</w:t>
            </w:r>
          </w:p>
        </w:tc>
        <w:tc>
          <w:tcPr>
            <w:tcW w:w="1956" w:type="dxa"/>
            <w:vMerge/>
          </w:tcPr>
          <w:p w14:paraId="3344AD63" w14:textId="77777777" w:rsidR="008C565D" w:rsidRPr="002A7627" w:rsidRDefault="008C565D" w:rsidP="00780272">
            <w:pPr>
              <w:jc w:val="both"/>
              <w:rPr>
                <w:rFonts w:cs="Times New Roman"/>
                <w:b/>
                <w:bCs/>
                <w:color w:val="000000" w:themeColor="text1"/>
                <w:sz w:val="20"/>
                <w:szCs w:val="20"/>
              </w:rPr>
            </w:pPr>
          </w:p>
        </w:tc>
        <w:tc>
          <w:tcPr>
            <w:tcW w:w="5670" w:type="dxa"/>
          </w:tcPr>
          <w:p w14:paraId="6CBC7F83" w14:textId="77777777" w:rsidR="008C565D" w:rsidRPr="002A7627" w:rsidRDefault="008C565D" w:rsidP="00780272">
            <w:pPr>
              <w:jc w:val="both"/>
              <w:rPr>
                <w:rFonts w:cs="Times New Roman"/>
                <w:color w:val="000000" w:themeColor="text1"/>
                <w:sz w:val="20"/>
                <w:szCs w:val="20"/>
                <w:rtl/>
              </w:rPr>
            </w:pPr>
            <w:r w:rsidRPr="002A7627">
              <w:rPr>
                <w:rFonts w:cs="Times New Roman"/>
                <w:sz w:val="20"/>
                <w:szCs w:val="20"/>
              </w:rPr>
              <w:t>In our organization, knowledge sharing is a component in employees’ performance evaluation.</w:t>
            </w:r>
          </w:p>
        </w:tc>
        <w:tc>
          <w:tcPr>
            <w:tcW w:w="1530" w:type="dxa"/>
            <w:vMerge/>
          </w:tcPr>
          <w:p w14:paraId="1674A88C" w14:textId="77777777" w:rsidR="008C565D" w:rsidRPr="002A7627" w:rsidRDefault="008C565D" w:rsidP="00780272">
            <w:pPr>
              <w:jc w:val="both"/>
              <w:rPr>
                <w:rFonts w:cs="Times New Roman"/>
                <w:sz w:val="20"/>
                <w:szCs w:val="20"/>
              </w:rPr>
            </w:pPr>
          </w:p>
        </w:tc>
      </w:tr>
      <w:tr w:rsidR="008C565D" w:rsidRPr="002A7627" w14:paraId="0ED2CF5C" w14:textId="77777777" w:rsidTr="00780272">
        <w:tc>
          <w:tcPr>
            <w:tcW w:w="654" w:type="dxa"/>
          </w:tcPr>
          <w:p w14:paraId="1195BE3A" w14:textId="77777777" w:rsidR="008C565D" w:rsidRPr="002A7627" w:rsidRDefault="008C565D" w:rsidP="00780272">
            <w:pPr>
              <w:jc w:val="both"/>
              <w:rPr>
                <w:rFonts w:cs="Times New Roman"/>
                <w:b/>
                <w:bCs/>
                <w:color w:val="000000" w:themeColor="text1"/>
                <w:sz w:val="20"/>
                <w:szCs w:val="20"/>
              </w:rPr>
            </w:pPr>
            <w:r w:rsidRPr="002A7627">
              <w:rPr>
                <w:rFonts w:cs="Times New Roman"/>
                <w:sz w:val="20"/>
                <w:szCs w:val="20"/>
              </w:rPr>
              <w:t>Q8</w:t>
            </w:r>
          </w:p>
        </w:tc>
        <w:tc>
          <w:tcPr>
            <w:tcW w:w="1956" w:type="dxa"/>
            <w:vMerge w:val="restart"/>
          </w:tcPr>
          <w:p w14:paraId="38AF62E7" w14:textId="77777777" w:rsidR="008C565D" w:rsidRPr="002A7627" w:rsidRDefault="008C565D" w:rsidP="00780272">
            <w:pPr>
              <w:jc w:val="both"/>
              <w:rPr>
                <w:rFonts w:cs="Times New Roman"/>
                <w:b/>
                <w:bCs/>
                <w:color w:val="000000" w:themeColor="text1"/>
                <w:sz w:val="20"/>
                <w:szCs w:val="20"/>
              </w:rPr>
            </w:pPr>
            <w:r w:rsidRPr="002A7627">
              <w:rPr>
                <w:rFonts w:cs="Times New Roman"/>
                <w:b/>
                <w:bCs/>
                <w:sz w:val="20"/>
                <w:szCs w:val="20"/>
              </w:rPr>
              <w:t>Intrinsic motivation-enhancing HR practices</w:t>
            </w:r>
          </w:p>
        </w:tc>
        <w:tc>
          <w:tcPr>
            <w:tcW w:w="5670" w:type="dxa"/>
          </w:tcPr>
          <w:p w14:paraId="3B721BB9" w14:textId="77777777" w:rsidR="008C565D" w:rsidRPr="002A7627" w:rsidRDefault="008C565D" w:rsidP="00780272">
            <w:pPr>
              <w:jc w:val="both"/>
              <w:rPr>
                <w:rFonts w:cs="Times New Roman"/>
                <w:color w:val="000000" w:themeColor="text1"/>
                <w:sz w:val="20"/>
                <w:szCs w:val="20"/>
                <w:rtl/>
              </w:rPr>
            </w:pPr>
            <w:r w:rsidRPr="002A7627">
              <w:rPr>
                <w:rFonts w:cs="Times New Roman"/>
                <w:sz w:val="20"/>
                <w:szCs w:val="20"/>
              </w:rPr>
              <w:t>The freedom to carry out my job the way I want to</w:t>
            </w:r>
          </w:p>
        </w:tc>
        <w:tc>
          <w:tcPr>
            <w:tcW w:w="1530" w:type="dxa"/>
            <w:vMerge w:val="restart"/>
          </w:tcPr>
          <w:p w14:paraId="239E5FF3" w14:textId="0573FB7E" w:rsidR="008C565D" w:rsidRPr="002A7627" w:rsidRDefault="00B76C18" w:rsidP="00780272">
            <w:pPr>
              <w:jc w:val="both"/>
              <w:rPr>
                <w:rFonts w:cs="Times New Roman"/>
                <w:sz w:val="20"/>
                <w:szCs w:val="20"/>
              </w:rPr>
            </w:pPr>
            <w:hyperlink r:id="rId27" w:history="1">
              <w:r w:rsidR="008C565D" w:rsidRPr="002A7627">
                <w:rPr>
                  <w:rStyle w:val="Hyperlink"/>
                  <w:rFonts w:cs="Times New Roman"/>
                  <w:color w:val="000000"/>
                  <w:sz w:val="20"/>
                  <w:szCs w:val="20"/>
                  <w:u w:val="none"/>
                </w:rPr>
                <w:t xml:space="preserve">Andreeva </w:t>
              </w:r>
              <w:r w:rsidR="00E8017D">
                <w:rPr>
                  <w:rStyle w:val="Hyperlink"/>
                  <w:rFonts w:cs="Times New Roman"/>
                  <w:color w:val="000000"/>
                  <w:sz w:val="20"/>
                  <w:szCs w:val="20"/>
                  <w:u w:val="none"/>
                </w:rPr>
                <w:t>a</w:t>
              </w:r>
              <w:r w:rsidR="00E8017D" w:rsidRPr="00E8017D">
                <w:rPr>
                  <w:rStyle w:val="Hyperlink"/>
                  <w:rFonts w:cs="Times New Roman"/>
                  <w:color w:val="000000"/>
                  <w:sz w:val="20"/>
                  <w:szCs w:val="20"/>
                  <w:u w:val="none"/>
                </w:rPr>
                <w:t>nd</w:t>
              </w:r>
              <w:r w:rsidR="00E8017D">
                <w:t xml:space="preserve"> </w:t>
              </w:r>
              <w:r w:rsidR="00E8017D" w:rsidRPr="00E8017D">
                <w:rPr>
                  <w:rStyle w:val="Hyperlink"/>
                  <w:rFonts w:cs="Times New Roman"/>
                  <w:color w:val="000000"/>
                  <w:sz w:val="20"/>
                  <w:szCs w:val="20"/>
                  <w:u w:val="none"/>
                </w:rPr>
                <w:t xml:space="preserve">Sergeeva </w:t>
              </w:r>
              <w:r w:rsidR="008C565D" w:rsidRPr="002A7627">
                <w:rPr>
                  <w:rStyle w:val="Hyperlink"/>
                  <w:rFonts w:cs="Times New Roman"/>
                  <w:color w:val="000000"/>
                  <w:sz w:val="20"/>
                  <w:szCs w:val="20"/>
                  <w:u w:val="none"/>
                </w:rPr>
                <w:t>(2016</w:t>
              </w:r>
            </w:hyperlink>
            <w:r w:rsidR="008C565D" w:rsidRPr="002A7627">
              <w:rPr>
                <w:rStyle w:val="Hyperlink"/>
                <w:rFonts w:cs="Times New Roman"/>
                <w:color w:val="000000"/>
                <w:sz w:val="20"/>
                <w:szCs w:val="20"/>
                <w:u w:val="none"/>
              </w:rPr>
              <w:t>)</w:t>
            </w:r>
          </w:p>
          <w:p w14:paraId="0DD3BBA8" w14:textId="77777777" w:rsidR="008C565D" w:rsidRPr="002A7627" w:rsidRDefault="008C565D" w:rsidP="00780272">
            <w:pPr>
              <w:jc w:val="both"/>
              <w:rPr>
                <w:rFonts w:cs="Times New Roman"/>
                <w:sz w:val="20"/>
                <w:szCs w:val="20"/>
              </w:rPr>
            </w:pPr>
            <w:r w:rsidRPr="002A7627">
              <w:rPr>
                <w:rFonts w:cs="Times New Roman"/>
                <w:sz w:val="20"/>
                <w:szCs w:val="20"/>
              </w:rPr>
              <w:fldChar w:fldCharType="begin" w:fldLock="1"/>
            </w:r>
            <w:r w:rsidRPr="002A7627">
              <w:rPr>
                <w:rFonts w:cs="Times New Roman"/>
                <w:sz w:val="20"/>
                <w:szCs w:val="20"/>
              </w:rPr>
              <w:instrText>ADDIN CSL_CITATION {"citationItems":[{"id":"ITEM-1","itemData":{"DOI":"10.1057/emr.2009.2","ISBN":"1740-4754","ISSN":"17404754","abstract":"The emergence over the last two decades or so of ‘knowledge’ as an important part of the explanatory structure of management research is an intellectual breakthrough that is comparable in terms of its transforming impact to the behavioral revolution of the 1960s. A veritable ‘knowledge movement’ has emerged that spans several fields in management. I take stock on alternative research strategies with that movement, distinguishing between ‘capabilities first,’ ‘networks first’ and ‘individuals first’ strategies. Reasons are given why more research attention needs to be allocated to the latter strategy if the knowledge movement is to continue making progress. However, the aim should ultimately be to reach towards multi-level research that combines aggregate constructs with top-down processes and bottom-up processes.","author":[{"dropping-particle":"","family":"Foss","given":"Nicolai J","non-dropping-particle":"","parse-names":false,"suffix":""}],"container-title":"European Management Review","id":"ITEM-1","issue":"1","issued":{"date-parts":[["2009"]]},"page":"16-28","title":"Alternative research strategies in the knowledge movement: From macro bias to micro-foundations and multi-level explanation","type":"article-journal","volume":"6"},"uris":["http://www.mendeley.com/documents/?uuid=bff3d312-4a9c-477f-8d44-6e684335a960"]}],"mendeley":{"formattedCitation":"(Foss, 2009)","manualFormatting":"Foss (2009)","plainTextFormattedCitation":"(Foss, 2009)","previouslyFormattedCitation":"(Foss, 2009)"},"properties":{"noteIndex":0},"schema":"https://github.com/citation-style-language/schema/raw/master/csl-citation.json"}</w:instrText>
            </w:r>
            <w:r w:rsidRPr="002A7627">
              <w:rPr>
                <w:rFonts w:cs="Times New Roman"/>
                <w:sz w:val="20"/>
                <w:szCs w:val="20"/>
              </w:rPr>
              <w:fldChar w:fldCharType="separate"/>
            </w:r>
            <w:r w:rsidRPr="002A7627">
              <w:rPr>
                <w:rFonts w:cs="Times New Roman"/>
                <w:noProof/>
                <w:sz w:val="20"/>
                <w:szCs w:val="20"/>
              </w:rPr>
              <w:t>Foss (2009)</w:t>
            </w:r>
            <w:r w:rsidRPr="002A7627">
              <w:rPr>
                <w:rFonts w:cs="Times New Roman"/>
                <w:sz w:val="20"/>
                <w:szCs w:val="20"/>
              </w:rPr>
              <w:fldChar w:fldCharType="end"/>
            </w:r>
          </w:p>
        </w:tc>
      </w:tr>
      <w:tr w:rsidR="008C565D" w:rsidRPr="002A7627" w14:paraId="6279029E" w14:textId="77777777" w:rsidTr="00780272">
        <w:tc>
          <w:tcPr>
            <w:tcW w:w="654" w:type="dxa"/>
          </w:tcPr>
          <w:p w14:paraId="4869C028" w14:textId="77777777" w:rsidR="008C565D" w:rsidRPr="002A7627" w:rsidRDefault="008C565D" w:rsidP="00780272">
            <w:pPr>
              <w:jc w:val="both"/>
              <w:rPr>
                <w:rFonts w:cs="Times New Roman"/>
                <w:b/>
                <w:bCs/>
                <w:color w:val="000000" w:themeColor="text1"/>
                <w:sz w:val="20"/>
                <w:szCs w:val="20"/>
              </w:rPr>
            </w:pPr>
            <w:r w:rsidRPr="002A7627">
              <w:rPr>
                <w:rFonts w:cs="Times New Roman"/>
                <w:sz w:val="20"/>
                <w:szCs w:val="20"/>
              </w:rPr>
              <w:t>Q9</w:t>
            </w:r>
          </w:p>
        </w:tc>
        <w:tc>
          <w:tcPr>
            <w:tcW w:w="1956" w:type="dxa"/>
            <w:vMerge/>
          </w:tcPr>
          <w:p w14:paraId="1BFDA02A" w14:textId="77777777" w:rsidR="008C565D" w:rsidRPr="002A7627" w:rsidRDefault="008C565D" w:rsidP="00780272">
            <w:pPr>
              <w:jc w:val="both"/>
              <w:rPr>
                <w:rFonts w:cs="Times New Roman"/>
                <w:b/>
                <w:bCs/>
                <w:color w:val="000000" w:themeColor="text1"/>
                <w:sz w:val="20"/>
                <w:szCs w:val="20"/>
              </w:rPr>
            </w:pPr>
          </w:p>
        </w:tc>
        <w:tc>
          <w:tcPr>
            <w:tcW w:w="5670" w:type="dxa"/>
          </w:tcPr>
          <w:p w14:paraId="6BF638BB" w14:textId="77777777" w:rsidR="008C565D" w:rsidRPr="002A7627" w:rsidRDefault="008C565D" w:rsidP="00780272">
            <w:pPr>
              <w:jc w:val="both"/>
              <w:rPr>
                <w:rFonts w:cs="Times New Roman"/>
                <w:color w:val="000000" w:themeColor="text1"/>
                <w:sz w:val="20"/>
                <w:szCs w:val="20"/>
                <w:rtl/>
              </w:rPr>
            </w:pPr>
            <w:r w:rsidRPr="002A7627">
              <w:rPr>
                <w:rFonts w:cs="Times New Roman"/>
                <w:sz w:val="20"/>
                <w:szCs w:val="20"/>
              </w:rPr>
              <w:t>The opportunity for suggesting work improvement initiatives</w:t>
            </w:r>
          </w:p>
        </w:tc>
        <w:tc>
          <w:tcPr>
            <w:tcW w:w="1530" w:type="dxa"/>
            <w:vMerge/>
          </w:tcPr>
          <w:p w14:paraId="5FEB5717" w14:textId="77777777" w:rsidR="008C565D" w:rsidRPr="002A7627" w:rsidRDefault="008C565D" w:rsidP="00780272">
            <w:pPr>
              <w:jc w:val="both"/>
              <w:rPr>
                <w:rFonts w:cs="Times New Roman"/>
                <w:sz w:val="20"/>
                <w:szCs w:val="20"/>
              </w:rPr>
            </w:pPr>
          </w:p>
        </w:tc>
      </w:tr>
      <w:tr w:rsidR="008C565D" w:rsidRPr="002A7627" w14:paraId="29425E0D" w14:textId="77777777" w:rsidTr="00E8017D">
        <w:trPr>
          <w:trHeight w:val="506"/>
        </w:trPr>
        <w:tc>
          <w:tcPr>
            <w:tcW w:w="0" w:type="dxa"/>
          </w:tcPr>
          <w:p w14:paraId="57664B80" w14:textId="77777777" w:rsidR="008C565D" w:rsidRPr="002A7627" w:rsidRDefault="008C565D" w:rsidP="00780272">
            <w:pPr>
              <w:jc w:val="both"/>
              <w:rPr>
                <w:rFonts w:cs="Times New Roman"/>
                <w:b/>
                <w:bCs/>
                <w:color w:val="000000" w:themeColor="text1"/>
                <w:sz w:val="20"/>
                <w:szCs w:val="20"/>
              </w:rPr>
            </w:pPr>
            <w:r w:rsidRPr="002A7627">
              <w:rPr>
                <w:rFonts w:cs="Times New Roman"/>
                <w:sz w:val="20"/>
                <w:szCs w:val="20"/>
              </w:rPr>
              <w:t>Q10</w:t>
            </w:r>
          </w:p>
        </w:tc>
        <w:tc>
          <w:tcPr>
            <w:tcW w:w="0" w:type="dxa"/>
            <w:vMerge/>
          </w:tcPr>
          <w:p w14:paraId="0A6B611E" w14:textId="77777777" w:rsidR="008C565D" w:rsidRPr="002A7627" w:rsidRDefault="008C565D" w:rsidP="00780272">
            <w:pPr>
              <w:jc w:val="both"/>
              <w:rPr>
                <w:rFonts w:cs="Times New Roman"/>
                <w:b/>
                <w:bCs/>
                <w:color w:val="000000" w:themeColor="text1"/>
                <w:sz w:val="20"/>
                <w:szCs w:val="20"/>
              </w:rPr>
            </w:pPr>
          </w:p>
        </w:tc>
        <w:tc>
          <w:tcPr>
            <w:tcW w:w="0" w:type="dxa"/>
          </w:tcPr>
          <w:p w14:paraId="5B3391E6" w14:textId="489B3603" w:rsidR="008C565D" w:rsidRDefault="008C565D" w:rsidP="00780272">
            <w:pPr>
              <w:jc w:val="both"/>
              <w:rPr>
                <w:rFonts w:cs="Times New Roman"/>
                <w:sz w:val="20"/>
                <w:szCs w:val="20"/>
                <w:lang w:bidi="ar-AE"/>
              </w:rPr>
            </w:pPr>
            <w:r w:rsidRPr="002A7627">
              <w:rPr>
                <w:rFonts w:cs="Times New Roman"/>
                <w:sz w:val="20"/>
                <w:szCs w:val="20"/>
              </w:rPr>
              <w:t>High level of variety in my job</w:t>
            </w:r>
            <w:r>
              <w:rPr>
                <w:rFonts w:cs="Times New Roman"/>
                <w:sz w:val="20"/>
                <w:szCs w:val="20"/>
                <w:lang w:bidi="ar-AE"/>
              </w:rPr>
              <w:t xml:space="preserve"> </w:t>
            </w:r>
          </w:p>
          <w:p w14:paraId="70029490" w14:textId="06EB6097" w:rsidR="00731AAB" w:rsidRDefault="00731AAB" w:rsidP="00780272">
            <w:pPr>
              <w:jc w:val="both"/>
              <w:rPr>
                <w:rFonts w:cs="Times New Roman"/>
                <w:sz w:val="20"/>
                <w:szCs w:val="20"/>
                <w:lang w:bidi="ar-AE"/>
              </w:rPr>
            </w:pPr>
          </w:p>
          <w:p w14:paraId="547979CA" w14:textId="31DE7960" w:rsidR="00731AAB" w:rsidRPr="00D44B77" w:rsidRDefault="00731AAB" w:rsidP="00780272">
            <w:pPr>
              <w:jc w:val="both"/>
              <w:rPr>
                <w:rFonts w:cs="Times New Roman"/>
                <w:sz w:val="20"/>
                <w:szCs w:val="20"/>
                <w:rtl/>
                <w:lang w:bidi="ar-AE"/>
              </w:rPr>
            </w:pPr>
          </w:p>
        </w:tc>
        <w:tc>
          <w:tcPr>
            <w:tcW w:w="0" w:type="dxa"/>
            <w:vMerge/>
          </w:tcPr>
          <w:p w14:paraId="53421592" w14:textId="77777777" w:rsidR="008C565D" w:rsidRPr="002A7627" w:rsidRDefault="008C565D" w:rsidP="00780272">
            <w:pPr>
              <w:jc w:val="both"/>
              <w:rPr>
                <w:rFonts w:cs="Times New Roman"/>
                <w:sz w:val="20"/>
                <w:szCs w:val="20"/>
              </w:rPr>
            </w:pPr>
          </w:p>
        </w:tc>
      </w:tr>
      <w:tr w:rsidR="008C565D" w:rsidRPr="002A7627" w14:paraId="6F54A85F" w14:textId="77777777" w:rsidTr="00780272">
        <w:tc>
          <w:tcPr>
            <w:tcW w:w="654" w:type="dxa"/>
            <w:tcBorders>
              <w:top w:val="single" w:sz="4" w:space="0" w:color="auto"/>
              <w:bottom w:val="single" w:sz="4" w:space="0" w:color="auto"/>
            </w:tcBorders>
          </w:tcPr>
          <w:p w14:paraId="721EF4A8" w14:textId="77777777" w:rsidR="008C565D" w:rsidRPr="002A7627" w:rsidRDefault="008C565D" w:rsidP="00780272">
            <w:pPr>
              <w:jc w:val="both"/>
              <w:rPr>
                <w:rFonts w:cs="Times New Roman"/>
                <w:color w:val="000000" w:themeColor="text1"/>
                <w:sz w:val="20"/>
                <w:szCs w:val="20"/>
              </w:rPr>
            </w:pPr>
            <w:r w:rsidRPr="002A7627">
              <w:rPr>
                <w:rFonts w:cs="Times New Roman"/>
                <w:b/>
                <w:bCs/>
                <w:sz w:val="20"/>
                <w:szCs w:val="20"/>
              </w:rPr>
              <w:t>Q</w:t>
            </w:r>
          </w:p>
        </w:tc>
        <w:tc>
          <w:tcPr>
            <w:tcW w:w="1956" w:type="dxa"/>
            <w:tcBorders>
              <w:top w:val="single" w:sz="4" w:space="0" w:color="auto"/>
              <w:bottom w:val="single" w:sz="4" w:space="0" w:color="auto"/>
            </w:tcBorders>
          </w:tcPr>
          <w:p w14:paraId="289CCC5D" w14:textId="77777777" w:rsidR="008C565D" w:rsidRPr="002A7627" w:rsidRDefault="008C565D" w:rsidP="00780272">
            <w:pPr>
              <w:jc w:val="both"/>
              <w:rPr>
                <w:rFonts w:cs="Times New Roman"/>
                <w:b/>
                <w:bCs/>
                <w:color w:val="000000" w:themeColor="text1"/>
                <w:sz w:val="20"/>
                <w:szCs w:val="20"/>
              </w:rPr>
            </w:pPr>
            <w:r w:rsidRPr="002A7627">
              <w:rPr>
                <w:rFonts w:cs="Times New Roman"/>
                <w:b/>
                <w:bCs/>
                <w:sz w:val="20"/>
                <w:szCs w:val="20"/>
              </w:rPr>
              <w:t>Factor</w:t>
            </w:r>
          </w:p>
        </w:tc>
        <w:tc>
          <w:tcPr>
            <w:tcW w:w="5670" w:type="dxa"/>
            <w:tcBorders>
              <w:top w:val="single" w:sz="4" w:space="0" w:color="auto"/>
              <w:bottom w:val="single" w:sz="4" w:space="0" w:color="auto"/>
            </w:tcBorders>
          </w:tcPr>
          <w:p w14:paraId="2258E507" w14:textId="77777777" w:rsidR="008C565D" w:rsidRPr="002A7627" w:rsidRDefault="008C565D" w:rsidP="00780272">
            <w:pPr>
              <w:jc w:val="both"/>
              <w:rPr>
                <w:rFonts w:cs="Times New Roman"/>
                <w:color w:val="000000" w:themeColor="text1"/>
                <w:sz w:val="20"/>
                <w:szCs w:val="20"/>
              </w:rPr>
            </w:pPr>
            <w:r w:rsidRPr="002A7627">
              <w:rPr>
                <w:rFonts w:cs="Times New Roman"/>
                <w:b/>
                <w:bCs/>
                <w:sz w:val="20"/>
                <w:szCs w:val="20"/>
              </w:rPr>
              <w:t>Items</w:t>
            </w:r>
          </w:p>
        </w:tc>
        <w:tc>
          <w:tcPr>
            <w:tcW w:w="1530" w:type="dxa"/>
            <w:tcBorders>
              <w:top w:val="single" w:sz="4" w:space="0" w:color="auto"/>
              <w:bottom w:val="single" w:sz="4" w:space="0" w:color="auto"/>
            </w:tcBorders>
          </w:tcPr>
          <w:p w14:paraId="4756FDD5" w14:textId="77777777" w:rsidR="008C565D" w:rsidRPr="002A7627" w:rsidRDefault="008C565D" w:rsidP="00780272">
            <w:pPr>
              <w:jc w:val="both"/>
            </w:pPr>
            <w:r w:rsidRPr="002A7627">
              <w:rPr>
                <w:rFonts w:cs="Times New Roman"/>
                <w:b/>
                <w:bCs/>
                <w:sz w:val="20"/>
                <w:szCs w:val="20"/>
              </w:rPr>
              <w:t>Measurement source</w:t>
            </w:r>
          </w:p>
        </w:tc>
      </w:tr>
      <w:tr w:rsidR="008C565D" w:rsidRPr="002A7627" w14:paraId="52DF0FFF" w14:textId="77777777" w:rsidTr="00780272">
        <w:tc>
          <w:tcPr>
            <w:tcW w:w="654" w:type="dxa"/>
            <w:tcBorders>
              <w:top w:val="single" w:sz="4" w:space="0" w:color="auto"/>
            </w:tcBorders>
          </w:tcPr>
          <w:p w14:paraId="1DCC361B"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Q11</w:t>
            </w:r>
          </w:p>
        </w:tc>
        <w:tc>
          <w:tcPr>
            <w:tcW w:w="1956" w:type="dxa"/>
            <w:vMerge w:val="restart"/>
            <w:tcBorders>
              <w:top w:val="single" w:sz="4" w:space="0" w:color="auto"/>
            </w:tcBorders>
          </w:tcPr>
          <w:p w14:paraId="3E446B5F" w14:textId="77777777" w:rsidR="008C565D" w:rsidRPr="002A7627" w:rsidRDefault="008C565D" w:rsidP="00780272">
            <w:pPr>
              <w:jc w:val="both"/>
              <w:rPr>
                <w:rFonts w:cs="Times New Roman"/>
                <w:b/>
                <w:bCs/>
                <w:color w:val="000000" w:themeColor="text1"/>
                <w:sz w:val="20"/>
                <w:szCs w:val="20"/>
              </w:rPr>
            </w:pPr>
            <w:r w:rsidRPr="002A7627">
              <w:rPr>
                <w:rFonts w:cs="Times New Roman"/>
                <w:b/>
                <w:bCs/>
                <w:sz w:val="20"/>
                <w:szCs w:val="20"/>
              </w:rPr>
              <w:t>Opportunity-enhancing HR practices</w:t>
            </w:r>
          </w:p>
        </w:tc>
        <w:tc>
          <w:tcPr>
            <w:tcW w:w="5670" w:type="dxa"/>
            <w:tcBorders>
              <w:top w:val="single" w:sz="4" w:space="0" w:color="auto"/>
            </w:tcBorders>
          </w:tcPr>
          <w:p w14:paraId="61D7F2E0"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The organization holds an informal gathering to promote a friendly relationship among colleagues.</w:t>
            </w:r>
          </w:p>
        </w:tc>
        <w:tc>
          <w:tcPr>
            <w:tcW w:w="1530" w:type="dxa"/>
            <w:vMerge w:val="restart"/>
            <w:tcBorders>
              <w:top w:val="single" w:sz="4" w:space="0" w:color="auto"/>
            </w:tcBorders>
          </w:tcPr>
          <w:p w14:paraId="348D73A3" w14:textId="263EFDAA" w:rsidR="008C565D" w:rsidRPr="002A7627" w:rsidRDefault="00B76C18" w:rsidP="00780272">
            <w:pPr>
              <w:jc w:val="both"/>
              <w:rPr>
                <w:rStyle w:val="Hyperlink"/>
                <w:rFonts w:cs="Times New Roman"/>
                <w:color w:val="000000"/>
                <w:sz w:val="20"/>
                <w:szCs w:val="20"/>
                <w:u w:val="none"/>
              </w:rPr>
            </w:pPr>
            <w:hyperlink r:id="rId28" w:history="1">
              <w:r w:rsidR="008C565D" w:rsidRPr="002A7627">
                <w:rPr>
                  <w:rStyle w:val="Hyperlink"/>
                  <w:rFonts w:cs="Times New Roman"/>
                  <w:color w:val="000000"/>
                  <w:sz w:val="20"/>
                  <w:szCs w:val="20"/>
                  <w:u w:val="none"/>
                </w:rPr>
                <w:t xml:space="preserve">Andreeva </w:t>
              </w:r>
              <w:r w:rsidR="00E8017D" w:rsidRPr="00E8017D">
                <w:rPr>
                  <w:rStyle w:val="Hyperlink"/>
                  <w:rFonts w:cs="Times New Roman"/>
                  <w:color w:val="000000"/>
                  <w:sz w:val="20"/>
                  <w:szCs w:val="20"/>
                  <w:u w:val="none"/>
                </w:rPr>
                <w:t xml:space="preserve">and Sergeeva </w:t>
              </w:r>
              <w:r w:rsidR="008C565D" w:rsidRPr="002A7627">
                <w:rPr>
                  <w:rStyle w:val="Hyperlink"/>
                  <w:rFonts w:cs="Times New Roman"/>
                  <w:color w:val="000000"/>
                  <w:sz w:val="20"/>
                  <w:szCs w:val="20"/>
                  <w:u w:val="none"/>
                </w:rPr>
                <w:t>(2016</w:t>
              </w:r>
            </w:hyperlink>
            <w:r w:rsidR="008C565D" w:rsidRPr="002A7627">
              <w:rPr>
                <w:rStyle w:val="Hyperlink"/>
                <w:rFonts w:cs="Times New Roman"/>
                <w:color w:val="000000"/>
                <w:sz w:val="20"/>
                <w:szCs w:val="20"/>
                <w:u w:val="none"/>
              </w:rPr>
              <w:t>)</w:t>
            </w:r>
          </w:p>
          <w:p w14:paraId="3199FC26" w14:textId="4EA42249" w:rsidR="008C565D" w:rsidRPr="002A7627" w:rsidRDefault="008C565D" w:rsidP="00780272">
            <w:pPr>
              <w:jc w:val="both"/>
              <w:rPr>
                <w:rStyle w:val="Hyperlink"/>
                <w:rFonts w:cs="Times New Roman"/>
                <w:color w:val="000000"/>
                <w:sz w:val="20"/>
                <w:szCs w:val="20"/>
                <w:u w:val="none"/>
              </w:rPr>
            </w:pPr>
            <w:r w:rsidRPr="002A7627">
              <w:rPr>
                <w:rFonts w:cs="Times New Roman"/>
                <w:sz w:val="20"/>
                <w:szCs w:val="20"/>
              </w:rPr>
              <w:fldChar w:fldCharType="begin" w:fldLock="1"/>
            </w:r>
            <w:r w:rsidRPr="002A7627">
              <w:rPr>
                <w:rFonts w:cs="Times New Roman"/>
                <w:sz w:val="20"/>
                <w:szCs w:val="20"/>
              </w:rPr>
              <w:instrText>ADDIN CSL_CITATION {"citationItems":[{"id":"ITEM-1","itemData":{"ISSN":"0165-5515","author":[{"dropping-particle":"","family":"Wu","given":"Wei-Li","non-dropping-particle":"","parse-names":false,"suffix":""},{"dropping-particle":"","family":"Hsu","given":"Bi-Fen","non-dropping-particle":"","parse-names":false,"suffix":""},{"dropping-particle":"","family":"Yeh","given":"Ryh-Song","non-dropping-particle":"","parse-names":false,"suffix":""}],"container-title":"Journal of Information Science","id":"ITEM-1","issue":"3","issued":{"date-parts":[["2007"]]},"page":"326-339","title":"Fostering the determinants of knowledge transfer: A team-level analysis","type":"article-journal","volume":"33"},"uris":["http://www.mendeley.com/documents/?uuid=4fb96aef-bbd0-495c-ba70-e07dc6b74fa2"]}],"mendeley":{"formattedCitation":"(W.-L. Wu et al., 2007)","manualFormatting":"W.-L. Wu et al. (2007)","plainTextFormattedCitation":"(W.-L. Wu et al., 2007)","previouslyFormattedCitation":"(W.-L. Wu et al., 2007)"},"properties":{"noteIndex":0},"schema":"https://github.com/citation-style-language/schema/raw/master/csl-citation.json"}</w:instrText>
            </w:r>
            <w:r w:rsidRPr="002A7627">
              <w:rPr>
                <w:rFonts w:cs="Times New Roman"/>
                <w:sz w:val="20"/>
                <w:szCs w:val="20"/>
              </w:rPr>
              <w:fldChar w:fldCharType="separate"/>
            </w:r>
            <w:r w:rsidRPr="002A7627">
              <w:rPr>
                <w:rFonts w:cs="Times New Roman"/>
                <w:noProof/>
                <w:sz w:val="20"/>
                <w:szCs w:val="20"/>
              </w:rPr>
              <w:t>Wu et al. (2007)</w:t>
            </w:r>
            <w:r w:rsidRPr="002A7627">
              <w:rPr>
                <w:rFonts w:cs="Times New Roman"/>
                <w:sz w:val="20"/>
                <w:szCs w:val="20"/>
              </w:rPr>
              <w:fldChar w:fldCharType="end"/>
            </w:r>
          </w:p>
          <w:p w14:paraId="7B6AFFAA" w14:textId="77777777" w:rsidR="008C565D" w:rsidRPr="002A7627" w:rsidRDefault="008C565D" w:rsidP="00780272">
            <w:pPr>
              <w:jc w:val="both"/>
              <w:rPr>
                <w:rFonts w:cs="Times New Roman"/>
                <w:sz w:val="20"/>
                <w:szCs w:val="20"/>
              </w:rPr>
            </w:pPr>
          </w:p>
        </w:tc>
      </w:tr>
      <w:tr w:rsidR="008C565D" w:rsidRPr="002A7627" w14:paraId="3488E4AC" w14:textId="77777777" w:rsidTr="00780272">
        <w:tc>
          <w:tcPr>
            <w:tcW w:w="654" w:type="dxa"/>
          </w:tcPr>
          <w:p w14:paraId="52759190"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Q12</w:t>
            </w:r>
          </w:p>
        </w:tc>
        <w:tc>
          <w:tcPr>
            <w:tcW w:w="1956" w:type="dxa"/>
            <w:vMerge/>
          </w:tcPr>
          <w:p w14:paraId="035E18AF" w14:textId="77777777" w:rsidR="008C565D" w:rsidRPr="002A7627" w:rsidRDefault="008C565D" w:rsidP="00780272">
            <w:pPr>
              <w:jc w:val="both"/>
              <w:rPr>
                <w:rFonts w:cs="Times New Roman"/>
                <w:b/>
                <w:bCs/>
                <w:color w:val="000000" w:themeColor="text1"/>
                <w:sz w:val="20"/>
                <w:szCs w:val="20"/>
              </w:rPr>
            </w:pPr>
          </w:p>
        </w:tc>
        <w:tc>
          <w:tcPr>
            <w:tcW w:w="5670" w:type="dxa"/>
          </w:tcPr>
          <w:p w14:paraId="4BE59D1B"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The organization invites high-performance employees to share their knowledge with others in meetings.</w:t>
            </w:r>
          </w:p>
        </w:tc>
        <w:tc>
          <w:tcPr>
            <w:tcW w:w="1530" w:type="dxa"/>
            <w:vMerge/>
          </w:tcPr>
          <w:p w14:paraId="42C9031A" w14:textId="77777777" w:rsidR="008C565D" w:rsidRPr="002A7627" w:rsidRDefault="008C565D" w:rsidP="00780272">
            <w:pPr>
              <w:jc w:val="both"/>
              <w:rPr>
                <w:rFonts w:cs="Times New Roman"/>
                <w:sz w:val="20"/>
                <w:szCs w:val="20"/>
              </w:rPr>
            </w:pPr>
          </w:p>
        </w:tc>
      </w:tr>
      <w:tr w:rsidR="008C565D" w:rsidRPr="002A7627" w14:paraId="7C2A98EB" w14:textId="77777777" w:rsidTr="00780272">
        <w:tc>
          <w:tcPr>
            <w:tcW w:w="654" w:type="dxa"/>
          </w:tcPr>
          <w:p w14:paraId="02B9675D"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Q13</w:t>
            </w:r>
          </w:p>
        </w:tc>
        <w:tc>
          <w:tcPr>
            <w:tcW w:w="1956" w:type="dxa"/>
            <w:vMerge/>
          </w:tcPr>
          <w:p w14:paraId="1DBF1C33" w14:textId="77777777" w:rsidR="008C565D" w:rsidRPr="002A7627" w:rsidRDefault="008C565D" w:rsidP="00780272">
            <w:pPr>
              <w:jc w:val="both"/>
              <w:rPr>
                <w:rFonts w:cs="Times New Roman"/>
                <w:b/>
                <w:bCs/>
                <w:color w:val="000000" w:themeColor="text1"/>
                <w:sz w:val="20"/>
                <w:szCs w:val="20"/>
              </w:rPr>
            </w:pPr>
          </w:p>
        </w:tc>
        <w:tc>
          <w:tcPr>
            <w:tcW w:w="5670" w:type="dxa"/>
          </w:tcPr>
          <w:p w14:paraId="47A999F6"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The organization invites employees who have just acquired new knowledge from outside sources to share what they have learned with others.</w:t>
            </w:r>
          </w:p>
        </w:tc>
        <w:tc>
          <w:tcPr>
            <w:tcW w:w="1530" w:type="dxa"/>
            <w:vMerge/>
          </w:tcPr>
          <w:p w14:paraId="50843D25" w14:textId="77777777" w:rsidR="008C565D" w:rsidRPr="002A7627" w:rsidRDefault="008C565D" w:rsidP="00780272">
            <w:pPr>
              <w:jc w:val="both"/>
              <w:rPr>
                <w:rFonts w:cs="Times New Roman"/>
                <w:sz w:val="20"/>
                <w:szCs w:val="20"/>
              </w:rPr>
            </w:pPr>
          </w:p>
        </w:tc>
      </w:tr>
      <w:tr w:rsidR="008C565D" w:rsidRPr="002A7627" w14:paraId="36ED6A31" w14:textId="77777777" w:rsidTr="00780272">
        <w:tc>
          <w:tcPr>
            <w:tcW w:w="654" w:type="dxa"/>
          </w:tcPr>
          <w:p w14:paraId="09395F78"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Q14</w:t>
            </w:r>
          </w:p>
        </w:tc>
        <w:tc>
          <w:tcPr>
            <w:tcW w:w="1956" w:type="dxa"/>
            <w:vMerge/>
          </w:tcPr>
          <w:p w14:paraId="791027E0" w14:textId="77777777" w:rsidR="008C565D" w:rsidRPr="002A7627" w:rsidRDefault="008C565D" w:rsidP="00780272">
            <w:pPr>
              <w:jc w:val="both"/>
              <w:rPr>
                <w:rFonts w:cs="Times New Roman"/>
                <w:b/>
                <w:bCs/>
                <w:color w:val="000000" w:themeColor="text1"/>
                <w:sz w:val="20"/>
                <w:szCs w:val="20"/>
              </w:rPr>
            </w:pPr>
          </w:p>
        </w:tc>
        <w:tc>
          <w:tcPr>
            <w:tcW w:w="5670" w:type="dxa"/>
          </w:tcPr>
          <w:p w14:paraId="7BD6BFCC"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The organization holds regular meetings where colleagues can share successful experiences or resolve work problems.</w:t>
            </w:r>
          </w:p>
        </w:tc>
        <w:tc>
          <w:tcPr>
            <w:tcW w:w="1530" w:type="dxa"/>
            <w:vMerge/>
          </w:tcPr>
          <w:p w14:paraId="7888E606" w14:textId="77777777" w:rsidR="008C565D" w:rsidRPr="002A7627" w:rsidRDefault="008C565D" w:rsidP="00780272">
            <w:pPr>
              <w:jc w:val="both"/>
              <w:rPr>
                <w:rFonts w:cs="Times New Roman"/>
                <w:sz w:val="20"/>
                <w:szCs w:val="20"/>
              </w:rPr>
            </w:pPr>
          </w:p>
        </w:tc>
      </w:tr>
      <w:tr w:rsidR="008C565D" w:rsidRPr="002A7627" w14:paraId="5A239D9B" w14:textId="77777777" w:rsidTr="00780272">
        <w:tc>
          <w:tcPr>
            <w:tcW w:w="654" w:type="dxa"/>
          </w:tcPr>
          <w:p w14:paraId="4D0FB6F0"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Q15</w:t>
            </w:r>
          </w:p>
        </w:tc>
        <w:tc>
          <w:tcPr>
            <w:tcW w:w="1956" w:type="dxa"/>
            <w:vMerge/>
          </w:tcPr>
          <w:p w14:paraId="6EE9E68F" w14:textId="77777777" w:rsidR="008C565D" w:rsidRPr="002A7627" w:rsidRDefault="008C565D" w:rsidP="00780272">
            <w:pPr>
              <w:jc w:val="both"/>
              <w:rPr>
                <w:rFonts w:cs="Times New Roman"/>
                <w:b/>
                <w:bCs/>
                <w:color w:val="000000" w:themeColor="text1"/>
                <w:sz w:val="20"/>
                <w:szCs w:val="20"/>
              </w:rPr>
            </w:pPr>
          </w:p>
        </w:tc>
        <w:tc>
          <w:tcPr>
            <w:tcW w:w="5670" w:type="dxa"/>
          </w:tcPr>
          <w:p w14:paraId="6D1DA6CC" w14:textId="33AC4432" w:rsidR="008C565D" w:rsidRPr="002A7627" w:rsidRDefault="008C565D" w:rsidP="00C240F9">
            <w:pPr>
              <w:jc w:val="both"/>
              <w:rPr>
                <w:rFonts w:cs="Times New Roman"/>
                <w:color w:val="000000" w:themeColor="text1"/>
                <w:sz w:val="20"/>
                <w:szCs w:val="20"/>
              </w:rPr>
            </w:pPr>
            <w:r w:rsidRPr="002A7627">
              <w:rPr>
                <w:rFonts w:cs="Times New Roman"/>
                <w:sz w:val="20"/>
                <w:szCs w:val="20"/>
              </w:rPr>
              <w:t>The organization allows employees to consult their colleagues on problems during work time.</w:t>
            </w:r>
          </w:p>
        </w:tc>
        <w:tc>
          <w:tcPr>
            <w:tcW w:w="1530" w:type="dxa"/>
            <w:vMerge/>
          </w:tcPr>
          <w:p w14:paraId="2594D7B2" w14:textId="77777777" w:rsidR="008C565D" w:rsidRPr="002A7627" w:rsidRDefault="008C565D" w:rsidP="00780272">
            <w:pPr>
              <w:jc w:val="both"/>
              <w:rPr>
                <w:rFonts w:cs="Times New Roman"/>
                <w:sz w:val="20"/>
                <w:szCs w:val="20"/>
              </w:rPr>
            </w:pPr>
          </w:p>
        </w:tc>
      </w:tr>
      <w:tr w:rsidR="008C565D" w:rsidRPr="002A7627" w14:paraId="4CDB9E5F" w14:textId="77777777" w:rsidTr="00780272">
        <w:tc>
          <w:tcPr>
            <w:tcW w:w="654" w:type="dxa"/>
          </w:tcPr>
          <w:p w14:paraId="23622A43"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Q16</w:t>
            </w:r>
          </w:p>
        </w:tc>
        <w:tc>
          <w:tcPr>
            <w:tcW w:w="1956" w:type="dxa"/>
            <w:vMerge/>
          </w:tcPr>
          <w:p w14:paraId="07FC15D9" w14:textId="77777777" w:rsidR="008C565D" w:rsidRPr="002A7627" w:rsidRDefault="008C565D" w:rsidP="00780272">
            <w:pPr>
              <w:jc w:val="both"/>
              <w:rPr>
                <w:rFonts w:cs="Times New Roman"/>
                <w:b/>
                <w:bCs/>
                <w:color w:val="000000" w:themeColor="text1"/>
                <w:sz w:val="20"/>
                <w:szCs w:val="20"/>
              </w:rPr>
            </w:pPr>
          </w:p>
        </w:tc>
        <w:tc>
          <w:tcPr>
            <w:tcW w:w="5670" w:type="dxa"/>
          </w:tcPr>
          <w:p w14:paraId="6CDEE093"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There are annual conferences concerning certain services that require in-depth discussion among colleagues in our organization.</w:t>
            </w:r>
          </w:p>
        </w:tc>
        <w:tc>
          <w:tcPr>
            <w:tcW w:w="1530" w:type="dxa"/>
            <w:vMerge/>
          </w:tcPr>
          <w:p w14:paraId="3D5A50D4" w14:textId="77777777" w:rsidR="008C565D" w:rsidRPr="002A7627" w:rsidRDefault="008C565D" w:rsidP="00780272">
            <w:pPr>
              <w:jc w:val="both"/>
              <w:rPr>
                <w:rFonts w:cs="Times New Roman"/>
                <w:sz w:val="20"/>
                <w:szCs w:val="20"/>
              </w:rPr>
            </w:pPr>
          </w:p>
        </w:tc>
      </w:tr>
      <w:tr w:rsidR="008C565D" w:rsidRPr="002A7627" w14:paraId="151E2A56" w14:textId="77777777" w:rsidTr="00780272">
        <w:tc>
          <w:tcPr>
            <w:tcW w:w="654" w:type="dxa"/>
          </w:tcPr>
          <w:p w14:paraId="205775AF"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Q17</w:t>
            </w:r>
          </w:p>
        </w:tc>
        <w:tc>
          <w:tcPr>
            <w:tcW w:w="1956" w:type="dxa"/>
            <w:vMerge/>
          </w:tcPr>
          <w:p w14:paraId="564A85E0" w14:textId="77777777" w:rsidR="008C565D" w:rsidRPr="002A7627" w:rsidRDefault="008C565D" w:rsidP="00780272">
            <w:pPr>
              <w:jc w:val="both"/>
              <w:rPr>
                <w:rFonts w:cs="Times New Roman"/>
                <w:b/>
                <w:bCs/>
                <w:color w:val="000000" w:themeColor="text1"/>
                <w:sz w:val="20"/>
                <w:szCs w:val="20"/>
              </w:rPr>
            </w:pPr>
          </w:p>
        </w:tc>
        <w:tc>
          <w:tcPr>
            <w:tcW w:w="5670" w:type="dxa"/>
          </w:tcPr>
          <w:p w14:paraId="03FED146"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There are restrooms available where employees can talk to each other and share experience in our organization.</w:t>
            </w:r>
          </w:p>
        </w:tc>
        <w:tc>
          <w:tcPr>
            <w:tcW w:w="1530" w:type="dxa"/>
            <w:vMerge/>
          </w:tcPr>
          <w:p w14:paraId="61AF174F" w14:textId="77777777" w:rsidR="008C565D" w:rsidRPr="002A7627" w:rsidRDefault="008C565D" w:rsidP="00780272">
            <w:pPr>
              <w:jc w:val="both"/>
              <w:rPr>
                <w:rFonts w:cs="Times New Roman"/>
                <w:sz w:val="20"/>
                <w:szCs w:val="20"/>
              </w:rPr>
            </w:pPr>
          </w:p>
        </w:tc>
      </w:tr>
      <w:tr w:rsidR="008C565D" w:rsidRPr="002A7627" w14:paraId="18A24642" w14:textId="77777777" w:rsidTr="00780272">
        <w:tc>
          <w:tcPr>
            <w:tcW w:w="654" w:type="dxa"/>
            <w:tcBorders>
              <w:bottom w:val="nil"/>
            </w:tcBorders>
          </w:tcPr>
          <w:p w14:paraId="414AE9A7"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Q18</w:t>
            </w:r>
          </w:p>
        </w:tc>
        <w:tc>
          <w:tcPr>
            <w:tcW w:w="1956" w:type="dxa"/>
            <w:vMerge/>
            <w:tcBorders>
              <w:bottom w:val="nil"/>
            </w:tcBorders>
          </w:tcPr>
          <w:p w14:paraId="71F27F49" w14:textId="77777777" w:rsidR="008C565D" w:rsidRPr="002A7627" w:rsidRDefault="008C565D" w:rsidP="00780272">
            <w:pPr>
              <w:jc w:val="both"/>
              <w:rPr>
                <w:rFonts w:cs="Times New Roman"/>
                <w:b/>
                <w:bCs/>
                <w:color w:val="000000" w:themeColor="text1"/>
                <w:sz w:val="20"/>
                <w:szCs w:val="20"/>
              </w:rPr>
            </w:pPr>
          </w:p>
        </w:tc>
        <w:tc>
          <w:tcPr>
            <w:tcW w:w="5670" w:type="dxa"/>
            <w:tcBorders>
              <w:bottom w:val="nil"/>
            </w:tcBorders>
          </w:tcPr>
          <w:p w14:paraId="7F0A08A1" w14:textId="1BC5079B" w:rsidR="008C565D" w:rsidRPr="002A7627" w:rsidRDefault="008C565D" w:rsidP="00780272">
            <w:pPr>
              <w:jc w:val="both"/>
              <w:rPr>
                <w:rFonts w:cs="Times New Roman"/>
                <w:color w:val="000000" w:themeColor="text1"/>
                <w:sz w:val="20"/>
                <w:szCs w:val="20"/>
              </w:rPr>
            </w:pPr>
            <w:r w:rsidRPr="002A7627">
              <w:rPr>
                <w:rFonts w:cs="Times New Roman"/>
                <w:sz w:val="20"/>
                <w:szCs w:val="20"/>
              </w:rPr>
              <w:t xml:space="preserve">The company assigns every new employee a senior employee and </w:t>
            </w:r>
            <w:r w:rsidR="007B4E04">
              <w:rPr>
                <w:rFonts w:cs="Times New Roman"/>
                <w:sz w:val="20"/>
                <w:szCs w:val="20"/>
              </w:rPr>
              <w:t xml:space="preserve">provides </w:t>
            </w:r>
            <w:r w:rsidRPr="002A7627">
              <w:rPr>
                <w:rFonts w:cs="Times New Roman"/>
                <w:sz w:val="20"/>
                <w:szCs w:val="20"/>
              </w:rPr>
              <w:t>coaching to help him/her during orientation.</w:t>
            </w:r>
          </w:p>
        </w:tc>
        <w:tc>
          <w:tcPr>
            <w:tcW w:w="1530" w:type="dxa"/>
            <w:vMerge/>
          </w:tcPr>
          <w:p w14:paraId="3EFA0518" w14:textId="77777777" w:rsidR="008C565D" w:rsidRPr="002A7627" w:rsidRDefault="008C565D" w:rsidP="00780272">
            <w:pPr>
              <w:jc w:val="both"/>
              <w:rPr>
                <w:rFonts w:cs="Times New Roman"/>
                <w:sz w:val="20"/>
                <w:szCs w:val="20"/>
              </w:rPr>
            </w:pPr>
          </w:p>
        </w:tc>
      </w:tr>
      <w:tr w:rsidR="008C565D" w:rsidRPr="002A7627" w14:paraId="46C8B6A4" w14:textId="77777777" w:rsidTr="00780272">
        <w:tc>
          <w:tcPr>
            <w:tcW w:w="654" w:type="dxa"/>
            <w:tcBorders>
              <w:top w:val="nil"/>
              <w:bottom w:val="nil"/>
            </w:tcBorders>
          </w:tcPr>
          <w:p w14:paraId="246E11F8"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Q19</w:t>
            </w:r>
          </w:p>
        </w:tc>
        <w:tc>
          <w:tcPr>
            <w:tcW w:w="1956" w:type="dxa"/>
            <w:vMerge/>
            <w:tcBorders>
              <w:top w:val="nil"/>
              <w:bottom w:val="nil"/>
            </w:tcBorders>
          </w:tcPr>
          <w:p w14:paraId="2DB40F37" w14:textId="77777777" w:rsidR="008C565D" w:rsidRPr="002A7627" w:rsidRDefault="008C565D" w:rsidP="00780272">
            <w:pPr>
              <w:jc w:val="both"/>
              <w:rPr>
                <w:rFonts w:cs="Times New Roman"/>
                <w:b/>
                <w:bCs/>
                <w:color w:val="000000" w:themeColor="text1"/>
                <w:sz w:val="20"/>
                <w:szCs w:val="20"/>
              </w:rPr>
            </w:pPr>
          </w:p>
        </w:tc>
        <w:tc>
          <w:tcPr>
            <w:tcW w:w="5670" w:type="dxa"/>
            <w:tcBorders>
              <w:top w:val="nil"/>
              <w:bottom w:val="nil"/>
            </w:tcBorders>
          </w:tcPr>
          <w:p w14:paraId="6FB88CB1" w14:textId="77777777" w:rsidR="008C565D" w:rsidRPr="002A7627" w:rsidRDefault="008C565D" w:rsidP="00780272">
            <w:pPr>
              <w:jc w:val="both"/>
              <w:rPr>
                <w:rFonts w:cs="Times New Roman"/>
                <w:sz w:val="20"/>
                <w:szCs w:val="20"/>
              </w:rPr>
            </w:pPr>
            <w:r w:rsidRPr="002A7627">
              <w:rPr>
                <w:rFonts w:cs="Times New Roman"/>
                <w:sz w:val="20"/>
                <w:szCs w:val="20"/>
              </w:rPr>
              <w:t>The company has mentoring programs in which employees can receive their mentor’s help at any time.</w:t>
            </w:r>
          </w:p>
          <w:p w14:paraId="15FA48BB" w14:textId="77777777" w:rsidR="008C565D" w:rsidRPr="002A7627" w:rsidRDefault="008C565D" w:rsidP="00780272">
            <w:pPr>
              <w:jc w:val="both"/>
              <w:rPr>
                <w:rFonts w:cs="Times New Roman"/>
                <w:color w:val="000000" w:themeColor="text1"/>
                <w:sz w:val="20"/>
                <w:szCs w:val="20"/>
              </w:rPr>
            </w:pPr>
          </w:p>
        </w:tc>
        <w:tc>
          <w:tcPr>
            <w:tcW w:w="1530" w:type="dxa"/>
            <w:vMerge/>
            <w:tcBorders>
              <w:bottom w:val="nil"/>
            </w:tcBorders>
          </w:tcPr>
          <w:p w14:paraId="3DC4ED19" w14:textId="77777777" w:rsidR="008C565D" w:rsidRPr="002A7627" w:rsidRDefault="008C565D" w:rsidP="00780272">
            <w:pPr>
              <w:jc w:val="both"/>
              <w:rPr>
                <w:rFonts w:cs="Times New Roman"/>
                <w:sz w:val="20"/>
                <w:szCs w:val="20"/>
              </w:rPr>
            </w:pPr>
          </w:p>
        </w:tc>
      </w:tr>
      <w:tr w:rsidR="008C565D" w:rsidRPr="002A7627" w14:paraId="522A27EC" w14:textId="77777777" w:rsidTr="00780272">
        <w:tc>
          <w:tcPr>
            <w:tcW w:w="654" w:type="dxa"/>
            <w:tcBorders>
              <w:top w:val="nil"/>
            </w:tcBorders>
          </w:tcPr>
          <w:p w14:paraId="1D139443"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Q20</w:t>
            </w:r>
          </w:p>
        </w:tc>
        <w:tc>
          <w:tcPr>
            <w:tcW w:w="1956" w:type="dxa"/>
            <w:vMerge w:val="restart"/>
            <w:tcBorders>
              <w:top w:val="nil"/>
            </w:tcBorders>
          </w:tcPr>
          <w:p w14:paraId="132B8A49" w14:textId="77777777" w:rsidR="008C565D" w:rsidRPr="002A7627" w:rsidRDefault="008C565D" w:rsidP="00780272">
            <w:pPr>
              <w:jc w:val="both"/>
              <w:rPr>
                <w:rFonts w:cs="Times New Roman"/>
                <w:b/>
                <w:bCs/>
                <w:color w:val="000000" w:themeColor="text1"/>
                <w:sz w:val="20"/>
                <w:szCs w:val="20"/>
              </w:rPr>
            </w:pPr>
            <w:r w:rsidRPr="002A7627">
              <w:rPr>
                <w:rFonts w:cs="Times New Roman"/>
                <w:b/>
                <w:bCs/>
                <w:sz w:val="20"/>
                <w:szCs w:val="20"/>
              </w:rPr>
              <w:t>Ability-enhancing HR practices</w:t>
            </w:r>
          </w:p>
        </w:tc>
        <w:tc>
          <w:tcPr>
            <w:tcW w:w="5670" w:type="dxa"/>
            <w:tcBorders>
              <w:top w:val="nil"/>
            </w:tcBorders>
          </w:tcPr>
          <w:p w14:paraId="0864D1FD" w14:textId="68AEDFF3" w:rsidR="008C565D" w:rsidRPr="002A7627" w:rsidRDefault="008C565D" w:rsidP="00647F8A">
            <w:pPr>
              <w:jc w:val="both"/>
              <w:rPr>
                <w:rFonts w:cs="Times New Roman"/>
                <w:color w:val="000000" w:themeColor="text1"/>
                <w:sz w:val="20"/>
                <w:szCs w:val="20"/>
              </w:rPr>
            </w:pPr>
            <w:r w:rsidRPr="002A7627">
              <w:rPr>
                <w:rFonts w:cs="Times New Roman"/>
                <w:sz w:val="20"/>
                <w:szCs w:val="20"/>
              </w:rPr>
              <w:t xml:space="preserve">In our organization, there </w:t>
            </w:r>
            <w:r w:rsidR="007B4E04">
              <w:rPr>
                <w:rFonts w:cs="Times New Roman"/>
                <w:sz w:val="20"/>
                <w:szCs w:val="20"/>
              </w:rPr>
              <w:t>is</w:t>
            </w:r>
            <w:r w:rsidR="007B4E04" w:rsidRPr="002A7627">
              <w:rPr>
                <w:rFonts w:cs="Times New Roman"/>
                <w:sz w:val="20"/>
                <w:szCs w:val="20"/>
              </w:rPr>
              <w:t xml:space="preserve"> </w:t>
            </w:r>
            <w:r w:rsidRPr="002A7627">
              <w:rPr>
                <w:rFonts w:cs="Times New Roman"/>
                <w:sz w:val="20"/>
                <w:szCs w:val="20"/>
              </w:rPr>
              <w:t>training to develop interpersonal communication skills.</w:t>
            </w:r>
          </w:p>
        </w:tc>
        <w:tc>
          <w:tcPr>
            <w:tcW w:w="1530" w:type="dxa"/>
            <w:vMerge w:val="restart"/>
            <w:tcBorders>
              <w:top w:val="nil"/>
              <w:bottom w:val="nil"/>
            </w:tcBorders>
          </w:tcPr>
          <w:p w14:paraId="1ED8849E" w14:textId="311AB56D" w:rsidR="008C565D" w:rsidRPr="002A7627" w:rsidRDefault="00B76C18" w:rsidP="00780272">
            <w:pPr>
              <w:jc w:val="both"/>
              <w:rPr>
                <w:rStyle w:val="Hyperlink"/>
                <w:rFonts w:cs="Times New Roman"/>
                <w:color w:val="000000"/>
                <w:sz w:val="20"/>
                <w:szCs w:val="20"/>
                <w:u w:val="none"/>
              </w:rPr>
            </w:pPr>
            <w:hyperlink r:id="rId29" w:history="1">
              <w:r w:rsidR="008C565D" w:rsidRPr="002A7627">
                <w:rPr>
                  <w:rStyle w:val="Hyperlink"/>
                  <w:rFonts w:cs="Times New Roman"/>
                  <w:color w:val="000000"/>
                  <w:sz w:val="20"/>
                  <w:szCs w:val="20"/>
                  <w:u w:val="none"/>
                </w:rPr>
                <w:t xml:space="preserve">Andreeva </w:t>
              </w:r>
              <w:r w:rsidR="00E8017D" w:rsidRPr="00E8017D">
                <w:rPr>
                  <w:rStyle w:val="Hyperlink"/>
                  <w:rFonts w:cs="Times New Roman"/>
                  <w:color w:val="000000"/>
                  <w:sz w:val="20"/>
                  <w:szCs w:val="20"/>
                  <w:u w:val="none"/>
                </w:rPr>
                <w:t xml:space="preserve">and Sergeeva </w:t>
              </w:r>
              <w:r w:rsidR="008C565D" w:rsidRPr="002A7627">
                <w:rPr>
                  <w:rStyle w:val="Hyperlink"/>
                  <w:rFonts w:cs="Times New Roman"/>
                  <w:color w:val="000000"/>
                  <w:sz w:val="20"/>
                  <w:szCs w:val="20"/>
                  <w:u w:val="none"/>
                </w:rPr>
                <w:t>(2016</w:t>
              </w:r>
            </w:hyperlink>
            <w:r w:rsidR="008C565D" w:rsidRPr="002A7627">
              <w:rPr>
                <w:rStyle w:val="Hyperlink"/>
                <w:rFonts w:cs="Times New Roman"/>
                <w:color w:val="000000"/>
                <w:sz w:val="20"/>
                <w:szCs w:val="20"/>
                <w:u w:val="none"/>
              </w:rPr>
              <w:t>)</w:t>
            </w:r>
          </w:p>
          <w:p w14:paraId="73647398" w14:textId="77777777" w:rsidR="008C565D" w:rsidRPr="002A7627" w:rsidRDefault="008C565D" w:rsidP="00780272">
            <w:pPr>
              <w:jc w:val="both"/>
              <w:rPr>
                <w:rFonts w:cs="Times New Roman"/>
                <w:sz w:val="20"/>
                <w:szCs w:val="20"/>
              </w:rPr>
            </w:pPr>
            <w:r w:rsidRPr="002A7627">
              <w:rPr>
                <w:rFonts w:cs="Times New Roman"/>
                <w:sz w:val="20"/>
                <w:szCs w:val="20"/>
              </w:rPr>
              <w:fldChar w:fldCharType="begin" w:fldLock="1"/>
            </w:r>
            <w:r w:rsidRPr="002A7627">
              <w:rPr>
                <w:rFonts w:cs="Times New Roman"/>
                <w:sz w:val="20"/>
                <w:szCs w:val="20"/>
              </w:rPr>
              <w:instrText>ADDIN CSL_CITATION {"citationItems":[{"id":"ITEM-1","itemData":{"ISBN":"0742-7301","author":[{"dropping-particle":"","family":"Jackson","given":"Susan E","non-dropping-particle":"","parse-names":false,"suffix":""},{"dropping-particle":"","family":"Chuang","given":"Chih-Hsun","non-dropping-particle":"","parse-names":false,"suffix":""},{"dropping-particle":"","family":"Harden","given":"Erika E","non-dropping-particle":"","parse-names":false,"suffix":""},{"dropping-particle":"","family":"Jiang","given":"Yuan","non-dropping-particle":"","parse-names":false,"suffix":""}],"container-title":"Research in personnel and human resources management","editor":[{"dropping-particle":"","family":"Werther","given":"W B","non-dropping-particle":"","parse-names":false,"suffix":""},{"dropping-particle":"","family":"Davis","given":"K","non-dropping-particle":"","parse-names":false,"suffix":""}],"id":"ITEM-1","issued":{"date-parts":[["2006"]]},"page":"27-70","publisher":"Emerald","publisher-place":"London, UK","title":"Toward developing human resource management systems for knowledge-intensive teamwork","type":"chapter"},"uris":["http://www.mendeley.com/documents/?uuid=7cf166af-c77c-470d-b512-1ad41d2ca7f0"]}],"mendeley":{"formattedCitation":"(Jackson et al., 2006)","manualFormatting":"Jackson et al. (2006)","plainTextFormattedCitation":"(Jackson et al., 2006)","previouslyFormattedCitation":"(Jackson et al., 2006)"},"properties":{"noteIndex":0},"schema":"https://github.com/citation-style-language/schema/raw/master/csl-citation.json"}</w:instrText>
            </w:r>
            <w:r w:rsidRPr="002A7627">
              <w:rPr>
                <w:rFonts w:cs="Times New Roman"/>
                <w:sz w:val="20"/>
                <w:szCs w:val="20"/>
              </w:rPr>
              <w:fldChar w:fldCharType="separate"/>
            </w:r>
            <w:r w:rsidRPr="002A7627">
              <w:rPr>
                <w:rFonts w:cs="Times New Roman"/>
                <w:noProof/>
                <w:sz w:val="20"/>
                <w:szCs w:val="20"/>
              </w:rPr>
              <w:t>Jackson et al. (2006)</w:t>
            </w:r>
            <w:r w:rsidRPr="002A7627">
              <w:rPr>
                <w:rFonts w:cs="Times New Roman"/>
                <w:sz w:val="20"/>
                <w:szCs w:val="20"/>
              </w:rPr>
              <w:fldChar w:fldCharType="end"/>
            </w:r>
          </w:p>
          <w:p w14:paraId="6FB37205" w14:textId="77777777" w:rsidR="008C565D" w:rsidRPr="002A7627" w:rsidRDefault="008C565D" w:rsidP="00780272">
            <w:pPr>
              <w:jc w:val="both"/>
              <w:rPr>
                <w:rFonts w:cs="Times New Roman"/>
                <w:sz w:val="20"/>
                <w:szCs w:val="20"/>
              </w:rPr>
            </w:pPr>
            <w:r w:rsidRPr="002A7627">
              <w:rPr>
                <w:rFonts w:cs="Times New Roman"/>
                <w:sz w:val="20"/>
                <w:szCs w:val="20"/>
              </w:rPr>
              <w:fldChar w:fldCharType="begin" w:fldLock="1"/>
            </w:r>
            <w:r w:rsidRPr="002A7627">
              <w:rPr>
                <w:rFonts w:cs="Times New Roman"/>
                <w:sz w:val="20"/>
                <w:szCs w:val="20"/>
              </w:rPr>
              <w:instrText>ADDIN CSL_CITATION {"citationItems":[{"id":"ITEM-1","itemData":{"DOI":"10.1016/j.hrmr.2011.11.005","ISSN":"10534822","abstract":"Strategic human resource management researchers have strongly advocated a system perspective and provided considerable evidence that certain systems of human resource practices have a significant impact on individual and organizational performance. Yet, challenges of understanding the construct of human resource systems still remain in the literature. Specifically, few efforts have been made to explicate the internal fit in human resource systems referring to how the practices in human resource systems work together. For the purpose of clarifying human resource systems construct, we review the components of human resource systems and delineate how the parts of human resource systems work together to influence employee performance. Theoretical and empirical implications for future research are also discussed. © 2011 .","author":[{"dropping-particle":"","family":"Jiang","given":"Kaifeng","non-dropping-particle":"","parse-names":false,"suffix":""},{"dropping-particle":"","family":"Lepak","given":"David P.","non-dropping-particle":"","parse-names":false,"suffix":""},{"dropping-particle":"","family":"Han","given":"Kyongji","non-dropping-particle":"","parse-names":false,"suffix":""},{"dropping-particle":"","family":"Hong","given":"Ying","non-dropping-particle":"","parse-names":false,"suffix":""},{"dropping-particle":"","family":"Kim","given":"Andrea","non-dropping-particle":"","parse-names":false,"suffix":""},{"dropping-particle":"","family":"Winkler","given":"Anne-Laure","non-dropping-particle":"","parse-names":false,"suffix":""}],"container-title":"Human Resource Management Review","id":"ITEM-1","issue":"2","issued":{"date-parts":[["2012","6"]]},"page":"73-85","title":"Clarifying the construct of human resource systems: Relating human resource management to employee performance","type":"article-journal","volume":"22"},"uris":["http://www.mendeley.com/documents/?uuid=6593eb17-2537-43c3-a0a2-9786ea2ed3a9"]}],"mendeley":{"formattedCitation":"(Jiang, Lepak, Han, et al., 2012)","manualFormatting":"Jiang, Lepak, Han, et al. (2012)","plainTextFormattedCitation":"(Jiang, Lepak, Han, et al., 2012)","previouslyFormattedCitation":"(Jiang, Lepak, Han, et al., 2012)"},"properties":{"noteIndex":0},"schema":"https://github.com/citation-style-language/schema/raw/master/csl-citation.json"}</w:instrText>
            </w:r>
            <w:r w:rsidRPr="002A7627">
              <w:rPr>
                <w:rFonts w:cs="Times New Roman"/>
                <w:sz w:val="20"/>
                <w:szCs w:val="20"/>
              </w:rPr>
              <w:fldChar w:fldCharType="separate"/>
            </w:r>
            <w:r w:rsidRPr="002A7627">
              <w:rPr>
                <w:rFonts w:cs="Times New Roman"/>
                <w:noProof/>
                <w:sz w:val="20"/>
                <w:szCs w:val="20"/>
              </w:rPr>
              <w:t>Jiang, Lepak, Han, et al. (2012)</w:t>
            </w:r>
            <w:r w:rsidRPr="002A7627">
              <w:rPr>
                <w:rFonts w:cs="Times New Roman"/>
                <w:sz w:val="20"/>
                <w:szCs w:val="20"/>
              </w:rPr>
              <w:fldChar w:fldCharType="end"/>
            </w:r>
          </w:p>
        </w:tc>
      </w:tr>
      <w:tr w:rsidR="008C565D" w:rsidRPr="002A7627" w14:paraId="55180D9F" w14:textId="77777777" w:rsidTr="00780272">
        <w:tc>
          <w:tcPr>
            <w:tcW w:w="654" w:type="dxa"/>
          </w:tcPr>
          <w:p w14:paraId="364A572F"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Q21</w:t>
            </w:r>
          </w:p>
        </w:tc>
        <w:tc>
          <w:tcPr>
            <w:tcW w:w="1956" w:type="dxa"/>
            <w:vMerge/>
          </w:tcPr>
          <w:p w14:paraId="5CFF86BB" w14:textId="77777777" w:rsidR="008C565D" w:rsidRPr="002A7627" w:rsidRDefault="008C565D" w:rsidP="00780272">
            <w:pPr>
              <w:jc w:val="both"/>
              <w:rPr>
                <w:rFonts w:cs="Times New Roman"/>
                <w:b/>
                <w:bCs/>
                <w:color w:val="000000" w:themeColor="text1"/>
                <w:sz w:val="20"/>
                <w:szCs w:val="20"/>
              </w:rPr>
            </w:pPr>
          </w:p>
        </w:tc>
        <w:tc>
          <w:tcPr>
            <w:tcW w:w="5670" w:type="dxa"/>
          </w:tcPr>
          <w:p w14:paraId="51E099E9" w14:textId="17D266D0" w:rsidR="008C565D" w:rsidRPr="002A7627" w:rsidRDefault="008C565D" w:rsidP="00647F8A">
            <w:pPr>
              <w:jc w:val="both"/>
              <w:rPr>
                <w:rFonts w:cs="Times New Roman"/>
                <w:color w:val="000000" w:themeColor="text1"/>
                <w:sz w:val="20"/>
                <w:szCs w:val="20"/>
              </w:rPr>
            </w:pPr>
            <w:r w:rsidRPr="002A7627">
              <w:rPr>
                <w:rFonts w:cs="Times New Roman"/>
                <w:sz w:val="20"/>
                <w:szCs w:val="20"/>
              </w:rPr>
              <w:t xml:space="preserve">In our organization, there </w:t>
            </w:r>
            <w:r w:rsidR="007B4E04">
              <w:rPr>
                <w:rFonts w:cs="Times New Roman"/>
                <w:sz w:val="20"/>
                <w:szCs w:val="20"/>
              </w:rPr>
              <w:t>is</w:t>
            </w:r>
            <w:r w:rsidR="007B4E04" w:rsidRPr="002A7627">
              <w:rPr>
                <w:rFonts w:cs="Times New Roman"/>
                <w:sz w:val="20"/>
                <w:szCs w:val="20"/>
              </w:rPr>
              <w:t xml:space="preserve"> </w:t>
            </w:r>
            <w:r w:rsidRPr="002A7627">
              <w:rPr>
                <w:rFonts w:cs="Times New Roman"/>
                <w:sz w:val="20"/>
                <w:szCs w:val="20"/>
              </w:rPr>
              <w:t>training for teamwork skills.</w:t>
            </w:r>
          </w:p>
        </w:tc>
        <w:tc>
          <w:tcPr>
            <w:tcW w:w="1530" w:type="dxa"/>
            <w:vMerge/>
            <w:tcBorders>
              <w:top w:val="nil"/>
              <w:bottom w:val="nil"/>
            </w:tcBorders>
          </w:tcPr>
          <w:p w14:paraId="307D61A7" w14:textId="77777777" w:rsidR="008C565D" w:rsidRPr="002A7627" w:rsidRDefault="008C565D" w:rsidP="00780272">
            <w:pPr>
              <w:jc w:val="both"/>
              <w:rPr>
                <w:rFonts w:cs="Times New Roman"/>
                <w:sz w:val="20"/>
                <w:szCs w:val="20"/>
              </w:rPr>
            </w:pPr>
          </w:p>
        </w:tc>
      </w:tr>
      <w:tr w:rsidR="008C565D" w:rsidRPr="002A7627" w14:paraId="12826959" w14:textId="77777777" w:rsidTr="00780272">
        <w:trPr>
          <w:trHeight w:val="503"/>
        </w:trPr>
        <w:tc>
          <w:tcPr>
            <w:tcW w:w="654" w:type="dxa"/>
          </w:tcPr>
          <w:p w14:paraId="16CF7151"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Q22</w:t>
            </w:r>
          </w:p>
        </w:tc>
        <w:tc>
          <w:tcPr>
            <w:tcW w:w="1956" w:type="dxa"/>
            <w:vMerge/>
          </w:tcPr>
          <w:p w14:paraId="2F3B0120" w14:textId="77777777" w:rsidR="008C565D" w:rsidRPr="002A7627" w:rsidRDefault="008C565D" w:rsidP="00780272">
            <w:pPr>
              <w:jc w:val="both"/>
              <w:rPr>
                <w:rFonts w:cs="Times New Roman"/>
                <w:b/>
                <w:bCs/>
                <w:color w:val="000000" w:themeColor="text1"/>
                <w:sz w:val="20"/>
                <w:szCs w:val="20"/>
              </w:rPr>
            </w:pPr>
          </w:p>
        </w:tc>
        <w:tc>
          <w:tcPr>
            <w:tcW w:w="5670" w:type="dxa"/>
          </w:tcPr>
          <w:p w14:paraId="70F1599A" w14:textId="72C1040F" w:rsidR="008C565D" w:rsidRPr="002A7627" w:rsidRDefault="008C565D" w:rsidP="00C240F9">
            <w:pPr>
              <w:jc w:val="both"/>
              <w:rPr>
                <w:rFonts w:cs="Times New Roman"/>
                <w:color w:val="000000" w:themeColor="text1"/>
                <w:sz w:val="20"/>
                <w:szCs w:val="20"/>
              </w:rPr>
            </w:pPr>
            <w:r w:rsidRPr="002A7627">
              <w:rPr>
                <w:rFonts w:cs="Times New Roman"/>
                <w:sz w:val="20"/>
                <w:szCs w:val="20"/>
              </w:rPr>
              <w:t>The organization provides training to develop skills of self-reflection and knowledge externalization.</w:t>
            </w:r>
          </w:p>
        </w:tc>
        <w:tc>
          <w:tcPr>
            <w:tcW w:w="1530" w:type="dxa"/>
            <w:vMerge/>
            <w:tcBorders>
              <w:top w:val="nil"/>
              <w:bottom w:val="nil"/>
            </w:tcBorders>
          </w:tcPr>
          <w:p w14:paraId="76075630" w14:textId="77777777" w:rsidR="008C565D" w:rsidRPr="002A7627" w:rsidRDefault="008C565D" w:rsidP="00780272">
            <w:pPr>
              <w:jc w:val="both"/>
              <w:rPr>
                <w:rFonts w:cs="Times New Roman"/>
                <w:sz w:val="20"/>
                <w:szCs w:val="20"/>
              </w:rPr>
            </w:pPr>
          </w:p>
        </w:tc>
      </w:tr>
      <w:tr w:rsidR="00C240F9" w:rsidRPr="002A7627" w14:paraId="28EFDB03" w14:textId="77777777" w:rsidTr="00780272">
        <w:tc>
          <w:tcPr>
            <w:tcW w:w="9810" w:type="dxa"/>
            <w:gridSpan w:val="4"/>
          </w:tcPr>
          <w:p w14:paraId="09980B22" w14:textId="01CF4F58" w:rsidR="00C240F9" w:rsidRPr="00C240F9" w:rsidRDefault="00C240F9" w:rsidP="004F4485">
            <w:pPr>
              <w:jc w:val="both"/>
              <w:rPr>
                <w:b/>
                <w:bCs/>
                <w:sz w:val="20"/>
                <w:szCs w:val="20"/>
              </w:rPr>
            </w:pPr>
            <w:r w:rsidRPr="00C240F9">
              <w:rPr>
                <w:b/>
                <w:bCs/>
                <w:sz w:val="20"/>
                <w:szCs w:val="20"/>
              </w:rPr>
              <w:t>Section D</w:t>
            </w:r>
            <w:r w:rsidR="00902DB0" w:rsidRPr="00C240F9">
              <w:rPr>
                <w:b/>
                <w:bCs/>
                <w:sz w:val="20"/>
                <w:szCs w:val="20"/>
              </w:rPr>
              <w:t>:</w:t>
            </w:r>
            <w:r w:rsidR="00902DB0">
              <w:rPr>
                <w:b/>
                <w:bCs/>
                <w:sz w:val="20"/>
                <w:szCs w:val="20"/>
              </w:rPr>
              <w:t xml:space="preserve"> </w:t>
            </w:r>
            <w:r w:rsidRPr="00C240F9">
              <w:rPr>
                <w:b/>
                <w:bCs/>
                <w:sz w:val="20"/>
                <w:szCs w:val="20"/>
              </w:rPr>
              <w:t xml:space="preserve">Organizational learning </w:t>
            </w:r>
          </w:p>
        </w:tc>
      </w:tr>
      <w:tr w:rsidR="008C565D" w:rsidRPr="002A7627" w14:paraId="7956CF15" w14:textId="77777777" w:rsidTr="00780272">
        <w:tc>
          <w:tcPr>
            <w:tcW w:w="654" w:type="dxa"/>
          </w:tcPr>
          <w:p w14:paraId="30104331"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Q23</w:t>
            </w:r>
          </w:p>
        </w:tc>
        <w:tc>
          <w:tcPr>
            <w:tcW w:w="1956" w:type="dxa"/>
            <w:vMerge w:val="restart"/>
          </w:tcPr>
          <w:p w14:paraId="7AEE69B1" w14:textId="77777777" w:rsidR="008C565D" w:rsidRPr="002A7627" w:rsidRDefault="008C565D" w:rsidP="00780272">
            <w:pPr>
              <w:jc w:val="both"/>
              <w:rPr>
                <w:rFonts w:cs="Times New Roman"/>
                <w:b/>
                <w:bCs/>
                <w:color w:val="000000" w:themeColor="text1"/>
                <w:sz w:val="20"/>
                <w:szCs w:val="20"/>
              </w:rPr>
            </w:pPr>
            <w:r w:rsidRPr="002A7627">
              <w:rPr>
                <w:rFonts w:cs="Times New Roman"/>
                <w:b/>
                <w:bCs/>
                <w:sz w:val="20"/>
                <w:szCs w:val="20"/>
              </w:rPr>
              <w:t>Organizational Learning</w:t>
            </w:r>
          </w:p>
        </w:tc>
        <w:tc>
          <w:tcPr>
            <w:tcW w:w="5670" w:type="dxa"/>
          </w:tcPr>
          <w:p w14:paraId="2759A2AA"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Our employees are encouraged to learn from experience.</w:t>
            </w:r>
          </w:p>
        </w:tc>
        <w:tc>
          <w:tcPr>
            <w:tcW w:w="1530" w:type="dxa"/>
            <w:vMerge w:val="restart"/>
            <w:tcBorders>
              <w:top w:val="nil"/>
            </w:tcBorders>
          </w:tcPr>
          <w:p w14:paraId="34C214DF" w14:textId="24E14B72" w:rsidR="008C565D" w:rsidRPr="002A7627" w:rsidRDefault="00B76C18" w:rsidP="00780272">
            <w:pPr>
              <w:jc w:val="both"/>
              <w:rPr>
                <w:rStyle w:val="Hyperlink"/>
                <w:rFonts w:cs="Times New Roman"/>
                <w:color w:val="000000"/>
                <w:sz w:val="20"/>
                <w:szCs w:val="20"/>
                <w:u w:val="none"/>
              </w:rPr>
            </w:pPr>
            <w:hyperlink r:id="rId30" w:history="1">
              <w:r w:rsidR="008C565D" w:rsidRPr="002A7627">
                <w:rPr>
                  <w:rStyle w:val="Hyperlink"/>
                  <w:rFonts w:cs="Times New Roman"/>
                  <w:color w:val="000000"/>
                  <w:sz w:val="20"/>
                  <w:szCs w:val="20"/>
                  <w:u w:val="none"/>
                </w:rPr>
                <w:t>Kohtamäki</w:t>
              </w:r>
              <w:r w:rsidR="005A5C98">
                <w:rPr>
                  <w:rStyle w:val="Hyperlink"/>
                  <w:rFonts w:cs="Times New Roman"/>
                  <w:color w:val="000000"/>
                  <w:sz w:val="20"/>
                  <w:szCs w:val="20"/>
                  <w:u w:val="none"/>
                </w:rPr>
                <w:t xml:space="preserve"> et al.</w:t>
              </w:r>
              <w:r w:rsidR="008C565D" w:rsidRPr="002A7627">
                <w:rPr>
                  <w:rStyle w:val="Hyperlink"/>
                  <w:rFonts w:cs="Times New Roman"/>
                  <w:color w:val="000000"/>
                  <w:sz w:val="20"/>
                  <w:szCs w:val="20"/>
                  <w:u w:val="none"/>
                </w:rPr>
                <w:t xml:space="preserve"> (2012</w:t>
              </w:r>
            </w:hyperlink>
            <w:r w:rsidR="008C565D" w:rsidRPr="002A7627">
              <w:rPr>
                <w:rStyle w:val="Hyperlink"/>
                <w:rFonts w:cs="Times New Roman"/>
                <w:color w:val="000000"/>
                <w:sz w:val="20"/>
                <w:szCs w:val="20"/>
                <w:u w:val="none"/>
              </w:rPr>
              <w:t>)</w:t>
            </w:r>
          </w:p>
          <w:p w14:paraId="14A782EF" w14:textId="77777777" w:rsidR="008C565D" w:rsidRPr="002A7627" w:rsidRDefault="008C565D" w:rsidP="00780272">
            <w:pPr>
              <w:jc w:val="both"/>
              <w:rPr>
                <w:rFonts w:cs="Times New Roman"/>
                <w:sz w:val="20"/>
                <w:szCs w:val="20"/>
              </w:rPr>
            </w:pPr>
            <w:r w:rsidRPr="002A7627">
              <w:rPr>
                <w:rFonts w:cs="Times New Roman"/>
                <w:sz w:val="20"/>
                <w:szCs w:val="20"/>
              </w:rPr>
              <w:t xml:space="preserve"> </w:t>
            </w:r>
          </w:p>
        </w:tc>
      </w:tr>
      <w:tr w:rsidR="008C565D" w:rsidRPr="002A7627" w14:paraId="2BD3D9BD" w14:textId="77777777" w:rsidTr="00780272">
        <w:tc>
          <w:tcPr>
            <w:tcW w:w="654" w:type="dxa"/>
          </w:tcPr>
          <w:p w14:paraId="125344AE"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Q24</w:t>
            </w:r>
          </w:p>
        </w:tc>
        <w:tc>
          <w:tcPr>
            <w:tcW w:w="1956" w:type="dxa"/>
            <w:vMerge/>
          </w:tcPr>
          <w:p w14:paraId="1F7E77FE" w14:textId="77777777" w:rsidR="008C565D" w:rsidRPr="002A7627" w:rsidRDefault="008C565D" w:rsidP="00780272">
            <w:pPr>
              <w:jc w:val="both"/>
              <w:rPr>
                <w:rFonts w:cs="Times New Roman"/>
                <w:b/>
                <w:bCs/>
                <w:color w:val="000000" w:themeColor="text1"/>
                <w:sz w:val="20"/>
                <w:szCs w:val="20"/>
              </w:rPr>
            </w:pPr>
          </w:p>
        </w:tc>
        <w:tc>
          <w:tcPr>
            <w:tcW w:w="5670" w:type="dxa"/>
          </w:tcPr>
          <w:p w14:paraId="51CE0844"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Our employees are encouraged to share knowledge.</w:t>
            </w:r>
          </w:p>
        </w:tc>
        <w:tc>
          <w:tcPr>
            <w:tcW w:w="1530" w:type="dxa"/>
            <w:vMerge/>
          </w:tcPr>
          <w:p w14:paraId="681FECFF" w14:textId="77777777" w:rsidR="008C565D" w:rsidRPr="002A7627" w:rsidRDefault="008C565D" w:rsidP="00780272">
            <w:pPr>
              <w:jc w:val="both"/>
              <w:rPr>
                <w:rFonts w:cs="Times New Roman"/>
                <w:sz w:val="20"/>
                <w:szCs w:val="20"/>
              </w:rPr>
            </w:pPr>
          </w:p>
        </w:tc>
      </w:tr>
      <w:tr w:rsidR="008C565D" w:rsidRPr="002A7627" w14:paraId="5AC6F02C" w14:textId="77777777" w:rsidTr="00780272">
        <w:tc>
          <w:tcPr>
            <w:tcW w:w="654" w:type="dxa"/>
          </w:tcPr>
          <w:p w14:paraId="7954FF19"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Q25</w:t>
            </w:r>
          </w:p>
        </w:tc>
        <w:tc>
          <w:tcPr>
            <w:tcW w:w="1956" w:type="dxa"/>
            <w:vMerge/>
          </w:tcPr>
          <w:p w14:paraId="4CCB614F" w14:textId="77777777" w:rsidR="008C565D" w:rsidRPr="002A7627" w:rsidRDefault="008C565D" w:rsidP="00780272">
            <w:pPr>
              <w:jc w:val="both"/>
              <w:rPr>
                <w:rFonts w:cs="Times New Roman"/>
                <w:b/>
                <w:bCs/>
                <w:color w:val="000000" w:themeColor="text1"/>
                <w:sz w:val="20"/>
                <w:szCs w:val="20"/>
              </w:rPr>
            </w:pPr>
          </w:p>
        </w:tc>
        <w:tc>
          <w:tcPr>
            <w:tcW w:w="5670" w:type="dxa"/>
          </w:tcPr>
          <w:p w14:paraId="3160FE06"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Our management and employees are continuously encouraged to share their thoughts, goals, and ideas.</w:t>
            </w:r>
          </w:p>
        </w:tc>
        <w:tc>
          <w:tcPr>
            <w:tcW w:w="1530" w:type="dxa"/>
            <w:vMerge/>
          </w:tcPr>
          <w:p w14:paraId="70FDFC5A" w14:textId="77777777" w:rsidR="008C565D" w:rsidRPr="002A7627" w:rsidRDefault="008C565D" w:rsidP="00780272">
            <w:pPr>
              <w:jc w:val="both"/>
              <w:rPr>
                <w:rFonts w:cs="Times New Roman"/>
                <w:sz w:val="20"/>
                <w:szCs w:val="20"/>
              </w:rPr>
            </w:pPr>
          </w:p>
        </w:tc>
      </w:tr>
      <w:tr w:rsidR="008C565D" w:rsidRPr="002A7627" w14:paraId="374AB22E" w14:textId="77777777" w:rsidTr="00780272">
        <w:tc>
          <w:tcPr>
            <w:tcW w:w="654" w:type="dxa"/>
            <w:tcBorders>
              <w:bottom w:val="single" w:sz="4" w:space="0" w:color="auto"/>
            </w:tcBorders>
          </w:tcPr>
          <w:p w14:paraId="1CF89BFB"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Q26</w:t>
            </w:r>
          </w:p>
        </w:tc>
        <w:tc>
          <w:tcPr>
            <w:tcW w:w="1956" w:type="dxa"/>
            <w:vMerge/>
            <w:tcBorders>
              <w:bottom w:val="single" w:sz="4" w:space="0" w:color="auto"/>
            </w:tcBorders>
          </w:tcPr>
          <w:p w14:paraId="0884B76A" w14:textId="77777777" w:rsidR="008C565D" w:rsidRPr="002A7627" w:rsidRDefault="008C565D" w:rsidP="00780272">
            <w:pPr>
              <w:jc w:val="both"/>
              <w:rPr>
                <w:rFonts w:cs="Times New Roman"/>
                <w:b/>
                <w:bCs/>
                <w:color w:val="000000" w:themeColor="text1"/>
                <w:sz w:val="20"/>
                <w:szCs w:val="20"/>
              </w:rPr>
            </w:pPr>
          </w:p>
        </w:tc>
        <w:tc>
          <w:tcPr>
            <w:tcW w:w="5670" w:type="dxa"/>
            <w:tcBorders>
              <w:bottom w:val="single" w:sz="4" w:space="0" w:color="auto"/>
            </w:tcBorders>
          </w:tcPr>
          <w:p w14:paraId="3CA40FDD" w14:textId="03CB6595" w:rsidR="008C565D" w:rsidRDefault="008C565D" w:rsidP="00780272">
            <w:pPr>
              <w:jc w:val="both"/>
              <w:rPr>
                <w:rFonts w:cs="Times New Roman"/>
                <w:sz w:val="20"/>
                <w:szCs w:val="20"/>
              </w:rPr>
            </w:pPr>
            <w:r w:rsidRPr="002A7627">
              <w:rPr>
                <w:rFonts w:cs="Times New Roman"/>
                <w:sz w:val="20"/>
                <w:szCs w:val="20"/>
              </w:rPr>
              <w:t>We appreciate trying out new ideas so much tha</w:t>
            </w:r>
            <w:r>
              <w:rPr>
                <w:rFonts w:cs="Times New Roman"/>
                <w:sz w:val="20"/>
                <w:szCs w:val="20"/>
              </w:rPr>
              <w:t>t we tolerate occasional error</w:t>
            </w:r>
            <w:r w:rsidR="007B4E04">
              <w:rPr>
                <w:rFonts w:cs="Times New Roman"/>
                <w:sz w:val="20"/>
                <w:szCs w:val="20"/>
              </w:rPr>
              <w:t>s</w:t>
            </w:r>
            <w:r>
              <w:rPr>
                <w:rFonts w:cs="Times New Roman"/>
                <w:sz w:val="20"/>
                <w:szCs w:val="20"/>
              </w:rPr>
              <w:t>.</w:t>
            </w:r>
          </w:p>
          <w:p w14:paraId="667D1F11" w14:textId="6440BBA1" w:rsidR="00731AAB" w:rsidRPr="00D44B77" w:rsidRDefault="00731AAB" w:rsidP="00780272">
            <w:pPr>
              <w:jc w:val="both"/>
              <w:rPr>
                <w:rFonts w:cs="Times New Roman"/>
                <w:sz w:val="20"/>
                <w:szCs w:val="20"/>
              </w:rPr>
            </w:pPr>
          </w:p>
        </w:tc>
        <w:tc>
          <w:tcPr>
            <w:tcW w:w="1530" w:type="dxa"/>
            <w:vMerge/>
            <w:tcBorders>
              <w:bottom w:val="single" w:sz="4" w:space="0" w:color="auto"/>
            </w:tcBorders>
          </w:tcPr>
          <w:p w14:paraId="691DCCE7" w14:textId="77777777" w:rsidR="008C565D" w:rsidRPr="002A7627" w:rsidRDefault="008C565D" w:rsidP="00780272">
            <w:pPr>
              <w:jc w:val="both"/>
              <w:rPr>
                <w:rFonts w:cs="Times New Roman"/>
                <w:sz w:val="20"/>
                <w:szCs w:val="20"/>
              </w:rPr>
            </w:pPr>
          </w:p>
        </w:tc>
      </w:tr>
      <w:tr w:rsidR="008C565D" w:rsidRPr="002A7627" w14:paraId="53F3539F" w14:textId="77777777" w:rsidTr="00780272">
        <w:tc>
          <w:tcPr>
            <w:tcW w:w="654" w:type="dxa"/>
            <w:tcBorders>
              <w:top w:val="single" w:sz="4" w:space="0" w:color="auto"/>
              <w:bottom w:val="single" w:sz="4" w:space="0" w:color="auto"/>
            </w:tcBorders>
          </w:tcPr>
          <w:p w14:paraId="47A256A4" w14:textId="77777777" w:rsidR="008C565D" w:rsidRPr="002A7627" w:rsidRDefault="008C565D" w:rsidP="00780272">
            <w:pPr>
              <w:jc w:val="both"/>
              <w:rPr>
                <w:rFonts w:cs="Times New Roman"/>
                <w:color w:val="000000" w:themeColor="text1"/>
                <w:sz w:val="20"/>
                <w:szCs w:val="20"/>
              </w:rPr>
            </w:pPr>
            <w:r w:rsidRPr="002A7627">
              <w:rPr>
                <w:rFonts w:cs="Times New Roman"/>
                <w:b/>
                <w:bCs/>
                <w:sz w:val="20"/>
                <w:szCs w:val="20"/>
              </w:rPr>
              <w:t>Q</w:t>
            </w:r>
          </w:p>
        </w:tc>
        <w:tc>
          <w:tcPr>
            <w:tcW w:w="1956" w:type="dxa"/>
            <w:tcBorders>
              <w:top w:val="single" w:sz="4" w:space="0" w:color="auto"/>
              <w:bottom w:val="single" w:sz="4" w:space="0" w:color="auto"/>
            </w:tcBorders>
          </w:tcPr>
          <w:p w14:paraId="39E2B9CE" w14:textId="77777777" w:rsidR="008C565D" w:rsidRPr="002A7627" w:rsidRDefault="008C565D" w:rsidP="00780272">
            <w:pPr>
              <w:jc w:val="both"/>
              <w:rPr>
                <w:rFonts w:cs="Times New Roman"/>
                <w:b/>
                <w:bCs/>
                <w:sz w:val="20"/>
                <w:szCs w:val="20"/>
              </w:rPr>
            </w:pPr>
            <w:r w:rsidRPr="002A7627">
              <w:rPr>
                <w:rFonts w:cs="Times New Roman"/>
                <w:b/>
                <w:bCs/>
                <w:sz w:val="20"/>
                <w:szCs w:val="20"/>
              </w:rPr>
              <w:t>Factor</w:t>
            </w:r>
          </w:p>
        </w:tc>
        <w:tc>
          <w:tcPr>
            <w:tcW w:w="5670" w:type="dxa"/>
            <w:tcBorders>
              <w:top w:val="single" w:sz="4" w:space="0" w:color="auto"/>
              <w:bottom w:val="single" w:sz="4" w:space="0" w:color="auto"/>
            </w:tcBorders>
          </w:tcPr>
          <w:p w14:paraId="49FEE0B6" w14:textId="77777777" w:rsidR="008C565D" w:rsidRPr="002A7627" w:rsidRDefault="008C565D" w:rsidP="00780272">
            <w:pPr>
              <w:jc w:val="both"/>
              <w:rPr>
                <w:rFonts w:cs="Times New Roman"/>
                <w:color w:val="000000" w:themeColor="text1"/>
                <w:sz w:val="20"/>
                <w:szCs w:val="20"/>
              </w:rPr>
            </w:pPr>
            <w:r w:rsidRPr="002A7627">
              <w:rPr>
                <w:rFonts w:cs="Times New Roman"/>
                <w:b/>
                <w:bCs/>
                <w:sz w:val="20"/>
                <w:szCs w:val="20"/>
              </w:rPr>
              <w:t>Items</w:t>
            </w:r>
          </w:p>
        </w:tc>
        <w:tc>
          <w:tcPr>
            <w:tcW w:w="1530" w:type="dxa"/>
            <w:tcBorders>
              <w:top w:val="single" w:sz="4" w:space="0" w:color="auto"/>
              <w:bottom w:val="single" w:sz="4" w:space="0" w:color="auto"/>
            </w:tcBorders>
          </w:tcPr>
          <w:p w14:paraId="51FF8DE4" w14:textId="77777777" w:rsidR="008C565D" w:rsidRPr="002A7627" w:rsidRDefault="008C565D" w:rsidP="00780272">
            <w:pPr>
              <w:jc w:val="both"/>
              <w:rPr>
                <w:rFonts w:asciiTheme="majorBidi" w:hAnsiTheme="majorBidi" w:cstheme="majorBidi"/>
                <w:color w:val="000000" w:themeColor="text1"/>
                <w:sz w:val="20"/>
                <w:szCs w:val="20"/>
              </w:rPr>
            </w:pPr>
            <w:r w:rsidRPr="002A7627">
              <w:rPr>
                <w:rFonts w:cs="Times New Roman"/>
                <w:b/>
                <w:bCs/>
                <w:sz w:val="20"/>
                <w:szCs w:val="20"/>
              </w:rPr>
              <w:t>Measurement source</w:t>
            </w:r>
          </w:p>
        </w:tc>
      </w:tr>
      <w:tr w:rsidR="00C240F9" w:rsidRPr="002A7627" w14:paraId="524F0136" w14:textId="77777777" w:rsidTr="00780272">
        <w:tc>
          <w:tcPr>
            <w:tcW w:w="9810" w:type="dxa"/>
            <w:gridSpan w:val="4"/>
            <w:tcBorders>
              <w:top w:val="single" w:sz="4" w:space="0" w:color="auto"/>
            </w:tcBorders>
          </w:tcPr>
          <w:p w14:paraId="183C09C1" w14:textId="0923873D" w:rsidR="00C240F9" w:rsidRPr="00C240F9" w:rsidRDefault="00C240F9" w:rsidP="004F4485">
            <w:pPr>
              <w:jc w:val="both"/>
              <w:rPr>
                <w:rFonts w:asciiTheme="majorBidi" w:hAnsiTheme="majorBidi" w:cstheme="majorBidi"/>
                <w:b/>
                <w:bCs/>
                <w:color w:val="000000" w:themeColor="text1"/>
                <w:sz w:val="20"/>
                <w:szCs w:val="20"/>
              </w:rPr>
            </w:pPr>
            <w:r w:rsidRPr="00C240F9">
              <w:rPr>
                <w:rFonts w:asciiTheme="majorBidi" w:hAnsiTheme="majorBidi" w:cstheme="majorBidi"/>
                <w:b/>
                <w:bCs/>
                <w:color w:val="000000" w:themeColor="text1"/>
                <w:sz w:val="20"/>
                <w:szCs w:val="20"/>
              </w:rPr>
              <w:t>Section E</w:t>
            </w:r>
            <w:r w:rsidR="00902DB0" w:rsidRPr="00C240F9">
              <w:rPr>
                <w:rFonts w:asciiTheme="majorBidi" w:hAnsiTheme="majorBidi" w:cstheme="majorBidi"/>
                <w:b/>
                <w:bCs/>
                <w:color w:val="000000" w:themeColor="text1"/>
                <w:sz w:val="20"/>
                <w:szCs w:val="20"/>
              </w:rPr>
              <w:t>:</w:t>
            </w:r>
            <w:r w:rsidR="00902DB0">
              <w:rPr>
                <w:rFonts w:asciiTheme="majorBidi" w:hAnsiTheme="majorBidi" w:cstheme="majorBidi"/>
                <w:b/>
                <w:bCs/>
                <w:color w:val="000000" w:themeColor="text1"/>
                <w:sz w:val="20"/>
                <w:szCs w:val="20"/>
              </w:rPr>
              <w:t xml:space="preserve"> </w:t>
            </w:r>
            <w:r w:rsidRPr="00C240F9">
              <w:rPr>
                <w:rFonts w:asciiTheme="majorBidi" w:hAnsiTheme="majorBidi" w:cstheme="majorBidi"/>
                <w:b/>
                <w:bCs/>
                <w:color w:val="000000" w:themeColor="text1"/>
                <w:sz w:val="20"/>
                <w:szCs w:val="20"/>
              </w:rPr>
              <w:t xml:space="preserve">Knowledge management benefits </w:t>
            </w:r>
          </w:p>
        </w:tc>
      </w:tr>
      <w:tr w:rsidR="008C565D" w:rsidRPr="002A7627" w14:paraId="6E5CEBE6" w14:textId="77777777" w:rsidTr="00780272">
        <w:tc>
          <w:tcPr>
            <w:tcW w:w="654" w:type="dxa"/>
            <w:tcBorders>
              <w:top w:val="single" w:sz="4" w:space="0" w:color="auto"/>
            </w:tcBorders>
          </w:tcPr>
          <w:p w14:paraId="38DBD4E7"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Q27</w:t>
            </w:r>
          </w:p>
        </w:tc>
        <w:tc>
          <w:tcPr>
            <w:tcW w:w="1956" w:type="dxa"/>
            <w:vMerge w:val="restart"/>
            <w:tcBorders>
              <w:top w:val="single" w:sz="4" w:space="0" w:color="auto"/>
            </w:tcBorders>
          </w:tcPr>
          <w:p w14:paraId="64836919" w14:textId="77777777" w:rsidR="008C565D" w:rsidRPr="002A7627" w:rsidRDefault="008C565D" w:rsidP="00780272">
            <w:pPr>
              <w:jc w:val="both"/>
              <w:rPr>
                <w:rFonts w:cs="Times New Roman"/>
                <w:b/>
                <w:bCs/>
                <w:color w:val="000000" w:themeColor="text1"/>
                <w:sz w:val="20"/>
                <w:szCs w:val="20"/>
              </w:rPr>
            </w:pPr>
            <w:r w:rsidRPr="002A7627">
              <w:rPr>
                <w:rFonts w:cs="Times New Roman"/>
                <w:b/>
                <w:bCs/>
                <w:sz w:val="20"/>
                <w:szCs w:val="20"/>
              </w:rPr>
              <w:t>Knowledge Management Benefit</w:t>
            </w:r>
          </w:p>
        </w:tc>
        <w:tc>
          <w:tcPr>
            <w:tcW w:w="5670" w:type="dxa"/>
            <w:tcBorders>
              <w:top w:val="single" w:sz="4" w:space="0" w:color="auto"/>
            </w:tcBorders>
          </w:tcPr>
          <w:p w14:paraId="2063D35A" w14:textId="4399FBC5" w:rsidR="008C565D" w:rsidRPr="002A7627" w:rsidRDefault="00FC2674" w:rsidP="002A2347">
            <w:pPr>
              <w:jc w:val="both"/>
              <w:rPr>
                <w:rFonts w:cs="Times New Roman"/>
                <w:sz w:val="20"/>
                <w:szCs w:val="20"/>
              </w:rPr>
            </w:pPr>
            <w:r>
              <w:rPr>
                <w:rFonts w:cs="Times New Roman"/>
                <w:sz w:val="20"/>
                <w:szCs w:val="20"/>
              </w:rPr>
              <w:t>Knowledge management</w:t>
            </w:r>
            <w:r w:rsidRPr="002A7627">
              <w:rPr>
                <w:rFonts w:cs="Times New Roman"/>
                <w:sz w:val="20"/>
                <w:szCs w:val="20"/>
              </w:rPr>
              <w:t xml:space="preserve"> </w:t>
            </w:r>
            <w:r w:rsidR="008C565D" w:rsidRPr="002A7627">
              <w:rPr>
                <w:rFonts w:cs="Times New Roman"/>
                <w:sz w:val="20"/>
                <w:szCs w:val="20"/>
              </w:rPr>
              <w:t>helps drive strategy.</w:t>
            </w:r>
          </w:p>
        </w:tc>
        <w:tc>
          <w:tcPr>
            <w:tcW w:w="1530" w:type="dxa"/>
            <w:vMerge w:val="restart"/>
            <w:tcBorders>
              <w:top w:val="single" w:sz="4" w:space="0" w:color="auto"/>
            </w:tcBorders>
          </w:tcPr>
          <w:p w14:paraId="30AFF36C" w14:textId="77777777" w:rsidR="008C565D" w:rsidRPr="002A7627" w:rsidRDefault="008C565D" w:rsidP="00780272">
            <w:pPr>
              <w:jc w:val="both"/>
              <w:rPr>
                <w:rFonts w:cs="Times New Roman"/>
                <w:sz w:val="16"/>
                <w:szCs w:val="16"/>
              </w:rPr>
            </w:pPr>
            <w:r w:rsidRPr="002A7627">
              <w:rPr>
                <w:rFonts w:asciiTheme="majorBidi" w:hAnsiTheme="majorBidi" w:cstheme="majorBidi"/>
                <w:color w:val="000000" w:themeColor="text1"/>
                <w:sz w:val="20"/>
                <w:szCs w:val="20"/>
              </w:rPr>
              <w:fldChar w:fldCharType="begin" w:fldLock="1"/>
            </w:r>
            <w:r w:rsidRPr="002A7627">
              <w:rPr>
                <w:rFonts w:asciiTheme="majorBidi" w:hAnsiTheme="majorBidi" w:cstheme="majorBidi"/>
                <w:color w:val="000000" w:themeColor="text1"/>
                <w:sz w:val="20"/>
                <w:szCs w:val="20"/>
              </w:rPr>
              <w:instrText>ADDIN CSL_CITATION {"citationItems":[{"id":"ITEM-1","itemData":{"author":[{"dropping-particle":"","family":"Dalkir","given":"K.","non-dropping-particle":"","parse-names":false,"suffix":""}],"id":"ITEM-1","issued":{"date-parts":[["2017"]]},"publisher":"Massachusetts Institute of Technology","publisher-place":"Cambridge, MA","title":"Knowledge management in theory and practice","type":"book"},"uris":["http://www.mendeley.com/documents/?uuid=7919d89b-6c2d-467b-b622-402430e489b6"]}],"mendeley":{"formattedCitation":"(Dalkir, 2017)","manualFormatting":"Dalkir (2017)","plainTextFormattedCitation":"(Dalkir, 2017)","previouslyFormattedCitation":"(Dalkir, 2017)"},"properties":{"noteIndex":0},"schema":"https://github.com/citation-style-language/schema/raw/master/csl-citation.json"}</w:instrText>
            </w:r>
            <w:r w:rsidRPr="002A7627">
              <w:rPr>
                <w:rFonts w:asciiTheme="majorBidi" w:hAnsiTheme="majorBidi" w:cstheme="majorBidi"/>
                <w:color w:val="000000" w:themeColor="text1"/>
                <w:sz w:val="20"/>
                <w:szCs w:val="20"/>
              </w:rPr>
              <w:fldChar w:fldCharType="separate"/>
            </w:r>
            <w:r w:rsidRPr="002A7627">
              <w:rPr>
                <w:rFonts w:asciiTheme="majorBidi" w:hAnsiTheme="majorBidi" w:cstheme="majorBidi"/>
                <w:noProof/>
                <w:color w:val="000000" w:themeColor="text1"/>
                <w:sz w:val="20"/>
                <w:szCs w:val="20"/>
              </w:rPr>
              <w:t>Dalkir (2017)</w:t>
            </w:r>
            <w:r w:rsidRPr="002A7627">
              <w:rPr>
                <w:rFonts w:asciiTheme="majorBidi" w:hAnsiTheme="majorBidi" w:cstheme="majorBidi"/>
                <w:color w:val="000000" w:themeColor="text1"/>
                <w:sz w:val="20"/>
                <w:szCs w:val="20"/>
              </w:rPr>
              <w:fldChar w:fldCharType="end"/>
            </w:r>
          </w:p>
          <w:p w14:paraId="691A33E6" w14:textId="77777777" w:rsidR="008C565D" w:rsidRPr="002A7627" w:rsidRDefault="008C565D" w:rsidP="00780272">
            <w:pPr>
              <w:jc w:val="both"/>
              <w:rPr>
                <w:rFonts w:cs="Times New Roman"/>
                <w:sz w:val="20"/>
                <w:szCs w:val="20"/>
              </w:rPr>
            </w:pPr>
          </w:p>
          <w:p w14:paraId="2D45EB34" w14:textId="77777777" w:rsidR="008C565D" w:rsidRPr="002A7627" w:rsidRDefault="00B76C18" w:rsidP="00780272">
            <w:pPr>
              <w:jc w:val="both"/>
              <w:rPr>
                <w:rFonts w:cs="Times New Roman"/>
                <w:sz w:val="20"/>
                <w:szCs w:val="20"/>
              </w:rPr>
            </w:pPr>
            <w:hyperlink r:id="rId31" w:history="1">
              <w:r w:rsidR="008C565D" w:rsidRPr="002A7627">
                <w:rPr>
                  <w:rStyle w:val="Hyperlink"/>
                  <w:rFonts w:cs="Times New Roman"/>
                  <w:color w:val="000000"/>
                  <w:sz w:val="20"/>
                  <w:szCs w:val="20"/>
                  <w:u w:val="none"/>
                </w:rPr>
                <w:t>Sundiman et al. (2013</w:t>
              </w:r>
            </w:hyperlink>
            <w:r w:rsidR="008C565D" w:rsidRPr="002A7627">
              <w:rPr>
                <w:rStyle w:val="Hyperlink"/>
                <w:rFonts w:cs="Times New Roman"/>
                <w:color w:val="000000"/>
                <w:sz w:val="20"/>
                <w:szCs w:val="20"/>
                <w:u w:val="none"/>
              </w:rPr>
              <w:t>)</w:t>
            </w:r>
          </w:p>
        </w:tc>
      </w:tr>
      <w:tr w:rsidR="008C565D" w:rsidRPr="002A7627" w14:paraId="5B8F0AC4" w14:textId="77777777" w:rsidTr="00780272">
        <w:tc>
          <w:tcPr>
            <w:tcW w:w="654" w:type="dxa"/>
          </w:tcPr>
          <w:p w14:paraId="7DD2D7BA"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Q28</w:t>
            </w:r>
          </w:p>
        </w:tc>
        <w:tc>
          <w:tcPr>
            <w:tcW w:w="1956" w:type="dxa"/>
            <w:vMerge/>
          </w:tcPr>
          <w:p w14:paraId="1CAB0078" w14:textId="77777777" w:rsidR="008C565D" w:rsidRPr="002A7627" w:rsidRDefault="008C565D" w:rsidP="00780272">
            <w:pPr>
              <w:jc w:val="both"/>
              <w:rPr>
                <w:rFonts w:cs="Times New Roman"/>
                <w:b/>
                <w:bCs/>
                <w:color w:val="000000" w:themeColor="text1"/>
                <w:sz w:val="20"/>
                <w:szCs w:val="20"/>
              </w:rPr>
            </w:pPr>
          </w:p>
        </w:tc>
        <w:tc>
          <w:tcPr>
            <w:tcW w:w="5670" w:type="dxa"/>
          </w:tcPr>
          <w:p w14:paraId="673DC5D8" w14:textId="48071D87" w:rsidR="008C565D" w:rsidRPr="002A7627" w:rsidRDefault="00FC2674" w:rsidP="00647F8A">
            <w:pPr>
              <w:jc w:val="both"/>
              <w:rPr>
                <w:rFonts w:cs="Times New Roman"/>
                <w:color w:val="000000" w:themeColor="text1"/>
                <w:sz w:val="20"/>
                <w:szCs w:val="20"/>
              </w:rPr>
            </w:pPr>
            <w:r>
              <w:rPr>
                <w:rFonts w:cs="Times New Roman"/>
                <w:sz w:val="20"/>
                <w:szCs w:val="20"/>
              </w:rPr>
              <w:t>Knowledge management</w:t>
            </w:r>
            <w:r w:rsidRPr="002A7627">
              <w:rPr>
                <w:rFonts w:cs="Times New Roman"/>
                <w:sz w:val="20"/>
                <w:szCs w:val="20"/>
              </w:rPr>
              <w:t xml:space="preserve"> </w:t>
            </w:r>
            <w:r w:rsidR="008C565D" w:rsidRPr="002A7627">
              <w:rPr>
                <w:rFonts w:cs="Times New Roman"/>
                <w:sz w:val="20"/>
                <w:szCs w:val="20"/>
              </w:rPr>
              <w:t>solves problems quickly.</w:t>
            </w:r>
          </w:p>
        </w:tc>
        <w:tc>
          <w:tcPr>
            <w:tcW w:w="1530" w:type="dxa"/>
            <w:vMerge/>
          </w:tcPr>
          <w:p w14:paraId="47DBEFE5" w14:textId="77777777" w:rsidR="008C565D" w:rsidRPr="002A7627" w:rsidRDefault="008C565D" w:rsidP="00780272">
            <w:pPr>
              <w:jc w:val="both"/>
              <w:rPr>
                <w:rFonts w:cs="Times New Roman"/>
                <w:sz w:val="20"/>
                <w:szCs w:val="20"/>
              </w:rPr>
            </w:pPr>
          </w:p>
        </w:tc>
      </w:tr>
      <w:tr w:rsidR="008C565D" w:rsidRPr="002A7627" w14:paraId="68A37081" w14:textId="77777777" w:rsidTr="00780272">
        <w:tc>
          <w:tcPr>
            <w:tcW w:w="654" w:type="dxa"/>
          </w:tcPr>
          <w:p w14:paraId="199CF498"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Q29</w:t>
            </w:r>
          </w:p>
        </w:tc>
        <w:tc>
          <w:tcPr>
            <w:tcW w:w="1956" w:type="dxa"/>
            <w:vMerge/>
          </w:tcPr>
          <w:p w14:paraId="35603A92" w14:textId="77777777" w:rsidR="008C565D" w:rsidRPr="002A7627" w:rsidRDefault="008C565D" w:rsidP="00780272">
            <w:pPr>
              <w:jc w:val="both"/>
              <w:rPr>
                <w:rFonts w:cs="Times New Roman"/>
                <w:b/>
                <w:bCs/>
                <w:color w:val="000000" w:themeColor="text1"/>
                <w:sz w:val="20"/>
                <w:szCs w:val="20"/>
              </w:rPr>
            </w:pPr>
          </w:p>
        </w:tc>
        <w:tc>
          <w:tcPr>
            <w:tcW w:w="5670" w:type="dxa"/>
          </w:tcPr>
          <w:p w14:paraId="47B3B43A" w14:textId="4E079158" w:rsidR="008C565D" w:rsidRPr="002A7627" w:rsidRDefault="00FC2674" w:rsidP="00647F8A">
            <w:pPr>
              <w:jc w:val="both"/>
              <w:rPr>
                <w:rFonts w:cs="Times New Roman"/>
                <w:color w:val="000000" w:themeColor="text1"/>
                <w:sz w:val="20"/>
                <w:szCs w:val="20"/>
              </w:rPr>
            </w:pPr>
            <w:r>
              <w:rPr>
                <w:rFonts w:cs="Times New Roman"/>
                <w:sz w:val="20"/>
                <w:szCs w:val="20"/>
              </w:rPr>
              <w:t>Knowledge management</w:t>
            </w:r>
            <w:r w:rsidRPr="002A7627">
              <w:rPr>
                <w:rFonts w:cs="Times New Roman"/>
                <w:sz w:val="20"/>
                <w:szCs w:val="20"/>
              </w:rPr>
              <w:t xml:space="preserve"> </w:t>
            </w:r>
            <w:r w:rsidR="008C565D" w:rsidRPr="002A7627">
              <w:rPr>
                <w:rFonts w:cs="Times New Roman"/>
                <w:sz w:val="20"/>
                <w:szCs w:val="20"/>
              </w:rPr>
              <w:t>diffuses best practices.</w:t>
            </w:r>
          </w:p>
        </w:tc>
        <w:tc>
          <w:tcPr>
            <w:tcW w:w="1530" w:type="dxa"/>
            <w:vMerge/>
          </w:tcPr>
          <w:p w14:paraId="5415EFF5" w14:textId="77777777" w:rsidR="008C565D" w:rsidRPr="002A7627" w:rsidRDefault="008C565D" w:rsidP="00780272">
            <w:pPr>
              <w:jc w:val="both"/>
              <w:rPr>
                <w:rFonts w:cs="Times New Roman"/>
                <w:sz w:val="20"/>
                <w:szCs w:val="20"/>
              </w:rPr>
            </w:pPr>
          </w:p>
        </w:tc>
      </w:tr>
      <w:tr w:rsidR="008C565D" w:rsidRPr="002A7627" w14:paraId="3A442F2A" w14:textId="77777777" w:rsidTr="00780272">
        <w:tc>
          <w:tcPr>
            <w:tcW w:w="654" w:type="dxa"/>
          </w:tcPr>
          <w:p w14:paraId="611FF148"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Q30</w:t>
            </w:r>
          </w:p>
        </w:tc>
        <w:tc>
          <w:tcPr>
            <w:tcW w:w="1956" w:type="dxa"/>
            <w:vMerge/>
          </w:tcPr>
          <w:p w14:paraId="217850FE" w14:textId="77777777" w:rsidR="008C565D" w:rsidRPr="002A7627" w:rsidRDefault="008C565D" w:rsidP="00780272">
            <w:pPr>
              <w:jc w:val="both"/>
              <w:rPr>
                <w:rFonts w:cs="Times New Roman"/>
                <w:b/>
                <w:bCs/>
                <w:color w:val="000000" w:themeColor="text1"/>
                <w:sz w:val="20"/>
                <w:szCs w:val="20"/>
              </w:rPr>
            </w:pPr>
          </w:p>
        </w:tc>
        <w:tc>
          <w:tcPr>
            <w:tcW w:w="5670" w:type="dxa"/>
          </w:tcPr>
          <w:p w14:paraId="1FC7E117" w14:textId="5C3F5A7D" w:rsidR="008C565D" w:rsidRPr="002A7627" w:rsidRDefault="00FC2674" w:rsidP="00647F8A">
            <w:pPr>
              <w:jc w:val="both"/>
              <w:rPr>
                <w:rFonts w:cs="Times New Roman"/>
                <w:color w:val="000000" w:themeColor="text1"/>
                <w:sz w:val="20"/>
                <w:szCs w:val="20"/>
              </w:rPr>
            </w:pPr>
            <w:r>
              <w:rPr>
                <w:rFonts w:cs="Times New Roman"/>
                <w:sz w:val="20"/>
                <w:szCs w:val="20"/>
              </w:rPr>
              <w:t>Knowledge management</w:t>
            </w:r>
            <w:r w:rsidRPr="002A7627">
              <w:rPr>
                <w:rFonts w:cs="Times New Roman"/>
                <w:sz w:val="20"/>
                <w:szCs w:val="20"/>
              </w:rPr>
              <w:t xml:space="preserve"> </w:t>
            </w:r>
            <w:r w:rsidR="008C565D" w:rsidRPr="002A7627">
              <w:rPr>
                <w:rFonts w:cs="Times New Roman"/>
                <w:sz w:val="20"/>
                <w:szCs w:val="20"/>
              </w:rPr>
              <w:t>improves knowledge embedded in services.</w:t>
            </w:r>
          </w:p>
        </w:tc>
        <w:tc>
          <w:tcPr>
            <w:tcW w:w="1530" w:type="dxa"/>
            <w:vMerge/>
          </w:tcPr>
          <w:p w14:paraId="5212E767" w14:textId="77777777" w:rsidR="008C565D" w:rsidRPr="002A7627" w:rsidRDefault="008C565D" w:rsidP="00780272">
            <w:pPr>
              <w:jc w:val="both"/>
              <w:rPr>
                <w:rFonts w:cs="Times New Roman"/>
                <w:sz w:val="20"/>
                <w:szCs w:val="20"/>
              </w:rPr>
            </w:pPr>
          </w:p>
        </w:tc>
      </w:tr>
      <w:tr w:rsidR="008C565D" w:rsidRPr="002A7627" w14:paraId="70930877" w14:textId="77777777" w:rsidTr="00780272">
        <w:tc>
          <w:tcPr>
            <w:tcW w:w="654" w:type="dxa"/>
          </w:tcPr>
          <w:p w14:paraId="64D22271"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Q31</w:t>
            </w:r>
          </w:p>
        </w:tc>
        <w:tc>
          <w:tcPr>
            <w:tcW w:w="1956" w:type="dxa"/>
            <w:vMerge/>
          </w:tcPr>
          <w:p w14:paraId="6C802E20" w14:textId="77777777" w:rsidR="008C565D" w:rsidRPr="002A7627" w:rsidRDefault="008C565D" w:rsidP="00780272">
            <w:pPr>
              <w:jc w:val="both"/>
              <w:rPr>
                <w:rFonts w:cs="Times New Roman"/>
                <w:b/>
                <w:bCs/>
                <w:color w:val="000000" w:themeColor="text1"/>
                <w:sz w:val="20"/>
                <w:szCs w:val="20"/>
              </w:rPr>
            </w:pPr>
          </w:p>
        </w:tc>
        <w:tc>
          <w:tcPr>
            <w:tcW w:w="5670" w:type="dxa"/>
          </w:tcPr>
          <w:p w14:paraId="0C76831B" w14:textId="057F4A1A" w:rsidR="008C565D" w:rsidRPr="002A7627" w:rsidRDefault="00FC2674" w:rsidP="00647F8A">
            <w:pPr>
              <w:jc w:val="both"/>
              <w:rPr>
                <w:rFonts w:cs="Times New Roman"/>
                <w:color w:val="000000" w:themeColor="text1"/>
                <w:sz w:val="20"/>
                <w:szCs w:val="20"/>
              </w:rPr>
            </w:pPr>
            <w:r>
              <w:rPr>
                <w:rFonts w:cs="Times New Roman"/>
                <w:sz w:val="20"/>
                <w:szCs w:val="20"/>
              </w:rPr>
              <w:t>Knowledge management</w:t>
            </w:r>
            <w:r w:rsidRPr="002A7627">
              <w:rPr>
                <w:rFonts w:cs="Times New Roman"/>
                <w:sz w:val="20"/>
                <w:szCs w:val="20"/>
              </w:rPr>
              <w:t xml:space="preserve"> </w:t>
            </w:r>
            <w:r w:rsidR="007B4E04">
              <w:rPr>
                <w:rFonts w:cs="Times New Roman"/>
                <w:sz w:val="20"/>
                <w:szCs w:val="20"/>
              </w:rPr>
              <w:t>c</w:t>
            </w:r>
            <w:r w:rsidR="008C565D" w:rsidRPr="002A7627">
              <w:rPr>
                <w:rFonts w:cs="Times New Roman"/>
                <w:sz w:val="20"/>
                <w:szCs w:val="20"/>
              </w:rPr>
              <w:t xml:space="preserve">ross-fertilizes ideas and </w:t>
            </w:r>
            <w:r w:rsidR="007B4E04">
              <w:rPr>
                <w:rFonts w:cs="Times New Roman"/>
                <w:sz w:val="20"/>
                <w:szCs w:val="20"/>
              </w:rPr>
              <w:t xml:space="preserve">provides </w:t>
            </w:r>
            <w:r w:rsidR="008C565D" w:rsidRPr="002A7627">
              <w:rPr>
                <w:rFonts w:cs="Times New Roman"/>
                <w:sz w:val="20"/>
                <w:szCs w:val="20"/>
              </w:rPr>
              <w:t>increased opportunities for innovation.</w:t>
            </w:r>
          </w:p>
        </w:tc>
        <w:tc>
          <w:tcPr>
            <w:tcW w:w="1530" w:type="dxa"/>
            <w:vMerge/>
          </w:tcPr>
          <w:p w14:paraId="3990517D" w14:textId="77777777" w:rsidR="008C565D" w:rsidRPr="002A7627" w:rsidRDefault="008C565D" w:rsidP="00780272">
            <w:pPr>
              <w:jc w:val="both"/>
              <w:rPr>
                <w:rFonts w:cs="Times New Roman"/>
                <w:sz w:val="20"/>
                <w:szCs w:val="20"/>
              </w:rPr>
            </w:pPr>
          </w:p>
        </w:tc>
      </w:tr>
      <w:tr w:rsidR="008C565D" w:rsidRPr="002A7627" w14:paraId="4F100BB1" w14:textId="77777777" w:rsidTr="00780272">
        <w:tc>
          <w:tcPr>
            <w:tcW w:w="654" w:type="dxa"/>
          </w:tcPr>
          <w:p w14:paraId="53B8B830"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Q32</w:t>
            </w:r>
          </w:p>
        </w:tc>
        <w:tc>
          <w:tcPr>
            <w:tcW w:w="1956" w:type="dxa"/>
            <w:vMerge/>
          </w:tcPr>
          <w:p w14:paraId="707EE61F" w14:textId="77777777" w:rsidR="008C565D" w:rsidRPr="002A7627" w:rsidRDefault="008C565D" w:rsidP="00780272">
            <w:pPr>
              <w:jc w:val="both"/>
              <w:rPr>
                <w:rFonts w:cs="Times New Roman"/>
                <w:b/>
                <w:bCs/>
                <w:color w:val="000000" w:themeColor="text1"/>
                <w:sz w:val="20"/>
                <w:szCs w:val="20"/>
              </w:rPr>
            </w:pPr>
          </w:p>
        </w:tc>
        <w:tc>
          <w:tcPr>
            <w:tcW w:w="5670" w:type="dxa"/>
          </w:tcPr>
          <w:p w14:paraId="4F4F278D" w14:textId="659175F8" w:rsidR="008C565D" w:rsidRPr="002A7627" w:rsidRDefault="00FC2674" w:rsidP="00647F8A">
            <w:pPr>
              <w:jc w:val="both"/>
              <w:rPr>
                <w:rFonts w:cs="Times New Roman"/>
                <w:color w:val="000000" w:themeColor="text1"/>
                <w:sz w:val="20"/>
                <w:szCs w:val="20"/>
              </w:rPr>
            </w:pPr>
            <w:r>
              <w:rPr>
                <w:rFonts w:cs="Times New Roman"/>
                <w:sz w:val="20"/>
                <w:szCs w:val="20"/>
              </w:rPr>
              <w:t>Knowledge management</w:t>
            </w:r>
            <w:r w:rsidRPr="002A7627">
              <w:rPr>
                <w:rFonts w:cs="Times New Roman"/>
                <w:sz w:val="20"/>
                <w:szCs w:val="20"/>
              </w:rPr>
              <w:t xml:space="preserve"> </w:t>
            </w:r>
            <w:r w:rsidR="008C565D" w:rsidRPr="002A7627">
              <w:rPr>
                <w:rFonts w:cs="Times New Roman"/>
                <w:sz w:val="20"/>
                <w:szCs w:val="20"/>
              </w:rPr>
              <w:t>enables the organization to stay ahead of the competition better.</w:t>
            </w:r>
          </w:p>
        </w:tc>
        <w:tc>
          <w:tcPr>
            <w:tcW w:w="1530" w:type="dxa"/>
            <w:vMerge/>
          </w:tcPr>
          <w:p w14:paraId="2AAD2277" w14:textId="77777777" w:rsidR="008C565D" w:rsidRPr="002A7627" w:rsidRDefault="008C565D" w:rsidP="00780272">
            <w:pPr>
              <w:jc w:val="both"/>
              <w:rPr>
                <w:rFonts w:cs="Times New Roman"/>
                <w:sz w:val="20"/>
                <w:szCs w:val="20"/>
              </w:rPr>
            </w:pPr>
          </w:p>
        </w:tc>
      </w:tr>
      <w:tr w:rsidR="008C565D" w:rsidRPr="002A7627" w14:paraId="78179843" w14:textId="77777777" w:rsidTr="00780272">
        <w:tc>
          <w:tcPr>
            <w:tcW w:w="654" w:type="dxa"/>
          </w:tcPr>
          <w:p w14:paraId="359D64AF" w14:textId="77777777" w:rsidR="008C565D" w:rsidRPr="002A7627" w:rsidRDefault="008C565D" w:rsidP="00780272">
            <w:pPr>
              <w:jc w:val="both"/>
              <w:rPr>
                <w:rFonts w:cs="Times New Roman"/>
                <w:color w:val="000000" w:themeColor="text1"/>
                <w:sz w:val="20"/>
                <w:szCs w:val="20"/>
              </w:rPr>
            </w:pPr>
            <w:r w:rsidRPr="002A7627">
              <w:rPr>
                <w:rFonts w:cs="Times New Roman"/>
                <w:sz w:val="20"/>
                <w:szCs w:val="20"/>
              </w:rPr>
              <w:t>Q33</w:t>
            </w:r>
          </w:p>
        </w:tc>
        <w:tc>
          <w:tcPr>
            <w:tcW w:w="1956" w:type="dxa"/>
            <w:vMerge/>
          </w:tcPr>
          <w:p w14:paraId="722C702D" w14:textId="77777777" w:rsidR="008C565D" w:rsidRPr="002A7627" w:rsidRDefault="008C565D" w:rsidP="00780272">
            <w:pPr>
              <w:jc w:val="both"/>
              <w:rPr>
                <w:rFonts w:cs="Times New Roman"/>
                <w:b/>
                <w:bCs/>
                <w:color w:val="000000" w:themeColor="text1"/>
                <w:sz w:val="20"/>
                <w:szCs w:val="20"/>
              </w:rPr>
            </w:pPr>
          </w:p>
        </w:tc>
        <w:tc>
          <w:tcPr>
            <w:tcW w:w="5670" w:type="dxa"/>
          </w:tcPr>
          <w:p w14:paraId="2DD8700D" w14:textId="47784397" w:rsidR="008C565D" w:rsidRPr="002A7627" w:rsidRDefault="00FC2674" w:rsidP="00647F8A">
            <w:pPr>
              <w:jc w:val="both"/>
              <w:rPr>
                <w:rFonts w:cs="Times New Roman"/>
                <w:color w:val="000000" w:themeColor="text1"/>
                <w:sz w:val="20"/>
                <w:szCs w:val="20"/>
              </w:rPr>
            </w:pPr>
            <w:r>
              <w:rPr>
                <w:rFonts w:cs="Times New Roman"/>
                <w:sz w:val="20"/>
                <w:szCs w:val="20"/>
              </w:rPr>
              <w:t>Knowledge management</w:t>
            </w:r>
            <w:r w:rsidRPr="002A7627">
              <w:rPr>
                <w:rFonts w:cs="Times New Roman"/>
                <w:sz w:val="20"/>
                <w:szCs w:val="20"/>
              </w:rPr>
              <w:t xml:space="preserve"> </w:t>
            </w:r>
            <w:r w:rsidR="008C565D" w:rsidRPr="002A7627">
              <w:rPr>
                <w:rFonts w:cs="Times New Roman"/>
                <w:sz w:val="20"/>
                <w:szCs w:val="20"/>
              </w:rPr>
              <w:t>builds organization</w:t>
            </w:r>
            <w:r w:rsidR="007B4E04">
              <w:rPr>
                <w:rFonts w:cs="Times New Roman"/>
                <w:sz w:val="20"/>
                <w:szCs w:val="20"/>
              </w:rPr>
              <w:t>al</w:t>
            </w:r>
            <w:r w:rsidR="008C565D" w:rsidRPr="002A7627">
              <w:rPr>
                <w:rFonts w:cs="Times New Roman"/>
                <w:sz w:val="20"/>
                <w:szCs w:val="20"/>
              </w:rPr>
              <w:t xml:space="preserve"> memory. </w:t>
            </w:r>
          </w:p>
        </w:tc>
        <w:tc>
          <w:tcPr>
            <w:tcW w:w="1530" w:type="dxa"/>
            <w:vMerge/>
          </w:tcPr>
          <w:p w14:paraId="634F6662" w14:textId="77777777" w:rsidR="008C565D" w:rsidRPr="002A7627" w:rsidRDefault="008C565D" w:rsidP="00780272">
            <w:pPr>
              <w:jc w:val="both"/>
              <w:rPr>
                <w:rFonts w:cs="Times New Roman"/>
                <w:sz w:val="20"/>
                <w:szCs w:val="20"/>
              </w:rPr>
            </w:pPr>
          </w:p>
        </w:tc>
      </w:tr>
    </w:tbl>
    <w:p w14:paraId="28740D2E" w14:textId="77777777" w:rsidR="005E6936" w:rsidRPr="002A7627" w:rsidRDefault="005E6936" w:rsidP="00C240F9">
      <w:pPr>
        <w:pStyle w:val="AAAAAAA"/>
        <w:ind w:firstLine="0"/>
        <w:rPr>
          <w:b/>
          <w:bCs/>
        </w:rPr>
      </w:pPr>
    </w:p>
    <w:p w14:paraId="0062E074" w14:textId="39866804" w:rsidR="00A93414" w:rsidRPr="002A7627" w:rsidRDefault="005F6EC8" w:rsidP="00ED4348">
      <w:pPr>
        <w:pStyle w:val="Heading1"/>
        <w:rPr>
          <w:color w:val="000000"/>
        </w:rPr>
      </w:pPr>
      <w:bookmarkStart w:id="179" w:name="_Toc22331683"/>
      <w:r>
        <w:rPr>
          <w:color w:val="000000"/>
        </w:rPr>
        <w:t>4.</w:t>
      </w:r>
      <w:r w:rsidR="00ED4348">
        <w:rPr>
          <w:color w:val="000000"/>
        </w:rPr>
        <w:t>9</w:t>
      </w:r>
      <w:r>
        <w:rPr>
          <w:color w:val="000000"/>
        </w:rPr>
        <w:t xml:space="preserve">. </w:t>
      </w:r>
      <w:r w:rsidR="00A93414" w:rsidRPr="002A7627">
        <w:rPr>
          <w:color w:val="000000"/>
        </w:rPr>
        <w:t>Population</w:t>
      </w:r>
      <w:bookmarkEnd w:id="179"/>
    </w:p>
    <w:p w14:paraId="6C496AF9" w14:textId="47BC4949" w:rsidR="00A93414" w:rsidRDefault="00A93414" w:rsidP="00A93414">
      <w:pPr>
        <w:pStyle w:val="AAAAAAA"/>
        <w:rPr>
          <w:rFonts w:eastAsiaTheme="minorEastAsia"/>
        </w:rPr>
      </w:pPr>
      <w:r w:rsidRPr="002A7627">
        <w:t xml:space="preserve">The population </w:t>
      </w:r>
      <w:r w:rsidR="001F1B37">
        <w:t>is</w:t>
      </w:r>
      <w:r w:rsidRPr="002A7627">
        <w:t xml:space="preserve"> all </w:t>
      </w:r>
      <w:r w:rsidR="001F1B37">
        <w:t xml:space="preserve">the </w:t>
      </w:r>
      <w:r w:rsidRPr="002A7627">
        <w:t xml:space="preserve">members of the group that </w:t>
      </w:r>
      <w:r w:rsidR="001F1B37">
        <w:t>is</w:t>
      </w:r>
      <w:r w:rsidR="001F1B37" w:rsidRPr="002A7627">
        <w:t xml:space="preserve"> </w:t>
      </w:r>
      <w:r w:rsidRPr="002A7627">
        <w:t xml:space="preserve">targeted for the study </w:t>
      </w:r>
      <w:r w:rsidRPr="002A7627">
        <w:rPr>
          <w:noProof/>
        </w:rPr>
        <w:t>(Denscombe, 2014)</w:t>
      </w:r>
      <w:r w:rsidRPr="002A7627">
        <w:t>.</w:t>
      </w:r>
      <w:r w:rsidRPr="002A7627">
        <w:rPr>
          <w:rFonts w:eastAsiaTheme="minorEastAsia"/>
        </w:rPr>
        <w:t xml:space="preserve"> </w:t>
      </w:r>
      <w:r w:rsidR="006945A7">
        <w:rPr>
          <w:rFonts w:eastAsiaTheme="minorEastAsia"/>
        </w:rPr>
        <w:t>This study focused on</w:t>
      </w:r>
      <w:r w:rsidRPr="002A7627">
        <w:rPr>
          <w:rFonts w:eastAsiaTheme="minorEastAsia"/>
        </w:rPr>
        <w:t xml:space="preserve"> knowledge management, </w:t>
      </w:r>
      <w:r w:rsidR="006945A7">
        <w:rPr>
          <w:rFonts w:eastAsiaTheme="minorEastAsia"/>
        </w:rPr>
        <w:t xml:space="preserve">so </w:t>
      </w:r>
      <w:r w:rsidRPr="002A7627">
        <w:rPr>
          <w:rFonts w:eastAsiaTheme="minorEastAsia"/>
        </w:rPr>
        <w:t xml:space="preserve">police officers from different ranks (First Lieutenant to Brigadier) and </w:t>
      </w:r>
      <w:r>
        <w:rPr>
          <w:rFonts w:eastAsiaTheme="minorEastAsia"/>
        </w:rPr>
        <w:t>various</w:t>
      </w:r>
      <w:r w:rsidRPr="002A7627">
        <w:rPr>
          <w:rFonts w:eastAsiaTheme="minorEastAsia"/>
        </w:rPr>
        <w:t xml:space="preserve"> positions (</w:t>
      </w:r>
      <w:r w:rsidR="006945A7">
        <w:rPr>
          <w:rFonts w:eastAsiaTheme="minorEastAsia"/>
        </w:rPr>
        <w:t>d</w:t>
      </w:r>
      <w:r w:rsidRPr="002A7627">
        <w:rPr>
          <w:rFonts w:eastAsiaTheme="minorEastAsia"/>
        </w:rPr>
        <w:t>epartment manager, section manager, branch manager and team leader) and civilians in leadership positions (</w:t>
      </w:r>
      <w:r w:rsidR="006945A7">
        <w:rPr>
          <w:rFonts w:eastAsiaTheme="minorEastAsia"/>
        </w:rPr>
        <w:t>s</w:t>
      </w:r>
      <w:r w:rsidRPr="002A7627">
        <w:rPr>
          <w:rFonts w:eastAsiaTheme="minorEastAsia"/>
        </w:rPr>
        <w:t>ection manager, branch manager, team leader and experts) were targeted as the research population</w:t>
      </w:r>
      <w:r w:rsidR="00902DB0" w:rsidRPr="002A7627">
        <w:rPr>
          <w:rFonts w:eastAsiaTheme="minorEastAsia"/>
        </w:rPr>
        <w:t>.</w:t>
      </w:r>
      <w:r w:rsidR="00902DB0">
        <w:rPr>
          <w:rFonts w:eastAsiaTheme="minorEastAsia"/>
        </w:rPr>
        <w:t xml:space="preserve"> </w:t>
      </w:r>
      <w:r w:rsidRPr="002A7627">
        <w:rPr>
          <w:rFonts w:eastAsiaTheme="minorEastAsia"/>
        </w:rPr>
        <w:t>They worked either in Abu Dhabi, Al Ain or Al Dhafra (Western area of Abu Dhabi</w:t>
      </w:r>
      <w:r w:rsidR="00902DB0" w:rsidRPr="002A7627">
        <w:rPr>
          <w:rFonts w:eastAsiaTheme="minorEastAsia"/>
        </w:rPr>
        <w:t>).</w:t>
      </w:r>
      <w:r w:rsidR="00902DB0">
        <w:rPr>
          <w:rFonts w:eastAsiaTheme="minorEastAsia"/>
        </w:rPr>
        <w:t xml:space="preserve"> </w:t>
      </w:r>
      <w:r w:rsidRPr="002A7627">
        <w:rPr>
          <w:rFonts w:eastAsiaTheme="minorEastAsia"/>
        </w:rPr>
        <w:t xml:space="preserve">These people were selected as the research population because they were aware of the </w:t>
      </w:r>
      <w:r>
        <w:rPr>
          <w:rFonts w:eastAsiaTheme="minorEastAsia"/>
        </w:rPr>
        <w:t>objectives and strategies</w:t>
      </w:r>
      <w:r w:rsidRPr="002A7627">
        <w:rPr>
          <w:rFonts w:eastAsiaTheme="minorEastAsia"/>
        </w:rPr>
        <w:t xml:space="preserve"> of the </w:t>
      </w:r>
      <w:r w:rsidR="00F50E4F">
        <w:rPr>
          <w:rFonts w:eastAsiaTheme="minorEastAsia"/>
        </w:rPr>
        <w:t xml:space="preserve">LEOs </w:t>
      </w:r>
      <w:r>
        <w:rPr>
          <w:rFonts w:eastAsiaTheme="minorEastAsia"/>
        </w:rPr>
        <w:t xml:space="preserve">of </w:t>
      </w:r>
      <w:r w:rsidRPr="002A7627">
        <w:rPr>
          <w:rFonts w:eastAsiaTheme="minorEastAsia"/>
        </w:rPr>
        <w:t xml:space="preserve">Abu Dhabi as well as </w:t>
      </w:r>
      <w:r w:rsidR="00F50E4F" w:rsidRPr="002A7627">
        <w:rPr>
          <w:rFonts w:eastAsiaTheme="minorEastAsia"/>
        </w:rPr>
        <w:t>practi</w:t>
      </w:r>
      <w:r w:rsidR="00F50E4F">
        <w:rPr>
          <w:rFonts w:eastAsiaTheme="minorEastAsia"/>
        </w:rPr>
        <w:t>c</w:t>
      </w:r>
      <w:r w:rsidR="00F50E4F" w:rsidRPr="002A7627">
        <w:rPr>
          <w:rFonts w:eastAsiaTheme="minorEastAsia"/>
        </w:rPr>
        <w:t>ing</w:t>
      </w:r>
      <w:r w:rsidRPr="002A7627">
        <w:rPr>
          <w:rFonts w:eastAsiaTheme="minorEastAsia"/>
        </w:rPr>
        <w:t xml:space="preserve"> knowledge management activities </w:t>
      </w:r>
      <w:r w:rsidR="00AC5913">
        <w:rPr>
          <w:rFonts w:eastAsiaTheme="minorEastAsia"/>
        </w:rPr>
        <w:t>on a</w:t>
      </w:r>
      <w:r w:rsidRPr="002A7627">
        <w:rPr>
          <w:rFonts w:eastAsiaTheme="minorEastAsia"/>
        </w:rPr>
        <w:t xml:space="preserve"> </w:t>
      </w:r>
      <w:r>
        <w:rPr>
          <w:rFonts w:eastAsiaTheme="minorEastAsia"/>
        </w:rPr>
        <w:t>daily</w:t>
      </w:r>
      <w:r w:rsidR="00AC5913">
        <w:rPr>
          <w:rFonts w:eastAsiaTheme="minorEastAsia"/>
        </w:rPr>
        <w:t xml:space="preserve"> basis</w:t>
      </w:r>
      <w:r w:rsidRPr="002A7627">
        <w:rPr>
          <w:rFonts w:eastAsiaTheme="minorEastAsia"/>
        </w:rPr>
        <w:t>.</w:t>
      </w:r>
    </w:p>
    <w:p w14:paraId="380D8801" w14:textId="77777777" w:rsidR="00731AAB" w:rsidRPr="002A7627" w:rsidRDefault="00731AAB" w:rsidP="00A93414">
      <w:pPr>
        <w:pStyle w:val="AAAAAAA"/>
      </w:pPr>
    </w:p>
    <w:p w14:paraId="5799D26F" w14:textId="6DD86F98" w:rsidR="00A93414" w:rsidRPr="002A7627" w:rsidRDefault="005F6EC8" w:rsidP="00ED4348">
      <w:pPr>
        <w:pStyle w:val="Heading1"/>
        <w:rPr>
          <w:color w:val="000000"/>
        </w:rPr>
      </w:pPr>
      <w:bookmarkStart w:id="180" w:name="_Toc22331684"/>
      <w:r>
        <w:rPr>
          <w:color w:val="000000"/>
        </w:rPr>
        <w:t>4.</w:t>
      </w:r>
      <w:r w:rsidR="00ED4348">
        <w:rPr>
          <w:color w:val="000000"/>
        </w:rPr>
        <w:t>10</w:t>
      </w:r>
      <w:r>
        <w:rPr>
          <w:color w:val="000000"/>
        </w:rPr>
        <w:t xml:space="preserve">. </w:t>
      </w:r>
      <w:r w:rsidR="00A93414" w:rsidRPr="002A7627">
        <w:rPr>
          <w:color w:val="000000"/>
        </w:rPr>
        <w:t>Sampling</w:t>
      </w:r>
      <w:bookmarkEnd w:id="180"/>
    </w:p>
    <w:p w14:paraId="7C8057BC" w14:textId="23B60B00" w:rsidR="00ED4348" w:rsidRPr="008A0DC6" w:rsidRDefault="00A93414" w:rsidP="008C565D">
      <w:pPr>
        <w:pStyle w:val="AAAAAAA"/>
        <w:rPr>
          <w:color w:val="000000" w:themeColor="text1"/>
        </w:rPr>
      </w:pPr>
      <w:r w:rsidRPr="002A7627">
        <w:t xml:space="preserve">A sample is a small subgroup of the population, which shows the same attributions as the population </w:t>
      </w:r>
      <w:r w:rsidRPr="002A7627">
        <w:rPr>
          <w:noProof/>
        </w:rPr>
        <w:t>(Denscombe, 2014)</w:t>
      </w:r>
      <w:r w:rsidRPr="002A7627">
        <w:t xml:space="preserve">. </w:t>
      </w:r>
      <w:r w:rsidR="00ED4348">
        <w:t>The technique for the sampling can take two different forms</w:t>
      </w:r>
      <w:r w:rsidR="00AC5913">
        <w:t>:</w:t>
      </w:r>
      <w:r w:rsidR="00ED4348">
        <w:t xml:space="preserve"> </w:t>
      </w:r>
      <w:r w:rsidR="00ED4348" w:rsidRPr="002A7627">
        <w:t xml:space="preserve">probability and non-probability or judgmental sampling. </w:t>
      </w:r>
      <w:r w:rsidR="00AC5913">
        <w:t>In</w:t>
      </w:r>
      <w:r w:rsidR="00ED4348" w:rsidRPr="002A7627">
        <w:t xml:space="preserve"> probability samples, </w:t>
      </w:r>
      <w:r w:rsidR="00AC5913">
        <w:t xml:space="preserve">each case has </w:t>
      </w:r>
      <w:r w:rsidR="00ED4348" w:rsidRPr="002A7627">
        <w:t xml:space="preserve">an equal chance </w:t>
      </w:r>
      <w:r w:rsidR="00AC5913">
        <w:t>of being</w:t>
      </w:r>
      <w:r w:rsidR="00AC5913" w:rsidRPr="002A7627">
        <w:t xml:space="preserve"> </w:t>
      </w:r>
      <w:r w:rsidR="00ED4348" w:rsidRPr="002A7627">
        <w:t xml:space="preserve">selected as the representative of the population. For non-probability </w:t>
      </w:r>
      <w:r w:rsidR="00AC5913">
        <w:t>samples</w:t>
      </w:r>
      <w:r w:rsidR="00ED4348" w:rsidRPr="002A7627">
        <w:t xml:space="preserve">, this chance is unequal </w:t>
      </w:r>
      <w:r w:rsidR="00ED4348" w:rsidRPr="002A7627">
        <w:fldChar w:fldCharType="begin" w:fldLock="1"/>
      </w:r>
      <w:r w:rsidR="00ED4348" w:rsidRPr="002A7627">
        <w:instrText>ADDIN CSL_CITATION {"citationItems":[{"id":"ITEM-1","itemData":{"ISBN":"9780273716860","ISSN":"0047-2875","PMID":"15573286","abstract":"A comprehensive introduction to research methods in business for students planning or undertaking a dissertation or extensive research project in business and management.The fifth edition of Research Methods for Business Students brings the theory, philosophy and techniques of research to life and enables students to understand the practical relevance of the research methods. A highly accessible style and logical structure have made this the Āstudent choice' and run-away market leader.The book is written for students on undergraduate and postgraduate degree programmes in business, or business-related disciplines.The following online resources support the text: For Students: self-assessment questions, glossary, revision ĀflashcardsĀ, tutorials for SPSS and NVivo, plus Smarter Online Searching GuideFor Instructors: teaching manual, powerpoint slides, testbank","author":[{"dropping-particle":"","family":"Saunders","given":"M.","non-dropping-particle":"","parse-names":false,"suffix":""},{"dropping-particle":"","family":"Lewis","given":"P.","non-dropping-particle":"","parse-names":false,"suffix":""},{"dropping-particle":"","family":"Thornhill","given":"A.","non-dropping-particle":"","parse-names":false,"suffix":""}],"edition":"5th ed.","id":"ITEM-1","issued":{"date-parts":[["2009"]]},"publisher":"Pearson","publisher-place":"London, UK","title":"Research methods for business Students","type":"book"},"uris":["http://www.mendeley.com/documents/?uuid=09af60fa-03ed-4774-8c1e-97c1e1a9db81"]}],"mendeley":{"formattedCitation":"(Saunders et al., 2009)","manualFormatting":"(Saunders et al., 2009","plainTextFormattedCitation":"(Saunders et al., 2009)","previouslyFormattedCitation":"(Saunders et al., 2009)"},"properties":{"noteIndex":0},"schema":"https://github.com/citation-style-language/schema/raw/master/csl-citation.json"}</w:instrText>
      </w:r>
      <w:r w:rsidR="00ED4348" w:rsidRPr="002A7627">
        <w:fldChar w:fldCharType="separate"/>
      </w:r>
      <w:r w:rsidR="00ED4348" w:rsidRPr="002A7627">
        <w:rPr>
          <w:noProof/>
        </w:rPr>
        <w:t>(Saunders et al., 2009</w:t>
      </w:r>
      <w:r w:rsidR="00ED4348" w:rsidRPr="002A7627">
        <w:fldChar w:fldCharType="end"/>
      </w:r>
      <w:r w:rsidR="00ED4348" w:rsidRPr="002A7627">
        <w:t xml:space="preserve">). The most common technique </w:t>
      </w:r>
      <w:r w:rsidR="00AC5913">
        <w:t>for</w:t>
      </w:r>
      <w:r w:rsidR="00ED4348" w:rsidRPr="002A7627">
        <w:t xml:space="preserve"> survey-based research is </w:t>
      </w:r>
      <w:r w:rsidR="00AC5913">
        <w:t>a</w:t>
      </w:r>
      <w:r w:rsidR="00AC5913" w:rsidRPr="002A7627">
        <w:t xml:space="preserve"> </w:t>
      </w:r>
      <w:r w:rsidR="00ED4348" w:rsidRPr="002A7627">
        <w:t xml:space="preserve">probability </w:t>
      </w:r>
      <w:r w:rsidR="00ED4348">
        <w:t>method of sampling</w:t>
      </w:r>
      <w:r w:rsidR="00ED4348" w:rsidRPr="002A7627">
        <w:t xml:space="preserve">. </w:t>
      </w:r>
      <w:r w:rsidR="00AC5913">
        <w:t xml:space="preserve">This study used </w:t>
      </w:r>
      <w:r w:rsidR="00ED4348" w:rsidRPr="002A7627">
        <w:rPr>
          <w:rFonts w:eastAsia="Calibri"/>
          <w:lang w:eastAsia="en-GB"/>
        </w:rPr>
        <w:t>random sampling</w:t>
      </w:r>
      <w:r w:rsidR="00AC5913">
        <w:rPr>
          <w:rFonts w:eastAsia="Calibri"/>
          <w:lang w:eastAsia="en-GB"/>
        </w:rPr>
        <w:t>, a probability method</w:t>
      </w:r>
      <w:r w:rsidR="00ED4348" w:rsidRPr="002A7627">
        <w:rPr>
          <w:rFonts w:eastAsia="Calibri"/>
          <w:lang w:eastAsia="en-GB"/>
        </w:rPr>
        <w:t xml:space="preserve">. </w:t>
      </w:r>
      <w:r w:rsidR="00AC5913">
        <w:rPr>
          <w:rFonts w:eastAsia="Calibri"/>
          <w:lang w:eastAsia="en-GB"/>
        </w:rPr>
        <w:t>Using</w:t>
      </w:r>
      <w:r w:rsidR="00AC5913" w:rsidRPr="002A7627">
        <w:rPr>
          <w:rFonts w:eastAsia="Calibri"/>
          <w:lang w:eastAsia="en-GB"/>
        </w:rPr>
        <w:t xml:space="preserve"> </w:t>
      </w:r>
      <w:r w:rsidR="00ED4348" w:rsidRPr="002A7627">
        <w:rPr>
          <w:rFonts w:eastAsia="Calibri"/>
          <w:lang w:eastAsia="en-GB"/>
        </w:rPr>
        <w:t xml:space="preserve">this method, </w:t>
      </w:r>
      <w:r w:rsidR="00ED4348" w:rsidRPr="008A0DC6">
        <w:rPr>
          <w:rFonts w:eastAsia="Calibri"/>
          <w:color w:val="000000" w:themeColor="text1"/>
          <w:lang w:eastAsia="en-GB"/>
        </w:rPr>
        <w:t xml:space="preserve">each member of the population has an equal chance of being </w:t>
      </w:r>
      <w:r w:rsidR="00AC5913" w:rsidRPr="008A0DC6">
        <w:rPr>
          <w:rFonts w:eastAsia="Calibri"/>
          <w:color w:val="000000" w:themeColor="text1"/>
          <w:lang w:eastAsia="en-GB"/>
        </w:rPr>
        <w:t>chosen to participate</w:t>
      </w:r>
      <w:r w:rsidR="00ED4348" w:rsidRPr="008A0DC6">
        <w:rPr>
          <w:rFonts w:eastAsia="Calibri"/>
          <w:color w:val="000000" w:themeColor="text1"/>
          <w:lang w:eastAsia="en-GB"/>
        </w:rPr>
        <w:t>.</w:t>
      </w:r>
      <w:r w:rsidR="00ED4348" w:rsidRPr="008A0DC6">
        <w:rPr>
          <w:color w:val="000000" w:themeColor="text1"/>
        </w:rPr>
        <w:t xml:space="preserve"> </w:t>
      </w:r>
    </w:p>
    <w:p w14:paraId="432ADDD7" w14:textId="2DC1A8B8" w:rsidR="00A93414" w:rsidRPr="002A7627" w:rsidRDefault="00A93414" w:rsidP="00A93414">
      <w:pPr>
        <w:pStyle w:val="AAAAAAA"/>
      </w:pPr>
      <w:r w:rsidRPr="002A7627">
        <w:rPr>
          <w:rFonts w:eastAsia="Calibri"/>
        </w:rPr>
        <w:t xml:space="preserve">Using a large sample size is preferred in research because it increases the chance of </w:t>
      </w:r>
      <w:r w:rsidR="00D4519B">
        <w:rPr>
          <w:rFonts w:eastAsia="Calibri"/>
        </w:rPr>
        <w:t xml:space="preserve">choosing a sample that is representative of </w:t>
      </w:r>
      <w:r w:rsidRPr="002A7627">
        <w:rPr>
          <w:rFonts w:eastAsia="Calibri"/>
        </w:rPr>
        <w:t>the selected population</w:t>
      </w:r>
      <w:r w:rsidR="00964F2F">
        <w:rPr>
          <w:rFonts w:eastAsia="Calibri"/>
        </w:rPr>
        <w:t xml:space="preserve"> </w:t>
      </w:r>
      <w:r w:rsidR="00964F2F" w:rsidRPr="002A7627">
        <w:t xml:space="preserve">Sekaran and Bougie </w:t>
      </w:r>
      <w:r w:rsidR="00964F2F" w:rsidRPr="002A7627">
        <w:fldChar w:fldCharType="begin" w:fldLock="1"/>
      </w:r>
      <w:r w:rsidR="00964F2F" w:rsidRPr="002A7627">
        <w:instrText>ADDIN CSL_CITATION {"citationItems":[{"id":"ITEM-1","itemData":{"ISBN":"0471203661","ISSN":"00094978","PMID":"11942021","abstract":"Seventh edition. Introduction to research -- The scientific approach and alternative approaches to investigation -- Defining and refining the problem -- The critical literature review -- Theoretical framework and hypothesis development -- Elements of research design -- Interviews -- Data collection methods : observation -- Administering questionnaires -- Experimental designs -- Measurement variables : operational definition -- Measurement : scaling, reliability and validity -- Sampling -- Quantitative data analysis -- Quantitative data analysis : hypothesis testing -- Qualitative data analysis -- The research report.","author":[{"dropping-particle":"","family":"Sekaran","given":"Uma","non-dropping-particle":"","parse-names":false,"suffix":""},{"dropping-particle":"","family":"Bougie","given":"R","non-dropping-particle":"","parse-names":false,"suffix":""}],"id":"ITEM-1","issued":{"date-parts":[["2011"]]},"publisher":"Wiley","publisher-place":"London, UK","title":"Business research methods: A skill-building approach","type":"book"},"suppress-author":1,"uris":["http://www.mendeley.com/documents/?uuid=f40dfe9b-2737-4a7d-a7a0-3c853a0cd034"]}],"mendeley":{"formattedCitation":"(2011)","plainTextFormattedCitation":"(2011)","previouslyFormattedCitation":"(2011)"},"properties":{"noteIndex":0},"schema":"https://github.com/citation-style-language/schema/raw/master/csl-citation.json"}</w:instrText>
      </w:r>
      <w:r w:rsidR="00964F2F" w:rsidRPr="002A7627">
        <w:fldChar w:fldCharType="separate"/>
      </w:r>
      <w:r w:rsidR="00964F2F" w:rsidRPr="002A7627">
        <w:rPr>
          <w:noProof/>
        </w:rPr>
        <w:t>(2011)</w:t>
      </w:r>
      <w:r w:rsidR="00964F2F" w:rsidRPr="002A7627">
        <w:fldChar w:fldCharType="end"/>
      </w:r>
      <w:r w:rsidRPr="002A7627">
        <w:rPr>
          <w:rFonts w:eastAsia="Calibri"/>
        </w:rPr>
        <w:t xml:space="preserve">. </w:t>
      </w:r>
      <w:r w:rsidRPr="002A7627">
        <w:t xml:space="preserve">To choose the sample size, </w:t>
      </w:r>
      <w:r w:rsidR="00D4519B">
        <w:t xml:space="preserve">researchers must consider issues such as </w:t>
      </w:r>
      <w:r w:rsidRPr="002A7627">
        <w:t xml:space="preserve">the confidence interval, the size of the total population, </w:t>
      </w:r>
      <w:r w:rsidR="00D4519B">
        <w:t>the m</w:t>
      </w:r>
      <w:r w:rsidR="0073439D">
        <w:t>ethods</w:t>
      </w:r>
      <w:r w:rsidRPr="002A7627">
        <w:t xml:space="preserve"> of data collection, the statistical analysis </w:t>
      </w:r>
      <w:r w:rsidR="00D4519B">
        <w:t xml:space="preserve">method </w:t>
      </w:r>
      <w:r w:rsidRPr="002A7627">
        <w:t>and</w:t>
      </w:r>
      <w:r>
        <w:t xml:space="preserve"> the tolerated margin of error </w:t>
      </w:r>
      <w:r w:rsidRPr="002A7627">
        <w:fldChar w:fldCharType="begin" w:fldLock="1"/>
      </w:r>
      <w:r w:rsidRPr="002A7627">
        <w:instrText>ADDIN CSL_CITATION {"citationItems":[{"id":"ITEM-1","itemData":{"ISBN":"9780273716860","ISSN":"0047-2875","PMID":"15573286","abstract":"A comprehensive introduction to research methods in business for students planning or undertaking a dissertation or extensive research project in business and management.The fifth edition of Research Methods for Business Students brings the theory, philosophy and techniques of research to life and enables students to understand the practical relevance of the research methods. A highly accessible style and logical structure have made this the Āstudent choice' and run-away market leader.The book is written for students on undergraduate and postgraduate degree programmes in business, or business-related disciplines.The following online resources support the text: For Students: self-assessment questions, glossary, revision ĀflashcardsĀ, tutorials for SPSS and NVivo, plus Smarter Online Searching GuideFor Instructors: teaching manual, powerpoint slides, testbank","author":[{"dropping-particle":"","family":"Saunders","given":"M.","non-dropping-particle":"","parse-names":false,"suffix":""},{"dropping-particle":"","family":"Lewis","given":"P.","non-dropping-particle":"","parse-names":false,"suffix":""},{"dropping-particle":"","family":"Thornhill","given":"A.","non-dropping-particle":"","parse-names":false,"suffix":""}],"edition":"5th ed.","id":"ITEM-1","issued":{"date-parts":[["2009"]]},"publisher":"Pearson","publisher-place":"London, UK","title":"Research methods for business Students","type":"book"},"uris":["http://www.mendeley.com/documents/?uuid=09af60fa-03ed-4774-8c1e-97c1e1a9db81"]}],"mendeley":{"formattedCitation":"(Saunders et al., 2009)","manualFormatting":"(Saunders et al., 2009","plainTextFormattedCitation":"(Saunders et al., 2009)","previouslyFormattedCitation":"(Saunders et al., 2009)"},"properties":{"noteIndex":0},"schema":"https://github.com/citation-style-language/schema/raw/master/csl-citation.json"}</w:instrText>
      </w:r>
      <w:r w:rsidRPr="002A7627">
        <w:fldChar w:fldCharType="separate"/>
      </w:r>
      <w:r w:rsidRPr="002A7627">
        <w:rPr>
          <w:noProof/>
        </w:rPr>
        <w:t>(Saunders et al., 2009</w:t>
      </w:r>
      <w:r w:rsidRPr="002A7627">
        <w:fldChar w:fldCharType="end"/>
      </w:r>
      <w:r w:rsidRPr="002A7627">
        <w:t xml:space="preserve">). </w:t>
      </w:r>
    </w:p>
    <w:p w14:paraId="12E60655" w14:textId="19691992" w:rsidR="00776FE9" w:rsidRDefault="00A93414" w:rsidP="00F50E4F">
      <w:pPr>
        <w:pStyle w:val="AAAAAAA"/>
        <w:ind w:firstLine="0"/>
      </w:pPr>
      <w:r w:rsidRPr="002A7627">
        <w:t xml:space="preserve">Sekaran and Bougie </w:t>
      </w:r>
      <w:r w:rsidRPr="002A7627">
        <w:fldChar w:fldCharType="begin" w:fldLock="1"/>
      </w:r>
      <w:r w:rsidRPr="002A7627">
        <w:instrText>ADDIN CSL_CITATION {"citationItems":[{"id":"ITEM-1","itemData":{"ISBN":"0471203661","ISSN":"00094978","PMID":"11942021","abstract":"Seventh edition. Introduction to research -- The scientific approach and alternative approaches to investigation -- Defining and refining the problem -- The critical literature review -- Theoretical framework and hypothesis development -- Elements of research design -- Interviews -- Data collection methods : observation -- Administering questionnaires -- Experimental designs -- Measurement variables : operational definition -- Measurement : scaling, reliability and validity -- Sampling -- Quantitative data analysis -- Quantitative data analysis : hypothesis testing -- Qualitative data analysis -- The research report.","author":[{"dropping-particle":"","family":"Sekaran","given":"Uma","non-dropping-particle":"","parse-names":false,"suffix":""},{"dropping-particle":"","family":"Bougie","given":"R","non-dropping-particle":"","parse-names":false,"suffix":""}],"id":"ITEM-1","issued":{"date-parts":[["2011"]]},"publisher":"Wiley","publisher-place":"London, UK","title":"Business research methods: A skill-building approach","type":"book"},"suppress-author":1,"uris":["http://www.mendeley.com/documents/?uuid=f40dfe9b-2737-4a7d-a7a0-3c853a0cd034"]}],"mendeley":{"formattedCitation":"(2011)","plainTextFormattedCitation":"(2011)","previouslyFormattedCitation":"(2011)"},"properties":{"noteIndex":0},"schema":"https://github.com/citation-style-language/schema/raw/master/csl-citation.json"}</w:instrText>
      </w:r>
      <w:r w:rsidRPr="002A7627">
        <w:fldChar w:fldCharType="separate"/>
      </w:r>
      <w:r w:rsidRPr="002A7627">
        <w:rPr>
          <w:noProof/>
        </w:rPr>
        <w:t>(2011)</w:t>
      </w:r>
      <w:r w:rsidRPr="002A7627">
        <w:fldChar w:fldCharType="end"/>
      </w:r>
      <w:r w:rsidR="00D4519B">
        <w:t xml:space="preserve"> noted that</w:t>
      </w:r>
      <w:r w:rsidRPr="002A7627">
        <w:t xml:space="preserve"> sample size selection defines the level of confidence and precision employed in the research. </w:t>
      </w:r>
      <w:r w:rsidR="00D4519B">
        <w:t>T</w:t>
      </w:r>
      <w:r w:rsidRPr="002A7627">
        <w:t xml:space="preserve">he size of the sample is often </w:t>
      </w:r>
      <w:r w:rsidR="0073439D">
        <w:t>decided</w:t>
      </w:r>
      <w:r w:rsidR="0073439D" w:rsidRPr="002A7627">
        <w:t xml:space="preserve"> </w:t>
      </w:r>
      <w:r w:rsidRPr="002A7627">
        <w:t xml:space="preserve">by the formula of sampling error, </w:t>
      </w:r>
      <w:r w:rsidR="00FC2674">
        <w:t>which</w:t>
      </w:r>
      <w:r w:rsidRPr="002A7627">
        <w:t xml:space="preserve"> is </w:t>
      </w:r>
      <w:r w:rsidR="00ED4348" w:rsidRPr="002A7627">
        <w:t>minimi</w:t>
      </w:r>
      <w:r w:rsidR="00ED4348">
        <w:t>z</w:t>
      </w:r>
      <w:r w:rsidR="00ED4348" w:rsidRPr="002A7627">
        <w:t>ed</w:t>
      </w:r>
      <w:r w:rsidRPr="002A7627">
        <w:t xml:space="preserve"> or reduced considerably with the </w:t>
      </w:r>
      <w:r w:rsidR="00D4519B">
        <w:t>use</w:t>
      </w:r>
      <w:r w:rsidR="00D4519B" w:rsidRPr="002A7627">
        <w:t xml:space="preserve"> </w:t>
      </w:r>
      <w:r w:rsidRPr="002A7627">
        <w:t xml:space="preserve">of a larger sample. To decide on the sample size </w:t>
      </w:r>
      <w:r w:rsidR="00D4519B">
        <w:t>for</w:t>
      </w:r>
      <w:r w:rsidR="00D4519B" w:rsidRPr="002A7627">
        <w:t xml:space="preserve"> </w:t>
      </w:r>
      <w:r w:rsidRPr="002A7627">
        <w:t xml:space="preserve">quantitative research, previous </w:t>
      </w:r>
      <w:r w:rsidR="00D4519B">
        <w:t>studies have</w:t>
      </w:r>
      <w:r w:rsidRPr="002A7627">
        <w:t xml:space="preserve"> suggested </w:t>
      </w:r>
      <w:r w:rsidR="00D4519B">
        <w:t xml:space="preserve">using </w:t>
      </w:r>
      <w:r>
        <w:t>absolute</w:t>
      </w:r>
      <w:r w:rsidRPr="002A7627">
        <w:t xml:space="preserve"> numbers. For example, when using structural equation mode</w:t>
      </w:r>
      <w:r>
        <w:t>l</w:t>
      </w:r>
      <w:r w:rsidRPr="002A7627">
        <w:t xml:space="preserve">ling, </w:t>
      </w:r>
      <w:r w:rsidRPr="002A7627">
        <w:fldChar w:fldCharType="begin" w:fldLock="1"/>
      </w:r>
      <w:r w:rsidRPr="002A7627">
        <w:instrText>ADDIN CSL_CITATION {"citationItems":[{"id":"ITEM-1","itemData":{"author":[{"dropping-particle":"","family":"Stylidis","given":"Dimitrios","non-dropping-particle":"","parse-names":false,"suffix":""}],"id":"ITEM-1","issued":{"date-parts":[["2012"]]},"publisher":"University of Surrey","publisher-place":"Guildford, UK JANUARY","title":"Tourism and community life: Building a conceptual framework","type":"thesis"},"uris":["http://www.mendeley.com/documents/?uuid=01716983-99d1-3925-8032-f3b504c11761"]}],"mendeley":{"formattedCitation":"(Stylidis, 2012)","manualFormatting":"Stylidis (2012)","plainTextFormattedCitation":"(Stylidis, 2012)","previouslyFormattedCitation":"(Stylidis, 2012)"},"properties":{"noteIndex":0},"schema":"https://github.com/citation-style-language/schema/raw/master/csl-citation.json"}</w:instrText>
      </w:r>
      <w:r w:rsidRPr="002A7627">
        <w:fldChar w:fldCharType="separate"/>
      </w:r>
      <w:r w:rsidRPr="002A7627">
        <w:rPr>
          <w:noProof/>
        </w:rPr>
        <w:t>Stylidis (2012)</w:t>
      </w:r>
      <w:r w:rsidRPr="002A7627">
        <w:fldChar w:fldCharType="end"/>
      </w:r>
      <w:r w:rsidRPr="002A7627">
        <w:t xml:space="preserve"> argued that </w:t>
      </w:r>
      <w:r>
        <w:t>sample</w:t>
      </w:r>
      <w:r w:rsidR="00D4519B">
        <w:t xml:space="preserve">s need to include around </w:t>
      </w:r>
      <w:r>
        <w:t>300</w:t>
      </w:r>
      <w:r w:rsidR="00D4519B">
        <w:t xml:space="preserve"> participants</w:t>
      </w:r>
      <w:r w:rsidRPr="002A7627">
        <w:t xml:space="preserve">. </w:t>
      </w:r>
      <w:r w:rsidRPr="002A7627">
        <w:fldChar w:fldCharType="begin" w:fldLock="1"/>
      </w:r>
      <w:r w:rsidRPr="002A7627">
        <w:instrText>ADDIN CSL_CITATION {"citationItems":[{"id":"ITEM-1","itemData":{"abstract":"Roscoe, J. T. (1975). Fundamental Research Statistics for the Behavioural Sciences, (2 ed.). New York: Holt, Reinhart &amp; Winston.","author":[{"dropping-particle":"","family":"Roscoe","given":"J.T.","non-dropping-particle":"","parse-names":false,"suffix":""}],"id":"ITEM-1","issued":{"date-parts":[["1975"]]},"publisher":"Holt Rinehart &amp; Winston","publisher-place":"New York, NY","title":"Fundamental research statistics for the behavioural sciences (2nd Edition)","type":"book"},"uris":["http://www.mendeley.com/documents/?uuid=1970e93c-02d8-4fe8-a612-a1d7f8923857"]}],"mendeley":{"formattedCitation":"(Roscoe, 1975)","manualFormatting":"Roscoe (1975)","plainTextFormattedCitation":"(Roscoe, 1975)","previouslyFormattedCitation":"(Roscoe, 1975)"},"properties":{"noteIndex":0},"schema":"https://github.com/citation-style-language/schema/raw/master/csl-citation.json"}</w:instrText>
      </w:r>
      <w:r w:rsidRPr="002A7627">
        <w:fldChar w:fldCharType="separate"/>
      </w:r>
      <w:r w:rsidRPr="002A7627">
        <w:rPr>
          <w:noProof/>
        </w:rPr>
        <w:t>Roscoe (1975)</w:t>
      </w:r>
      <w:r w:rsidRPr="002A7627">
        <w:fldChar w:fldCharType="end"/>
      </w:r>
      <w:r w:rsidRPr="002A7627">
        <w:t xml:space="preserve"> proposed that the size of the sample must be ten times larger than the number of variables. Hair</w:t>
      </w:r>
      <w:r w:rsidR="005A5C98">
        <w:t>, Celsi, Money, Samouel and Page</w:t>
      </w:r>
      <w:r w:rsidRPr="002A7627">
        <w:t xml:space="preserve"> </w:t>
      </w:r>
      <w:r w:rsidRPr="002A7627">
        <w:fldChar w:fldCharType="begin" w:fldLock="1"/>
      </w:r>
      <w:r w:rsidRPr="002A7627">
        <w:instrText>ADDIN CSL_CITATION {"citationItems":[{"id":"ITEM-1","itemData":{"ISBN":"9781317508267","abstract":"&amp; Francis. All rights reserved.Increasingly, managers must make decisions based on almost unlimited information. How can they navigate and organize this vast amount of data? Essentials of Business Research Methods provides research techniques for people who aren't data analysts. The authors offer a straightforward, hands-on approach to the vital managerial process of gathering and using data to make clear business decisions. They include critical topics, such as the increasing role of online research, ethical issues, data mining, customer relationship management, and how to conduct information-gathering activities more effectively in a rapidly changing business environment. This is the only text that includes a chapter on qualitative data analysis, and the coverage of quantitative data analysis is more extensive, and much easier to understand than in other texts. The book features a realistic continuing case throughout that enables students to see how business research information is used in the real world. It includes applied research examples in all chapters, as well as ethical dilemma mini cases, and exercises. ? 2016 Taylor","author":[{"dropping-particle":"","family":"Hair","given":"Joseph F.","non-dropping-particle":"","parse-names":false,"suffix":""},{"dropping-particle":"","family":"Celsi","given":"Mary","non-dropping-particle":"","parse-names":false,"suffix":""},{"dropping-particle":"","family":"Money","given":"Arthur","non-dropping-particle":"","parse-names":false,"suffix":""},{"dropping-particle":"","family":"Samouel","given":"Phillip","non-dropping-particle":"","parse-names":false,"suffix":""},{"dropping-particle":"","family":"Page","given":"Michael","non-dropping-particle":"","parse-names":false,"suffix":""}],"edition":"3rd ed.","id":"ITEM-1","issued":{"date-parts":[["2015"]]},"publisher":"Sharpe","publisher-place":"New York, NY","title":"The essentials of business research methods","type":"book"},"uris":["http://www.mendeley.com/documents/?uuid=d9539117-f20b-4fb5-b0a5-19fc556715a2"]}],"mendeley":{"formattedCitation":"(Hair, Celsi, Money, Samouel, &amp; Page, 2015)","manualFormatting":"(2015)","plainTextFormattedCitation":"(Hair, Celsi, Money, Samouel, &amp; Page, 2015)","previouslyFormattedCitation":"(Hair, Celsi, Money, Samouel, &amp; Page, 2015)"},"properties":{"noteIndex":0},"schema":"https://github.com/citation-style-language/schema/raw/master/csl-citation.json"}</w:instrText>
      </w:r>
      <w:r w:rsidRPr="002A7627">
        <w:fldChar w:fldCharType="separate"/>
      </w:r>
      <w:r w:rsidRPr="002A7627">
        <w:rPr>
          <w:noProof/>
        </w:rPr>
        <w:t>(2015)</w:t>
      </w:r>
      <w:r w:rsidRPr="002A7627">
        <w:fldChar w:fldCharType="end"/>
      </w:r>
      <w:r w:rsidR="00D4519B">
        <w:t xml:space="preserve"> suggested </w:t>
      </w:r>
      <w:r w:rsidRPr="002A7627">
        <w:t xml:space="preserve">that </w:t>
      </w:r>
      <w:r w:rsidR="00D4519B">
        <w:t xml:space="preserve">the </w:t>
      </w:r>
      <w:r w:rsidRPr="002A7627">
        <w:t xml:space="preserve">appropriate sample size for the use of factor analysis is more than 100 respondents. Krejcie and Morgan </w:t>
      </w:r>
      <w:r w:rsidRPr="002A7627">
        <w:fldChar w:fldCharType="begin" w:fldLock="1"/>
      </w:r>
      <w:r w:rsidRPr="002A7627">
        <w:instrText>ADDIN CSL_CITATION {"citationItems":[{"id":"ITEM-1","itemData":{"DOI":"10.1177/001316447003000308","ISSN":"0013-1644","abstract":"The ever increasing demand for research has created a need for an efficient method of determining the sample size needed to be representative of a given population. In the article “Small Sample Techniques,” the research division of the National Education Association has published a formula for determining sample size. Regrettably a table has not bee available for ready, easy reference which could have been constructed using the following formula.","author":[{"dropping-particle":"V.","family":"Krejcie","given":"Robert","non-dropping-particle":"","parse-names":false,"suffix":""},{"dropping-particle":"","family":"Morgan","given":"Daryle W.","non-dropping-particle":"","parse-names":false,"suffix":""}],"container-title":"Educational and Psychological Measurement","id":"ITEM-1","issue":"3","issued":{"date-parts":[["1970","9","2"]]},"page":"607-610","title":"Determining sample size for research activities","type":"article-journal","volume":"30"},"suppress-author":1,"uris":["http://www.mendeley.com/documents/?uuid=0cf2baf9-2f38-4509-b82b-04dd45031631"]}],"mendeley":{"formattedCitation":"(1970)","plainTextFormattedCitation":"(1970)","previouslyFormattedCitation":"(1970)"},"properties":{"noteIndex":0},"schema":"https://github.com/citation-style-language/schema/raw/master/csl-citation.json"}</w:instrText>
      </w:r>
      <w:r w:rsidRPr="002A7627">
        <w:fldChar w:fldCharType="separate"/>
      </w:r>
      <w:r w:rsidRPr="002A7627">
        <w:rPr>
          <w:noProof/>
        </w:rPr>
        <w:t>(1970)</w:t>
      </w:r>
      <w:r w:rsidRPr="002A7627">
        <w:fldChar w:fldCharType="end"/>
      </w:r>
      <w:r w:rsidRPr="002A7627">
        <w:t xml:space="preserve"> provided a table to </w:t>
      </w:r>
      <w:r w:rsidR="00D4519B">
        <w:t>help</w:t>
      </w:r>
      <w:r w:rsidR="00D4519B" w:rsidRPr="002A7627">
        <w:t xml:space="preserve"> </w:t>
      </w:r>
      <w:r w:rsidRPr="002A7627">
        <w:t xml:space="preserve">researchers </w:t>
      </w:r>
      <w:r w:rsidR="00D4519B">
        <w:t>to</w:t>
      </w:r>
      <w:r w:rsidR="00D4519B" w:rsidRPr="002A7627">
        <w:t xml:space="preserve"> </w:t>
      </w:r>
      <w:r w:rsidRPr="002A7627">
        <w:t xml:space="preserve">select a reasonable sample size to reduce the probability of an error (see Table </w:t>
      </w:r>
      <w:r w:rsidR="00D4519B">
        <w:t>6</w:t>
      </w:r>
      <w:r w:rsidR="00776FE9">
        <w:t>)</w:t>
      </w:r>
      <w:r w:rsidR="00D4519B">
        <w:t>.</w:t>
      </w:r>
    </w:p>
    <w:p w14:paraId="7006AFA8" w14:textId="7972597B" w:rsidR="008A0DC6" w:rsidRDefault="008A0DC6" w:rsidP="00F50E4F">
      <w:pPr>
        <w:pStyle w:val="AAAAAAA"/>
        <w:ind w:firstLine="0"/>
      </w:pPr>
    </w:p>
    <w:p w14:paraId="32DFBE31" w14:textId="4C90370A" w:rsidR="00964F2F" w:rsidRDefault="00964F2F" w:rsidP="00F50E4F">
      <w:pPr>
        <w:pStyle w:val="AAAAAAA"/>
        <w:ind w:firstLine="0"/>
      </w:pPr>
    </w:p>
    <w:p w14:paraId="539C6149" w14:textId="0610AE0C" w:rsidR="00964F2F" w:rsidRDefault="00964F2F" w:rsidP="00F50E4F">
      <w:pPr>
        <w:pStyle w:val="AAAAAAA"/>
        <w:ind w:firstLine="0"/>
      </w:pPr>
    </w:p>
    <w:p w14:paraId="48F1B682" w14:textId="7BF3833F" w:rsidR="00234BE3" w:rsidRDefault="00234BE3" w:rsidP="00F50E4F">
      <w:pPr>
        <w:pStyle w:val="AAAAAAA"/>
        <w:ind w:firstLine="0"/>
      </w:pPr>
    </w:p>
    <w:p w14:paraId="47FF08EA" w14:textId="1E05CAC2" w:rsidR="00234BE3" w:rsidRDefault="00234BE3" w:rsidP="00F50E4F">
      <w:pPr>
        <w:pStyle w:val="AAAAAAA"/>
        <w:ind w:firstLine="0"/>
      </w:pPr>
    </w:p>
    <w:p w14:paraId="5F402E78" w14:textId="5128FC38" w:rsidR="00234BE3" w:rsidRDefault="00234BE3" w:rsidP="00F50E4F">
      <w:pPr>
        <w:pStyle w:val="AAAAAAA"/>
        <w:ind w:firstLine="0"/>
      </w:pPr>
    </w:p>
    <w:p w14:paraId="2C60C730" w14:textId="045D776B" w:rsidR="006E70D4" w:rsidRDefault="006E70D4" w:rsidP="00F50E4F">
      <w:pPr>
        <w:pStyle w:val="AAAAAAA"/>
        <w:ind w:firstLine="0"/>
      </w:pPr>
    </w:p>
    <w:p w14:paraId="10BB05A9" w14:textId="77777777" w:rsidR="00031AF8" w:rsidRDefault="00031AF8" w:rsidP="00F50E4F">
      <w:pPr>
        <w:pStyle w:val="AAAAAAA"/>
        <w:ind w:firstLine="0"/>
      </w:pPr>
    </w:p>
    <w:p w14:paraId="5A01D0A8" w14:textId="77777777" w:rsidR="00964F2F" w:rsidRDefault="00964F2F" w:rsidP="00F50E4F">
      <w:pPr>
        <w:pStyle w:val="AAAAAAA"/>
        <w:ind w:firstLine="0"/>
      </w:pPr>
    </w:p>
    <w:p w14:paraId="22E8F2D3" w14:textId="2CE8131A" w:rsidR="00004BFD" w:rsidRPr="002A7627" w:rsidRDefault="00004BFD" w:rsidP="001D5F54">
      <w:pPr>
        <w:pStyle w:val="Caption"/>
        <w:rPr>
          <w:rFonts w:eastAsia="Calibri"/>
          <w:szCs w:val="24"/>
        </w:rPr>
      </w:pPr>
      <w:bookmarkStart w:id="181" w:name="_Toc19478584"/>
      <w:bookmarkStart w:id="182" w:name="_Toc21074074"/>
      <w:r>
        <w:t xml:space="preserve">Table </w:t>
      </w:r>
      <w:r w:rsidR="006D32F8">
        <w:rPr>
          <w:noProof/>
        </w:rPr>
        <w:fldChar w:fldCharType="begin"/>
      </w:r>
      <w:r w:rsidR="006D32F8">
        <w:rPr>
          <w:noProof/>
        </w:rPr>
        <w:instrText xml:space="preserve"> SEQ Table \* ARABIC </w:instrText>
      </w:r>
      <w:r w:rsidR="006D32F8">
        <w:rPr>
          <w:noProof/>
        </w:rPr>
        <w:fldChar w:fldCharType="separate"/>
      </w:r>
      <w:r w:rsidR="00972C3F">
        <w:rPr>
          <w:noProof/>
        </w:rPr>
        <w:t>6</w:t>
      </w:r>
      <w:r w:rsidR="006D32F8">
        <w:rPr>
          <w:noProof/>
        </w:rPr>
        <w:fldChar w:fldCharType="end"/>
      </w:r>
      <w:r>
        <w:t xml:space="preserve">. </w:t>
      </w:r>
      <w:r w:rsidRPr="00AB377A">
        <w:t>Determining state sample size from a given population.</w:t>
      </w:r>
      <w:bookmarkEnd w:id="181"/>
      <w:bookmarkEnd w:id="182"/>
    </w:p>
    <w:p w14:paraId="56C415D5" w14:textId="156A3E93" w:rsidR="00A93414" w:rsidRDefault="00A93414" w:rsidP="001D5F54">
      <w:pPr>
        <w:pStyle w:val="Caption"/>
        <w:keepNext/>
        <w:jc w:val="both"/>
        <w:rPr>
          <w:rFonts w:eastAsia="Calibri"/>
          <w:szCs w:val="24"/>
        </w:rPr>
      </w:pPr>
      <w:r w:rsidRPr="002A7627">
        <w:rPr>
          <w:rFonts w:eastAsia="Calibri"/>
          <w:noProof/>
          <w:szCs w:val="24"/>
          <w:lang w:val="en-GB" w:eastAsia="en-GB" w:bidi="ar-SA"/>
        </w:rPr>
        <w:drawing>
          <wp:inline distT="0" distB="0" distL="0" distR="0" wp14:anchorId="5DC45451" wp14:editId="4FE3933F">
            <wp:extent cx="5210175" cy="5153025"/>
            <wp:effectExtent l="0" t="0" r="9525" b="9525"/>
            <wp:docPr id="502" name="Picture 502" descr="Description: https://cikguamirul.files.wordpress.com/2016/10/krejcie-morgan-tabl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Description: https://cikguamirul.files.wordpress.com/2016/10/krejcie-morgan-table.png"/>
                    <pic:cNvPicPr>
                      <a:picLocks/>
                    </pic:cNvPicPr>
                  </pic:nvPicPr>
                  <pic:blipFill>
                    <a:blip r:embed="rId32">
                      <a:extLst>
                        <a:ext uri="{28A0092B-C50C-407E-A947-70E740481C1C}">
                          <a14:useLocalDpi xmlns:a14="http://schemas.microsoft.com/office/drawing/2010/main" val="0"/>
                        </a:ext>
                      </a:extLst>
                    </a:blip>
                    <a:srcRect t="7941" b="5679"/>
                    <a:stretch>
                      <a:fillRect/>
                    </a:stretch>
                  </pic:blipFill>
                  <pic:spPr bwMode="auto">
                    <a:xfrm>
                      <a:off x="0" y="0"/>
                      <a:ext cx="5210175" cy="5153025"/>
                    </a:xfrm>
                    <a:prstGeom prst="rect">
                      <a:avLst/>
                    </a:prstGeom>
                    <a:noFill/>
                    <a:ln>
                      <a:noFill/>
                    </a:ln>
                  </pic:spPr>
                </pic:pic>
              </a:graphicData>
            </a:graphic>
          </wp:inline>
        </w:drawing>
      </w:r>
    </w:p>
    <w:p w14:paraId="627BFD73" w14:textId="09AD0BF1" w:rsidR="008A0DC6" w:rsidRPr="001D5F54" w:rsidRDefault="004F1DE5" w:rsidP="008A0DC6">
      <w:pPr>
        <w:jc w:val="lowKashida"/>
      </w:pPr>
      <w:r>
        <w:t>Source: Krejcie and Morgan (1970</w:t>
      </w:r>
      <w:r w:rsidR="00234BE3">
        <w:t>)</w:t>
      </w:r>
    </w:p>
    <w:p w14:paraId="27EF3CFC" w14:textId="77777777" w:rsidR="008A0DC6" w:rsidRPr="004F1DE5" w:rsidRDefault="008A0DC6" w:rsidP="004F1DE5">
      <w:pPr>
        <w:rPr>
          <w:lang w:bidi="en-US"/>
        </w:rPr>
      </w:pPr>
    </w:p>
    <w:p w14:paraId="3B866864" w14:textId="792E6B71" w:rsidR="00A93414" w:rsidRPr="002A7627" w:rsidRDefault="00A93414" w:rsidP="00A93414">
      <w:pPr>
        <w:pStyle w:val="AAAAAAA"/>
      </w:pPr>
      <w:r w:rsidRPr="002A7627">
        <w:t xml:space="preserve">The first column ‘N’ </w:t>
      </w:r>
      <w:r w:rsidR="00D4519B">
        <w:t>is</w:t>
      </w:r>
      <w:r w:rsidR="00D4519B" w:rsidRPr="002A7627">
        <w:t xml:space="preserve"> </w:t>
      </w:r>
      <w:r w:rsidRPr="002A7627">
        <w:t xml:space="preserve">the size of the population, and the second column ‘S’ indicates the sample size. </w:t>
      </w:r>
      <w:r w:rsidR="00FC2674">
        <w:t>A</w:t>
      </w:r>
      <w:r w:rsidRPr="002A7627">
        <w:t xml:space="preserve"> formula</w:t>
      </w:r>
      <w:r>
        <w:t xml:space="preserve"> was devised by </w:t>
      </w:r>
      <w:r w:rsidR="00D4519B">
        <w:t>K</w:t>
      </w:r>
      <w:r>
        <w:t>rejcie and Morgan (1970)</w:t>
      </w:r>
      <w:r w:rsidRPr="002A7627">
        <w:t xml:space="preserve"> </w:t>
      </w:r>
      <w:r w:rsidR="00D4519B">
        <w:t xml:space="preserve">to </w:t>
      </w:r>
      <w:r>
        <w:t>determin</w:t>
      </w:r>
      <w:r w:rsidR="00D4519B">
        <w:t>e</w:t>
      </w:r>
      <w:r>
        <w:t xml:space="preserve"> the correct size of samples for a given </w:t>
      </w:r>
      <w:r w:rsidR="00D4519B">
        <w:t xml:space="preserve">size </w:t>
      </w:r>
      <w:r>
        <w:t>of population</w:t>
      </w:r>
      <w:r w:rsidR="00D4519B">
        <w:t>:</w:t>
      </w:r>
    </w:p>
    <w:p w14:paraId="2E5FA044" w14:textId="3E09A29D" w:rsidR="00A93414" w:rsidRPr="002A7627" w:rsidRDefault="00A93414" w:rsidP="00A93414">
      <w:pPr>
        <w:widowControl/>
        <w:autoSpaceDE/>
        <w:autoSpaceDN/>
        <w:adjustRightInd/>
        <w:spacing w:after="240" w:line="480" w:lineRule="auto"/>
        <w:jc w:val="center"/>
        <w:rPr>
          <w:rFonts w:eastAsia="Calibri" w:cs="Times New Roman"/>
          <w:szCs w:val="24"/>
        </w:rPr>
      </w:pPr>
      <w:r w:rsidRPr="002A7627">
        <w:rPr>
          <w:rFonts w:eastAsia="Calibri" w:cs="Times New Roman"/>
          <w:szCs w:val="24"/>
        </w:rPr>
        <w:t>S =</w:t>
      </w:r>
      <w:r w:rsidR="00D4519B">
        <w:rPr>
          <w:rFonts w:eastAsia="Calibri" w:cs="Times New Roman"/>
          <w:szCs w:val="24"/>
        </w:rPr>
        <w:t xml:space="preserve"> </w:t>
      </w:r>
      <w:r w:rsidRPr="002A7627">
        <w:rPr>
          <w:rFonts w:eastAsia="Calibri" w:cs="Times New Roman"/>
          <w:szCs w:val="24"/>
        </w:rPr>
        <w:t>X2NP(1</w:t>
      </w:r>
      <w:r w:rsidR="00D4519B">
        <w:rPr>
          <w:rFonts w:eastAsia="Calibri" w:cs="Times New Roman"/>
          <w:szCs w:val="24"/>
        </w:rPr>
        <w:t>−</w:t>
      </w:r>
      <w:r w:rsidRPr="002A7627">
        <w:rPr>
          <w:rFonts w:eastAsia="Calibri" w:cs="Times New Roman"/>
          <w:szCs w:val="24"/>
        </w:rPr>
        <w:t>P)/2d(N</w:t>
      </w:r>
      <w:r w:rsidR="00D4519B">
        <w:rPr>
          <w:rFonts w:eastAsia="Calibri" w:cs="Times New Roman"/>
          <w:szCs w:val="24"/>
        </w:rPr>
        <w:t>−</w:t>
      </w:r>
      <w:r w:rsidRPr="002A7627">
        <w:rPr>
          <w:rFonts w:eastAsia="Calibri" w:cs="Times New Roman"/>
          <w:szCs w:val="24"/>
        </w:rPr>
        <w:t>1) + X2P(1</w:t>
      </w:r>
      <w:r w:rsidR="00D4519B">
        <w:rPr>
          <w:rFonts w:eastAsia="Calibri" w:cs="Times New Roman"/>
          <w:szCs w:val="24"/>
        </w:rPr>
        <w:t>−</w:t>
      </w:r>
      <w:r w:rsidRPr="002A7627">
        <w:rPr>
          <w:rFonts w:eastAsia="Calibri" w:cs="Times New Roman"/>
          <w:szCs w:val="24"/>
        </w:rPr>
        <w:t>P)</w:t>
      </w:r>
    </w:p>
    <w:p w14:paraId="7022336E" w14:textId="39087B2D" w:rsidR="00D4519B" w:rsidRDefault="00A93414" w:rsidP="00A93414">
      <w:pPr>
        <w:pStyle w:val="AAAAAAA"/>
        <w:ind w:firstLine="0"/>
      </w:pPr>
      <w:r w:rsidRPr="002A7627">
        <w:t xml:space="preserve">“S” represents the </w:t>
      </w:r>
      <w:r>
        <w:t>size of the sample</w:t>
      </w:r>
      <w:r w:rsidRPr="002A7627">
        <w:t xml:space="preserve"> required; “X2” </w:t>
      </w:r>
      <w:r w:rsidR="00565CE3">
        <w:t>represents</w:t>
      </w:r>
      <w:r w:rsidR="00565CE3" w:rsidRPr="002A7627">
        <w:t xml:space="preserve"> </w:t>
      </w:r>
      <w:r w:rsidRPr="002A7627">
        <w:t xml:space="preserve">the </w:t>
      </w:r>
      <w:r w:rsidR="00565CE3">
        <w:t xml:space="preserve">value </w:t>
      </w:r>
      <w:r w:rsidRPr="002A7627">
        <w:t xml:space="preserve">in the table of the degrees of freedom of the </w:t>
      </w:r>
      <w:r w:rsidR="00D4519B">
        <w:t xml:space="preserve">required </w:t>
      </w:r>
      <w:r>
        <w:t>confidence level</w:t>
      </w:r>
      <w:r w:rsidRPr="002A7627">
        <w:t>; “N” is total size</w:t>
      </w:r>
      <w:r>
        <w:t xml:space="preserve"> of the population</w:t>
      </w:r>
      <w:r w:rsidRPr="002A7627">
        <w:t>; “P” is the population</w:t>
      </w:r>
      <w:r>
        <w:t xml:space="preserve"> proportion</w:t>
      </w:r>
      <w:r w:rsidRPr="002A7627">
        <w:t xml:space="preserve">, supposed to be </w:t>
      </w:r>
      <w:r w:rsidR="00D4519B">
        <w:t>0</w:t>
      </w:r>
      <w:r w:rsidRPr="002A7627">
        <w:t xml:space="preserve">.05 to offer </w:t>
      </w:r>
      <w:r w:rsidR="00D4519B">
        <w:t xml:space="preserve">the maximum sample </w:t>
      </w:r>
      <w:r>
        <w:t>size</w:t>
      </w:r>
      <w:r w:rsidRPr="002A7627">
        <w:t xml:space="preserve">; and “d” </w:t>
      </w:r>
      <w:r>
        <w:t>is the level of accuracy</w:t>
      </w:r>
      <w:r w:rsidR="00D4519B">
        <w:t>,</w:t>
      </w:r>
      <w:r>
        <w:t xml:space="preserve"> expressed as</w:t>
      </w:r>
      <w:r w:rsidRPr="002A7627">
        <w:t xml:space="preserve"> 0.05 in proportion.</w:t>
      </w:r>
    </w:p>
    <w:p w14:paraId="402F43E4" w14:textId="4EAFE502" w:rsidR="00587A91" w:rsidRDefault="00A93414" w:rsidP="00440923">
      <w:pPr>
        <w:pStyle w:val="AAAAAAA"/>
      </w:pPr>
      <w:r w:rsidRPr="002A7627">
        <w:t xml:space="preserve">The table </w:t>
      </w:r>
      <w:r w:rsidR="00D4519B">
        <w:t>from</w:t>
      </w:r>
      <w:r>
        <w:t xml:space="preserve"> </w:t>
      </w:r>
      <w:r w:rsidRPr="002A7627">
        <w:t>Morgan</w:t>
      </w:r>
      <w:r>
        <w:t xml:space="preserve"> and</w:t>
      </w:r>
      <w:r w:rsidRPr="002A7627">
        <w:t xml:space="preserve"> Krejcie </w:t>
      </w:r>
      <w:r w:rsidRPr="002A7627">
        <w:fldChar w:fldCharType="begin" w:fldLock="1"/>
      </w:r>
      <w:r w:rsidRPr="002A7627">
        <w:instrText>ADDIN CSL_CITATION {"citationItems":[{"id":"ITEM-1","itemData":{"DOI":"10.1177/001316447003000308","ISSN":"0013-1644","abstract":"The ever increasing demand for research has created a need for an efficient method of determining the sample size needed to be representative of a given population. In the article “Small Sample Techniques,” the research division of the National Education Association has published a formula for determining sample size. Regrettably a table has not bee available for ready, easy reference which could have been constructed using the following formula.","author":[{"dropping-particle":"V.","family":"Krejcie","given":"Robert","non-dropping-particle":"","parse-names":false,"suffix":""},{"dropping-particle":"","family":"Morgan","given":"Daryle W.","non-dropping-particle":"","parse-names":false,"suffix":""}],"container-title":"Educational and Psychological Measurement","id":"ITEM-1","issue":"3","issued":{"date-parts":[["1970","9","2"]]},"page":"607-610","title":"Determining sample size for research activities","type":"article-journal","volume":"30"},"suppress-author":1,"uris":["http://www.mendeley.com/documents/?uuid=0cf2baf9-2f38-4509-b82b-04dd45031631"]}],"mendeley":{"formattedCitation":"(1970)","plainTextFormattedCitation":"(1970)","previouslyFormattedCitation":"(1970)"},"properties":{"noteIndex":0},"schema":"https://github.com/citation-style-language/schema/raw/master/csl-citation.json"}</w:instrText>
      </w:r>
      <w:r w:rsidRPr="002A7627">
        <w:fldChar w:fldCharType="separate"/>
      </w:r>
      <w:r w:rsidRPr="002A7627">
        <w:rPr>
          <w:noProof/>
        </w:rPr>
        <w:t>(1970)</w:t>
      </w:r>
      <w:r w:rsidRPr="002A7627">
        <w:fldChar w:fldCharType="end"/>
      </w:r>
      <w:r w:rsidRPr="002A7627">
        <w:t xml:space="preserve"> shows</w:t>
      </w:r>
      <w:r w:rsidR="00D4519B">
        <w:t xml:space="preserve"> that the</w:t>
      </w:r>
      <w:r w:rsidRPr="002A7627">
        <w:t xml:space="preserve"> ideal sample size for a population of 1000 is 278</w:t>
      </w:r>
      <w:r w:rsidR="00D4519B">
        <w:t>.</w:t>
      </w:r>
      <w:r w:rsidRPr="002A7627">
        <w:t xml:space="preserve"> </w:t>
      </w:r>
      <w:r w:rsidR="00D4519B">
        <w:t>I</w:t>
      </w:r>
      <w:r w:rsidRPr="002A7627">
        <w:t xml:space="preserve">n other words, that size provides an equal representation of the cross-sectional population. Similarly, </w:t>
      </w:r>
      <w:r w:rsidR="00D4519B">
        <w:t>a suitable</w:t>
      </w:r>
      <w:r w:rsidRPr="002A7627">
        <w:t xml:space="preserve"> sample size for a total population of 2000 is 322. A researcher needs to consider whether a given sample for a population is sufficiently adequate to generate accurate and precise research findings with confidence. </w:t>
      </w:r>
    </w:p>
    <w:p w14:paraId="391866D1" w14:textId="2A2BA541" w:rsidR="00587A91" w:rsidRDefault="00587A91" w:rsidP="00234BE3">
      <w:pPr>
        <w:spacing w:line="480" w:lineRule="auto"/>
        <w:jc w:val="lowKashida"/>
      </w:pPr>
      <w:r w:rsidRPr="00504CE1">
        <w:rPr>
          <w:rFonts w:asciiTheme="majorBidi" w:hAnsiTheme="majorBidi" w:cstheme="majorBidi"/>
          <w:szCs w:val="24"/>
        </w:rPr>
        <w:t>The researcher developed criteria for the sample selection based on being employed in a managerial position</w:t>
      </w:r>
      <w:r>
        <w:rPr>
          <w:rFonts w:asciiTheme="majorBidi" w:hAnsiTheme="majorBidi" w:cstheme="majorBidi"/>
          <w:szCs w:val="24"/>
        </w:rPr>
        <w:t xml:space="preserve"> (department manager</w:t>
      </w:r>
      <w:r w:rsidR="00234BE3">
        <w:rPr>
          <w:rFonts w:asciiTheme="majorBidi" w:hAnsiTheme="majorBidi" w:cstheme="majorBidi"/>
          <w:szCs w:val="24"/>
        </w:rPr>
        <w:t>, section manager, branch manager and team leader</w:t>
      </w:r>
      <w:r>
        <w:rPr>
          <w:rFonts w:asciiTheme="majorBidi" w:hAnsiTheme="majorBidi" w:cstheme="majorBidi"/>
          <w:szCs w:val="24"/>
        </w:rPr>
        <w:t>)</w:t>
      </w:r>
      <w:r w:rsidRPr="00504CE1">
        <w:rPr>
          <w:rFonts w:asciiTheme="majorBidi" w:hAnsiTheme="majorBidi" w:cstheme="majorBidi"/>
          <w:szCs w:val="24"/>
        </w:rPr>
        <w:t xml:space="preserve"> and having </w:t>
      </w:r>
      <w:r>
        <w:rPr>
          <w:rFonts w:asciiTheme="majorBidi" w:hAnsiTheme="majorBidi" w:cstheme="majorBidi"/>
          <w:szCs w:val="24"/>
        </w:rPr>
        <w:t xml:space="preserve">more than one year’s </w:t>
      </w:r>
      <w:r w:rsidRPr="00504CE1">
        <w:rPr>
          <w:rFonts w:asciiTheme="majorBidi" w:hAnsiTheme="majorBidi" w:cstheme="majorBidi"/>
          <w:szCs w:val="24"/>
        </w:rPr>
        <w:t xml:space="preserve">experience of knowledge management. The </w:t>
      </w:r>
      <w:r>
        <w:rPr>
          <w:rFonts w:asciiTheme="majorBidi" w:hAnsiTheme="majorBidi" w:cstheme="majorBidi"/>
          <w:szCs w:val="24"/>
        </w:rPr>
        <w:t>HR sector</w:t>
      </w:r>
      <w:r w:rsidRPr="00504CE1">
        <w:rPr>
          <w:rFonts w:asciiTheme="majorBidi" w:hAnsiTheme="majorBidi" w:cstheme="majorBidi"/>
          <w:szCs w:val="24"/>
        </w:rPr>
        <w:t xml:space="preserve"> at ADP provided a filtered list of employees who matched these criteria, a total of </w:t>
      </w:r>
      <w:r w:rsidR="006C41EC">
        <w:rPr>
          <w:rFonts w:asciiTheme="majorBidi" w:hAnsiTheme="majorBidi" w:cstheme="majorBidi"/>
          <w:szCs w:val="24"/>
        </w:rPr>
        <w:t>1800</w:t>
      </w:r>
      <w:r w:rsidR="006C41EC" w:rsidRPr="00504CE1">
        <w:rPr>
          <w:rFonts w:asciiTheme="majorBidi" w:hAnsiTheme="majorBidi" w:cstheme="majorBidi"/>
          <w:szCs w:val="24"/>
        </w:rPr>
        <w:t xml:space="preserve"> </w:t>
      </w:r>
      <w:r w:rsidRPr="00504CE1">
        <w:rPr>
          <w:rFonts w:asciiTheme="majorBidi" w:hAnsiTheme="majorBidi" w:cstheme="majorBidi"/>
          <w:szCs w:val="24"/>
        </w:rPr>
        <w:t xml:space="preserve">potential respondents. </w:t>
      </w:r>
      <w:r w:rsidRPr="002A7627">
        <w:rPr>
          <w:lang w:eastAsia="en-GB"/>
        </w:rPr>
        <w:t xml:space="preserve">Based on the table prepared by </w:t>
      </w:r>
      <w:r w:rsidRPr="002A7627">
        <w:t>Morgan</w:t>
      </w:r>
      <w:r>
        <w:t xml:space="preserve"> and </w:t>
      </w:r>
      <w:r w:rsidRPr="002A7627">
        <w:t xml:space="preserve">Krejcie </w:t>
      </w:r>
      <w:r w:rsidRPr="002A7627">
        <w:fldChar w:fldCharType="begin" w:fldLock="1"/>
      </w:r>
      <w:r w:rsidRPr="002A7627">
        <w:instrText>ADDIN CSL_CITATION {"citationItems":[{"id":"ITEM-1","itemData":{"DOI":"10.1177/001316447003000308","ISSN":"0013-1644","abstract":"The ever increasing demand for research has created a need for an efficient method of determining the sample size needed to be representative of a given population. In the article “Small Sample Techniques,” the research division of the National Education Association has published a formula for determining sample size. Regrettably a table has not bee available for ready, easy reference which could have been constructed using the following formula.","author":[{"dropping-particle":"V.","family":"Krejcie","given":"Robert","non-dropping-particle":"","parse-names":false,"suffix":""},{"dropping-particle":"","family":"Morgan","given":"Daryle W.","non-dropping-particle":"","parse-names":false,"suffix":""}],"container-title":"Educational and Psychological Measurement","id":"ITEM-1","issue":"3","issued":{"date-parts":[["1970","9","2"]]},"page":"607-610","title":"Determining sample size for research activities","type":"article-journal","volume":"30"},"suppress-author":1,"uris":["http://www.mendeley.com/documents/?uuid=0cf2baf9-2f38-4509-b82b-04dd45031631"]}],"mendeley":{"formattedCitation":"(1970)","plainTextFormattedCitation":"(1970)","previouslyFormattedCitation":"(1970)"},"properties":{"noteIndex":0},"schema":"https://github.com/citation-style-language/schema/raw/master/csl-citation.json"}</w:instrText>
      </w:r>
      <w:r w:rsidRPr="002A7627">
        <w:fldChar w:fldCharType="separate"/>
      </w:r>
      <w:r w:rsidRPr="002A7627">
        <w:rPr>
          <w:noProof/>
        </w:rPr>
        <w:t>(1970)</w:t>
      </w:r>
      <w:r w:rsidRPr="002A7627">
        <w:fldChar w:fldCharType="end"/>
      </w:r>
      <w:r w:rsidRPr="002A7627">
        <w:rPr>
          <w:lang w:eastAsia="en-GB"/>
        </w:rPr>
        <w:t xml:space="preserve">, </w:t>
      </w:r>
      <w:r>
        <w:rPr>
          <w:lang w:eastAsia="en-GB"/>
        </w:rPr>
        <w:t>the size of the sample</w:t>
      </w:r>
      <w:r w:rsidRPr="002A7627">
        <w:rPr>
          <w:lang w:eastAsia="en-GB"/>
        </w:rPr>
        <w:t xml:space="preserve"> will be </w:t>
      </w:r>
      <w:r w:rsidR="006C41EC" w:rsidRPr="002A7627">
        <w:rPr>
          <w:lang w:eastAsia="en-GB"/>
        </w:rPr>
        <w:t>3</w:t>
      </w:r>
      <w:r w:rsidR="006C41EC">
        <w:rPr>
          <w:lang w:eastAsia="en-GB"/>
        </w:rPr>
        <w:t>17</w:t>
      </w:r>
      <w:r w:rsidRPr="002A7627">
        <w:rPr>
          <w:lang w:eastAsia="en-GB"/>
        </w:rPr>
        <w:t xml:space="preserve">, which is </w:t>
      </w:r>
      <w:r>
        <w:rPr>
          <w:lang w:eastAsia="en-GB"/>
        </w:rPr>
        <w:t xml:space="preserve">also </w:t>
      </w:r>
      <w:r w:rsidRPr="002A7627">
        <w:rPr>
          <w:lang w:eastAsia="en-GB"/>
        </w:rPr>
        <w:t>considered sufficient for structural equation mode</w:t>
      </w:r>
      <w:r>
        <w:rPr>
          <w:lang w:eastAsia="en-GB"/>
        </w:rPr>
        <w:t>l</w:t>
      </w:r>
      <w:r w:rsidRPr="002A7627">
        <w:rPr>
          <w:lang w:eastAsia="en-GB"/>
        </w:rPr>
        <w:t>ling</w:t>
      </w:r>
      <w:r>
        <w:rPr>
          <w:lang w:eastAsia="en-GB"/>
        </w:rPr>
        <w:t xml:space="preserve">, </w:t>
      </w:r>
      <w:r w:rsidRPr="002A7627">
        <w:rPr>
          <w:lang w:eastAsia="en-GB"/>
        </w:rPr>
        <w:t xml:space="preserve">the statistical technique </w:t>
      </w:r>
      <w:r>
        <w:rPr>
          <w:lang w:eastAsia="en-GB"/>
        </w:rPr>
        <w:t>used</w:t>
      </w:r>
      <w:r w:rsidRPr="002A7627">
        <w:rPr>
          <w:lang w:eastAsia="en-GB"/>
        </w:rPr>
        <w:t xml:space="preserve"> </w:t>
      </w:r>
      <w:r>
        <w:rPr>
          <w:lang w:eastAsia="en-GB"/>
        </w:rPr>
        <w:t>for</w:t>
      </w:r>
      <w:r w:rsidRPr="002A7627">
        <w:rPr>
          <w:lang w:eastAsia="en-GB"/>
        </w:rPr>
        <w:t xml:space="preserve"> data analysis </w:t>
      </w:r>
      <w:r>
        <w:rPr>
          <w:lang w:eastAsia="en-GB"/>
        </w:rPr>
        <w:t>in</w:t>
      </w:r>
      <w:r w:rsidRPr="002A7627">
        <w:rPr>
          <w:lang w:eastAsia="en-GB"/>
        </w:rPr>
        <w:t xml:space="preserve"> this study.</w:t>
      </w:r>
      <w:r>
        <w:rPr>
          <w:lang w:eastAsia="en-GB"/>
        </w:rPr>
        <w:t xml:space="preserve"> </w:t>
      </w:r>
      <w:r w:rsidRPr="00504CE1">
        <w:rPr>
          <w:rFonts w:asciiTheme="majorBidi" w:hAnsiTheme="majorBidi" w:cstheme="majorBidi"/>
          <w:szCs w:val="24"/>
        </w:rPr>
        <w:t xml:space="preserve">The researcher randomly selected 1400 </w:t>
      </w:r>
      <w:r>
        <w:rPr>
          <w:rFonts w:asciiTheme="majorBidi" w:hAnsiTheme="majorBidi" w:cstheme="majorBidi"/>
          <w:szCs w:val="24"/>
        </w:rPr>
        <w:t>and they were contacted via phone, email and in person and briefed about the topic. An</w:t>
      </w:r>
      <w:r w:rsidRPr="00504CE1">
        <w:rPr>
          <w:rFonts w:asciiTheme="majorBidi" w:hAnsiTheme="majorBidi" w:cstheme="majorBidi"/>
          <w:szCs w:val="24"/>
        </w:rPr>
        <w:t xml:space="preserve"> introductory letter explaining the objectives of the study was emailed to them</w:t>
      </w:r>
      <w:r>
        <w:rPr>
          <w:rFonts w:asciiTheme="majorBidi" w:hAnsiTheme="majorBidi" w:cstheme="majorBidi"/>
          <w:szCs w:val="24"/>
        </w:rPr>
        <w:t xml:space="preserve"> through the knowledge management center</w:t>
      </w:r>
      <w:r w:rsidRPr="00504CE1">
        <w:rPr>
          <w:rFonts w:asciiTheme="majorBidi" w:hAnsiTheme="majorBidi" w:cstheme="majorBidi"/>
          <w:szCs w:val="24"/>
        </w:rPr>
        <w:t>.</w:t>
      </w:r>
      <w:r>
        <w:rPr>
          <w:rFonts w:asciiTheme="majorBidi" w:hAnsiTheme="majorBidi" w:cstheme="majorBidi"/>
          <w:szCs w:val="24"/>
        </w:rPr>
        <w:t xml:space="preserve"> </w:t>
      </w:r>
      <w:r w:rsidR="00871B7F" w:rsidRPr="00504CE1" w:rsidDel="000B54C4">
        <w:rPr>
          <w:rFonts w:asciiTheme="majorBidi" w:hAnsiTheme="majorBidi" w:cstheme="majorBidi"/>
          <w:szCs w:val="24"/>
        </w:rPr>
        <w:t>A total of 120 hard copies was also distributed randomly.</w:t>
      </w:r>
      <w:r w:rsidR="00871B7F">
        <w:rPr>
          <w:rFonts w:asciiTheme="majorBidi" w:hAnsiTheme="majorBidi" w:cstheme="majorBidi"/>
          <w:szCs w:val="24"/>
        </w:rPr>
        <w:t xml:space="preserve"> </w:t>
      </w:r>
      <w:r>
        <w:rPr>
          <w:rFonts w:asciiTheme="majorBidi" w:hAnsiTheme="majorBidi" w:cstheme="majorBidi"/>
          <w:szCs w:val="24"/>
        </w:rPr>
        <w:t xml:space="preserve">Out of 1520 people approached, </w:t>
      </w:r>
      <w:r w:rsidR="00871B7F">
        <w:rPr>
          <w:rFonts w:asciiTheme="majorBidi" w:hAnsiTheme="majorBidi" w:cstheme="majorBidi"/>
          <w:szCs w:val="24"/>
        </w:rPr>
        <w:t xml:space="preserve">1277 </w:t>
      </w:r>
      <w:r>
        <w:rPr>
          <w:rFonts w:asciiTheme="majorBidi" w:hAnsiTheme="majorBidi" w:cstheme="majorBidi"/>
          <w:szCs w:val="24"/>
        </w:rPr>
        <w:t>agreed to participate.</w:t>
      </w:r>
      <w:r w:rsidRPr="00504CE1">
        <w:rPr>
          <w:rFonts w:asciiTheme="majorBidi" w:hAnsiTheme="majorBidi" w:cstheme="majorBidi"/>
          <w:szCs w:val="24"/>
        </w:rPr>
        <w:t xml:space="preserve"> For online distribution, a reminder was sent to the participants after three weeks, followed by weekly reminders to complete the questionnaire. A total of 771 responses were received, including 663 online questionnaires and 108 hard copies, giving a response rate of </w:t>
      </w:r>
      <w:r w:rsidR="00871B7F">
        <w:rPr>
          <w:rFonts w:asciiTheme="majorBidi" w:hAnsiTheme="majorBidi" w:cstheme="majorBidi"/>
          <w:szCs w:val="24"/>
        </w:rPr>
        <w:t>60</w:t>
      </w:r>
      <w:r w:rsidRPr="00504CE1">
        <w:rPr>
          <w:rFonts w:asciiTheme="majorBidi" w:hAnsiTheme="majorBidi" w:cstheme="majorBidi"/>
          <w:szCs w:val="24"/>
        </w:rPr>
        <w:t>.</w:t>
      </w:r>
      <w:r w:rsidR="00871B7F">
        <w:rPr>
          <w:rFonts w:asciiTheme="majorBidi" w:hAnsiTheme="majorBidi" w:cstheme="majorBidi"/>
          <w:szCs w:val="24"/>
        </w:rPr>
        <w:t>3</w:t>
      </w:r>
      <w:r w:rsidRPr="00504CE1">
        <w:rPr>
          <w:rFonts w:asciiTheme="majorBidi" w:hAnsiTheme="majorBidi" w:cstheme="majorBidi"/>
          <w:szCs w:val="24"/>
        </w:rPr>
        <w:t>%. The total usable sample was 693.</w:t>
      </w:r>
    </w:p>
    <w:p w14:paraId="12D4DFF6" w14:textId="39A020ED" w:rsidR="008A1A69" w:rsidRPr="008A1A69" w:rsidRDefault="005F6EC8" w:rsidP="00964F2F">
      <w:pPr>
        <w:pStyle w:val="Heading1"/>
      </w:pPr>
      <w:bookmarkStart w:id="183" w:name="_Toc22331685"/>
      <w:r>
        <w:t xml:space="preserve">4.11. </w:t>
      </w:r>
      <w:r w:rsidR="00A93414" w:rsidRPr="002A7627">
        <w:t>Pilot Testing</w:t>
      </w:r>
      <w:bookmarkEnd w:id="183"/>
    </w:p>
    <w:p w14:paraId="2556C6D6" w14:textId="033F7456" w:rsidR="00A93414" w:rsidRPr="002A7627" w:rsidRDefault="00E01BF4" w:rsidP="00156AA9">
      <w:pPr>
        <w:pStyle w:val="AAAAAAA"/>
      </w:pPr>
      <w:r w:rsidRPr="002A7627">
        <w:t xml:space="preserve">Before starting the </w:t>
      </w:r>
      <w:r>
        <w:t>pilot testing</w:t>
      </w:r>
      <w:r w:rsidRPr="002A7627">
        <w:t xml:space="preserve">, </w:t>
      </w:r>
      <w:r w:rsidR="003A1B5A">
        <w:t xml:space="preserve">ethical </w:t>
      </w:r>
      <w:r w:rsidRPr="002A7627">
        <w:t xml:space="preserve">approval was </w:t>
      </w:r>
      <w:r w:rsidR="003A1B5A">
        <w:t>sought</w:t>
      </w:r>
      <w:r w:rsidRPr="002A7627">
        <w:t xml:space="preserve">. First, </w:t>
      </w:r>
      <w:r w:rsidR="003A1B5A">
        <w:t>a</w:t>
      </w:r>
      <w:r w:rsidR="003A1B5A" w:rsidRPr="002A7627">
        <w:t xml:space="preserve"> </w:t>
      </w:r>
      <w:r w:rsidRPr="002A7627">
        <w:t xml:space="preserve">form </w:t>
      </w:r>
      <w:r w:rsidR="003A1B5A">
        <w:t>for the</w:t>
      </w:r>
      <w:r w:rsidR="003A1B5A" w:rsidRPr="002A7627">
        <w:t xml:space="preserve"> </w:t>
      </w:r>
      <w:r w:rsidRPr="002A7627">
        <w:t xml:space="preserve">Institutional Review Board (IRB) was sent to Abu Dhabi University to obtain approval for the process of questionnaire distribution. </w:t>
      </w:r>
      <w:r w:rsidR="003A1B5A">
        <w:t>A</w:t>
      </w:r>
      <w:r w:rsidRPr="002A7627">
        <w:t xml:space="preserve">n official letter </w:t>
      </w:r>
      <w:r w:rsidR="003A1B5A">
        <w:t xml:space="preserve">that set out the study </w:t>
      </w:r>
      <w:r w:rsidRPr="008A0DC6">
        <w:rPr>
          <w:color w:val="000000" w:themeColor="text1"/>
        </w:rPr>
        <w:t>purpose</w:t>
      </w:r>
      <w:r w:rsidRPr="008E14F2">
        <w:rPr>
          <w:color w:val="1F497D" w:themeColor="text2"/>
        </w:rPr>
        <w:t xml:space="preserve"> </w:t>
      </w:r>
      <w:r w:rsidRPr="002A7627">
        <w:t xml:space="preserve">was sent to Abu Dhabi Police (Appendix </w:t>
      </w:r>
      <w:r>
        <w:t>2</w:t>
      </w:r>
      <w:r w:rsidRPr="002A7627">
        <w:t xml:space="preserve">). </w:t>
      </w:r>
      <w:r w:rsidR="003A1B5A">
        <w:t>N</w:t>
      </w:r>
      <w:r w:rsidRPr="002A7627">
        <w:t>ext, a copy of the questionnaire with the research proposal</w:t>
      </w:r>
      <w:r w:rsidR="003A1B5A">
        <w:t>,</w:t>
      </w:r>
      <w:r w:rsidRPr="002A7627">
        <w:t xml:space="preserve"> along with a clarification letter</w:t>
      </w:r>
      <w:r w:rsidR="003A1B5A">
        <w:t>,</w:t>
      </w:r>
      <w:r w:rsidRPr="002A7627">
        <w:t xml:space="preserve"> was sent to the committee of security access control for review by the members of the Security Information Department. </w:t>
      </w:r>
      <w:r w:rsidR="00FC2674">
        <w:t>A</w:t>
      </w:r>
      <w:r w:rsidRPr="002A7627">
        <w:t xml:space="preserve">n approval letter was </w:t>
      </w:r>
      <w:r w:rsidR="00FC2674">
        <w:t xml:space="preserve">then </w:t>
      </w:r>
      <w:r w:rsidRPr="002A7627">
        <w:t xml:space="preserve">mailed to the Human Resources Sector. </w:t>
      </w:r>
      <w:r>
        <w:t xml:space="preserve">After receiving permission for </w:t>
      </w:r>
      <w:r w:rsidR="003A1B5A">
        <w:t>the</w:t>
      </w:r>
      <w:r>
        <w:t xml:space="preserve"> study, pilot testing was </w:t>
      </w:r>
      <w:r w:rsidR="003A1B5A">
        <w:t xml:space="preserve">used </w:t>
      </w:r>
      <w:r w:rsidR="00A93414" w:rsidRPr="002A7627">
        <w:t xml:space="preserve">to verify the validity </w:t>
      </w:r>
      <w:r w:rsidR="003A1B5A">
        <w:t>and</w:t>
      </w:r>
      <w:r w:rsidR="00A93414" w:rsidRPr="002A7627">
        <w:t xml:space="preserve"> reliability of the questionnaire before starting </w:t>
      </w:r>
      <w:r w:rsidR="003A1B5A">
        <w:t xml:space="preserve">full </w:t>
      </w:r>
      <w:r w:rsidR="00A93414" w:rsidRPr="002A7627">
        <w:t xml:space="preserve">data collection. According to </w:t>
      </w:r>
      <w:r w:rsidR="00A93414" w:rsidRPr="002A7627">
        <w:rPr>
          <w:noProof/>
        </w:rPr>
        <w:t>Hair</w:t>
      </w:r>
      <w:r w:rsidR="000F122C">
        <w:rPr>
          <w:noProof/>
        </w:rPr>
        <w:t xml:space="preserve"> et al.</w:t>
      </w:r>
      <w:r w:rsidR="00A93414" w:rsidRPr="002A7627">
        <w:rPr>
          <w:noProof/>
        </w:rPr>
        <w:t xml:space="preserve"> (2015)</w:t>
      </w:r>
      <w:r w:rsidR="00A93414" w:rsidRPr="002A7627">
        <w:t xml:space="preserve">, </w:t>
      </w:r>
      <w:r w:rsidR="003A1B5A">
        <w:t xml:space="preserve">at least </w:t>
      </w:r>
      <w:r w:rsidR="00156AA9">
        <w:t>four or five individuals</w:t>
      </w:r>
      <w:r w:rsidR="003A1B5A">
        <w:t>,</w:t>
      </w:r>
      <w:r w:rsidR="00156AA9">
        <w:t xml:space="preserve"> </w:t>
      </w:r>
      <w:r w:rsidR="003A1B5A">
        <w:t xml:space="preserve">and </w:t>
      </w:r>
      <w:r w:rsidR="00156AA9">
        <w:t xml:space="preserve">up to 30, </w:t>
      </w:r>
      <w:r w:rsidR="003A1B5A">
        <w:t>are</w:t>
      </w:r>
      <w:r w:rsidR="00156AA9">
        <w:t xml:space="preserve"> required</w:t>
      </w:r>
      <w:r w:rsidR="00A93414" w:rsidRPr="002A7627">
        <w:t xml:space="preserve"> for a pilot test. </w:t>
      </w:r>
      <w:r w:rsidR="00A93414" w:rsidRPr="002A7627">
        <w:fldChar w:fldCharType="begin" w:fldLock="1"/>
      </w:r>
      <w:r w:rsidR="00A93414" w:rsidRPr="002A7627">
        <w:instrText>ADDIN CSL_CITATION {"citationItems":[{"id":"ITEM-1","itemData":{"author":[{"dropping-particle":"","family":"Greener","given":"S","non-dropping-particle":"","parse-names":false,"suffix":""}],"id":"ITEM-1","issued":{"date-parts":[["2008"]]},"publisher":"Greener &amp; Ventus","publisher-place":"London, UK","title":"Business research methods","type":"book"},"uris":["http://www.mendeley.com/documents/?uuid=a27ceeb9-b764-3170-9b03-c79536a3d89c"]}],"mendeley":{"formattedCitation":"(Greener, 2008)","manualFormatting":"Greener (2008)","plainTextFormattedCitation":"(Greener, 2008)","previouslyFormattedCitation":"(Greener, 2008)"},"properties":{"noteIndex":0},"schema":"https://github.com/citation-style-language/schema/raw/master/csl-citation.json"}</w:instrText>
      </w:r>
      <w:r w:rsidR="00A93414" w:rsidRPr="002A7627">
        <w:fldChar w:fldCharType="separate"/>
      </w:r>
      <w:r w:rsidR="00A93414" w:rsidRPr="002A7627">
        <w:rPr>
          <w:noProof/>
        </w:rPr>
        <w:t>Greener (2008)</w:t>
      </w:r>
      <w:r w:rsidR="00A93414" w:rsidRPr="002A7627">
        <w:fldChar w:fldCharType="end"/>
      </w:r>
      <w:r w:rsidR="00A93414" w:rsidRPr="002A7627">
        <w:t xml:space="preserve"> suggested that </w:t>
      </w:r>
      <w:r w:rsidR="003A1B5A">
        <w:t>for</w:t>
      </w:r>
      <w:r w:rsidR="00A93414" w:rsidRPr="002A7627">
        <w:t xml:space="preserve"> a statistical analysis of the data, the </w:t>
      </w:r>
      <w:r w:rsidR="00A93414">
        <w:t xml:space="preserve">sample size </w:t>
      </w:r>
      <w:r w:rsidR="00A93414" w:rsidRPr="002A7627">
        <w:t xml:space="preserve">should be </w:t>
      </w:r>
      <w:r w:rsidR="003A1B5A">
        <w:t xml:space="preserve">at least </w:t>
      </w:r>
      <w:r w:rsidR="00A93414" w:rsidRPr="002A7627">
        <w:t xml:space="preserve">30, </w:t>
      </w:r>
      <w:r w:rsidR="00A93414">
        <w:t xml:space="preserve">because this provides more chance </w:t>
      </w:r>
      <w:r w:rsidR="003A1B5A">
        <w:t xml:space="preserve">of </w:t>
      </w:r>
      <w:r w:rsidR="00A93414">
        <w:t>a normal distribution.</w:t>
      </w:r>
    </w:p>
    <w:p w14:paraId="0D16C787" w14:textId="4FA1A8A1" w:rsidR="00A93414" w:rsidRDefault="00A93414" w:rsidP="00A93414">
      <w:pPr>
        <w:pStyle w:val="AAAAAAA"/>
        <w:rPr>
          <w:rFonts w:eastAsiaTheme="minorEastAsia"/>
        </w:rPr>
      </w:pPr>
      <w:r w:rsidRPr="002A7627">
        <w:t>Th</w:t>
      </w:r>
      <w:r w:rsidR="0043558A">
        <w:t>is</w:t>
      </w:r>
      <w:r w:rsidRPr="002A7627">
        <w:t xml:space="preserve"> research </w:t>
      </w:r>
      <w:r w:rsidR="0043558A">
        <w:t xml:space="preserve">therefore obtained </w:t>
      </w:r>
      <w:r w:rsidRPr="002A7627">
        <w:t xml:space="preserve">feedback from 30 </w:t>
      </w:r>
      <w:r w:rsidR="0043558A">
        <w:t>p</w:t>
      </w:r>
      <w:r w:rsidRPr="002A7627">
        <w:t xml:space="preserve">olice personnel to ensure that there </w:t>
      </w:r>
      <w:r w:rsidR="0043558A">
        <w:t>was</w:t>
      </w:r>
      <w:r w:rsidR="0043558A" w:rsidRPr="002A7627">
        <w:t xml:space="preserve"> </w:t>
      </w:r>
      <w:r w:rsidRPr="002A7627">
        <w:t xml:space="preserve">no problem responding to questions. </w:t>
      </w:r>
      <w:r w:rsidRPr="002A7627">
        <w:rPr>
          <w:rFonts w:eastAsiaTheme="minorEastAsia"/>
        </w:rPr>
        <w:t>The pilot test also us</w:t>
      </w:r>
      <w:r w:rsidR="0043558A">
        <w:rPr>
          <w:rFonts w:eastAsiaTheme="minorEastAsia"/>
        </w:rPr>
        <w:t>ed</w:t>
      </w:r>
      <w:r w:rsidRPr="002A7627">
        <w:rPr>
          <w:rFonts w:eastAsiaTheme="minorEastAsia"/>
        </w:rPr>
        <w:t xml:space="preserve"> the responses and feedback from five officers who were </w:t>
      </w:r>
      <w:r w:rsidR="0043558A">
        <w:rPr>
          <w:rFonts w:eastAsiaTheme="minorEastAsia"/>
        </w:rPr>
        <w:t>knowledge management</w:t>
      </w:r>
      <w:r w:rsidR="0043558A" w:rsidRPr="002A7627">
        <w:rPr>
          <w:rFonts w:eastAsiaTheme="minorEastAsia"/>
        </w:rPr>
        <w:t xml:space="preserve"> </w:t>
      </w:r>
      <w:r w:rsidRPr="002A7627">
        <w:rPr>
          <w:rFonts w:eastAsiaTheme="minorEastAsia"/>
        </w:rPr>
        <w:t xml:space="preserve">practitioners. </w:t>
      </w:r>
      <w:r w:rsidR="00156AA9">
        <w:rPr>
          <w:rFonts w:eastAsiaTheme="minorEastAsia"/>
        </w:rPr>
        <w:t>A</w:t>
      </w:r>
      <w:r w:rsidRPr="002A7627">
        <w:rPr>
          <w:rFonts w:eastAsiaTheme="minorEastAsia"/>
        </w:rPr>
        <w:t xml:space="preserve"> </w:t>
      </w:r>
      <w:r w:rsidR="0043558A">
        <w:rPr>
          <w:rFonts w:eastAsiaTheme="minorEastAsia"/>
        </w:rPr>
        <w:t>five</w:t>
      </w:r>
      <w:r w:rsidRPr="002A7627">
        <w:rPr>
          <w:rFonts w:eastAsiaTheme="minorEastAsia"/>
        </w:rPr>
        <w:t>-point Likert</w:t>
      </w:r>
      <w:r w:rsidR="0043558A">
        <w:rPr>
          <w:rFonts w:eastAsiaTheme="minorEastAsia"/>
        </w:rPr>
        <w:t>-type</w:t>
      </w:r>
      <w:r w:rsidRPr="002A7627">
        <w:rPr>
          <w:rFonts w:eastAsiaTheme="minorEastAsia"/>
        </w:rPr>
        <w:t xml:space="preserve"> </w:t>
      </w:r>
      <w:r w:rsidR="0043558A">
        <w:rPr>
          <w:rFonts w:eastAsiaTheme="minorEastAsia"/>
        </w:rPr>
        <w:t>s</w:t>
      </w:r>
      <w:r w:rsidRPr="002A7627">
        <w:rPr>
          <w:rFonts w:eastAsiaTheme="minorEastAsia"/>
        </w:rPr>
        <w:t xml:space="preserve">cale </w:t>
      </w:r>
      <w:r>
        <w:rPr>
          <w:rFonts w:eastAsiaTheme="minorEastAsia"/>
        </w:rPr>
        <w:t xml:space="preserve">was </w:t>
      </w:r>
      <w:r w:rsidR="0043558A">
        <w:rPr>
          <w:rFonts w:eastAsiaTheme="minorEastAsia"/>
        </w:rPr>
        <w:t>used for</w:t>
      </w:r>
      <w:r>
        <w:rPr>
          <w:rFonts w:eastAsiaTheme="minorEastAsia"/>
        </w:rPr>
        <w:t xml:space="preserve"> </w:t>
      </w:r>
      <w:r w:rsidR="0043558A">
        <w:rPr>
          <w:rFonts w:eastAsiaTheme="minorEastAsia"/>
        </w:rPr>
        <w:t>responses</w:t>
      </w:r>
      <w:r>
        <w:rPr>
          <w:rFonts w:eastAsiaTheme="minorEastAsia"/>
        </w:rPr>
        <w:t xml:space="preserve">. </w:t>
      </w:r>
    </w:p>
    <w:p w14:paraId="3DF150F9" w14:textId="4B52B50B" w:rsidR="00A93414" w:rsidRDefault="0043558A" w:rsidP="00A93414">
      <w:pPr>
        <w:pStyle w:val="AAAAAAA"/>
        <w:rPr>
          <w:rFonts w:eastAsiaTheme="minorEastAsia"/>
        </w:rPr>
      </w:pPr>
      <w:r>
        <w:rPr>
          <w:rFonts w:eastAsiaTheme="minorEastAsia"/>
        </w:rPr>
        <w:t>T</w:t>
      </w:r>
      <w:r w:rsidR="00A93414" w:rsidRPr="002A7627">
        <w:rPr>
          <w:rFonts w:eastAsiaTheme="minorEastAsia"/>
        </w:rPr>
        <w:t xml:space="preserve">he questionnaire was </w:t>
      </w:r>
      <w:r w:rsidR="00A93414">
        <w:rPr>
          <w:rFonts w:eastAsiaTheme="minorEastAsia"/>
        </w:rPr>
        <w:t>initi</w:t>
      </w:r>
      <w:r w:rsidR="00A93414" w:rsidRPr="002A7627">
        <w:rPr>
          <w:rFonts w:eastAsiaTheme="minorEastAsia"/>
        </w:rPr>
        <w:t xml:space="preserve">ally developed in English. </w:t>
      </w:r>
      <w:r>
        <w:rPr>
          <w:rFonts w:eastAsiaTheme="minorEastAsia"/>
        </w:rPr>
        <w:t>However</w:t>
      </w:r>
      <w:r w:rsidR="00156AA9">
        <w:rPr>
          <w:rFonts w:eastAsiaTheme="minorEastAsia"/>
        </w:rPr>
        <w:t>,</w:t>
      </w:r>
      <w:r w:rsidR="00A93414" w:rsidRPr="002A7627">
        <w:rPr>
          <w:rFonts w:eastAsiaTheme="minorEastAsia"/>
        </w:rPr>
        <w:t xml:space="preserve"> most </w:t>
      </w:r>
      <w:r>
        <w:rPr>
          <w:rFonts w:eastAsiaTheme="minorEastAsia"/>
        </w:rPr>
        <w:t>ADP</w:t>
      </w:r>
      <w:r w:rsidRPr="002A7627">
        <w:rPr>
          <w:rFonts w:eastAsiaTheme="minorEastAsia"/>
        </w:rPr>
        <w:t xml:space="preserve"> </w:t>
      </w:r>
      <w:r w:rsidR="00A93414" w:rsidRPr="002A7627">
        <w:rPr>
          <w:rFonts w:eastAsiaTheme="minorEastAsia"/>
        </w:rPr>
        <w:t xml:space="preserve">employees only </w:t>
      </w:r>
      <w:r>
        <w:rPr>
          <w:rFonts w:eastAsiaTheme="minorEastAsia"/>
        </w:rPr>
        <w:t>speak</w:t>
      </w:r>
      <w:r w:rsidRPr="002A7627">
        <w:rPr>
          <w:rFonts w:eastAsiaTheme="minorEastAsia"/>
        </w:rPr>
        <w:t xml:space="preserve"> </w:t>
      </w:r>
      <w:r w:rsidR="00A93414" w:rsidRPr="002A7627">
        <w:rPr>
          <w:rFonts w:eastAsiaTheme="minorEastAsia"/>
        </w:rPr>
        <w:t xml:space="preserve">Arabic, </w:t>
      </w:r>
      <w:r>
        <w:rPr>
          <w:rFonts w:eastAsiaTheme="minorEastAsia"/>
        </w:rPr>
        <w:t xml:space="preserve">so </w:t>
      </w:r>
      <w:r w:rsidR="00A93414" w:rsidRPr="002A7627">
        <w:rPr>
          <w:rFonts w:eastAsiaTheme="minorEastAsia"/>
        </w:rPr>
        <w:t xml:space="preserve">the </w:t>
      </w:r>
      <w:r w:rsidR="00A93414">
        <w:rPr>
          <w:rFonts w:eastAsiaTheme="minorEastAsia"/>
        </w:rPr>
        <w:t>survey</w:t>
      </w:r>
      <w:r w:rsidR="00A93414" w:rsidRPr="002A7627">
        <w:rPr>
          <w:rFonts w:eastAsiaTheme="minorEastAsia"/>
        </w:rPr>
        <w:t xml:space="preserve"> was translated into Arabic</w:t>
      </w:r>
      <w:r w:rsidR="00A93414">
        <w:rPr>
          <w:rFonts w:eastAsiaTheme="minorEastAsia"/>
        </w:rPr>
        <w:t xml:space="preserve"> </w:t>
      </w:r>
      <w:r w:rsidR="00156AA9">
        <w:rPr>
          <w:rFonts w:eastAsiaTheme="minorEastAsia"/>
        </w:rPr>
        <w:t>by a legal translator</w:t>
      </w:r>
      <w:r w:rsidR="00A93414" w:rsidRPr="002A7627">
        <w:rPr>
          <w:rFonts w:eastAsiaTheme="minorEastAsia"/>
        </w:rPr>
        <w:t xml:space="preserve">. </w:t>
      </w:r>
      <w:r w:rsidR="00A93414">
        <w:rPr>
          <w:rFonts w:eastAsiaTheme="minorEastAsia"/>
        </w:rPr>
        <w:t>B</w:t>
      </w:r>
      <w:r w:rsidR="00A93414" w:rsidRPr="002A7627">
        <w:rPr>
          <w:rFonts w:eastAsiaTheme="minorEastAsia"/>
        </w:rPr>
        <w:t>ackward t</w:t>
      </w:r>
      <w:r w:rsidR="00A93414">
        <w:rPr>
          <w:rFonts w:eastAsiaTheme="minorEastAsia"/>
        </w:rPr>
        <w:t xml:space="preserve">ranslation was </w:t>
      </w:r>
      <w:r>
        <w:rPr>
          <w:rFonts w:eastAsiaTheme="minorEastAsia"/>
        </w:rPr>
        <w:t>used</w:t>
      </w:r>
      <w:r w:rsidR="00156AA9">
        <w:rPr>
          <w:rFonts w:eastAsiaTheme="minorEastAsia"/>
        </w:rPr>
        <w:t xml:space="preserve"> to avoid bias.</w:t>
      </w:r>
      <w:r w:rsidR="005B4831">
        <w:rPr>
          <w:rFonts w:eastAsiaTheme="minorEastAsia"/>
        </w:rPr>
        <w:t xml:space="preserve"> The English version of the questionnaire is shown in Appendix 1.</w:t>
      </w:r>
    </w:p>
    <w:p w14:paraId="6DBC2C82" w14:textId="2234B9D4" w:rsidR="00A93414" w:rsidRPr="002A7627" w:rsidRDefault="0043558A" w:rsidP="00F93AAB">
      <w:pPr>
        <w:pStyle w:val="AAAAAAA"/>
        <w:rPr>
          <w:lang w:eastAsia="en-GB"/>
        </w:rPr>
      </w:pPr>
      <w:r>
        <w:rPr>
          <w:rFonts w:eastAsiaTheme="minorEastAsia"/>
        </w:rPr>
        <w:t>Following suggestions from</w:t>
      </w:r>
      <w:r w:rsidR="00A93414" w:rsidRPr="002A7627">
        <w:rPr>
          <w:rFonts w:eastAsiaTheme="minorEastAsia"/>
        </w:rPr>
        <w:t xml:space="preserve"> the respondents in the pilot testing, some modifications were </w:t>
      </w:r>
      <w:r>
        <w:rPr>
          <w:rFonts w:eastAsiaTheme="minorEastAsia"/>
        </w:rPr>
        <w:t>made</w:t>
      </w:r>
      <w:r w:rsidRPr="002A7627">
        <w:rPr>
          <w:rFonts w:eastAsiaTheme="minorEastAsia"/>
        </w:rPr>
        <w:t xml:space="preserve"> </w:t>
      </w:r>
      <w:r w:rsidR="00A93414" w:rsidRPr="002A7627">
        <w:rPr>
          <w:rFonts w:eastAsiaTheme="minorEastAsia"/>
        </w:rPr>
        <w:t xml:space="preserve">to items related to </w:t>
      </w:r>
      <w:r>
        <w:rPr>
          <w:rFonts w:eastAsiaTheme="minorEastAsia"/>
        </w:rPr>
        <w:t>knowledge management capabilities</w:t>
      </w:r>
      <w:r w:rsidR="00A93414">
        <w:rPr>
          <w:rFonts w:eastAsiaTheme="minorEastAsia"/>
        </w:rPr>
        <w:t xml:space="preserve">, </w:t>
      </w:r>
      <w:r>
        <w:rPr>
          <w:rFonts w:eastAsiaTheme="minorEastAsia"/>
        </w:rPr>
        <w:t>extrinsic motivation-enhancing HR practices</w:t>
      </w:r>
      <w:r w:rsidR="00A93414">
        <w:rPr>
          <w:rFonts w:eastAsiaTheme="minorEastAsia"/>
        </w:rPr>
        <w:t xml:space="preserve">, </w:t>
      </w:r>
      <w:r>
        <w:rPr>
          <w:rFonts w:eastAsiaTheme="minorEastAsia"/>
        </w:rPr>
        <w:t>opportunity-enhancing HR practices</w:t>
      </w:r>
      <w:r w:rsidR="00A93414" w:rsidRPr="002A7627">
        <w:rPr>
          <w:rFonts w:eastAsiaTheme="minorEastAsia"/>
        </w:rPr>
        <w:t xml:space="preserve"> and </w:t>
      </w:r>
      <w:r>
        <w:rPr>
          <w:rFonts w:eastAsiaTheme="minorEastAsia"/>
        </w:rPr>
        <w:t>knowledge management benefits</w:t>
      </w:r>
      <w:r w:rsidR="00A93414" w:rsidRPr="002A7627">
        <w:rPr>
          <w:rFonts w:eastAsiaTheme="minorEastAsia"/>
        </w:rPr>
        <w:t xml:space="preserve">. </w:t>
      </w:r>
      <w:r>
        <w:rPr>
          <w:rFonts w:eastAsiaTheme="minorEastAsia"/>
        </w:rPr>
        <w:t>T</w:t>
      </w:r>
      <w:r w:rsidR="0073439D">
        <w:rPr>
          <w:rFonts w:eastAsiaTheme="minorEastAsia"/>
        </w:rPr>
        <w:t xml:space="preserve">he collected data </w:t>
      </w:r>
      <w:r>
        <w:rPr>
          <w:rFonts w:eastAsiaTheme="minorEastAsia"/>
        </w:rPr>
        <w:t>were then</w:t>
      </w:r>
      <w:r w:rsidR="0073439D">
        <w:rPr>
          <w:rFonts w:eastAsiaTheme="minorEastAsia"/>
        </w:rPr>
        <w:t xml:space="preserve"> </w:t>
      </w:r>
      <w:r>
        <w:rPr>
          <w:rFonts w:eastAsiaTheme="minorEastAsia"/>
        </w:rPr>
        <w:t>used to</w:t>
      </w:r>
      <w:r w:rsidR="0073439D">
        <w:rPr>
          <w:rFonts w:eastAsiaTheme="minorEastAsia"/>
        </w:rPr>
        <w:t xml:space="preserve"> verify</w:t>
      </w:r>
      <w:r w:rsidR="00F93AAB">
        <w:rPr>
          <w:rFonts w:eastAsiaTheme="minorEastAsia"/>
        </w:rPr>
        <w:t xml:space="preserve"> the validity and reliability of the instrument.</w:t>
      </w:r>
      <w:r w:rsidR="00A93414" w:rsidRPr="002A7627">
        <w:rPr>
          <w:rFonts w:eastAsiaTheme="minorEastAsia"/>
        </w:rPr>
        <w:t xml:space="preserve"> </w:t>
      </w:r>
      <w:r w:rsidR="00A93414">
        <w:t xml:space="preserve">The </w:t>
      </w:r>
      <w:r w:rsidR="00F93AAB">
        <w:t>reliability</w:t>
      </w:r>
      <w:r w:rsidR="00A93414">
        <w:t xml:space="preserve"> </w:t>
      </w:r>
      <w:r w:rsidR="00F93AAB">
        <w:t>was</w:t>
      </w:r>
      <w:r w:rsidR="00A93414">
        <w:t xml:space="preserve"> evaluated using Cronbach’s alpha</w:t>
      </w:r>
      <w:r w:rsidR="00A93414" w:rsidRPr="002A7627">
        <w:t xml:space="preserve">. </w:t>
      </w:r>
      <w:r w:rsidR="00A93414" w:rsidRPr="002A7627">
        <w:rPr>
          <w:lang w:eastAsia="en-GB"/>
        </w:rPr>
        <w:t xml:space="preserve">According to </w:t>
      </w:r>
      <w:r w:rsidR="00A93414" w:rsidRPr="002A7627">
        <w:rPr>
          <w:lang w:eastAsia="en-GB"/>
        </w:rPr>
        <w:fldChar w:fldCharType="begin" w:fldLock="1"/>
      </w:r>
      <w:r w:rsidR="00A93414" w:rsidRPr="002A7627">
        <w:rPr>
          <w:lang w:eastAsia="en-GB"/>
        </w:rPr>
        <w:instrText>ADDIN CSL_CITATION {"citationItems":[{"id":"ITEM-1","itemData":{"ISBN":"0471203661","ISSN":"00094978","PMID":"11942021","abstract":"Seventh edition. Introduction to research -- The scientific approach and alternative approaches to investigation -- Defining and refining the problem -- The critical literature review -- Theoretical framework and hypothesis development -- Elements of research design -- Interviews -- Data collection methods : observation -- Administering questionnaires -- Experimental designs -- Measurement variables : operational definition -- Measurement : scaling, reliability and validity -- Sampling -- Quantitative data analysis -- Quantitative data analysis : hypothesis testing -- Qualitative data analysis -- The research report.","author":[{"dropping-particle":"","family":"Sekaran","given":"Uma","non-dropping-particle":"","parse-names":false,"suffix":""},{"dropping-particle":"","family":"Bougie","given":"R","non-dropping-particle":"","parse-names":false,"suffix":""}],"id":"ITEM-1","issued":{"date-parts":[["2011"]]},"publisher":"Wiley","publisher-place":"London, UK","title":"Business research methods: A skill-building approach","type":"book"},"uris":["http://www.mendeley.com/documents/?uuid=f40dfe9b-2737-4a7d-a7a0-3c853a0cd034"]}],"mendeley":{"formattedCitation":"(Sekaran &amp; Bougie, 2011)","manualFormatting":"Sekaran and Bougie (2011)","plainTextFormattedCitation":"(Sekaran &amp; Bougie, 2011)","previouslyFormattedCitation":"(Sekaran &amp; Bougie, 2011)"},"properties":{"noteIndex":0},"schema":"https://github.com/citation-style-language/schema/raw/master/csl-citation.json"}</w:instrText>
      </w:r>
      <w:r w:rsidR="00A93414" w:rsidRPr="002A7627">
        <w:rPr>
          <w:lang w:eastAsia="en-GB"/>
        </w:rPr>
        <w:fldChar w:fldCharType="separate"/>
      </w:r>
      <w:r w:rsidR="00A93414" w:rsidRPr="002A7627">
        <w:rPr>
          <w:noProof/>
          <w:lang w:eastAsia="en-GB"/>
        </w:rPr>
        <w:t>Sekaran and Bougie (2011)</w:t>
      </w:r>
      <w:r w:rsidR="00A93414" w:rsidRPr="002A7627">
        <w:rPr>
          <w:lang w:eastAsia="en-GB"/>
        </w:rPr>
        <w:fldChar w:fldCharType="end"/>
      </w:r>
      <w:r w:rsidR="00A93414" w:rsidRPr="002A7627">
        <w:rPr>
          <w:lang w:eastAsia="en-GB"/>
        </w:rPr>
        <w:t xml:space="preserve"> and</w:t>
      </w:r>
      <w:r w:rsidR="00A93414" w:rsidRPr="002A7627">
        <w:rPr>
          <w:lang w:eastAsia="en-GB"/>
        </w:rPr>
        <w:fldChar w:fldCharType="begin" w:fldLock="1"/>
      </w:r>
      <w:r w:rsidR="00A93414" w:rsidRPr="002A7627">
        <w:rPr>
          <w:lang w:eastAsia="en-GB"/>
        </w:rPr>
        <w:instrText>ADDIN CSL_CITATION {"citationItems":[{"id":"ITEM-1","itemData":{"ISBN":"9781317508267","abstract":"&amp; Francis. All rights reserved.Increasingly, managers must make decisions based on almost unlimited information. How can they navigate and organize this vast amount of data? Essentials of Business Research Methods provides research techniques for people who aren't data analysts. The authors offer a straightforward, hands-on approach to the vital managerial process of gathering and using data to make clear business decisions. They include critical topics, such as the increasing role of online research, ethical issues, data mining, customer relationship management, and how to conduct information-gathering activities more effectively in a rapidly changing business environment. This is the only text that includes a chapter on qualitative data analysis, and the coverage of quantitative data analysis is more extensive, and much easier to understand than in other texts. The book features a realistic continuing case throughout that enables students to see how business research information is used in the real world. It includes applied research examples in all chapters, as well as ethical dilemma mini cases, and exercises. ? 2016 Taylor","author":[{"dropping-particle":"","family":"Hair","given":"Joseph F.","non-dropping-particle":"","parse-names":false,"suffix":""},{"dropping-particle":"","family":"Celsi","given":"Mary","non-dropping-particle":"","parse-names":false,"suffix":""},{"dropping-particle":"","family":"Money","given":"Arthur","non-dropping-particle":"","parse-names":false,"suffix":""},{"dropping-particle":"","family":"Samouel","given":"Phillip","non-dropping-particle":"","parse-names":false,"suffix":""},{"dropping-particle":"","family":"Page","given":"Michael","non-dropping-particle":"","parse-names":false,"suffix":""}],"edition":"3rd ed.","id":"ITEM-1","issued":{"date-parts":[["2015"]]},"publisher":"Sharpe","publisher-place":"New York, NY","title":"The essentials of business research methods","type":"book"},"uris":["http://www.mendeley.com/documents/?uuid=d9539117-f20b-4fb5-b0a5-19fc556715a2"]}],"mendeley":{"formattedCitation":"(Hair et al., 2015)","manualFormatting":" Hair et al. (2015)","plainTextFormattedCitation":"(Hair et al., 2015)","previouslyFormattedCitation":"(Hair et al., 2015)"},"properties":{"noteIndex":0},"schema":"https://github.com/citation-style-language/schema/raw/master/csl-citation.json"}</w:instrText>
      </w:r>
      <w:r w:rsidR="00A93414" w:rsidRPr="002A7627">
        <w:rPr>
          <w:lang w:eastAsia="en-GB"/>
        </w:rPr>
        <w:fldChar w:fldCharType="separate"/>
      </w:r>
      <w:r w:rsidR="00A93414" w:rsidRPr="002A7627">
        <w:rPr>
          <w:noProof/>
          <w:lang w:eastAsia="en-GB"/>
        </w:rPr>
        <w:t xml:space="preserve"> Hair et al. (2015)</w:t>
      </w:r>
      <w:r w:rsidR="00A93414" w:rsidRPr="002A7627">
        <w:rPr>
          <w:lang w:eastAsia="en-GB"/>
        </w:rPr>
        <w:fldChar w:fldCharType="end"/>
      </w:r>
      <w:r w:rsidR="00A93414" w:rsidRPr="002A7627">
        <w:rPr>
          <w:lang w:eastAsia="en-GB"/>
        </w:rPr>
        <w:t xml:space="preserve">, Cronbach’s alpha is the </w:t>
      </w:r>
      <w:r>
        <w:rPr>
          <w:lang w:eastAsia="en-GB"/>
        </w:rPr>
        <w:t>most</w:t>
      </w:r>
      <w:r w:rsidRPr="002A7627">
        <w:rPr>
          <w:lang w:eastAsia="en-GB"/>
        </w:rPr>
        <w:t xml:space="preserve"> </w:t>
      </w:r>
      <w:r w:rsidR="00A93414" w:rsidRPr="002A7627">
        <w:rPr>
          <w:lang w:eastAsia="en-GB"/>
        </w:rPr>
        <w:t xml:space="preserve">frequently used statistic </w:t>
      </w:r>
      <w:r>
        <w:rPr>
          <w:lang w:eastAsia="en-GB"/>
        </w:rPr>
        <w:t xml:space="preserve">for this purpose, and </w:t>
      </w:r>
      <w:r w:rsidR="00A93414" w:rsidRPr="002A7627">
        <w:rPr>
          <w:lang w:eastAsia="en-GB"/>
        </w:rPr>
        <w:t>offers a</w:t>
      </w:r>
      <w:r w:rsidR="00A93414">
        <w:rPr>
          <w:lang w:eastAsia="en-GB"/>
        </w:rPr>
        <w:t xml:space="preserve"> common</w:t>
      </w:r>
      <w:r w:rsidR="00A93414" w:rsidRPr="002A7627">
        <w:rPr>
          <w:lang w:eastAsia="en-GB"/>
        </w:rPr>
        <w:t xml:space="preserve"> correlation indication among all scale items. </w:t>
      </w:r>
      <w:r w:rsidR="00A93414">
        <w:rPr>
          <w:lang w:eastAsia="en-GB"/>
        </w:rPr>
        <w:t>The reliability</w:t>
      </w:r>
      <w:r w:rsidR="006A727F">
        <w:rPr>
          <w:lang w:eastAsia="en-GB"/>
        </w:rPr>
        <w:t xml:space="preserve"> values</w:t>
      </w:r>
      <w:r w:rsidR="00A93414">
        <w:rPr>
          <w:lang w:eastAsia="en-GB"/>
        </w:rPr>
        <w:t xml:space="preserve"> </w:t>
      </w:r>
      <w:r w:rsidR="00904C7D">
        <w:rPr>
          <w:lang w:eastAsia="en-GB"/>
        </w:rPr>
        <w:t>vary</w:t>
      </w:r>
      <w:r w:rsidR="00A93414">
        <w:rPr>
          <w:lang w:eastAsia="en-GB"/>
        </w:rPr>
        <w:t xml:space="preserve"> from 0 to 1</w:t>
      </w:r>
      <w:r w:rsidR="00A93414" w:rsidRPr="002A7627">
        <w:rPr>
          <w:lang w:eastAsia="en-GB"/>
        </w:rPr>
        <w:t xml:space="preserve">.0, </w:t>
      </w:r>
      <w:r w:rsidR="00A93414">
        <w:rPr>
          <w:lang w:eastAsia="en-GB"/>
        </w:rPr>
        <w:t xml:space="preserve">and the reliability </w:t>
      </w:r>
      <w:r>
        <w:rPr>
          <w:lang w:eastAsia="en-GB"/>
        </w:rPr>
        <w:t>increases with higher</w:t>
      </w:r>
      <w:r w:rsidR="00A93414">
        <w:rPr>
          <w:lang w:eastAsia="en-GB"/>
        </w:rPr>
        <w:t xml:space="preserve"> score</w:t>
      </w:r>
      <w:r>
        <w:rPr>
          <w:lang w:eastAsia="en-GB"/>
        </w:rPr>
        <w:t>s</w:t>
      </w:r>
      <w:r w:rsidR="00A93414" w:rsidRPr="002A7627">
        <w:rPr>
          <w:lang w:eastAsia="en-GB"/>
        </w:rPr>
        <w:t>. According to</w:t>
      </w:r>
      <w:r w:rsidR="00A93414" w:rsidRPr="002A7627">
        <w:rPr>
          <w:lang w:eastAsia="en-GB"/>
        </w:rPr>
        <w:fldChar w:fldCharType="begin" w:fldLock="1"/>
      </w:r>
      <w:r w:rsidR="00A93414" w:rsidRPr="002A7627">
        <w:rPr>
          <w:lang w:eastAsia="en-GB"/>
        </w:rPr>
        <w:instrText>ADDIN CSL_CITATION {"citationItems":[{"id":"ITEM-1","itemData":{"ISBN":"978 1 74237 392 8","abstract":"For many students, the thought of completing a statistics subject, or using statistics in their research, is a major sqource of stress and frustration. The aim of the original SPSS Survival Manual (published in 2000) was to provide a simple, step-by-step guide to the process of data analysis using SPSS. Unlike other statistical titles it did not focus on the mathematical underpinnings of the techniques, but rather on the appropriate use of SPSS as a tool. Since the publication of the three editions of the SPSS Survival Manual, I have received many hundreds of emails from students who have been grateful for the helping hand (or lifeline).","author":[{"dropping-particle":"","family":"Pallant","given":"Julie","non-dropping-particle":"","parse-names":false,"suffix":""}],"id":"ITEM-1","issued":{"date-parts":[["2011"]]},"publisher":"McGraw Hill","publisher-place":"Sydney, Australia","title":"SPSS survival manual, a step by step guide to data analysis using SPSS for windows","type":"book"},"uris":["http://www.mendeley.com/documents/?uuid=db8538bd-9451-4d01-b9de-83b7f2b5deb4"]}],"mendeley":{"formattedCitation":"(Pallant, 2011)","manualFormatting":" Pallant (2011)","plainTextFormattedCitation":"(Pallant, 2011)","previouslyFormattedCitation":"(Pallant, 2011)"},"properties":{"noteIndex":0},"schema":"https://github.com/citation-style-language/schema/raw/master/csl-citation.json"}</w:instrText>
      </w:r>
      <w:r w:rsidR="00A93414" w:rsidRPr="002A7627">
        <w:rPr>
          <w:lang w:eastAsia="en-GB"/>
        </w:rPr>
        <w:fldChar w:fldCharType="separate"/>
      </w:r>
      <w:r w:rsidR="00A93414" w:rsidRPr="002A7627">
        <w:rPr>
          <w:noProof/>
          <w:lang w:eastAsia="en-GB"/>
        </w:rPr>
        <w:t xml:space="preserve"> Pallant (2011)</w:t>
      </w:r>
      <w:r w:rsidR="00A93414" w:rsidRPr="002A7627">
        <w:rPr>
          <w:lang w:eastAsia="en-GB"/>
        </w:rPr>
        <w:fldChar w:fldCharType="end"/>
      </w:r>
      <w:r w:rsidR="00A93414" w:rsidRPr="002A7627">
        <w:rPr>
          <w:lang w:eastAsia="en-GB"/>
        </w:rPr>
        <w:t xml:space="preserve">, </w:t>
      </w:r>
      <w:r>
        <w:rPr>
          <w:lang w:eastAsia="en-GB"/>
        </w:rPr>
        <w:t xml:space="preserve">a minimum Cronbach’s alpha of 0.7 is required, </w:t>
      </w:r>
      <w:r w:rsidR="00904C7D" w:rsidRPr="002A7627">
        <w:rPr>
          <w:lang w:eastAsia="en-GB"/>
        </w:rPr>
        <w:t>even though</w:t>
      </w:r>
      <w:r w:rsidR="00A93414" w:rsidRPr="002A7627">
        <w:rPr>
          <w:lang w:eastAsia="en-GB"/>
        </w:rPr>
        <w:t xml:space="preserve"> </w:t>
      </w:r>
      <w:r>
        <w:rPr>
          <w:lang w:eastAsia="en-GB"/>
        </w:rPr>
        <w:t xml:space="preserve">required reliability varies depending </w:t>
      </w:r>
      <w:r w:rsidR="00A93414" w:rsidRPr="002A7627">
        <w:rPr>
          <w:lang w:eastAsia="en-GB"/>
        </w:rPr>
        <w:t xml:space="preserve">on the purpose and nature of scales. </w:t>
      </w:r>
    </w:p>
    <w:p w14:paraId="2DC052D1" w14:textId="70B3AFCF" w:rsidR="00A93414" w:rsidRPr="002A7627" w:rsidRDefault="006A727F" w:rsidP="00A93414">
      <w:pPr>
        <w:pStyle w:val="AAAAAAA"/>
      </w:pPr>
      <w:r>
        <w:t xml:space="preserve">The </w:t>
      </w:r>
      <w:r w:rsidR="00A93414" w:rsidRPr="002A7627">
        <w:t xml:space="preserve">Cronbach’s alpha coefficient </w:t>
      </w:r>
      <w:r>
        <w:t>was calculated</w:t>
      </w:r>
      <w:r w:rsidR="00A93414" w:rsidRPr="002A7627">
        <w:t xml:space="preserve"> for each construct and the aggregate. The value </w:t>
      </w:r>
      <w:r w:rsidR="0043558A">
        <w:t>of</w:t>
      </w:r>
      <w:r w:rsidR="00A93414" w:rsidRPr="002A7627">
        <w:t xml:space="preserve"> the Cronbach’s alpha coefficient for knowledge management capabilities was 0.872. </w:t>
      </w:r>
      <w:r w:rsidR="001924EF">
        <w:t>F</w:t>
      </w:r>
      <w:r w:rsidR="00A93414" w:rsidRPr="002A7627">
        <w:t>or the construct of HR practices for knowledge sharing</w:t>
      </w:r>
      <w:r w:rsidR="001924EF">
        <w:t>, it was</w:t>
      </w:r>
      <w:r w:rsidR="00A93414" w:rsidRPr="002A7627">
        <w:t xml:space="preserve"> 0.792 for extrinsic motivation, 0.811 for intrinsic motivation, 0.928 for opportunity, and 0.859 for ability</w:t>
      </w:r>
      <w:r w:rsidR="001924EF">
        <w:t>-enhancing practices</w:t>
      </w:r>
      <w:r w:rsidR="00A93414" w:rsidRPr="002A7627">
        <w:t xml:space="preserve">. The </w:t>
      </w:r>
      <w:r w:rsidR="001924EF">
        <w:t>value was 0.927</w:t>
      </w:r>
      <w:r w:rsidR="00A93414" w:rsidRPr="002A7627">
        <w:t xml:space="preserve"> for </w:t>
      </w:r>
      <w:r w:rsidR="00C240F9" w:rsidRPr="002A7627">
        <w:t>organi</w:t>
      </w:r>
      <w:r w:rsidR="00C240F9">
        <w:t>z</w:t>
      </w:r>
      <w:r w:rsidR="00C240F9" w:rsidRPr="002A7627">
        <w:t>ational</w:t>
      </w:r>
      <w:r w:rsidR="00A93414" w:rsidRPr="002A7627">
        <w:t xml:space="preserve"> learning, and </w:t>
      </w:r>
      <w:r w:rsidR="001924EF">
        <w:t xml:space="preserve">0.906 </w:t>
      </w:r>
      <w:r w:rsidR="00A93414" w:rsidRPr="002A7627">
        <w:t>for knowledge management benefit</w:t>
      </w:r>
      <w:r w:rsidR="001924EF">
        <w:t>s</w:t>
      </w:r>
      <w:r w:rsidR="00A93414" w:rsidRPr="002A7627">
        <w:t xml:space="preserve">. </w:t>
      </w:r>
      <w:r w:rsidR="001924EF">
        <w:t>T</w:t>
      </w:r>
      <w:r w:rsidR="00A93414" w:rsidRPr="002A7627">
        <w:t xml:space="preserve">he </w:t>
      </w:r>
      <w:r w:rsidR="001924EF">
        <w:t>overall</w:t>
      </w:r>
      <w:r w:rsidR="001924EF" w:rsidRPr="002A7627">
        <w:t xml:space="preserve"> </w:t>
      </w:r>
      <w:r w:rsidR="00A93414" w:rsidRPr="002A7627">
        <w:t>Cronbach</w:t>
      </w:r>
      <w:r w:rsidR="001924EF">
        <w:t>’s</w:t>
      </w:r>
      <w:r w:rsidR="00A93414" w:rsidRPr="002A7627">
        <w:t xml:space="preserve"> alpha coefficient for the aggregate variables was 0.93. </w:t>
      </w:r>
      <w:r w:rsidR="001924EF">
        <w:t xml:space="preserve">All these values were therefore greater than the required value of </w:t>
      </w:r>
      <w:r w:rsidR="00A93414" w:rsidRPr="002A7627">
        <w:t xml:space="preserve">0.7, </w:t>
      </w:r>
      <w:r w:rsidR="001924EF">
        <w:t xml:space="preserve">suggesting that the instrument and constructs were </w:t>
      </w:r>
      <w:r w:rsidR="00A93414" w:rsidRPr="002A7627">
        <w:t>reliab</w:t>
      </w:r>
      <w:r w:rsidR="001924EF">
        <w:t>le</w:t>
      </w:r>
      <w:r w:rsidR="00A93414" w:rsidRPr="002A7627">
        <w:t>.</w:t>
      </w:r>
      <w:r w:rsidR="001924EF">
        <w:t xml:space="preserve"> T</w:t>
      </w:r>
      <w:r w:rsidR="00A93414" w:rsidRPr="002A7627">
        <w:t xml:space="preserve">he face validity </w:t>
      </w:r>
      <w:r w:rsidR="001924EF">
        <w:t xml:space="preserve">of the instrument </w:t>
      </w:r>
      <w:r w:rsidR="00A93414" w:rsidRPr="002A7627">
        <w:t xml:space="preserve">was </w:t>
      </w:r>
      <w:r w:rsidR="001924EF">
        <w:t xml:space="preserve">also </w:t>
      </w:r>
      <w:r w:rsidR="00A93414" w:rsidRPr="002A7627">
        <w:t xml:space="preserve">evaluated and confirmed by five academic experts and 30 police </w:t>
      </w:r>
      <w:r w:rsidR="00700ABB">
        <w:t>knowledge management</w:t>
      </w:r>
      <w:r w:rsidR="00700ABB" w:rsidRPr="002A7627">
        <w:t xml:space="preserve"> </w:t>
      </w:r>
      <w:r w:rsidR="00A93414" w:rsidRPr="002A7627">
        <w:t xml:space="preserve">practitioners. </w:t>
      </w:r>
    </w:p>
    <w:p w14:paraId="4635D984" w14:textId="155869B4" w:rsidR="00A93414" w:rsidRPr="002A7627" w:rsidRDefault="005F6EC8" w:rsidP="00A93414">
      <w:pPr>
        <w:pStyle w:val="Heading1"/>
        <w:rPr>
          <w:color w:val="000000"/>
        </w:rPr>
      </w:pPr>
      <w:bookmarkStart w:id="184" w:name="_Toc22331686"/>
      <w:r>
        <w:rPr>
          <w:color w:val="000000"/>
        </w:rPr>
        <w:t xml:space="preserve">4.12. </w:t>
      </w:r>
      <w:r w:rsidR="00A93414" w:rsidRPr="002A7627">
        <w:rPr>
          <w:color w:val="000000"/>
        </w:rPr>
        <w:t>Data Collection</w:t>
      </w:r>
      <w:bookmarkEnd w:id="184"/>
    </w:p>
    <w:p w14:paraId="602F4544" w14:textId="322A6303" w:rsidR="00110669" w:rsidRDefault="00A93414" w:rsidP="00110669">
      <w:pPr>
        <w:spacing w:line="480" w:lineRule="auto"/>
        <w:ind w:firstLine="851"/>
        <w:jc w:val="lowKashida"/>
      </w:pPr>
      <w:r w:rsidRPr="002A7627">
        <w:t xml:space="preserve">In this research, two </w:t>
      </w:r>
      <w:r w:rsidR="00700ABB">
        <w:t>methods</w:t>
      </w:r>
      <w:r w:rsidR="00700ABB" w:rsidRPr="002A7627">
        <w:t xml:space="preserve"> </w:t>
      </w:r>
      <w:r w:rsidRPr="002A7627">
        <w:t xml:space="preserve">of questionnaire distribution were </w:t>
      </w:r>
      <w:r w:rsidR="00362DDC">
        <w:t>used</w:t>
      </w:r>
      <w:r w:rsidRPr="002A7627">
        <w:t>, online and face-to-face. Collecting questionnaire</w:t>
      </w:r>
      <w:r w:rsidR="00362DDC">
        <w:t>s via</w:t>
      </w:r>
      <w:r w:rsidRPr="002A7627">
        <w:t xml:space="preserve"> more than one </w:t>
      </w:r>
      <w:r w:rsidR="00362DDC">
        <w:t>method</w:t>
      </w:r>
      <w:r w:rsidR="00362DDC" w:rsidRPr="002A7627">
        <w:t xml:space="preserve"> </w:t>
      </w:r>
      <w:r w:rsidRPr="002A7627">
        <w:t xml:space="preserve">improves the quality of results because it provides </w:t>
      </w:r>
      <w:r w:rsidR="00362DDC">
        <w:t>an</w:t>
      </w:r>
      <w:r w:rsidR="00362DDC" w:rsidRPr="002A7627">
        <w:t xml:space="preserve"> </w:t>
      </w:r>
      <w:r w:rsidRPr="002A7627">
        <w:t xml:space="preserve">opportunity </w:t>
      </w:r>
      <w:r w:rsidR="00362DDC">
        <w:t>to</w:t>
      </w:r>
      <w:r w:rsidR="00362DDC" w:rsidRPr="002A7627">
        <w:t xml:space="preserve"> </w:t>
      </w:r>
      <w:r w:rsidRPr="002A7627">
        <w:t>compar</w:t>
      </w:r>
      <w:r w:rsidR="00362DDC">
        <w:t>e</w:t>
      </w:r>
      <w:r w:rsidRPr="002A7627">
        <w:t xml:space="preserve"> the results. An online survey has </w:t>
      </w:r>
      <w:r w:rsidR="00362DDC">
        <w:t>advantages and disadvantages</w:t>
      </w:r>
      <w:r w:rsidRPr="002A7627">
        <w:t xml:space="preserve">. </w:t>
      </w:r>
      <w:r w:rsidR="00362DDC">
        <w:t>The</w:t>
      </w:r>
      <w:r w:rsidR="00362DDC" w:rsidRPr="002A7627">
        <w:t xml:space="preserve"> </w:t>
      </w:r>
      <w:r w:rsidRPr="002A7627">
        <w:t xml:space="preserve">advantages </w:t>
      </w:r>
      <w:r w:rsidR="00362DDC">
        <w:t>include</w:t>
      </w:r>
      <w:r w:rsidRPr="002A7627">
        <w:t xml:space="preserve"> regional reach, cost-effectiveness, speed, ease of data entry, and using technological tool to obtain a large sample </w:t>
      </w:r>
      <w:r w:rsidRPr="002A7627">
        <w:fldChar w:fldCharType="begin" w:fldLock="1"/>
      </w:r>
      <w:r w:rsidRPr="002A7627">
        <w:instrText>ADDIN CSL_CITATION {"citationItems":[{"id":"ITEM-1","itemData":{"author":[{"dropping-particle":"","family":"Bryman","given":"Alan","non-dropping-particle":"","parse-names":false,"suffix":""}],"id":"ITEM-1","issued":{"date-parts":[["2003"]]},"publisher":"Routledge","publisher-place":"London, UK","title":"Quantity and quality in social research","type":"book"},"uris":["http://www.mendeley.com/documents/?uuid=e704fd4f-fea0-44fc-87f7-6ede17a171c9"]}],"mendeley":{"formattedCitation":"(Bryman, 2003)","plainTextFormattedCitation":"(Bryman, 2003)","previouslyFormattedCitation":"(Bryman, 2003)"},"properties":{"noteIndex":0},"schema":"https://github.com/citation-style-language/schema/raw/master/csl-citation.json"}</w:instrText>
      </w:r>
      <w:r w:rsidRPr="002A7627">
        <w:fldChar w:fldCharType="separate"/>
      </w:r>
      <w:r w:rsidRPr="002A7627">
        <w:rPr>
          <w:noProof/>
        </w:rPr>
        <w:t>(Bryman, 2003)</w:t>
      </w:r>
      <w:r w:rsidRPr="002A7627">
        <w:fldChar w:fldCharType="end"/>
      </w:r>
      <w:r w:rsidRPr="002A7627">
        <w:t xml:space="preserve">. </w:t>
      </w:r>
      <w:r w:rsidR="00362DDC">
        <w:t xml:space="preserve">However, </w:t>
      </w:r>
      <w:r w:rsidRPr="002A7627">
        <w:t xml:space="preserve">privacy and unclear instructions are </w:t>
      </w:r>
      <w:r>
        <w:t>typical</w:t>
      </w:r>
      <w:r w:rsidRPr="002A7627">
        <w:t xml:space="preserve"> weaknesses of online surveys</w:t>
      </w:r>
      <w:r w:rsidR="00362DDC">
        <w:t>,</w:t>
      </w:r>
      <w:r w:rsidRPr="002A7627">
        <w:t xml:space="preserve"> </w:t>
      </w:r>
      <w:r w:rsidR="00700ABB">
        <w:t>and</w:t>
      </w:r>
      <w:r w:rsidR="00700ABB" w:rsidRPr="002A7627">
        <w:t xml:space="preserve"> </w:t>
      </w:r>
      <w:r w:rsidRPr="002A7627">
        <w:t xml:space="preserve">can be overcome </w:t>
      </w:r>
      <w:r w:rsidR="00362DDC">
        <w:t>using</w:t>
      </w:r>
      <w:r w:rsidRPr="002A7627">
        <w:t xml:space="preserve"> face-to-face </w:t>
      </w:r>
      <w:r w:rsidR="00F50AA8">
        <w:t>survey</w:t>
      </w:r>
      <w:r w:rsidR="00362DDC">
        <w:t>s</w:t>
      </w:r>
      <w:r w:rsidRPr="002A7627">
        <w:t xml:space="preserve">. </w:t>
      </w:r>
      <w:r w:rsidR="00362DDC">
        <w:rPr>
          <w:rFonts w:asciiTheme="majorBidi" w:hAnsiTheme="majorBidi" w:cstheme="majorBidi"/>
        </w:rPr>
        <w:t>F</w:t>
      </w:r>
      <w:r w:rsidRPr="001D5F54">
        <w:rPr>
          <w:rFonts w:asciiTheme="majorBidi" w:hAnsiTheme="majorBidi" w:cstheme="majorBidi"/>
        </w:rPr>
        <w:t xml:space="preserve">ace-to-face </w:t>
      </w:r>
      <w:r w:rsidR="00700ABB">
        <w:rPr>
          <w:rFonts w:asciiTheme="majorBidi" w:hAnsiTheme="majorBidi" w:cstheme="majorBidi"/>
        </w:rPr>
        <w:t>surveys</w:t>
      </w:r>
      <w:r w:rsidR="00700ABB" w:rsidRPr="001D5F54">
        <w:rPr>
          <w:rFonts w:asciiTheme="majorBidi" w:hAnsiTheme="majorBidi" w:cstheme="majorBidi"/>
        </w:rPr>
        <w:t xml:space="preserve"> </w:t>
      </w:r>
      <w:r w:rsidR="00362DDC">
        <w:rPr>
          <w:rFonts w:asciiTheme="majorBidi" w:hAnsiTheme="majorBidi" w:cstheme="majorBidi"/>
        </w:rPr>
        <w:t xml:space="preserve">also have strengths </w:t>
      </w:r>
      <w:r w:rsidRPr="001D5F54">
        <w:rPr>
          <w:rFonts w:asciiTheme="majorBidi" w:hAnsiTheme="majorBidi" w:cstheme="majorBidi"/>
        </w:rPr>
        <w:t>such as better personal interaction</w:t>
      </w:r>
      <w:r w:rsidRPr="002A7627">
        <w:t xml:space="preserve">, more </w:t>
      </w:r>
      <w:r>
        <w:t>explicit</w:t>
      </w:r>
      <w:r w:rsidRPr="002A7627">
        <w:t xml:space="preserve"> instructions, and control over the research </w:t>
      </w:r>
      <w:r w:rsidR="00777B31" w:rsidRPr="002A7627">
        <w:t>setting</w:t>
      </w:r>
      <w:r w:rsidRPr="002A7627">
        <w:t xml:space="preserve">. </w:t>
      </w:r>
      <w:r>
        <w:t>However</w:t>
      </w:r>
      <w:r w:rsidRPr="002A7627">
        <w:t xml:space="preserve">, </w:t>
      </w:r>
      <w:r w:rsidR="00362DDC">
        <w:t>they</w:t>
      </w:r>
      <w:r w:rsidR="00362DDC" w:rsidRPr="002A7627">
        <w:t xml:space="preserve"> </w:t>
      </w:r>
      <w:r w:rsidRPr="002A7627">
        <w:t xml:space="preserve">have some weaknesses such as interviewer bias, limited sample size, participant time pressure and geographic limitations </w:t>
      </w:r>
      <w:r w:rsidRPr="002A7627">
        <w:fldChar w:fldCharType="begin" w:fldLock="1"/>
      </w:r>
      <w:r w:rsidRPr="002A7627">
        <w:instrText>ADDIN CSL_CITATION {"citationItems":[{"id":"ITEM-1","itemData":{"author":[{"dropping-particle":"","family":"Alreck","given":"P. L.","non-dropping-particle":"","parse-names":false,"suffix":""},{"dropping-particle":"","family":"Settle","given":"R. B.","non-dropping-particle":"","parse-names":false,"suffix":""}],"edition":"2nd","id":"ITEM-1","issued":{"date-parts":[["1995"]]},"publisher":"Irwin","publisher-place":"Chicago, IL","title":"The survey research handbook","type":"book"},"uris":["http://www.mendeley.com/documents/?uuid=26295b2d-3ea8-476e-a0c0-2e3626b32132"]},{"id":"ITEM-2","itemData":{"DOI":"10.1108/10662240510590360","ISSN":"1066-2243","abstract":"The value of online surveys","author":[{"dropping-particle":"","family":"Evans","given":"Joel R.","non-dropping-particle":"","parse-names":false,"suffix":""},{"dropping-particle":"","family":"Mathur","given":"Anil","non-dropping-particle":"","parse-names":false,"suffix":""}],"container-title":"Internet Research","id":"ITEM-2","issue":"2","issued":{"date-parts":[["2005","4"]]},"page":"195-219","title":"The value of online surveys","type":"article-journal","volume":"15"},"uris":["http://www.mendeley.com/documents/?uuid=acc4c38f-6713-4def-89ff-5e8cc13473dd"]},{"id":"ITEM-3","itemData":{"DOI":"10.2307/3151953","ISSN":"00222437","abstract":"Marketing Research: An Applied Orientation is comprehensive, practical, applied, managerial, and presents a balanced coverage of both qualitative and quantitative material. This book is written from the perspective of users of marketing research. It reflects the current trends in international marketing, ethics and the integration of the Internet and computers, as well as a focus on the practice of marketing research by featuring Burke, Inc. and other marketing research organizations.","author":[{"dropping-particle":"","family":"Kahle","given":"Lynn R.","non-dropping-particle":"","parse-names":false,"suffix":""},{"dropping-particle":"","family":"Malhotra","given":"Naresh K.","non-dropping-particle":"","parse-names":false,"suffix":""}],"container-title":"Journal of Marketing Research","id":"ITEM-3","issue":"1","issued":{"date-parts":[["1994","2"]]},"page":"137","title":"Marketing research: An applied orientation","type":"article-journal","volume":"31"},"uris":["http://www.mendeley.com/documents/?uuid=53623dff-5ae6-43da-b3df-e56f35f239c4"]}],"mendeley":{"formattedCitation":"(Alreck &amp; Settle, 1995; Evans &amp; Mathur, 2005; Kahle &amp; Malhotra, 1994)","manualFormatting":"(Alreck &amp; Settle, 1995; Evans &amp; Mathur, 2005; Kahle &amp; Malhotra, 2006)","plainTextFormattedCitation":"(Alreck &amp; Settle, 1995; Evans &amp; Mathur, 2005; Kahle &amp; Malhotra, 1994)","previouslyFormattedCitation":"(Alreck &amp; Settle, 1995; Evans &amp; Mathur, 2005; Kahle &amp; Malhotra, 1994)"},"properties":{"noteIndex":0},"schema":"https://github.com/citation-style-language/schema/raw/master/csl-citation.json"}</w:instrText>
      </w:r>
      <w:r w:rsidRPr="002A7627">
        <w:fldChar w:fldCharType="separate"/>
      </w:r>
      <w:r w:rsidRPr="002A7627">
        <w:rPr>
          <w:noProof/>
        </w:rPr>
        <w:t>(Alreck &amp; Settle, 1995; Evans &amp; Mathur, 2005; Kahle &amp; Malhotra, 2006)</w:t>
      </w:r>
      <w:r w:rsidRPr="002A7627">
        <w:fldChar w:fldCharType="end"/>
      </w:r>
      <w:r w:rsidRPr="002A7627">
        <w:t xml:space="preserve">. </w:t>
      </w:r>
      <w:r w:rsidR="00362DDC">
        <w:t>U</w:t>
      </w:r>
      <w:r w:rsidRPr="002A7627">
        <w:t xml:space="preserve">sing </w:t>
      </w:r>
      <w:r w:rsidR="00362DDC">
        <w:t xml:space="preserve">a </w:t>
      </w:r>
      <w:r w:rsidRPr="002A7627">
        <w:t xml:space="preserve">multi-mode survey (online </w:t>
      </w:r>
      <w:r w:rsidR="00362DDC">
        <w:t>plus</w:t>
      </w:r>
      <w:r w:rsidR="00362DDC" w:rsidRPr="002A7627">
        <w:t xml:space="preserve"> </w:t>
      </w:r>
      <w:r w:rsidRPr="002A7627">
        <w:t xml:space="preserve">face-to-face) can strengthen the investigation and overcome the weaknesses of each channel of distribution </w:t>
      </w:r>
      <w:r w:rsidRPr="002A7627">
        <w:fldChar w:fldCharType="begin" w:fldLock="1"/>
      </w:r>
      <w:r w:rsidRPr="002A7627">
        <w:instrText>ADDIN CSL_CITATION {"citationItems":[{"id":"ITEM-1","itemData":{"DOI":"10.1177/147078530104300402","ISSN":"1470-7853","abstract":"Since the early 1990s, the internet has dominated the attention of the media, academics and business organisations. It has the potential of being a revolutionary way to collect primary and secondary data, although much more research is needed to learn how to better harness its strengths. This project compares depth interviews collected online with depth interviews conducted faceto- face. Advantages and disadvantages are highlighted, as well as suggested strategies for successfully collecting online data. Major points are illustrated using data from a project in which both data collection techniques are employed. The online interview dataset included some of the strongest and some of the weakest interviews in the investigation. This paper argues that under some conditions online depth interviews can provide a useful complement to the traditional face-to-face interview. Sampling frame problems of nonrepresentativeness, endemic in quantitative online data collection, is not problematic if the researcher is conducting an interpretive investigation. When the researcher’s goal is not to quantify or generalise but instead to better understand a particular population, online data collection can complement other datasets, allow data triangulation and strengthen the trustworthiness of the findings.","author":[{"dropping-particle":"","family":"Curasi","given":"Carolyn Folkman","non-dropping-particle":"","parse-names":false,"suffix":""}],"container-title":"International Journal of Market Research","id":"ITEM-1","issue":"4","issued":{"date-parts":[["2001","7","30"]]},"page":"1-13","title":"A critical exploration of face-to face interviewing vs. computer-mediated interviewing","type":"article-journal","volume":"43"},"uris":["http://www.mendeley.com/documents/?uuid=099295cc-ad6c-4b17-ad77-41342e534b80"]},{"id":"ITEM-2","itemData":{"DOI":"10.1108/13522750210697596","ISSN":"13522752","abstract":"On-line qualitative market research: interviewing the world at a fingertip","author":[{"dropping-particle":"","family":"Scholl","given":"Norbert","non-dropping-particle":"","parse-names":false,"suffix":""},{"dropping-particle":"","family":"Mulders","given":"Sabine","non-dropping-particle":"","parse-names":false,"suffix":""},{"dropping-particle":"","family":"Drent","given":"Rob","non-dropping-particle":"","parse-names":false,"suffix":""}],"container-title":"Qualitative Market Research","id":"ITEM-2","issued":{"date-parts":[["2002"]]},"title":"On-line qualitative market research: Interviewing the world at a fingertip","type":"article-journal"},"uris":["http://www.mendeley.com/documents/?uuid=9bac24a6-e7a9-4454-8292-0f6e793b031d"]}],"mendeley":{"formattedCitation":"(Curasi, 2001; Scholl, Mulders, &amp; Drent, 2002)","plainTextFormattedCitation":"(Curasi, 2001; Scholl, Mulders, &amp; Drent, 2002)","previouslyFormattedCitation":"(Curasi, 2001; Scholl, Mulders, &amp; Drent, 2002)"},"properties":{"noteIndex":0},"schema":"https://github.com/citation-style-language/schema/raw/master/csl-citation.json"}</w:instrText>
      </w:r>
      <w:r w:rsidRPr="002A7627">
        <w:fldChar w:fldCharType="separate"/>
      </w:r>
      <w:r w:rsidRPr="002A7627">
        <w:rPr>
          <w:noProof/>
        </w:rPr>
        <w:t>(Curasi, 2001; Scholl, Mulders, &amp; Drent, 2002)</w:t>
      </w:r>
      <w:r w:rsidRPr="002A7627">
        <w:fldChar w:fldCharType="end"/>
      </w:r>
      <w:r w:rsidRPr="002A7627">
        <w:t xml:space="preserve">. This technique </w:t>
      </w:r>
      <w:r w:rsidR="00362DDC">
        <w:t xml:space="preserve">improves the representativeness </w:t>
      </w:r>
      <w:r>
        <w:t xml:space="preserve">without biasing other results </w:t>
      </w:r>
      <w:r w:rsidRPr="002A7627">
        <w:fldChar w:fldCharType="begin" w:fldLock="1"/>
      </w:r>
      <w:r w:rsidRPr="002A7627">
        <w:instrText>ADDIN CSL_CITATION {"citationItems":[{"id":"ITEM-1","itemData":{"DOI":"10.1108/TR-03-2017-0046","ISSN":"1660-5373","abstract":"Purpose: The purpose of this paper id to investigate the influence of nationality on residents’ perceptions of the impacts of tourism, and their support for tourism development, in Abu Dhabi, United Arab Emirates (UAE). Design/methodology/approach: Data were collected from self-administered questionnaires from 407 residents, representing 30 nationalities residing in Abu Dhabi. Findings: The findings suggest differences in perceptions of the impacts of tourism between national and expatriate residents. Despite these differences, both groups reported support of tourism development. Research limitations/implications: This paper groups residents into only two groups – nationals and expatriates – which limits the explanation of findings. Tourism officials should customize strategies to reach targeted group of residents. Originality/value: Extant literature examines residents’ perceptions of the impacts of tourism in homogenous groups, and little research explores the influence of nationality on residents’ perceptions. This study is the first to be conducted in Abu Dhabi – where more than 80 per cent of the population is comprised of expatriates – that identifies differences in perceptions between national and expatriate residents regarding tourism’s impacts. © 2017, © Emerald Publishing Limited.","author":[{"dropping-particle":"","family":"Hammad","given":"Nada Malalla","non-dropping-particle":"","parse-names":false,"suffix":""},{"dropping-particle":"","family":"Ahmad","given":"Syed Zamberi","non-dropping-particle":"","parse-names":false,"suffix":""},{"dropping-particle":"","family":"Papastathopoulos","given":"Avraam","non-dropping-particle":"","parse-names":false,"suffix":""}],"container-title":"Tourism Review","id":"ITEM-1","issue":"4","issued":{"date-parts":[["2017","11","20"]]},"page":"448-461","title":"Evaluating perceptions of residents’ towards impacts of tourism development in Emirates of Abu Dhabi, United Arab Emirates","type":"article-journal","volume":"72"},"uris":["http://www.mendeley.com/documents/?uuid=ca347dcc-c1aa-49d4-9063-3a5f324591b4"]}],"mendeley":{"formattedCitation":"(Hammad, Ahmad, &amp; Papastathopoulos, 2017)","manualFormatting":"(Hammad, Ahmad, &amp; Papastathopoulos, 2017)","plainTextFormattedCitation":"(Hammad, Ahmad, &amp; Papastathopoulos, 2017)","previouslyFormattedCitation":"(Hammad, Ahmad, &amp; Papastathopoulos, 2017)"},"properties":{"noteIndex":0},"schema":"https://github.com/citation-style-language/schema/raw/master/csl-citation.json"}</w:instrText>
      </w:r>
      <w:r w:rsidRPr="002A7627">
        <w:fldChar w:fldCharType="separate"/>
      </w:r>
      <w:r w:rsidRPr="002A7627">
        <w:rPr>
          <w:noProof/>
        </w:rPr>
        <w:t>(Hammad, Ahmad, &amp; Papastathopoulos, 2017)</w:t>
      </w:r>
      <w:r w:rsidRPr="002A7627">
        <w:fldChar w:fldCharType="end"/>
      </w:r>
      <w:r w:rsidRPr="002A7627">
        <w:t xml:space="preserve">. </w:t>
      </w:r>
    </w:p>
    <w:p w14:paraId="05329339" w14:textId="5E8980EA" w:rsidR="00110669" w:rsidRDefault="00110669" w:rsidP="006C41EC">
      <w:pPr>
        <w:pStyle w:val="AAAAAAA"/>
      </w:pPr>
      <w:r>
        <w:t>P</w:t>
      </w:r>
      <w:r w:rsidRPr="002A7627">
        <w:t xml:space="preserve">ermission </w:t>
      </w:r>
      <w:r>
        <w:t>was obtained to</w:t>
      </w:r>
      <w:r w:rsidRPr="002A7627">
        <w:t xml:space="preserve"> distribut</w:t>
      </w:r>
      <w:r>
        <w:t>e</w:t>
      </w:r>
      <w:r w:rsidRPr="002A7627">
        <w:t xml:space="preserve"> the questionnaire by visiting the knowledge management cent</w:t>
      </w:r>
      <w:r>
        <w:t>er and sharing the results of pilot testing.</w:t>
      </w:r>
      <w:r w:rsidRPr="002A7627">
        <w:t xml:space="preserve"> </w:t>
      </w:r>
      <w:r w:rsidRPr="00504CE1">
        <w:rPr>
          <w:rFonts w:asciiTheme="majorBidi" w:hAnsiTheme="majorBidi" w:cstheme="majorBidi"/>
        </w:rPr>
        <w:t xml:space="preserve">The </w:t>
      </w:r>
      <w:r>
        <w:rPr>
          <w:rFonts w:asciiTheme="majorBidi" w:hAnsiTheme="majorBidi" w:cstheme="majorBidi"/>
        </w:rPr>
        <w:t>HR sector</w:t>
      </w:r>
      <w:r w:rsidRPr="00504CE1">
        <w:rPr>
          <w:rFonts w:asciiTheme="majorBidi" w:hAnsiTheme="majorBidi" w:cstheme="majorBidi"/>
        </w:rPr>
        <w:t xml:space="preserve"> at ADP provided a filtered list of employees who matched </w:t>
      </w:r>
      <w:r>
        <w:rPr>
          <w:rFonts w:asciiTheme="majorBidi" w:hAnsiTheme="majorBidi" w:cstheme="majorBidi"/>
        </w:rPr>
        <w:t>the selected sample</w:t>
      </w:r>
      <w:r w:rsidRPr="00504CE1">
        <w:rPr>
          <w:rFonts w:asciiTheme="majorBidi" w:hAnsiTheme="majorBidi" w:cstheme="majorBidi"/>
        </w:rPr>
        <w:t xml:space="preserve"> criteria, a total of </w:t>
      </w:r>
      <w:r w:rsidR="006C41EC">
        <w:rPr>
          <w:rFonts w:asciiTheme="majorBidi" w:hAnsiTheme="majorBidi" w:cstheme="majorBidi"/>
        </w:rPr>
        <w:t>1800</w:t>
      </w:r>
      <w:r w:rsidRPr="00504CE1">
        <w:rPr>
          <w:rFonts w:asciiTheme="majorBidi" w:hAnsiTheme="majorBidi" w:cstheme="majorBidi"/>
        </w:rPr>
        <w:t xml:space="preserve"> potential respondents. The researcher randomly selected </w:t>
      </w:r>
      <w:r>
        <w:rPr>
          <w:rFonts w:asciiTheme="majorBidi" w:hAnsiTheme="majorBidi" w:cstheme="majorBidi"/>
        </w:rPr>
        <w:t>1520</w:t>
      </w:r>
      <w:r w:rsidRPr="00504CE1">
        <w:rPr>
          <w:rFonts w:asciiTheme="majorBidi" w:hAnsiTheme="majorBidi" w:cstheme="majorBidi"/>
        </w:rPr>
        <w:t xml:space="preserve"> </w:t>
      </w:r>
      <w:r>
        <w:rPr>
          <w:rFonts w:asciiTheme="majorBidi" w:hAnsiTheme="majorBidi" w:cstheme="majorBidi"/>
        </w:rPr>
        <w:t>and they were contacted via phone, email and in person and briefed about the topic. An</w:t>
      </w:r>
      <w:r w:rsidRPr="00504CE1">
        <w:rPr>
          <w:rFonts w:asciiTheme="majorBidi" w:hAnsiTheme="majorBidi" w:cstheme="majorBidi"/>
        </w:rPr>
        <w:t xml:space="preserve"> introductory letter explaining the objectives of the study was emailed to them</w:t>
      </w:r>
      <w:r>
        <w:rPr>
          <w:rFonts w:asciiTheme="majorBidi" w:hAnsiTheme="majorBidi" w:cstheme="majorBidi"/>
        </w:rPr>
        <w:t xml:space="preserve"> through the knowledge management center’s channel (e-club)</w:t>
      </w:r>
      <w:r w:rsidRPr="00504CE1">
        <w:rPr>
          <w:rFonts w:asciiTheme="majorBidi" w:hAnsiTheme="majorBidi" w:cstheme="majorBidi"/>
        </w:rPr>
        <w:t>.</w:t>
      </w:r>
    </w:p>
    <w:p w14:paraId="6330823B" w14:textId="47D97FCE" w:rsidR="004C070E" w:rsidRDefault="00777B31" w:rsidP="006C41EC">
      <w:pPr>
        <w:spacing w:line="480" w:lineRule="auto"/>
        <w:ind w:firstLine="851"/>
        <w:jc w:val="lowKashida"/>
      </w:pPr>
      <w:r>
        <w:t>The online q</w:t>
      </w:r>
      <w:r w:rsidR="00A93414">
        <w:t>uestionnaire was</w:t>
      </w:r>
      <w:r w:rsidR="00A93414" w:rsidRPr="002A7627">
        <w:t xml:space="preserve"> composed using the Abu Dhabi Police survey software by the knowledge management </w:t>
      </w:r>
      <w:r w:rsidR="005F6EC8" w:rsidRPr="002A7627">
        <w:t>cent</w:t>
      </w:r>
      <w:r w:rsidR="005F6EC8">
        <w:t>er</w:t>
      </w:r>
      <w:r w:rsidR="00A93414" w:rsidRPr="002A7627">
        <w:t xml:space="preserve">, and the survey link was sent to </w:t>
      </w:r>
      <w:r w:rsidR="006C41EC">
        <w:t xml:space="preserve">1157 </w:t>
      </w:r>
      <w:r w:rsidR="004C070E">
        <w:t>participants</w:t>
      </w:r>
      <w:r w:rsidR="00A93414" w:rsidRPr="002A7627">
        <w:t xml:space="preserve">. </w:t>
      </w:r>
      <w:r w:rsidR="00362DDC">
        <w:t>Data</w:t>
      </w:r>
      <w:r w:rsidR="00A93414" w:rsidRPr="002A7627">
        <w:t xml:space="preserve"> from the AD</w:t>
      </w:r>
      <w:r w:rsidR="00362DDC">
        <w:t>P</w:t>
      </w:r>
      <w:r w:rsidR="00A93414" w:rsidRPr="002A7627">
        <w:t xml:space="preserve"> HR Department </w:t>
      </w:r>
      <w:r w:rsidR="00362DDC">
        <w:t>(see</w:t>
      </w:r>
      <w:r w:rsidR="00A93414" w:rsidRPr="002A7627">
        <w:t xml:space="preserve"> Table 7</w:t>
      </w:r>
      <w:r w:rsidR="00362DDC">
        <w:t xml:space="preserve">) shows that </w:t>
      </w:r>
      <w:r w:rsidR="00A93414" w:rsidRPr="002A7627">
        <w:t xml:space="preserve">there </w:t>
      </w:r>
      <w:r w:rsidR="006C41EC" w:rsidRPr="002A7627">
        <w:t>was</w:t>
      </w:r>
      <w:r w:rsidR="00902DB0">
        <w:t xml:space="preserve"> </w:t>
      </w:r>
      <w:r w:rsidR="006C41EC">
        <w:t>a</w:t>
      </w:r>
      <w:r w:rsidR="006C41EC" w:rsidRPr="002A7627">
        <w:t xml:space="preserve"> </w:t>
      </w:r>
      <w:r w:rsidR="00A93414" w:rsidRPr="002A7627">
        <w:t xml:space="preserve">total of 1,520 respondents who were police officers with </w:t>
      </w:r>
      <w:r w:rsidR="00362DDC">
        <w:t>knowledge management</w:t>
      </w:r>
      <w:r w:rsidR="00362DDC" w:rsidRPr="002A7627">
        <w:t xml:space="preserve"> </w:t>
      </w:r>
      <w:r w:rsidR="00A93414" w:rsidRPr="002A7627">
        <w:t>experience were</w:t>
      </w:r>
      <w:r w:rsidR="00362DDC">
        <w:t xml:space="preserve"> therefore</w:t>
      </w:r>
      <w:r w:rsidR="00A93414" w:rsidRPr="002A7627">
        <w:t xml:space="preserve"> invited to complete the online </w:t>
      </w:r>
      <w:r w:rsidR="00362DDC">
        <w:t>or</w:t>
      </w:r>
      <w:r w:rsidR="00362DDC" w:rsidRPr="002A7627">
        <w:t xml:space="preserve"> </w:t>
      </w:r>
      <w:r w:rsidR="00A93414" w:rsidRPr="002A7627">
        <w:t>hard copy questionnaire</w:t>
      </w:r>
      <w:r w:rsidR="004C070E">
        <w:t xml:space="preserve"> and out of 1520 people approached, 1277 agreed to participate</w:t>
      </w:r>
      <w:r w:rsidR="00362DDC">
        <w:t>. The hard copy</w:t>
      </w:r>
      <w:r w:rsidR="00A93414" w:rsidRPr="002A7627">
        <w:t xml:space="preserve"> was covered by an official letter that explained the purpose of the </w:t>
      </w:r>
      <w:r>
        <w:t>research</w:t>
      </w:r>
      <w:r w:rsidRPr="002A7627">
        <w:t xml:space="preserve"> </w:t>
      </w:r>
      <w:r w:rsidR="00A93414" w:rsidRPr="002A7627">
        <w:t xml:space="preserve">and </w:t>
      </w:r>
      <w:r w:rsidR="00362DDC">
        <w:t>its</w:t>
      </w:r>
      <w:r w:rsidR="00362DDC" w:rsidRPr="002A7627">
        <w:t xml:space="preserve"> </w:t>
      </w:r>
      <w:r w:rsidR="00A93414" w:rsidRPr="002A7627">
        <w:t>potential benefits. These respondents were randomly identified with the help of</w:t>
      </w:r>
      <w:r w:rsidR="00362DDC">
        <w:t xml:space="preserve"> the</w:t>
      </w:r>
      <w:r w:rsidR="00A93414" w:rsidRPr="002A7627">
        <w:t xml:space="preserve"> Police KM Center and AD</w:t>
      </w:r>
      <w:r w:rsidR="00362DDC">
        <w:t>P</w:t>
      </w:r>
      <w:r w:rsidR="00A93414" w:rsidRPr="002A7627">
        <w:t xml:space="preserve"> HR department. </w:t>
      </w:r>
      <w:r w:rsidR="00362DDC">
        <w:t>In total</w:t>
      </w:r>
      <w:r w:rsidR="00A93414" w:rsidRPr="002A7627">
        <w:t xml:space="preserve">, 663 online questionnaires and 108 hard copies were </w:t>
      </w:r>
      <w:r w:rsidR="00362DDC">
        <w:t xml:space="preserve">completed </w:t>
      </w:r>
      <w:r>
        <w:t xml:space="preserve">and </w:t>
      </w:r>
      <w:r w:rsidR="00A93414" w:rsidRPr="002A7627">
        <w:t>returned</w:t>
      </w:r>
      <w:r w:rsidR="00362DDC">
        <w:t>, giving</w:t>
      </w:r>
      <w:r w:rsidR="00A93414" w:rsidRPr="002A7627">
        <w:t xml:space="preserve"> a response rate of </w:t>
      </w:r>
      <w:r w:rsidR="004C070E">
        <w:t>60</w:t>
      </w:r>
      <w:r w:rsidR="00A93414" w:rsidRPr="002A7627">
        <w:t>.</w:t>
      </w:r>
      <w:r w:rsidR="004C070E">
        <w:t>3</w:t>
      </w:r>
      <w:r w:rsidR="00902DB0" w:rsidRPr="002A7627">
        <w:t>%.</w:t>
      </w:r>
      <w:r w:rsidR="00902DB0">
        <w:t xml:space="preserve"> </w:t>
      </w:r>
      <w:r w:rsidR="00A93414" w:rsidRPr="002A7627">
        <w:t xml:space="preserve">The total usable sample was 693. </w:t>
      </w:r>
    </w:p>
    <w:p w14:paraId="7E08E14B" w14:textId="35B7E3D2" w:rsidR="006C41EC" w:rsidRDefault="006C41EC" w:rsidP="006C41EC">
      <w:pPr>
        <w:spacing w:line="480" w:lineRule="auto"/>
        <w:ind w:firstLine="851"/>
        <w:jc w:val="lowKashida"/>
      </w:pPr>
    </w:p>
    <w:p w14:paraId="6AABC694" w14:textId="02BA4A5B" w:rsidR="006C41EC" w:rsidRDefault="006C41EC" w:rsidP="006C41EC">
      <w:pPr>
        <w:spacing w:line="480" w:lineRule="auto"/>
        <w:ind w:firstLine="851"/>
        <w:jc w:val="lowKashida"/>
      </w:pPr>
    </w:p>
    <w:p w14:paraId="3FC32F3E" w14:textId="088EFD6F" w:rsidR="006C41EC" w:rsidRDefault="006C41EC" w:rsidP="006C41EC">
      <w:pPr>
        <w:spacing w:line="480" w:lineRule="auto"/>
        <w:ind w:firstLine="851"/>
        <w:jc w:val="lowKashida"/>
      </w:pPr>
    </w:p>
    <w:p w14:paraId="709D404C" w14:textId="77777777" w:rsidR="006C41EC" w:rsidRPr="00C52840" w:rsidRDefault="006C41EC" w:rsidP="006C41EC">
      <w:pPr>
        <w:spacing w:line="480" w:lineRule="auto"/>
        <w:ind w:firstLine="851"/>
        <w:jc w:val="lowKashida"/>
      </w:pPr>
    </w:p>
    <w:p w14:paraId="5FE6A59A" w14:textId="6DD53368" w:rsidR="00A93414" w:rsidRPr="00434F56" w:rsidRDefault="00004BFD" w:rsidP="00F50AA8">
      <w:pPr>
        <w:pStyle w:val="Caption"/>
      </w:pPr>
      <w:bookmarkStart w:id="185" w:name="_Toc19478585"/>
      <w:bookmarkStart w:id="186" w:name="_Toc21074075"/>
      <w:r w:rsidRPr="00434F56">
        <w:t xml:space="preserve">Table </w:t>
      </w:r>
      <w:r w:rsidRPr="004D08C5">
        <w:fldChar w:fldCharType="begin"/>
      </w:r>
      <w:r w:rsidRPr="00434F56">
        <w:instrText xml:space="preserve"> SEQ Table \* ARABIC </w:instrText>
      </w:r>
      <w:r w:rsidRPr="004D08C5">
        <w:fldChar w:fldCharType="separate"/>
      </w:r>
      <w:r w:rsidR="00972C3F">
        <w:rPr>
          <w:noProof/>
        </w:rPr>
        <w:t>7</w:t>
      </w:r>
      <w:r w:rsidRPr="004D08C5">
        <w:fldChar w:fldCharType="end"/>
      </w:r>
      <w:r w:rsidRPr="00434F56">
        <w:t xml:space="preserve">. Data </w:t>
      </w:r>
      <w:r w:rsidRPr="00F50AA8">
        <w:t>collection</w:t>
      </w:r>
      <w:r w:rsidRPr="00434F56">
        <w:t xml:space="preserve"> breakdown</w:t>
      </w:r>
      <w:bookmarkEnd w:id="185"/>
      <w:bookmarkEnd w:id="186"/>
    </w:p>
    <w:tbl>
      <w:tblPr>
        <w:tblStyle w:val="APAReport"/>
        <w:tblW w:w="0" w:type="auto"/>
        <w:tblLook w:val="04A0" w:firstRow="1" w:lastRow="0" w:firstColumn="1" w:lastColumn="0" w:noHBand="0" w:noVBand="1"/>
      </w:tblPr>
      <w:tblGrid>
        <w:gridCol w:w="2765"/>
        <w:gridCol w:w="1010"/>
        <w:gridCol w:w="1350"/>
        <w:gridCol w:w="1350"/>
      </w:tblGrid>
      <w:tr w:rsidR="00A93414" w:rsidRPr="002A7627" w14:paraId="38227618" w14:textId="77777777" w:rsidTr="00A93414">
        <w:trPr>
          <w:cnfStyle w:val="100000000000" w:firstRow="1" w:lastRow="0" w:firstColumn="0" w:lastColumn="0" w:oddVBand="0" w:evenVBand="0" w:oddHBand="0" w:evenHBand="0" w:firstRowFirstColumn="0" w:firstRowLastColumn="0" w:lastRowFirstColumn="0" w:lastRowLastColumn="0"/>
        </w:trPr>
        <w:tc>
          <w:tcPr>
            <w:tcW w:w="2765" w:type="dxa"/>
          </w:tcPr>
          <w:p w14:paraId="2E6BE3BB" w14:textId="77777777" w:rsidR="00A93414" w:rsidRPr="002A7627" w:rsidRDefault="00A93414" w:rsidP="00A93414">
            <w:pPr>
              <w:widowControl/>
              <w:spacing w:line="480" w:lineRule="auto"/>
              <w:jc w:val="both"/>
              <w:rPr>
                <w:rFonts w:cs="Times New Roman"/>
                <w:color w:val="auto"/>
                <w:szCs w:val="24"/>
              </w:rPr>
            </w:pPr>
            <w:r w:rsidRPr="002A7627">
              <w:rPr>
                <w:rFonts w:cs="Times New Roman"/>
                <w:szCs w:val="24"/>
              </w:rPr>
              <w:t>Item</w:t>
            </w:r>
          </w:p>
        </w:tc>
        <w:tc>
          <w:tcPr>
            <w:tcW w:w="1010" w:type="dxa"/>
          </w:tcPr>
          <w:p w14:paraId="7C0C4E27" w14:textId="77777777" w:rsidR="00A93414" w:rsidRPr="002A7627" w:rsidRDefault="00A93414" w:rsidP="00A93414">
            <w:pPr>
              <w:widowControl/>
              <w:spacing w:line="480" w:lineRule="auto"/>
              <w:jc w:val="both"/>
              <w:rPr>
                <w:rFonts w:cs="Times New Roman"/>
                <w:color w:val="auto"/>
                <w:szCs w:val="24"/>
              </w:rPr>
            </w:pPr>
            <w:r w:rsidRPr="002A7627">
              <w:rPr>
                <w:rFonts w:cs="Times New Roman"/>
                <w:szCs w:val="24"/>
              </w:rPr>
              <w:t>Online</w:t>
            </w:r>
          </w:p>
        </w:tc>
        <w:tc>
          <w:tcPr>
            <w:tcW w:w="1350" w:type="dxa"/>
          </w:tcPr>
          <w:p w14:paraId="7F1F2A78" w14:textId="500FF592" w:rsidR="00A93414" w:rsidRPr="002A7627" w:rsidRDefault="00A93414">
            <w:pPr>
              <w:widowControl/>
              <w:spacing w:line="480" w:lineRule="auto"/>
              <w:jc w:val="both"/>
              <w:rPr>
                <w:rFonts w:cs="Times New Roman"/>
                <w:color w:val="auto"/>
                <w:szCs w:val="24"/>
              </w:rPr>
            </w:pPr>
            <w:r w:rsidRPr="002A7627">
              <w:rPr>
                <w:rFonts w:cs="Times New Roman"/>
                <w:szCs w:val="24"/>
              </w:rPr>
              <w:t>Face</w:t>
            </w:r>
            <w:r w:rsidR="00362DDC">
              <w:rPr>
                <w:rFonts w:cs="Times New Roman"/>
                <w:szCs w:val="24"/>
              </w:rPr>
              <w:t>-</w:t>
            </w:r>
            <w:r w:rsidRPr="002A7627">
              <w:rPr>
                <w:rFonts w:cs="Times New Roman"/>
                <w:szCs w:val="24"/>
              </w:rPr>
              <w:t>to</w:t>
            </w:r>
            <w:r w:rsidR="00362DDC">
              <w:rPr>
                <w:rFonts w:cs="Times New Roman"/>
                <w:szCs w:val="24"/>
              </w:rPr>
              <w:t>-</w:t>
            </w:r>
            <w:r w:rsidRPr="002A7627">
              <w:rPr>
                <w:rFonts w:cs="Times New Roman"/>
                <w:szCs w:val="24"/>
              </w:rPr>
              <w:t xml:space="preserve">face </w:t>
            </w:r>
          </w:p>
        </w:tc>
        <w:tc>
          <w:tcPr>
            <w:tcW w:w="1350" w:type="dxa"/>
          </w:tcPr>
          <w:p w14:paraId="69AD4AFB" w14:textId="77777777" w:rsidR="00A93414" w:rsidRPr="002A7627" w:rsidRDefault="00A93414" w:rsidP="00A93414">
            <w:pPr>
              <w:widowControl/>
              <w:spacing w:line="480" w:lineRule="auto"/>
              <w:jc w:val="both"/>
              <w:rPr>
                <w:rFonts w:cs="Times New Roman"/>
                <w:szCs w:val="24"/>
              </w:rPr>
            </w:pPr>
            <w:r w:rsidRPr="002A7627">
              <w:rPr>
                <w:rFonts w:cs="Times New Roman"/>
                <w:szCs w:val="24"/>
              </w:rPr>
              <w:t>Total</w:t>
            </w:r>
          </w:p>
        </w:tc>
      </w:tr>
      <w:tr w:rsidR="00A93414" w:rsidRPr="002A7627" w14:paraId="519A2F55" w14:textId="77777777" w:rsidTr="00A93414">
        <w:tc>
          <w:tcPr>
            <w:tcW w:w="2765" w:type="dxa"/>
          </w:tcPr>
          <w:p w14:paraId="1D195AAD" w14:textId="77777777" w:rsidR="00A93414" w:rsidRPr="002A7627" w:rsidRDefault="00A93414" w:rsidP="00A93414">
            <w:pPr>
              <w:widowControl/>
              <w:spacing w:line="480" w:lineRule="auto"/>
              <w:jc w:val="both"/>
              <w:rPr>
                <w:rFonts w:cs="Times New Roman"/>
                <w:color w:val="auto"/>
                <w:szCs w:val="24"/>
              </w:rPr>
            </w:pPr>
            <w:r w:rsidRPr="002A7627">
              <w:rPr>
                <w:rFonts w:cs="Times New Roman"/>
                <w:szCs w:val="24"/>
              </w:rPr>
              <w:t xml:space="preserve">Targeted population </w:t>
            </w:r>
          </w:p>
        </w:tc>
        <w:tc>
          <w:tcPr>
            <w:tcW w:w="1010" w:type="dxa"/>
          </w:tcPr>
          <w:p w14:paraId="70B85E29" w14:textId="77777777" w:rsidR="00A93414" w:rsidRPr="002A7627" w:rsidRDefault="00A93414" w:rsidP="00A93414">
            <w:pPr>
              <w:widowControl/>
              <w:spacing w:line="480" w:lineRule="auto"/>
              <w:jc w:val="both"/>
              <w:rPr>
                <w:rFonts w:cs="Times New Roman"/>
                <w:color w:val="auto"/>
                <w:szCs w:val="24"/>
              </w:rPr>
            </w:pPr>
            <w:r w:rsidRPr="002A7627">
              <w:rPr>
                <w:rFonts w:cs="Times New Roman"/>
                <w:szCs w:val="24"/>
              </w:rPr>
              <w:t>1400</w:t>
            </w:r>
          </w:p>
        </w:tc>
        <w:tc>
          <w:tcPr>
            <w:tcW w:w="1350" w:type="dxa"/>
          </w:tcPr>
          <w:p w14:paraId="6C013763" w14:textId="77777777" w:rsidR="00A93414" w:rsidRPr="002A7627" w:rsidRDefault="00A93414" w:rsidP="00A93414">
            <w:pPr>
              <w:widowControl/>
              <w:spacing w:line="480" w:lineRule="auto"/>
              <w:jc w:val="both"/>
              <w:rPr>
                <w:rFonts w:cs="Times New Roman"/>
                <w:color w:val="auto"/>
                <w:szCs w:val="24"/>
              </w:rPr>
            </w:pPr>
            <w:r w:rsidRPr="002A7627">
              <w:rPr>
                <w:rFonts w:cs="Times New Roman"/>
                <w:szCs w:val="24"/>
              </w:rPr>
              <w:t>120</w:t>
            </w:r>
          </w:p>
        </w:tc>
        <w:tc>
          <w:tcPr>
            <w:tcW w:w="1350" w:type="dxa"/>
          </w:tcPr>
          <w:p w14:paraId="05B6D1C5" w14:textId="77777777" w:rsidR="00A93414" w:rsidRPr="002A7627" w:rsidRDefault="00A93414" w:rsidP="00A93414">
            <w:pPr>
              <w:widowControl/>
              <w:spacing w:line="480" w:lineRule="auto"/>
              <w:jc w:val="both"/>
              <w:rPr>
                <w:rFonts w:cs="Times New Roman"/>
                <w:szCs w:val="24"/>
              </w:rPr>
            </w:pPr>
            <w:r w:rsidRPr="002A7627">
              <w:rPr>
                <w:rFonts w:cs="Times New Roman"/>
                <w:szCs w:val="24"/>
              </w:rPr>
              <w:t>1520</w:t>
            </w:r>
          </w:p>
        </w:tc>
      </w:tr>
      <w:tr w:rsidR="004C070E" w:rsidRPr="002A7627" w14:paraId="0E4978CC" w14:textId="77777777" w:rsidTr="00A93414">
        <w:tc>
          <w:tcPr>
            <w:tcW w:w="2765" w:type="dxa"/>
          </w:tcPr>
          <w:p w14:paraId="7BB1FAAF" w14:textId="7CCB1EEE" w:rsidR="004C070E" w:rsidRPr="002A7627" w:rsidRDefault="004C070E" w:rsidP="00A93414">
            <w:pPr>
              <w:widowControl/>
              <w:spacing w:line="480" w:lineRule="auto"/>
              <w:jc w:val="both"/>
              <w:rPr>
                <w:rFonts w:cs="Times New Roman"/>
                <w:szCs w:val="24"/>
              </w:rPr>
            </w:pPr>
            <w:r>
              <w:rPr>
                <w:rFonts w:cs="Times New Roman"/>
                <w:szCs w:val="24"/>
              </w:rPr>
              <w:t>Agreed to participate</w:t>
            </w:r>
          </w:p>
        </w:tc>
        <w:tc>
          <w:tcPr>
            <w:tcW w:w="1010" w:type="dxa"/>
          </w:tcPr>
          <w:p w14:paraId="75EB0268" w14:textId="14A214FB" w:rsidR="004C070E" w:rsidRPr="002A7627" w:rsidRDefault="004C070E" w:rsidP="00A93414">
            <w:pPr>
              <w:widowControl/>
              <w:spacing w:line="480" w:lineRule="auto"/>
              <w:jc w:val="both"/>
              <w:rPr>
                <w:rFonts w:cs="Times New Roman"/>
                <w:szCs w:val="24"/>
              </w:rPr>
            </w:pPr>
            <w:r>
              <w:rPr>
                <w:rFonts w:cs="Times New Roman"/>
                <w:szCs w:val="24"/>
              </w:rPr>
              <w:t>1157</w:t>
            </w:r>
          </w:p>
        </w:tc>
        <w:tc>
          <w:tcPr>
            <w:tcW w:w="1350" w:type="dxa"/>
          </w:tcPr>
          <w:p w14:paraId="53C85348" w14:textId="7B04FEE9" w:rsidR="004C070E" w:rsidRPr="002A7627" w:rsidRDefault="004C070E" w:rsidP="00A93414">
            <w:pPr>
              <w:widowControl/>
              <w:spacing w:line="480" w:lineRule="auto"/>
              <w:jc w:val="both"/>
              <w:rPr>
                <w:rFonts w:cs="Times New Roman"/>
                <w:szCs w:val="24"/>
              </w:rPr>
            </w:pPr>
            <w:r>
              <w:rPr>
                <w:rFonts w:cs="Times New Roman"/>
                <w:szCs w:val="24"/>
              </w:rPr>
              <w:t>120</w:t>
            </w:r>
          </w:p>
        </w:tc>
        <w:tc>
          <w:tcPr>
            <w:tcW w:w="1350" w:type="dxa"/>
          </w:tcPr>
          <w:p w14:paraId="472FC29A" w14:textId="02C43B59" w:rsidR="004C070E" w:rsidRPr="002A7627" w:rsidRDefault="004C070E" w:rsidP="00A93414">
            <w:pPr>
              <w:widowControl/>
              <w:spacing w:line="480" w:lineRule="auto"/>
              <w:jc w:val="both"/>
              <w:rPr>
                <w:rFonts w:cs="Times New Roman"/>
                <w:szCs w:val="24"/>
              </w:rPr>
            </w:pPr>
            <w:r>
              <w:rPr>
                <w:rFonts w:cs="Times New Roman"/>
                <w:szCs w:val="24"/>
              </w:rPr>
              <w:t>1277</w:t>
            </w:r>
          </w:p>
        </w:tc>
      </w:tr>
      <w:tr w:rsidR="00A93414" w:rsidRPr="002A7627" w14:paraId="5503A996" w14:textId="77777777" w:rsidTr="00A93414">
        <w:tc>
          <w:tcPr>
            <w:tcW w:w="2765" w:type="dxa"/>
          </w:tcPr>
          <w:p w14:paraId="2316B5A2" w14:textId="77777777" w:rsidR="00A93414" w:rsidRPr="002A7627" w:rsidRDefault="00A93414" w:rsidP="00A93414">
            <w:pPr>
              <w:widowControl/>
              <w:spacing w:line="480" w:lineRule="auto"/>
              <w:jc w:val="both"/>
              <w:rPr>
                <w:rFonts w:cs="Times New Roman"/>
                <w:color w:val="auto"/>
                <w:szCs w:val="24"/>
              </w:rPr>
            </w:pPr>
            <w:r w:rsidRPr="002A7627">
              <w:rPr>
                <w:rFonts w:cs="Times New Roman"/>
                <w:szCs w:val="24"/>
              </w:rPr>
              <w:t xml:space="preserve">Responses </w:t>
            </w:r>
          </w:p>
        </w:tc>
        <w:tc>
          <w:tcPr>
            <w:tcW w:w="1010" w:type="dxa"/>
          </w:tcPr>
          <w:p w14:paraId="3942D4F4" w14:textId="77777777" w:rsidR="00A93414" w:rsidRPr="002A7627" w:rsidRDefault="00A93414" w:rsidP="00A93414">
            <w:pPr>
              <w:widowControl/>
              <w:spacing w:line="480" w:lineRule="auto"/>
              <w:jc w:val="both"/>
              <w:rPr>
                <w:rFonts w:cs="Times New Roman"/>
                <w:color w:val="auto"/>
                <w:szCs w:val="24"/>
              </w:rPr>
            </w:pPr>
            <w:r w:rsidRPr="002A7627">
              <w:rPr>
                <w:rFonts w:cs="Times New Roman"/>
                <w:szCs w:val="24"/>
              </w:rPr>
              <w:t>663</w:t>
            </w:r>
          </w:p>
        </w:tc>
        <w:tc>
          <w:tcPr>
            <w:tcW w:w="1350" w:type="dxa"/>
          </w:tcPr>
          <w:p w14:paraId="53F06AF5" w14:textId="77777777" w:rsidR="00A93414" w:rsidRPr="002A7627" w:rsidRDefault="00A93414" w:rsidP="00A93414">
            <w:pPr>
              <w:widowControl/>
              <w:spacing w:line="480" w:lineRule="auto"/>
              <w:jc w:val="both"/>
              <w:rPr>
                <w:rFonts w:cs="Times New Roman"/>
                <w:color w:val="auto"/>
                <w:szCs w:val="24"/>
              </w:rPr>
            </w:pPr>
            <w:r w:rsidRPr="002A7627">
              <w:rPr>
                <w:rFonts w:cs="Times New Roman"/>
                <w:szCs w:val="24"/>
              </w:rPr>
              <w:t>108</w:t>
            </w:r>
          </w:p>
        </w:tc>
        <w:tc>
          <w:tcPr>
            <w:tcW w:w="1350" w:type="dxa"/>
          </w:tcPr>
          <w:p w14:paraId="49441C6F" w14:textId="77777777" w:rsidR="00A93414" w:rsidRPr="002A7627" w:rsidRDefault="00A93414" w:rsidP="00A93414">
            <w:pPr>
              <w:widowControl/>
              <w:spacing w:line="480" w:lineRule="auto"/>
              <w:jc w:val="both"/>
              <w:rPr>
                <w:rFonts w:cs="Times New Roman"/>
                <w:szCs w:val="24"/>
              </w:rPr>
            </w:pPr>
            <w:r w:rsidRPr="002A7627">
              <w:rPr>
                <w:rFonts w:cs="Times New Roman"/>
                <w:szCs w:val="24"/>
              </w:rPr>
              <w:t>771</w:t>
            </w:r>
          </w:p>
        </w:tc>
      </w:tr>
      <w:tr w:rsidR="00A93414" w:rsidRPr="002A7627" w14:paraId="1760731D" w14:textId="77777777" w:rsidTr="00A93414">
        <w:tc>
          <w:tcPr>
            <w:tcW w:w="2765" w:type="dxa"/>
          </w:tcPr>
          <w:p w14:paraId="088DC27A" w14:textId="77777777" w:rsidR="00A93414" w:rsidRPr="002A7627" w:rsidRDefault="00A93414" w:rsidP="00A93414">
            <w:pPr>
              <w:widowControl/>
              <w:spacing w:line="480" w:lineRule="auto"/>
              <w:jc w:val="both"/>
              <w:rPr>
                <w:rFonts w:cs="Times New Roman"/>
                <w:color w:val="auto"/>
                <w:szCs w:val="24"/>
              </w:rPr>
            </w:pPr>
            <w:r w:rsidRPr="002A7627">
              <w:rPr>
                <w:rFonts w:cs="Times New Roman"/>
                <w:szCs w:val="24"/>
              </w:rPr>
              <w:t xml:space="preserve">Used </w:t>
            </w:r>
          </w:p>
        </w:tc>
        <w:tc>
          <w:tcPr>
            <w:tcW w:w="1010" w:type="dxa"/>
          </w:tcPr>
          <w:p w14:paraId="416A73C6" w14:textId="77777777" w:rsidR="00A93414" w:rsidRPr="002A7627" w:rsidRDefault="00A93414" w:rsidP="00A93414">
            <w:pPr>
              <w:widowControl/>
              <w:spacing w:line="480" w:lineRule="auto"/>
              <w:jc w:val="both"/>
              <w:rPr>
                <w:rFonts w:cs="Times New Roman"/>
                <w:color w:val="auto"/>
                <w:szCs w:val="24"/>
              </w:rPr>
            </w:pPr>
            <w:r w:rsidRPr="002A7627">
              <w:rPr>
                <w:rFonts w:cs="Times New Roman"/>
                <w:szCs w:val="24"/>
              </w:rPr>
              <w:t>587</w:t>
            </w:r>
          </w:p>
        </w:tc>
        <w:tc>
          <w:tcPr>
            <w:tcW w:w="1350" w:type="dxa"/>
          </w:tcPr>
          <w:p w14:paraId="2BE84846" w14:textId="77777777" w:rsidR="00A93414" w:rsidRPr="002A7627" w:rsidRDefault="00A93414" w:rsidP="00A93414">
            <w:pPr>
              <w:widowControl/>
              <w:spacing w:line="480" w:lineRule="auto"/>
              <w:jc w:val="both"/>
              <w:rPr>
                <w:rFonts w:cs="Times New Roman"/>
                <w:color w:val="auto"/>
                <w:szCs w:val="24"/>
              </w:rPr>
            </w:pPr>
            <w:r w:rsidRPr="002A7627">
              <w:rPr>
                <w:rFonts w:cs="Times New Roman"/>
                <w:szCs w:val="24"/>
              </w:rPr>
              <w:t>106</w:t>
            </w:r>
          </w:p>
        </w:tc>
        <w:tc>
          <w:tcPr>
            <w:tcW w:w="1350" w:type="dxa"/>
          </w:tcPr>
          <w:p w14:paraId="09297B00" w14:textId="77777777" w:rsidR="00A93414" w:rsidRPr="002A7627" w:rsidRDefault="00A93414" w:rsidP="00A93414">
            <w:pPr>
              <w:widowControl/>
              <w:spacing w:line="480" w:lineRule="auto"/>
              <w:jc w:val="both"/>
              <w:rPr>
                <w:rFonts w:cs="Times New Roman"/>
                <w:szCs w:val="24"/>
              </w:rPr>
            </w:pPr>
            <w:r w:rsidRPr="002A7627">
              <w:rPr>
                <w:rFonts w:cs="Times New Roman"/>
                <w:szCs w:val="24"/>
              </w:rPr>
              <w:t>693</w:t>
            </w:r>
          </w:p>
        </w:tc>
      </w:tr>
    </w:tbl>
    <w:p w14:paraId="6A2CD748" w14:textId="77777777" w:rsidR="00A93414" w:rsidRPr="00D44B77" w:rsidRDefault="00A93414" w:rsidP="00A93414">
      <w:pPr>
        <w:widowControl/>
        <w:spacing w:line="480" w:lineRule="auto"/>
        <w:jc w:val="both"/>
        <w:rPr>
          <w:rFonts w:cs="Times New Roman"/>
          <w:sz w:val="16"/>
          <w:szCs w:val="16"/>
        </w:rPr>
      </w:pPr>
    </w:p>
    <w:p w14:paraId="554BC464" w14:textId="0F4CBEFE" w:rsidR="00A93414" w:rsidRPr="002A7627" w:rsidRDefault="005F6EC8" w:rsidP="00A93414">
      <w:pPr>
        <w:pStyle w:val="AAAAAAA"/>
        <w:ind w:firstLine="0"/>
      </w:pPr>
      <w:bookmarkStart w:id="187" w:name="_Toc22331687"/>
      <w:r w:rsidRPr="001D5F54">
        <w:rPr>
          <w:rStyle w:val="Heading2Char"/>
          <w:u w:val="none"/>
        </w:rPr>
        <w:t xml:space="preserve">4.12.1. </w:t>
      </w:r>
      <w:r w:rsidR="00A93414" w:rsidRPr="001D5F54">
        <w:rPr>
          <w:rStyle w:val="Heading2Char"/>
          <w:u w:val="none"/>
        </w:rPr>
        <w:t>Data collection selection verification</w:t>
      </w:r>
      <w:bookmarkEnd w:id="187"/>
      <w:r w:rsidR="00A93414" w:rsidRPr="002A7627">
        <w:t xml:space="preserve">. Table </w:t>
      </w:r>
      <w:r w:rsidR="00362DDC">
        <w:t>8</w:t>
      </w:r>
      <w:r w:rsidR="00A93414" w:rsidRPr="002A7627">
        <w:t xml:space="preserve"> </w:t>
      </w:r>
      <w:r w:rsidR="00362DDC">
        <w:t>shows</w:t>
      </w:r>
      <w:r w:rsidR="00362DDC" w:rsidRPr="002A7627">
        <w:t xml:space="preserve"> </w:t>
      </w:r>
      <w:r w:rsidR="00A93414" w:rsidRPr="002A7627">
        <w:t>the mean value</w:t>
      </w:r>
      <w:r w:rsidR="00362DDC">
        <w:t>s</w:t>
      </w:r>
      <w:r w:rsidR="00A93414" w:rsidRPr="002A7627">
        <w:t xml:space="preserve"> for both modes of responses. </w:t>
      </w:r>
      <w:r w:rsidR="00733271">
        <w:t>T</w:t>
      </w:r>
      <w:r w:rsidR="00A93414" w:rsidRPr="002A7627">
        <w:t>he Mann</w:t>
      </w:r>
      <w:r w:rsidR="00362DDC">
        <w:t>–</w:t>
      </w:r>
      <w:r w:rsidR="00A93414" w:rsidRPr="002A7627">
        <w:t>Whitney U-test</w:t>
      </w:r>
      <w:r w:rsidR="00733271">
        <w:t>, which is suitable for ordinal or continuous variables,</w:t>
      </w:r>
      <w:r w:rsidR="00A93414" w:rsidRPr="002A7627">
        <w:t xml:space="preserve"> </w:t>
      </w:r>
      <w:r w:rsidR="00733271">
        <w:t xml:space="preserve">was used </w:t>
      </w:r>
      <w:r w:rsidR="00A93414" w:rsidRPr="002A7627">
        <w:t>to compare the mean values for independent groups</w:t>
      </w:r>
      <w:r w:rsidR="00733271">
        <w:t>, and showed</w:t>
      </w:r>
      <w:r w:rsidR="00A93414" w:rsidRPr="002A7627">
        <w:t xml:space="preserve"> that the dependent variable </w:t>
      </w:r>
      <w:r w:rsidR="00733271">
        <w:t xml:space="preserve">was </w:t>
      </w:r>
      <w:r w:rsidR="00A93414" w:rsidRPr="002A7627">
        <w:t xml:space="preserve">not normally distributed </w:t>
      </w:r>
      <w:r w:rsidR="00A93414" w:rsidRPr="002A7627">
        <w:fldChar w:fldCharType="begin" w:fldLock="1"/>
      </w:r>
      <w:r w:rsidR="00A93414" w:rsidRPr="002A7627">
        <w:instrText>ADDIN CSL_CITATION {"citationItems":[{"id":"ITEM-1","itemData":{"DOI":"10.1214/aoms/1177730491","ISSN":"0003-4851","abstract":"The object of this note is to point out and discuss a simple transformation of an absolutely continuous k-variate distribution in the uniform distribution on the k-dimensional hypercube.","author":[{"dropping-particle":"","family":"Mann","given":"H. B.","non-dropping-particle":"","parse-names":false,"suffix":""},{"dropping-particle":"","family":"Whitney","given":"D. R.","non-dropping-particle":"","parse-names":false,"suffix":""}],"container-title":"The Annals of Mathematical Statistics","id":"ITEM-1","issue":"1","issued":{"date-parts":[["1947","3"]]},"page":"50-60","title":"On a test of whether one of two random variables is stochastically larger than the other","type":"article-journal","volume":"18"},"uris":["http://www.mendeley.com/documents/?uuid=d1b60332-3132-4214-87a6-f03a812748f0"]}],"mendeley":{"formattedCitation":"(Mann &amp; Whitney, 1947)","plainTextFormattedCitation":"(Mann &amp; Whitney, 1947)","previouslyFormattedCitation":"(Mann &amp; Whitney, 1947)"},"properties":{"noteIndex":0},"schema":"https://github.com/citation-style-language/schema/raw/master/csl-citation.json"}</w:instrText>
      </w:r>
      <w:r w:rsidR="00A93414" w:rsidRPr="002A7627">
        <w:fldChar w:fldCharType="separate"/>
      </w:r>
      <w:r w:rsidR="00A93414" w:rsidRPr="002A7627">
        <w:rPr>
          <w:noProof/>
        </w:rPr>
        <w:t>(Mann &amp; Whitney, 1947)</w:t>
      </w:r>
      <w:r w:rsidR="00A93414" w:rsidRPr="002A7627">
        <w:fldChar w:fldCharType="end"/>
      </w:r>
      <w:r w:rsidR="00A93414" w:rsidRPr="002A7627">
        <w:t>.</w:t>
      </w:r>
    </w:p>
    <w:p w14:paraId="56BA04FF" w14:textId="0E47C315" w:rsidR="00A93414" w:rsidRPr="002A7627" w:rsidRDefault="00733271" w:rsidP="00A93414">
      <w:pPr>
        <w:spacing w:after="240" w:line="480" w:lineRule="auto"/>
        <w:ind w:firstLine="720"/>
        <w:jc w:val="both"/>
        <w:rPr>
          <w:rFonts w:cs="Times New Roman"/>
          <w:szCs w:val="24"/>
        </w:rPr>
      </w:pPr>
      <w:r>
        <w:rPr>
          <w:rFonts w:cs="Times New Roman"/>
          <w:szCs w:val="24"/>
        </w:rPr>
        <w:t xml:space="preserve">The </w:t>
      </w:r>
      <w:r w:rsidR="00A93414">
        <w:rPr>
          <w:rFonts w:cs="Times New Roman"/>
          <w:szCs w:val="24"/>
        </w:rPr>
        <w:t>Kolmogorov</w:t>
      </w:r>
      <w:r>
        <w:rPr>
          <w:rFonts w:cs="Times New Roman"/>
          <w:szCs w:val="24"/>
        </w:rPr>
        <w:t>–</w:t>
      </w:r>
      <w:r w:rsidR="00A93414">
        <w:rPr>
          <w:rFonts w:cs="Times New Roman"/>
          <w:szCs w:val="24"/>
        </w:rPr>
        <w:t>Smirnov tests for all the variables suggest</w:t>
      </w:r>
      <w:r>
        <w:rPr>
          <w:rFonts w:cs="Times New Roman"/>
          <w:szCs w:val="24"/>
        </w:rPr>
        <w:t>ed</w:t>
      </w:r>
      <w:r w:rsidR="00A93414">
        <w:rPr>
          <w:rFonts w:cs="Times New Roman"/>
          <w:szCs w:val="24"/>
        </w:rPr>
        <w:t xml:space="preserve"> </w:t>
      </w:r>
      <w:r w:rsidR="00A654F2">
        <w:rPr>
          <w:rFonts w:cs="Times New Roman"/>
          <w:szCs w:val="24"/>
        </w:rPr>
        <w:t xml:space="preserve">a </w:t>
      </w:r>
      <w:r w:rsidR="00A93414">
        <w:rPr>
          <w:rFonts w:cs="Times New Roman"/>
          <w:szCs w:val="24"/>
        </w:rPr>
        <w:t xml:space="preserve">violation of </w:t>
      </w:r>
      <w:r w:rsidR="00A654F2">
        <w:rPr>
          <w:rFonts w:cs="Times New Roman"/>
          <w:szCs w:val="24"/>
        </w:rPr>
        <w:t xml:space="preserve">the normal </w:t>
      </w:r>
      <w:r w:rsidR="00A93414">
        <w:rPr>
          <w:rFonts w:cs="Times New Roman"/>
          <w:szCs w:val="24"/>
        </w:rPr>
        <w:t>distribution assumption test</w:t>
      </w:r>
      <w:r w:rsidR="00A654F2">
        <w:rPr>
          <w:rFonts w:cs="Times New Roman"/>
          <w:szCs w:val="24"/>
        </w:rPr>
        <w:t>,</w:t>
      </w:r>
      <w:r w:rsidR="00A93414">
        <w:rPr>
          <w:rFonts w:cs="Times New Roman"/>
          <w:szCs w:val="24"/>
        </w:rPr>
        <w:t xml:space="preserve"> which is required for a t-test</w:t>
      </w:r>
      <w:r w:rsidR="00A93414" w:rsidRPr="002A7627">
        <w:rPr>
          <w:rFonts w:cs="Times New Roman"/>
          <w:szCs w:val="24"/>
        </w:rPr>
        <w:t xml:space="preserve"> </w:t>
      </w:r>
      <w:r w:rsidR="00A93414" w:rsidRPr="002A7627">
        <w:rPr>
          <w:rFonts w:cs="Times New Roman"/>
          <w:szCs w:val="24"/>
        </w:rPr>
        <w:fldChar w:fldCharType="begin" w:fldLock="1"/>
      </w:r>
      <w:r w:rsidR="00A93414" w:rsidRPr="002A7627">
        <w:rPr>
          <w:rFonts w:cs="Times New Roman"/>
          <w:szCs w:val="24"/>
        </w:rPr>
        <w:instrText>ADDIN CSL_CITATION {"citationItems":[{"id":"ITEM-1","itemData":{"DOI":"10.1108/TR-03-2017-0046","ISSN":"1660-5373","abstract":"Purpose: The purpose of this paper id to investigate the influence of nationality on residents’ perceptions of the impacts of tourism, and their support for tourism development, in Abu Dhabi, United Arab Emirates (UAE). Design/methodology/approach: Data were collected from self-administered questionnaires from 407 residents, representing 30 nationalities residing in Abu Dhabi. Findings: The findings suggest differences in perceptions of the impacts of tourism between national and expatriate residents. Despite these differences, both groups reported support of tourism development. Research limitations/implications: This paper groups residents into only two groups – nationals and expatriates – which limits the explanation of findings. Tourism officials should customize strategies to reach targeted group of residents. Originality/value: Extant literature examines residents’ perceptions of the impacts of tourism in homogenous groups, and little research explores the influence of nationality on residents’ perceptions. This study is the first to be conducted in Abu Dhabi – where more than 80 per cent of the population is comprised of expatriates – that identifies differences in perceptions between national and expatriate residents regarding tourism’s impacts. © 2017, © Emerald Publishing Limited.","author":[{"dropping-particle":"","family":"Hammad","given":"Nada Malalla","non-dropping-particle":"","parse-names":false,"suffix":""},{"dropping-particle":"","family":"Ahmad","given":"Syed Zamberi","non-dropping-particle":"","parse-names":false,"suffix":""},{"dropping-particle":"","family":"Papastathopoulos","given":"Avraam","non-dropping-particle":"","parse-names":false,"suffix":""}],"container-title":"Tourism Review","id":"ITEM-1","issue":"4","issued":{"date-parts":[["2017","11","20"]]},"page":"448-461","title":"Evaluating perceptions of residents’ towards impacts of tourism development in Emirates of Abu Dhabi, United Arab Emirates","type":"article-journal","volume":"72"},"uris":["http://www.mendeley.com/documents/?uuid=ca347dcc-c1aa-49d4-9063-3a5f324591b4"]},{"id":"ITEM-2","itemData":{"DOI":"10.1214/aoms/1177730491","ISSN":"0003-4851","abstract":"The object of this note is to point out and discuss a simple transformation of an absolutely continuous k-variate distribution in the uniform distribution on the k-dimensional hypercube.","author":[{"dropping-particle":"","family":"Mann","given":"H. B.","non-dropping-particle":"","parse-names":false,"suffix":""},{"dropping-particle":"","family":"Whitney","given":"D. R.","non-dropping-particle":"","parse-names":false,"suffix":""}],"container-title":"The Annals of Mathematical Statistics","id":"ITEM-2","issue":"1","issued":{"date-parts":[["1947","3"]]},"page":"50-60","title":"On a test of whether one of two random variables is stochastically larger than the other","type":"article-journal","volume":"18"},"uris":["http://www.mendeley.com/documents/?uuid=d1b60332-3132-4214-87a6-f03a812748f0"]},{"id":"ITEM-3","itemData":{"DOI":"10.20982/tqmp.04.1.p013","ISSN":"1913-4126","abstract":"It is often difficult, particularly when conducting research in psychology, to have access to large normally distributed samples. Fortunately, there are statistical tests to compare two independent groups that do not require large normally distributed samples. The Mann‐Whitney U is one of these tests. In the following work, a summary of this test is presented. The explanation of the logic underlying this test and its application are presented. Moreover, the forces and weaknesses of the Mann‐Whitney U are mentioned. One major limit of the Mann‐Whitney U is that the type I error or alpha (α) is amplified in a situation of heteroscedasticity.","author":[{"dropping-particle":"","family":"Nachar","given":"Nadim","non-dropping-particle":"","parse-names":false,"suffix":""}],"container-title":"Tutorials in Quantitative Methods for Psychology","id":"ITEM-3","issue":"1","issued":{"date-parts":[["2008","3","1"]]},"page":"13-20","title":"The Mann-Whitney U: A test for assessing whether two independent samples come from the same distribution","type":"article-journal","volume":"4"},"uris":["http://www.mendeley.com/documents/?uuid=7760558a-8b33-43e9-9a79-ff73ebbf133f"]}],"mendeley":{"formattedCitation":"(Hammad et al., 2017; Mann &amp; Whitney, 1947; Nachar, 2008)","manualFormatting":"(Hammad et al., 2017; Mann &amp; Whitney, 1947; Nachar, 2016)","plainTextFormattedCitation":"(Hammad et al., 2017; Mann &amp; Whitney, 1947; Nachar, 2008)","previouslyFormattedCitation":"(Hammad et al., 2017; Mann &amp; Whitney, 1947; Nachar, 2008)"},"properties":{"noteIndex":0},"schema":"https://github.com/citation-style-language/schema/raw/master/csl-citation.json"}</w:instrText>
      </w:r>
      <w:r w:rsidR="00A93414" w:rsidRPr="002A7627">
        <w:rPr>
          <w:rFonts w:cs="Times New Roman"/>
          <w:szCs w:val="24"/>
        </w:rPr>
        <w:fldChar w:fldCharType="separate"/>
      </w:r>
      <w:r w:rsidR="00A93414" w:rsidRPr="002A7627">
        <w:rPr>
          <w:rFonts w:cs="Times New Roman"/>
          <w:noProof/>
          <w:szCs w:val="24"/>
        </w:rPr>
        <w:t>(Hammad et al., 2017; Mann &amp; Whitney, 1947; Nachar, 2016)</w:t>
      </w:r>
      <w:r w:rsidR="00A93414" w:rsidRPr="002A7627">
        <w:rPr>
          <w:rFonts w:cs="Times New Roman"/>
          <w:szCs w:val="24"/>
        </w:rPr>
        <w:fldChar w:fldCharType="end"/>
      </w:r>
      <w:r w:rsidR="00A93414" w:rsidRPr="002A7627">
        <w:rPr>
          <w:rFonts w:cs="Times New Roman"/>
          <w:szCs w:val="24"/>
        </w:rPr>
        <w:t xml:space="preserve">. The results showed that none of the </w:t>
      </w:r>
      <w:r w:rsidR="00A93414">
        <w:rPr>
          <w:rFonts w:cs="Times New Roman"/>
          <w:szCs w:val="24"/>
        </w:rPr>
        <w:t>seven</w:t>
      </w:r>
      <w:r w:rsidR="00A93414" w:rsidRPr="002A7627">
        <w:rPr>
          <w:rFonts w:cs="Times New Roman"/>
          <w:szCs w:val="24"/>
        </w:rPr>
        <w:t xml:space="preserve"> variables varied across the two response groups. The distribution of both groups was equal because the p-values were above 0.05. </w:t>
      </w:r>
    </w:p>
    <w:p w14:paraId="7B82BD2D" w14:textId="608E9D06" w:rsidR="00A93414" w:rsidRPr="001D5F54" w:rsidRDefault="00004BFD" w:rsidP="00263B9C">
      <w:pPr>
        <w:pStyle w:val="Caption"/>
        <w:keepNext/>
        <w:rPr>
          <w:color w:val="000000"/>
          <w:szCs w:val="24"/>
        </w:rPr>
      </w:pPr>
      <w:bookmarkStart w:id="188" w:name="_Toc19478586"/>
      <w:bookmarkStart w:id="189" w:name="_Toc21074076"/>
      <w:bookmarkStart w:id="190" w:name="_Hlk20771227"/>
      <w:r w:rsidRPr="004D08C5">
        <w:rPr>
          <w:bCs w:val="0"/>
        </w:rPr>
        <w:t xml:space="preserve">Table </w:t>
      </w:r>
      <w:r w:rsidR="006D32F8" w:rsidRPr="004D08C5">
        <w:rPr>
          <w:bCs w:val="0"/>
        </w:rPr>
        <w:fldChar w:fldCharType="begin"/>
      </w:r>
      <w:r w:rsidR="006D32F8" w:rsidRPr="004D08C5">
        <w:rPr>
          <w:bCs w:val="0"/>
        </w:rPr>
        <w:instrText xml:space="preserve"> SEQ Table \* ARABIC </w:instrText>
      </w:r>
      <w:r w:rsidR="006D32F8" w:rsidRPr="004D08C5">
        <w:rPr>
          <w:bCs w:val="0"/>
        </w:rPr>
        <w:fldChar w:fldCharType="separate"/>
      </w:r>
      <w:r w:rsidR="00972C3F">
        <w:rPr>
          <w:bCs w:val="0"/>
          <w:noProof/>
        </w:rPr>
        <w:t>8</w:t>
      </w:r>
      <w:r w:rsidR="006D32F8" w:rsidRPr="004D08C5">
        <w:rPr>
          <w:bCs w:val="0"/>
        </w:rPr>
        <w:fldChar w:fldCharType="end"/>
      </w:r>
      <w:r w:rsidRPr="004D08C5">
        <w:rPr>
          <w:bCs w:val="0"/>
        </w:rPr>
        <w:t>.</w:t>
      </w:r>
      <w:r>
        <w:t xml:space="preserve"> </w:t>
      </w:r>
      <w:r w:rsidRPr="00D0248E">
        <w:t>Comparing the two Survey Return Types (Online and paper)</w:t>
      </w:r>
      <w:bookmarkEnd w:id="188"/>
      <w:bookmarkEnd w:id="189"/>
    </w:p>
    <w:tbl>
      <w:tblPr>
        <w:tblStyle w:val="APAReport"/>
        <w:tblW w:w="8998" w:type="dxa"/>
        <w:tblLook w:val="04A0" w:firstRow="1" w:lastRow="0" w:firstColumn="1" w:lastColumn="0" w:noHBand="0" w:noVBand="1"/>
      </w:tblPr>
      <w:tblGrid>
        <w:gridCol w:w="1150"/>
        <w:gridCol w:w="744"/>
        <w:gridCol w:w="876"/>
        <w:gridCol w:w="1238"/>
        <w:gridCol w:w="817"/>
        <w:gridCol w:w="1203"/>
        <w:gridCol w:w="1043"/>
        <w:gridCol w:w="960"/>
        <w:gridCol w:w="967"/>
      </w:tblGrid>
      <w:tr w:rsidR="00A93414" w:rsidRPr="002A7627" w14:paraId="2DBA4E99" w14:textId="77777777" w:rsidTr="00A93414">
        <w:trPr>
          <w:gridAfter w:val="1"/>
          <w:cnfStyle w:val="100000000000" w:firstRow="1" w:lastRow="0" w:firstColumn="0" w:lastColumn="0" w:oddVBand="0" w:evenVBand="0" w:oddHBand="0" w:evenHBand="0" w:firstRowFirstColumn="0" w:firstRowLastColumn="0" w:lastRowFirstColumn="0" w:lastRowLastColumn="0"/>
          <w:wAfter w:w="1042" w:type="dxa"/>
          <w:trHeight w:val="900"/>
          <w:tblHeader/>
        </w:trPr>
        <w:tc>
          <w:tcPr>
            <w:tcW w:w="1150" w:type="dxa"/>
            <w:hideMark/>
          </w:tcPr>
          <w:p w14:paraId="61A0687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Construct</w:t>
            </w:r>
          </w:p>
        </w:tc>
        <w:tc>
          <w:tcPr>
            <w:tcW w:w="744" w:type="dxa"/>
            <w:hideMark/>
          </w:tcPr>
          <w:p w14:paraId="61D3DC6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N</w:t>
            </w:r>
          </w:p>
        </w:tc>
        <w:tc>
          <w:tcPr>
            <w:tcW w:w="876" w:type="dxa"/>
            <w:hideMark/>
          </w:tcPr>
          <w:p w14:paraId="17BBCA2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Mean</w:t>
            </w:r>
          </w:p>
        </w:tc>
        <w:tc>
          <w:tcPr>
            <w:tcW w:w="1163" w:type="dxa"/>
            <w:hideMark/>
          </w:tcPr>
          <w:p w14:paraId="1A4695AE" w14:textId="17B50E4E"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Std. Deviation</w:t>
            </w:r>
            <w:r w:rsidR="00EE462A">
              <w:rPr>
                <w:rFonts w:eastAsia="Times New Roman" w:cs="Times New Roman"/>
                <w:szCs w:val="24"/>
              </w:rPr>
              <w:t>ᵅ</w:t>
            </w:r>
          </w:p>
        </w:tc>
        <w:tc>
          <w:tcPr>
            <w:tcW w:w="817" w:type="dxa"/>
            <w:hideMark/>
          </w:tcPr>
          <w:p w14:paraId="20E8FC7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Std. Error Mean</w:t>
            </w:r>
          </w:p>
        </w:tc>
        <w:tc>
          <w:tcPr>
            <w:tcW w:w="1203" w:type="dxa"/>
            <w:hideMark/>
          </w:tcPr>
          <w:p w14:paraId="252958CA" w14:textId="010DB550"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xml:space="preserve">Test </w:t>
            </w:r>
            <w:r w:rsidRPr="002A7627">
              <w:rPr>
                <w:rFonts w:eastAsia="Times New Roman" w:cs="Times New Roman"/>
                <w:szCs w:val="24"/>
              </w:rPr>
              <w:br/>
              <w:t>Normality SW</w:t>
            </w:r>
            <w:r w:rsidR="00EE462A">
              <w:rPr>
                <w:rFonts w:eastAsia="Times New Roman" w:cs="Times New Roman"/>
                <w:szCs w:val="24"/>
              </w:rPr>
              <w:t>ᵇ</w:t>
            </w:r>
          </w:p>
        </w:tc>
        <w:tc>
          <w:tcPr>
            <w:tcW w:w="1043" w:type="dxa"/>
            <w:hideMark/>
          </w:tcPr>
          <w:p w14:paraId="3E3FF9C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Mann-Whitney</w:t>
            </w:r>
            <w:r w:rsidRPr="002A7627">
              <w:rPr>
                <w:rFonts w:eastAsia="Times New Roman" w:cs="Times New Roman"/>
                <w:szCs w:val="24"/>
              </w:rPr>
              <w:br/>
              <w:t xml:space="preserve"> U-Test</w:t>
            </w:r>
          </w:p>
        </w:tc>
        <w:tc>
          <w:tcPr>
            <w:tcW w:w="960" w:type="dxa"/>
            <w:hideMark/>
          </w:tcPr>
          <w:p w14:paraId="375E0A3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P-Value</w:t>
            </w:r>
          </w:p>
        </w:tc>
      </w:tr>
      <w:tr w:rsidR="00A93414" w:rsidRPr="002A7627" w14:paraId="0A81C3E8" w14:textId="77777777" w:rsidTr="00A93414">
        <w:trPr>
          <w:gridAfter w:val="1"/>
          <w:wAfter w:w="1042" w:type="dxa"/>
          <w:trHeight w:val="300"/>
        </w:trPr>
        <w:tc>
          <w:tcPr>
            <w:tcW w:w="1150" w:type="dxa"/>
            <w:hideMark/>
          </w:tcPr>
          <w:p w14:paraId="5F66180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K</w:t>
            </w:r>
            <w:r>
              <w:rPr>
                <w:rFonts w:eastAsia="Times New Roman" w:cs="Times New Roman"/>
                <w:szCs w:val="24"/>
              </w:rPr>
              <w:t>M</w:t>
            </w:r>
            <w:r w:rsidRPr="002A7627">
              <w:rPr>
                <w:rFonts w:eastAsia="Times New Roman" w:cs="Times New Roman"/>
                <w:szCs w:val="24"/>
              </w:rPr>
              <w:t>C1</w:t>
            </w:r>
          </w:p>
        </w:tc>
        <w:tc>
          <w:tcPr>
            <w:tcW w:w="744" w:type="dxa"/>
            <w:noWrap/>
            <w:hideMark/>
          </w:tcPr>
          <w:p w14:paraId="6AB4933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2C809A8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3.39</w:t>
            </w:r>
          </w:p>
        </w:tc>
        <w:tc>
          <w:tcPr>
            <w:tcW w:w="1163" w:type="dxa"/>
            <w:noWrap/>
            <w:hideMark/>
          </w:tcPr>
          <w:p w14:paraId="5CB5A01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1.295</w:t>
            </w:r>
          </w:p>
        </w:tc>
        <w:tc>
          <w:tcPr>
            <w:tcW w:w="817" w:type="dxa"/>
            <w:noWrap/>
            <w:hideMark/>
          </w:tcPr>
          <w:p w14:paraId="3ECC354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.053</w:t>
            </w:r>
          </w:p>
        </w:tc>
        <w:tc>
          <w:tcPr>
            <w:tcW w:w="1203" w:type="dxa"/>
            <w:vMerge w:val="restart"/>
            <w:noWrap/>
            <w:hideMark/>
          </w:tcPr>
          <w:p w14:paraId="3B25B0B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0.881***</w:t>
            </w:r>
          </w:p>
        </w:tc>
        <w:tc>
          <w:tcPr>
            <w:tcW w:w="1043" w:type="dxa"/>
            <w:vMerge w:val="restart"/>
            <w:noWrap/>
            <w:hideMark/>
          </w:tcPr>
          <w:p w14:paraId="2FF99CA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29681.0</w:t>
            </w:r>
          </w:p>
        </w:tc>
        <w:tc>
          <w:tcPr>
            <w:tcW w:w="960" w:type="dxa"/>
            <w:vMerge w:val="restart"/>
            <w:noWrap/>
            <w:hideMark/>
          </w:tcPr>
          <w:p w14:paraId="15FC48C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0.438</w:t>
            </w:r>
          </w:p>
        </w:tc>
      </w:tr>
      <w:tr w:rsidR="00A93414" w:rsidRPr="002A7627" w14:paraId="54DE82E3" w14:textId="77777777" w:rsidTr="00A93414">
        <w:trPr>
          <w:gridAfter w:val="1"/>
          <w:wAfter w:w="1042" w:type="dxa"/>
          <w:trHeight w:val="300"/>
        </w:trPr>
        <w:tc>
          <w:tcPr>
            <w:tcW w:w="1150" w:type="dxa"/>
            <w:hideMark/>
          </w:tcPr>
          <w:p w14:paraId="2F45502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1121D7B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5A5C791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3.46</w:t>
            </w:r>
          </w:p>
        </w:tc>
        <w:tc>
          <w:tcPr>
            <w:tcW w:w="1163" w:type="dxa"/>
            <w:noWrap/>
            <w:hideMark/>
          </w:tcPr>
          <w:p w14:paraId="289F493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1.374</w:t>
            </w:r>
          </w:p>
        </w:tc>
        <w:tc>
          <w:tcPr>
            <w:tcW w:w="817" w:type="dxa"/>
            <w:noWrap/>
            <w:hideMark/>
          </w:tcPr>
          <w:p w14:paraId="01C9A51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.133</w:t>
            </w:r>
          </w:p>
        </w:tc>
        <w:tc>
          <w:tcPr>
            <w:tcW w:w="1203" w:type="dxa"/>
            <w:vMerge/>
            <w:hideMark/>
          </w:tcPr>
          <w:p w14:paraId="2FCF4DD4"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3EE99C21"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23176DDD"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57492F47" w14:textId="77777777" w:rsidTr="00A93414">
        <w:trPr>
          <w:gridAfter w:val="1"/>
          <w:wAfter w:w="1042" w:type="dxa"/>
          <w:trHeight w:val="300"/>
        </w:trPr>
        <w:tc>
          <w:tcPr>
            <w:tcW w:w="1150" w:type="dxa"/>
            <w:hideMark/>
          </w:tcPr>
          <w:p w14:paraId="775022D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K</w:t>
            </w:r>
            <w:r>
              <w:rPr>
                <w:rFonts w:eastAsia="Times New Roman" w:cs="Times New Roman"/>
                <w:szCs w:val="24"/>
              </w:rPr>
              <w:t>M</w:t>
            </w:r>
            <w:r w:rsidRPr="002A7627">
              <w:rPr>
                <w:rFonts w:eastAsia="Times New Roman" w:cs="Times New Roman"/>
                <w:szCs w:val="24"/>
              </w:rPr>
              <w:t>C2</w:t>
            </w:r>
          </w:p>
        </w:tc>
        <w:tc>
          <w:tcPr>
            <w:tcW w:w="744" w:type="dxa"/>
            <w:noWrap/>
            <w:hideMark/>
          </w:tcPr>
          <w:p w14:paraId="585687C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0AA38AC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3.61</w:t>
            </w:r>
          </w:p>
        </w:tc>
        <w:tc>
          <w:tcPr>
            <w:tcW w:w="1163" w:type="dxa"/>
            <w:noWrap/>
            <w:hideMark/>
          </w:tcPr>
          <w:p w14:paraId="3F0FB19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1.120</w:t>
            </w:r>
          </w:p>
        </w:tc>
        <w:tc>
          <w:tcPr>
            <w:tcW w:w="817" w:type="dxa"/>
            <w:noWrap/>
            <w:hideMark/>
          </w:tcPr>
          <w:p w14:paraId="581C914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.046</w:t>
            </w:r>
          </w:p>
        </w:tc>
        <w:tc>
          <w:tcPr>
            <w:tcW w:w="1203" w:type="dxa"/>
            <w:vMerge w:val="restart"/>
            <w:noWrap/>
            <w:hideMark/>
          </w:tcPr>
          <w:p w14:paraId="5AFEE73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0.871***</w:t>
            </w:r>
          </w:p>
        </w:tc>
        <w:tc>
          <w:tcPr>
            <w:tcW w:w="1043" w:type="dxa"/>
            <w:vMerge w:val="restart"/>
            <w:noWrap/>
            <w:hideMark/>
          </w:tcPr>
          <w:p w14:paraId="7FF9750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29660.5</w:t>
            </w:r>
          </w:p>
        </w:tc>
        <w:tc>
          <w:tcPr>
            <w:tcW w:w="960" w:type="dxa"/>
            <w:vMerge w:val="restart"/>
            <w:noWrap/>
            <w:hideMark/>
          </w:tcPr>
          <w:p w14:paraId="200ABED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0.424</w:t>
            </w:r>
          </w:p>
        </w:tc>
      </w:tr>
      <w:tr w:rsidR="00A93414" w:rsidRPr="002A7627" w14:paraId="30E5197C" w14:textId="77777777" w:rsidTr="00A93414">
        <w:trPr>
          <w:gridAfter w:val="1"/>
          <w:wAfter w:w="1042" w:type="dxa"/>
          <w:trHeight w:val="300"/>
        </w:trPr>
        <w:tc>
          <w:tcPr>
            <w:tcW w:w="1150" w:type="dxa"/>
            <w:hideMark/>
          </w:tcPr>
          <w:p w14:paraId="2DA78E7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10110C4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7910B73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3.68</w:t>
            </w:r>
          </w:p>
        </w:tc>
        <w:tc>
          <w:tcPr>
            <w:tcW w:w="1163" w:type="dxa"/>
            <w:noWrap/>
            <w:hideMark/>
          </w:tcPr>
          <w:p w14:paraId="115288E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1.176</w:t>
            </w:r>
          </w:p>
        </w:tc>
        <w:tc>
          <w:tcPr>
            <w:tcW w:w="817" w:type="dxa"/>
            <w:noWrap/>
            <w:hideMark/>
          </w:tcPr>
          <w:p w14:paraId="265A2B5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.114</w:t>
            </w:r>
          </w:p>
        </w:tc>
        <w:tc>
          <w:tcPr>
            <w:tcW w:w="1203" w:type="dxa"/>
            <w:vMerge/>
            <w:hideMark/>
          </w:tcPr>
          <w:p w14:paraId="6C3D1E90"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7FCA6D79"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13D6C235"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52102BF2" w14:textId="77777777" w:rsidTr="00A93414">
        <w:trPr>
          <w:gridAfter w:val="1"/>
          <w:wAfter w:w="1042" w:type="dxa"/>
          <w:trHeight w:val="300"/>
        </w:trPr>
        <w:tc>
          <w:tcPr>
            <w:tcW w:w="1150" w:type="dxa"/>
            <w:hideMark/>
          </w:tcPr>
          <w:p w14:paraId="600F86A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K</w:t>
            </w:r>
            <w:r>
              <w:rPr>
                <w:rFonts w:eastAsia="Times New Roman" w:cs="Times New Roman"/>
                <w:szCs w:val="24"/>
              </w:rPr>
              <w:t>M</w:t>
            </w:r>
            <w:r w:rsidRPr="002A7627">
              <w:rPr>
                <w:rFonts w:eastAsia="Times New Roman" w:cs="Times New Roman"/>
                <w:szCs w:val="24"/>
              </w:rPr>
              <w:t>C3</w:t>
            </w:r>
          </w:p>
        </w:tc>
        <w:tc>
          <w:tcPr>
            <w:tcW w:w="744" w:type="dxa"/>
            <w:noWrap/>
            <w:hideMark/>
          </w:tcPr>
          <w:p w14:paraId="4EADC85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7BEBFF0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3.76</w:t>
            </w:r>
          </w:p>
        </w:tc>
        <w:tc>
          <w:tcPr>
            <w:tcW w:w="1163" w:type="dxa"/>
            <w:noWrap/>
            <w:hideMark/>
          </w:tcPr>
          <w:p w14:paraId="27A4BE8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1.029</w:t>
            </w:r>
          </w:p>
        </w:tc>
        <w:tc>
          <w:tcPr>
            <w:tcW w:w="817" w:type="dxa"/>
            <w:noWrap/>
            <w:hideMark/>
          </w:tcPr>
          <w:p w14:paraId="762E70B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.042</w:t>
            </w:r>
          </w:p>
        </w:tc>
        <w:tc>
          <w:tcPr>
            <w:tcW w:w="1203" w:type="dxa"/>
            <w:vMerge w:val="restart"/>
            <w:noWrap/>
            <w:hideMark/>
          </w:tcPr>
          <w:p w14:paraId="6EA84D9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0.865***</w:t>
            </w:r>
          </w:p>
        </w:tc>
        <w:tc>
          <w:tcPr>
            <w:tcW w:w="1043" w:type="dxa"/>
            <w:vMerge w:val="restart"/>
            <w:noWrap/>
            <w:hideMark/>
          </w:tcPr>
          <w:p w14:paraId="49B4890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27513.0</w:t>
            </w:r>
          </w:p>
        </w:tc>
        <w:tc>
          <w:tcPr>
            <w:tcW w:w="960" w:type="dxa"/>
            <w:vMerge w:val="restart"/>
            <w:noWrap/>
            <w:hideMark/>
          </w:tcPr>
          <w:p w14:paraId="2DF95A7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0.046</w:t>
            </w:r>
          </w:p>
        </w:tc>
      </w:tr>
      <w:tr w:rsidR="00A93414" w:rsidRPr="002A7627" w14:paraId="328ACC23" w14:textId="77777777" w:rsidTr="00A93414">
        <w:trPr>
          <w:gridAfter w:val="1"/>
          <w:wAfter w:w="1042" w:type="dxa"/>
          <w:trHeight w:val="300"/>
        </w:trPr>
        <w:tc>
          <w:tcPr>
            <w:tcW w:w="1150" w:type="dxa"/>
            <w:hideMark/>
          </w:tcPr>
          <w:p w14:paraId="5172BCE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39C5C98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73D1113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3.95</w:t>
            </w:r>
          </w:p>
        </w:tc>
        <w:tc>
          <w:tcPr>
            <w:tcW w:w="1163" w:type="dxa"/>
            <w:noWrap/>
            <w:hideMark/>
          </w:tcPr>
          <w:p w14:paraId="368D53C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1.018</w:t>
            </w:r>
          </w:p>
        </w:tc>
        <w:tc>
          <w:tcPr>
            <w:tcW w:w="817" w:type="dxa"/>
            <w:noWrap/>
            <w:hideMark/>
          </w:tcPr>
          <w:p w14:paraId="66D3BE2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.099</w:t>
            </w:r>
          </w:p>
        </w:tc>
        <w:tc>
          <w:tcPr>
            <w:tcW w:w="1203" w:type="dxa"/>
            <w:vMerge/>
            <w:hideMark/>
          </w:tcPr>
          <w:p w14:paraId="6432B53C"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085F9B30"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56D1327D"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2B1F8297" w14:textId="77777777" w:rsidTr="00A93414">
        <w:trPr>
          <w:gridAfter w:val="1"/>
          <w:wAfter w:w="1042" w:type="dxa"/>
          <w:trHeight w:val="300"/>
        </w:trPr>
        <w:tc>
          <w:tcPr>
            <w:tcW w:w="1150" w:type="dxa"/>
            <w:hideMark/>
          </w:tcPr>
          <w:p w14:paraId="11C635A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K</w:t>
            </w:r>
            <w:r>
              <w:rPr>
                <w:rFonts w:eastAsia="Times New Roman" w:cs="Times New Roman"/>
                <w:szCs w:val="24"/>
              </w:rPr>
              <w:t>M</w:t>
            </w:r>
            <w:r w:rsidRPr="002A7627">
              <w:rPr>
                <w:rFonts w:eastAsia="Times New Roman" w:cs="Times New Roman"/>
                <w:szCs w:val="24"/>
              </w:rPr>
              <w:t>C4</w:t>
            </w:r>
          </w:p>
        </w:tc>
        <w:tc>
          <w:tcPr>
            <w:tcW w:w="744" w:type="dxa"/>
            <w:noWrap/>
            <w:hideMark/>
          </w:tcPr>
          <w:p w14:paraId="7C061B5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1152DAB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3.53</w:t>
            </w:r>
          </w:p>
        </w:tc>
        <w:tc>
          <w:tcPr>
            <w:tcW w:w="1163" w:type="dxa"/>
            <w:noWrap/>
            <w:hideMark/>
          </w:tcPr>
          <w:p w14:paraId="329DE56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1.113</w:t>
            </w:r>
          </w:p>
        </w:tc>
        <w:tc>
          <w:tcPr>
            <w:tcW w:w="817" w:type="dxa"/>
            <w:noWrap/>
            <w:hideMark/>
          </w:tcPr>
          <w:p w14:paraId="6E76F72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.046</w:t>
            </w:r>
          </w:p>
        </w:tc>
        <w:tc>
          <w:tcPr>
            <w:tcW w:w="1203" w:type="dxa"/>
            <w:vMerge w:val="restart"/>
            <w:noWrap/>
            <w:hideMark/>
          </w:tcPr>
          <w:p w14:paraId="64F4D00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0.888***</w:t>
            </w:r>
          </w:p>
        </w:tc>
        <w:tc>
          <w:tcPr>
            <w:tcW w:w="1043" w:type="dxa"/>
            <w:vMerge w:val="restart"/>
            <w:noWrap/>
            <w:hideMark/>
          </w:tcPr>
          <w:p w14:paraId="1EDECC8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27792.0</w:t>
            </w:r>
          </w:p>
        </w:tc>
        <w:tc>
          <w:tcPr>
            <w:tcW w:w="960" w:type="dxa"/>
            <w:vMerge w:val="restart"/>
            <w:noWrap/>
            <w:hideMark/>
          </w:tcPr>
          <w:p w14:paraId="645850C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0.069</w:t>
            </w:r>
          </w:p>
        </w:tc>
      </w:tr>
      <w:tr w:rsidR="00A93414" w:rsidRPr="002A7627" w14:paraId="40430485" w14:textId="77777777" w:rsidTr="00A93414">
        <w:trPr>
          <w:gridAfter w:val="1"/>
          <w:wAfter w:w="1042" w:type="dxa"/>
          <w:trHeight w:val="300"/>
        </w:trPr>
        <w:tc>
          <w:tcPr>
            <w:tcW w:w="1150" w:type="dxa"/>
            <w:hideMark/>
          </w:tcPr>
          <w:p w14:paraId="72E1995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53C4B18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3BDBDC9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3.70</w:t>
            </w:r>
          </w:p>
        </w:tc>
        <w:tc>
          <w:tcPr>
            <w:tcW w:w="1163" w:type="dxa"/>
            <w:noWrap/>
            <w:hideMark/>
          </w:tcPr>
          <w:p w14:paraId="7CAB58E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1.181</w:t>
            </w:r>
          </w:p>
        </w:tc>
        <w:tc>
          <w:tcPr>
            <w:tcW w:w="817" w:type="dxa"/>
            <w:noWrap/>
            <w:hideMark/>
          </w:tcPr>
          <w:p w14:paraId="547FCA3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.115</w:t>
            </w:r>
          </w:p>
        </w:tc>
        <w:tc>
          <w:tcPr>
            <w:tcW w:w="1203" w:type="dxa"/>
            <w:vMerge/>
            <w:hideMark/>
          </w:tcPr>
          <w:p w14:paraId="457DE138"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09360C7F"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798A0DDE"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26221EA3" w14:textId="77777777" w:rsidTr="00A93414">
        <w:trPr>
          <w:gridAfter w:val="1"/>
          <w:wAfter w:w="1042" w:type="dxa"/>
          <w:trHeight w:val="300"/>
        </w:trPr>
        <w:tc>
          <w:tcPr>
            <w:tcW w:w="1150" w:type="dxa"/>
            <w:hideMark/>
          </w:tcPr>
          <w:p w14:paraId="66113A5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EMP1</w:t>
            </w:r>
          </w:p>
        </w:tc>
        <w:tc>
          <w:tcPr>
            <w:tcW w:w="744" w:type="dxa"/>
            <w:noWrap/>
            <w:hideMark/>
          </w:tcPr>
          <w:p w14:paraId="3DF89F4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060462E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2.60</w:t>
            </w:r>
          </w:p>
        </w:tc>
        <w:tc>
          <w:tcPr>
            <w:tcW w:w="1163" w:type="dxa"/>
            <w:noWrap/>
            <w:hideMark/>
          </w:tcPr>
          <w:p w14:paraId="7153238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1.279</w:t>
            </w:r>
          </w:p>
        </w:tc>
        <w:tc>
          <w:tcPr>
            <w:tcW w:w="817" w:type="dxa"/>
            <w:noWrap/>
            <w:hideMark/>
          </w:tcPr>
          <w:p w14:paraId="1D86528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.053</w:t>
            </w:r>
          </w:p>
        </w:tc>
        <w:tc>
          <w:tcPr>
            <w:tcW w:w="1203" w:type="dxa"/>
            <w:vMerge w:val="restart"/>
            <w:noWrap/>
            <w:hideMark/>
          </w:tcPr>
          <w:p w14:paraId="4517C05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0.887***</w:t>
            </w:r>
          </w:p>
        </w:tc>
        <w:tc>
          <w:tcPr>
            <w:tcW w:w="1043" w:type="dxa"/>
            <w:vMerge w:val="restart"/>
            <w:noWrap/>
            <w:hideMark/>
          </w:tcPr>
          <w:p w14:paraId="3B3B445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29778.0</w:t>
            </w:r>
          </w:p>
        </w:tc>
        <w:tc>
          <w:tcPr>
            <w:tcW w:w="960" w:type="dxa"/>
            <w:vMerge w:val="restart"/>
            <w:noWrap/>
            <w:hideMark/>
          </w:tcPr>
          <w:p w14:paraId="6BB8A86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0.469</w:t>
            </w:r>
          </w:p>
        </w:tc>
      </w:tr>
      <w:tr w:rsidR="00A93414" w:rsidRPr="002A7627" w14:paraId="231E13FB" w14:textId="77777777" w:rsidTr="00A93414">
        <w:trPr>
          <w:gridAfter w:val="1"/>
          <w:wAfter w:w="1042" w:type="dxa"/>
          <w:trHeight w:val="300"/>
        </w:trPr>
        <w:tc>
          <w:tcPr>
            <w:tcW w:w="1150" w:type="dxa"/>
            <w:hideMark/>
          </w:tcPr>
          <w:p w14:paraId="05FE202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0124DA0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7DCC1DA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2.71</w:t>
            </w:r>
          </w:p>
        </w:tc>
        <w:tc>
          <w:tcPr>
            <w:tcW w:w="1163" w:type="dxa"/>
            <w:noWrap/>
            <w:hideMark/>
          </w:tcPr>
          <w:p w14:paraId="1A9B2A0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1.287</w:t>
            </w:r>
          </w:p>
        </w:tc>
        <w:tc>
          <w:tcPr>
            <w:tcW w:w="817" w:type="dxa"/>
            <w:noWrap/>
            <w:hideMark/>
          </w:tcPr>
          <w:p w14:paraId="4DA7113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.125</w:t>
            </w:r>
          </w:p>
        </w:tc>
        <w:tc>
          <w:tcPr>
            <w:tcW w:w="1203" w:type="dxa"/>
            <w:vMerge/>
            <w:hideMark/>
          </w:tcPr>
          <w:p w14:paraId="1D4BAB25"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7AF16734"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1A114202"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392D8D80" w14:textId="77777777" w:rsidTr="00A93414">
        <w:trPr>
          <w:gridAfter w:val="1"/>
          <w:wAfter w:w="1042" w:type="dxa"/>
          <w:trHeight w:val="300"/>
        </w:trPr>
        <w:tc>
          <w:tcPr>
            <w:tcW w:w="1150" w:type="dxa"/>
            <w:hideMark/>
          </w:tcPr>
          <w:p w14:paraId="53F1421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EMP2</w:t>
            </w:r>
          </w:p>
        </w:tc>
        <w:tc>
          <w:tcPr>
            <w:tcW w:w="744" w:type="dxa"/>
            <w:noWrap/>
            <w:hideMark/>
          </w:tcPr>
          <w:p w14:paraId="6980AE1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08A3845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3.13</w:t>
            </w:r>
          </w:p>
        </w:tc>
        <w:tc>
          <w:tcPr>
            <w:tcW w:w="1163" w:type="dxa"/>
            <w:noWrap/>
            <w:hideMark/>
          </w:tcPr>
          <w:p w14:paraId="0419E61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1.178</w:t>
            </w:r>
          </w:p>
        </w:tc>
        <w:tc>
          <w:tcPr>
            <w:tcW w:w="817" w:type="dxa"/>
            <w:noWrap/>
            <w:hideMark/>
          </w:tcPr>
          <w:p w14:paraId="709CAEF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.049</w:t>
            </w:r>
          </w:p>
        </w:tc>
        <w:tc>
          <w:tcPr>
            <w:tcW w:w="1203" w:type="dxa"/>
            <w:vMerge w:val="restart"/>
            <w:noWrap/>
            <w:hideMark/>
          </w:tcPr>
          <w:p w14:paraId="45F0EC7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0.896***</w:t>
            </w:r>
          </w:p>
        </w:tc>
        <w:tc>
          <w:tcPr>
            <w:tcW w:w="1043" w:type="dxa"/>
            <w:vMerge w:val="restart"/>
            <w:noWrap/>
            <w:hideMark/>
          </w:tcPr>
          <w:p w14:paraId="46AC1D4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28336.5</w:t>
            </w:r>
          </w:p>
        </w:tc>
        <w:tc>
          <w:tcPr>
            <w:tcW w:w="960" w:type="dxa"/>
            <w:vMerge w:val="restart"/>
            <w:noWrap/>
            <w:hideMark/>
          </w:tcPr>
          <w:p w14:paraId="53ECA97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0.129</w:t>
            </w:r>
          </w:p>
        </w:tc>
      </w:tr>
      <w:tr w:rsidR="00A93414" w:rsidRPr="002A7627" w14:paraId="3E119564" w14:textId="77777777" w:rsidTr="00A93414">
        <w:trPr>
          <w:gridAfter w:val="1"/>
          <w:wAfter w:w="1042" w:type="dxa"/>
          <w:trHeight w:val="300"/>
        </w:trPr>
        <w:tc>
          <w:tcPr>
            <w:tcW w:w="1150" w:type="dxa"/>
            <w:hideMark/>
          </w:tcPr>
          <w:p w14:paraId="239A307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6D42B56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333503C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3.30</w:t>
            </w:r>
          </w:p>
        </w:tc>
        <w:tc>
          <w:tcPr>
            <w:tcW w:w="1163" w:type="dxa"/>
            <w:noWrap/>
            <w:hideMark/>
          </w:tcPr>
          <w:p w14:paraId="13DEFCA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1.212</w:t>
            </w:r>
          </w:p>
        </w:tc>
        <w:tc>
          <w:tcPr>
            <w:tcW w:w="817" w:type="dxa"/>
            <w:noWrap/>
            <w:hideMark/>
          </w:tcPr>
          <w:p w14:paraId="6C905DB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.118</w:t>
            </w:r>
          </w:p>
        </w:tc>
        <w:tc>
          <w:tcPr>
            <w:tcW w:w="1203" w:type="dxa"/>
            <w:vMerge/>
            <w:hideMark/>
          </w:tcPr>
          <w:p w14:paraId="79678898"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13F03711"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017D46CB"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35C47A44" w14:textId="77777777" w:rsidTr="00A93414">
        <w:trPr>
          <w:gridAfter w:val="1"/>
          <w:wAfter w:w="1042" w:type="dxa"/>
          <w:trHeight w:val="300"/>
        </w:trPr>
        <w:tc>
          <w:tcPr>
            <w:tcW w:w="1150" w:type="dxa"/>
            <w:hideMark/>
          </w:tcPr>
          <w:p w14:paraId="439CE74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EMP3</w:t>
            </w:r>
          </w:p>
        </w:tc>
        <w:tc>
          <w:tcPr>
            <w:tcW w:w="744" w:type="dxa"/>
            <w:noWrap/>
            <w:hideMark/>
          </w:tcPr>
          <w:p w14:paraId="7561A52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3E0A780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3.20</w:t>
            </w:r>
          </w:p>
        </w:tc>
        <w:tc>
          <w:tcPr>
            <w:tcW w:w="1163" w:type="dxa"/>
            <w:noWrap/>
            <w:hideMark/>
          </w:tcPr>
          <w:p w14:paraId="32AB85E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1.061</w:t>
            </w:r>
          </w:p>
        </w:tc>
        <w:tc>
          <w:tcPr>
            <w:tcW w:w="817" w:type="dxa"/>
            <w:noWrap/>
            <w:hideMark/>
          </w:tcPr>
          <w:p w14:paraId="793BBA5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.044</w:t>
            </w:r>
          </w:p>
        </w:tc>
        <w:tc>
          <w:tcPr>
            <w:tcW w:w="1203" w:type="dxa"/>
            <w:vMerge w:val="restart"/>
            <w:noWrap/>
            <w:hideMark/>
          </w:tcPr>
          <w:p w14:paraId="03687EE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0.898***</w:t>
            </w:r>
          </w:p>
        </w:tc>
        <w:tc>
          <w:tcPr>
            <w:tcW w:w="1043" w:type="dxa"/>
            <w:vMerge w:val="restart"/>
            <w:noWrap/>
            <w:hideMark/>
          </w:tcPr>
          <w:p w14:paraId="5AD897D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29963.0</w:t>
            </w:r>
          </w:p>
        </w:tc>
        <w:tc>
          <w:tcPr>
            <w:tcW w:w="960" w:type="dxa"/>
            <w:vMerge w:val="restart"/>
            <w:noWrap/>
            <w:hideMark/>
          </w:tcPr>
          <w:p w14:paraId="4246EB7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0.526</w:t>
            </w:r>
          </w:p>
        </w:tc>
      </w:tr>
      <w:tr w:rsidR="00A93414" w:rsidRPr="002A7627" w14:paraId="454741F5" w14:textId="77777777" w:rsidTr="00A93414">
        <w:trPr>
          <w:gridAfter w:val="1"/>
          <w:wAfter w:w="1042" w:type="dxa"/>
          <w:trHeight w:val="300"/>
        </w:trPr>
        <w:tc>
          <w:tcPr>
            <w:tcW w:w="1150" w:type="dxa"/>
            <w:hideMark/>
          </w:tcPr>
          <w:p w14:paraId="4D935F7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29C22D2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1949F6C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3.27</w:t>
            </w:r>
          </w:p>
        </w:tc>
        <w:tc>
          <w:tcPr>
            <w:tcW w:w="1163" w:type="dxa"/>
            <w:noWrap/>
            <w:hideMark/>
          </w:tcPr>
          <w:p w14:paraId="458BDA3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1.117</w:t>
            </w:r>
          </w:p>
        </w:tc>
        <w:tc>
          <w:tcPr>
            <w:tcW w:w="817" w:type="dxa"/>
            <w:noWrap/>
            <w:hideMark/>
          </w:tcPr>
          <w:p w14:paraId="213F989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.109</w:t>
            </w:r>
          </w:p>
        </w:tc>
        <w:tc>
          <w:tcPr>
            <w:tcW w:w="1203" w:type="dxa"/>
            <w:vMerge/>
            <w:hideMark/>
          </w:tcPr>
          <w:p w14:paraId="1FCCE70B"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12C847D9"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287901D0"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360C3B12" w14:textId="77777777" w:rsidTr="00A93414">
        <w:trPr>
          <w:gridAfter w:val="1"/>
          <w:wAfter w:w="1042" w:type="dxa"/>
          <w:trHeight w:val="300"/>
        </w:trPr>
        <w:tc>
          <w:tcPr>
            <w:tcW w:w="1150" w:type="dxa"/>
            <w:hideMark/>
          </w:tcPr>
          <w:p w14:paraId="59BA331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IMP1</w:t>
            </w:r>
          </w:p>
        </w:tc>
        <w:tc>
          <w:tcPr>
            <w:tcW w:w="744" w:type="dxa"/>
            <w:noWrap/>
            <w:hideMark/>
          </w:tcPr>
          <w:p w14:paraId="5746C01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5043F7D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3.43</w:t>
            </w:r>
          </w:p>
        </w:tc>
        <w:tc>
          <w:tcPr>
            <w:tcW w:w="1163" w:type="dxa"/>
            <w:noWrap/>
            <w:hideMark/>
          </w:tcPr>
          <w:p w14:paraId="5A86CF0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1.066</w:t>
            </w:r>
          </w:p>
        </w:tc>
        <w:tc>
          <w:tcPr>
            <w:tcW w:w="817" w:type="dxa"/>
            <w:noWrap/>
            <w:hideMark/>
          </w:tcPr>
          <w:p w14:paraId="00C087E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.044</w:t>
            </w:r>
          </w:p>
        </w:tc>
        <w:tc>
          <w:tcPr>
            <w:tcW w:w="1203" w:type="dxa"/>
            <w:vMerge w:val="restart"/>
            <w:noWrap/>
            <w:hideMark/>
          </w:tcPr>
          <w:p w14:paraId="7529516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0.884***</w:t>
            </w:r>
          </w:p>
        </w:tc>
        <w:tc>
          <w:tcPr>
            <w:tcW w:w="1043" w:type="dxa"/>
            <w:vMerge w:val="restart"/>
            <w:noWrap/>
            <w:hideMark/>
          </w:tcPr>
          <w:p w14:paraId="4D258D2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30304.0</w:t>
            </w:r>
          </w:p>
        </w:tc>
        <w:tc>
          <w:tcPr>
            <w:tcW w:w="960" w:type="dxa"/>
            <w:vMerge w:val="restart"/>
            <w:noWrap/>
            <w:hideMark/>
          </w:tcPr>
          <w:p w14:paraId="34A4EC5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0.656</w:t>
            </w:r>
          </w:p>
        </w:tc>
      </w:tr>
      <w:tr w:rsidR="00A93414" w:rsidRPr="002A7627" w14:paraId="3826D6C5" w14:textId="77777777" w:rsidTr="00A93414">
        <w:trPr>
          <w:gridAfter w:val="1"/>
          <w:wAfter w:w="1042" w:type="dxa"/>
          <w:trHeight w:val="300"/>
        </w:trPr>
        <w:tc>
          <w:tcPr>
            <w:tcW w:w="1150" w:type="dxa"/>
            <w:hideMark/>
          </w:tcPr>
          <w:p w14:paraId="0E42FD7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3B03064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7E151DF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3.42</w:t>
            </w:r>
          </w:p>
        </w:tc>
        <w:tc>
          <w:tcPr>
            <w:tcW w:w="1163" w:type="dxa"/>
            <w:noWrap/>
            <w:hideMark/>
          </w:tcPr>
          <w:p w14:paraId="0B2BB22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1.218</w:t>
            </w:r>
          </w:p>
        </w:tc>
        <w:tc>
          <w:tcPr>
            <w:tcW w:w="817" w:type="dxa"/>
            <w:noWrap/>
            <w:hideMark/>
          </w:tcPr>
          <w:p w14:paraId="265F1E3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.118</w:t>
            </w:r>
          </w:p>
        </w:tc>
        <w:tc>
          <w:tcPr>
            <w:tcW w:w="1203" w:type="dxa"/>
            <w:vMerge/>
            <w:hideMark/>
          </w:tcPr>
          <w:p w14:paraId="2A173B30"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5846690B"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2038A536"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7C079D02" w14:textId="77777777" w:rsidTr="00A93414">
        <w:trPr>
          <w:gridAfter w:val="1"/>
          <w:wAfter w:w="1042" w:type="dxa"/>
          <w:trHeight w:val="300"/>
        </w:trPr>
        <w:tc>
          <w:tcPr>
            <w:tcW w:w="1150" w:type="dxa"/>
            <w:hideMark/>
          </w:tcPr>
          <w:p w14:paraId="450A085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IMP2</w:t>
            </w:r>
          </w:p>
        </w:tc>
        <w:tc>
          <w:tcPr>
            <w:tcW w:w="744" w:type="dxa"/>
            <w:noWrap/>
            <w:hideMark/>
          </w:tcPr>
          <w:p w14:paraId="2CEF34C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6FC9304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3.88</w:t>
            </w:r>
          </w:p>
        </w:tc>
        <w:tc>
          <w:tcPr>
            <w:tcW w:w="1163" w:type="dxa"/>
            <w:noWrap/>
            <w:hideMark/>
          </w:tcPr>
          <w:p w14:paraId="144D05A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1.007</w:t>
            </w:r>
          </w:p>
        </w:tc>
        <w:tc>
          <w:tcPr>
            <w:tcW w:w="817" w:type="dxa"/>
            <w:noWrap/>
            <w:hideMark/>
          </w:tcPr>
          <w:p w14:paraId="69DEC1F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.042</w:t>
            </w:r>
          </w:p>
        </w:tc>
        <w:tc>
          <w:tcPr>
            <w:tcW w:w="1203" w:type="dxa"/>
            <w:vMerge w:val="restart"/>
            <w:noWrap/>
            <w:hideMark/>
          </w:tcPr>
          <w:p w14:paraId="21C4FD7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0.844***</w:t>
            </w:r>
          </w:p>
        </w:tc>
        <w:tc>
          <w:tcPr>
            <w:tcW w:w="1043" w:type="dxa"/>
            <w:vMerge w:val="restart"/>
            <w:noWrap/>
            <w:hideMark/>
          </w:tcPr>
          <w:p w14:paraId="1D3BE5E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30642.0</w:t>
            </w:r>
          </w:p>
        </w:tc>
        <w:tc>
          <w:tcPr>
            <w:tcW w:w="960" w:type="dxa"/>
            <w:vMerge w:val="restart"/>
            <w:noWrap/>
            <w:hideMark/>
          </w:tcPr>
          <w:p w14:paraId="1DEF2FC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0.794</w:t>
            </w:r>
          </w:p>
        </w:tc>
      </w:tr>
      <w:tr w:rsidR="00A93414" w:rsidRPr="002A7627" w14:paraId="4B808156" w14:textId="77777777" w:rsidTr="00A93414">
        <w:trPr>
          <w:gridAfter w:val="1"/>
          <w:wAfter w:w="1042" w:type="dxa"/>
          <w:trHeight w:val="300"/>
        </w:trPr>
        <w:tc>
          <w:tcPr>
            <w:tcW w:w="1150" w:type="dxa"/>
            <w:hideMark/>
          </w:tcPr>
          <w:p w14:paraId="4B1F41C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092B201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567A35E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3.83</w:t>
            </w:r>
          </w:p>
        </w:tc>
        <w:tc>
          <w:tcPr>
            <w:tcW w:w="1163" w:type="dxa"/>
            <w:noWrap/>
            <w:hideMark/>
          </w:tcPr>
          <w:p w14:paraId="2972667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1.091</w:t>
            </w:r>
          </w:p>
        </w:tc>
        <w:tc>
          <w:tcPr>
            <w:tcW w:w="817" w:type="dxa"/>
            <w:noWrap/>
            <w:hideMark/>
          </w:tcPr>
          <w:p w14:paraId="24D28A2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1203" w:type="dxa"/>
            <w:vMerge/>
            <w:hideMark/>
          </w:tcPr>
          <w:p w14:paraId="3C0AAB3F"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005868C2"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5AB777EC"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1FCC1513" w14:textId="77777777" w:rsidTr="00A93414">
        <w:trPr>
          <w:gridAfter w:val="1"/>
          <w:wAfter w:w="1042" w:type="dxa"/>
          <w:trHeight w:val="300"/>
        </w:trPr>
        <w:tc>
          <w:tcPr>
            <w:tcW w:w="1150" w:type="dxa"/>
            <w:hideMark/>
          </w:tcPr>
          <w:p w14:paraId="1BEE97F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IMP3</w:t>
            </w:r>
          </w:p>
        </w:tc>
        <w:tc>
          <w:tcPr>
            <w:tcW w:w="744" w:type="dxa"/>
            <w:noWrap/>
            <w:hideMark/>
          </w:tcPr>
          <w:p w14:paraId="2B496CE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3AE4736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3.63</w:t>
            </w:r>
          </w:p>
        </w:tc>
        <w:tc>
          <w:tcPr>
            <w:tcW w:w="1163" w:type="dxa"/>
            <w:noWrap/>
            <w:hideMark/>
          </w:tcPr>
          <w:p w14:paraId="692CE05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.981</w:t>
            </w:r>
          </w:p>
        </w:tc>
        <w:tc>
          <w:tcPr>
            <w:tcW w:w="817" w:type="dxa"/>
            <w:noWrap/>
            <w:hideMark/>
          </w:tcPr>
          <w:p w14:paraId="79A6FE8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.041</w:t>
            </w:r>
          </w:p>
        </w:tc>
        <w:tc>
          <w:tcPr>
            <w:tcW w:w="1203" w:type="dxa"/>
            <w:vMerge w:val="restart"/>
            <w:noWrap/>
            <w:hideMark/>
          </w:tcPr>
          <w:p w14:paraId="167EB51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0.870***</w:t>
            </w:r>
          </w:p>
        </w:tc>
        <w:tc>
          <w:tcPr>
            <w:tcW w:w="1043" w:type="dxa"/>
            <w:vMerge w:val="restart"/>
            <w:noWrap/>
            <w:hideMark/>
          </w:tcPr>
          <w:p w14:paraId="15F5202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28729.0</w:t>
            </w:r>
          </w:p>
        </w:tc>
        <w:tc>
          <w:tcPr>
            <w:tcW w:w="960" w:type="dxa"/>
            <w:vMerge w:val="restart"/>
            <w:noWrap/>
            <w:hideMark/>
          </w:tcPr>
          <w:p w14:paraId="77DE220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0.181</w:t>
            </w:r>
          </w:p>
        </w:tc>
      </w:tr>
      <w:tr w:rsidR="00A93414" w:rsidRPr="002A7627" w14:paraId="7E9C6BA5" w14:textId="77777777" w:rsidTr="00A93414">
        <w:trPr>
          <w:gridAfter w:val="1"/>
          <w:wAfter w:w="1042" w:type="dxa"/>
          <w:trHeight w:val="300"/>
        </w:trPr>
        <w:tc>
          <w:tcPr>
            <w:tcW w:w="1150" w:type="dxa"/>
            <w:hideMark/>
          </w:tcPr>
          <w:p w14:paraId="73514C1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10E13EE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2C36623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3.77</w:t>
            </w:r>
          </w:p>
        </w:tc>
        <w:tc>
          <w:tcPr>
            <w:tcW w:w="1163" w:type="dxa"/>
            <w:noWrap/>
            <w:hideMark/>
          </w:tcPr>
          <w:p w14:paraId="3D6259A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.887</w:t>
            </w:r>
          </w:p>
        </w:tc>
        <w:tc>
          <w:tcPr>
            <w:tcW w:w="817" w:type="dxa"/>
            <w:noWrap/>
            <w:hideMark/>
          </w:tcPr>
          <w:p w14:paraId="01154F2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.086</w:t>
            </w:r>
          </w:p>
        </w:tc>
        <w:tc>
          <w:tcPr>
            <w:tcW w:w="1203" w:type="dxa"/>
            <w:vMerge/>
            <w:hideMark/>
          </w:tcPr>
          <w:p w14:paraId="298B5B73"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6240060C"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4D34D356"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565BC39C" w14:textId="77777777" w:rsidTr="00A93414">
        <w:trPr>
          <w:gridAfter w:val="1"/>
          <w:wAfter w:w="1042" w:type="dxa"/>
          <w:trHeight w:val="300"/>
        </w:trPr>
        <w:tc>
          <w:tcPr>
            <w:tcW w:w="1150" w:type="dxa"/>
            <w:hideMark/>
          </w:tcPr>
          <w:p w14:paraId="51DA9E3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OP1</w:t>
            </w:r>
          </w:p>
        </w:tc>
        <w:tc>
          <w:tcPr>
            <w:tcW w:w="744" w:type="dxa"/>
            <w:noWrap/>
            <w:hideMark/>
          </w:tcPr>
          <w:p w14:paraId="4AF5696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43D91C5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3.37</w:t>
            </w:r>
          </w:p>
        </w:tc>
        <w:tc>
          <w:tcPr>
            <w:tcW w:w="1163" w:type="dxa"/>
            <w:noWrap/>
            <w:hideMark/>
          </w:tcPr>
          <w:p w14:paraId="7B21D90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1.159</w:t>
            </w:r>
          </w:p>
        </w:tc>
        <w:tc>
          <w:tcPr>
            <w:tcW w:w="817" w:type="dxa"/>
            <w:noWrap/>
            <w:hideMark/>
          </w:tcPr>
          <w:p w14:paraId="5C8EBE3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.048</w:t>
            </w:r>
          </w:p>
        </w:tc>
        <w:tc>
          <w:tcPr>
            <w:tcW w:w="1203" w:type="dxa"/>
            <w:vMerge w:val="restart"/>
            <w:noWrap/>
            <w:hideMark/>
          </w:tcPr>
          <w:p w14:paraId="6B23854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0.896***</w:t>
            </w:r>
          </w:p>
        </w:tc>
        <w:tc>
          <w:tcPr>
            <w:tcW w:w="1043" w:type="dxa"/>
            <w:vMerge w:val="restart"/>
            <w:noWrap/>
            <w:hideMark/>
          </w:tcPr>
          <w:p w14:paraId="4CBC5A4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29806.0</w:t>
            </w:r>
          </w:p>
        </w:tc>
        <w:tc>
          <w:tcPr>
            <w:tcW w:w="960" w:type="dxa"/>
            <w:vMerge w:val="restart"/>
            <w:noWrap/>
            <w:hideMark/>
          </w:tcPr>
          <w:p w14:paraId="70DFD78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0.476</w:t>
            </w:r>
          </w:p>
        </w:tc>
      </w:tr>
      <w:tr w:rsidR="00A93414" w:rsidRPr="002A7627" w14:paraId="2C22D6DC" w14:textId="77777777" w:rsidTr="00A93414">
        <w:trPr>
          <w:gridAfter w:val="1"/>
          <w:wAfter w:w="1042" w:type="dxa"/>
          <w:trHeight w:val="300"/>
        </w:trPr>
        <w:tc>
          <w:tcPr>
            <w:tcW w:w="1150" w:type="dxa"/>
            <w:hideMark/>
          </w:tcPr>
          <w:p w14:paraId="196C1DC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63C00B0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5974D9C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3.46</w:t>
            </w:r>
          </w:p>
        </w:tc>
        <w:tc>
          <w:tcPr>
            <w:tcW w:w="1163" w:type="dxa"/>
            <w:noWrap/>
            <w:hideMark/>
          </w:tcPr>
          <w:p w14:paraId="72D44C6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1.164</w:t>
            </w:r>
          </w:p>
        </w:tc>
        <w:tc>
          <w:tcPr>
            <w:tcW w:w="817" w:type="dxa"/>
            <w:noWrap/>
            <w:hideMark/>
          </w:tcPr>
          <w:p w14:paraId="5584482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.113</w:t>
            </w:r>
          </w:p>
        </w:tc>
        <w:tc>
          <w:tcPr>
            <w:tcW w:w="1203" w:type="dxa"/>
            <w:vMerge/>
            <w:hideMark/>
          </w:tcPr>
          <w:p w14:paraId="4ED13C03"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4BF8273D"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0A063B6F"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556CA359" w14:textId="77777777" w:rsidTr="00A93414">
        <w:trPr>
          <w:gridAfter w:val="1"/>
          <w:wAfter w:w="1042" w:type="dxa"/>
          <w:trHeight w:val="300"/>
        </w:trPr>
        <w:tc>
          <w:tcPr>
            <w:tcW w:w="1150" w:type="dxa"/>
            <w:hideMark/>
          </w:tcPr>
          <w:p w14:paraId="4F997EF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OP2</w:t>
            </w:r>
          </w:p>
        </w:tc>
        <w:tc>
          <w:tcPr>
            <w:tcW w:w="744" w:type="dxa"/>
            <w:noWrap/>
            <w:hideMark/>
          </w:tcPr>
          <w:p w14:paraId="4EA91A7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4869BC7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3.39</w:t>
            </w:r>
          </w:p>
        </w:tc>
        <w:tc>
          <w:tcPr>
            <w:tcW w:w="1163" w:type="dxa"/>
            <w:noWrap/>
            <w:hideMark/>
          </w:tcPr>
          <w:p w14:paraId="1B7034F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1.131</w:t>
            </w:r>
          </w:p>
        </w:tc>
        <w:tc>
          <w:tcPr>
            <w:tcW w:w="817" w:type="dxa"/>
            <w:noWrap/>
            <w:hideMark/>
          </w:tcPr>
          <w:p w14:paraId="3AADAF3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.047</w:t>
            </w:r>
          </w:p>
        </w:tc>
        <w:tc>
          <w:tcPr>
            <w:tcW w:w="1203" w:type="dxa"/>
            <w:vMerge w:val="restart"/>
            <w:noWrap/>
            <w:hideMark/>
          </w:tcPr>
          <w:p w14:paraId="3428B57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0.887***</w:t>
            </w:r>
          </w:p>
        </w:tc>
        <w:tc>
          <w:tcPr>
            <w:tcW w:w="1043" w:type="dxa"/>
            <w:vMerge w:val="restart"/>
            <w:noWrap/>
            <w:hideMark/>
          </w:tcPr>
          <w:p w14:paraId="18C75FB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27377.5</w:t>
            </w:r>
          </w:p>
        </w:tc>
        <w:tc>
          <w:tcPr>
            <w:tcW w:w="960" w:type="dxa"/>
            <w:vMerge w:val="restart"/>
            <w:noWrap/>
            <w:hideMark/>
          </w:tcPr>
          <w:p w14:paraId="33AED6A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0.040</w:t>
            </w:r>
          </w:p>
        </w:tc>
      </w:tr>
      <w:tr w:rsidR="00A93414" w:rsidRPr="002A7627" w14:paraId="1E78F0CD" w14:textId="77777777" w:rsidTr="00A93414">
        <w:trPr>
          <w:gridAfter w:val="1"/>
          <w:wAfter w:w="1042" w:type="dxa"/>
          <w:trHeight w:val="300"/>
        </w:trPr>
        <w:tc>
          <w:tcPr>
            <w:tcW w:w="1150" w:type="dxa"/>
            <w:hideMark/>
          </w:tcPr>
          <w:p w14:paraId="43C3646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39EF797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3312BC7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3.61</w:t>
            </w:r>
          </w:p>
        </w:tc>
        <w:tc>
          <w:tcPr>
            <w:tcW w:w="1163" w:type="dxa"/>
            <w:noWrap/>
            <w:hideMark/>
          </w:tcPr>
          <w:p w14:paraId="70D507F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1.126</w:t>
            </w:r>
          </w:p>
        </w:tc>
        <w:tc>
          <w:tcPr>
            <w:tcW w:w="817" w:type="dxa"/>
            <w:noWrap/>
            <w:hideMark/>
          </w:tcPr>
          <w:p w14:paraId="379F1CF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.109</w:t>
            </w:r>
          </w:p>
        </w:tc>
        <w:tc>
          <w:tcPr>
            <w:tcW w:w="1203" w:type="dxa"/>
            <w:vMerge/>
            <w:hideMark/>
          </w:tcPr>
          <w:p w14:paraId="6E271D59"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6D9DD591"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5B170DCA"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6DF393CF" w14:textId="77777777" w:rsidTr="00A93414">
        <w:trPr>
          <w:gridAfter w:val="1"/>
          <w:wAfter w:w="1042" w:type="dxa"/>
          <w:trHeight w:val="300"/>
        </w:trPr>
        <w:tc>
          <w:tcPr>
            <w:tcW w:w="1150" w:type="dxa"/>
            <w:hideMark/>
          </w:tcPr>
          <w:p w14:paraId="20BAA9F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OP3</w:t>
            </w:r>
          </w:p>
        </w:tc>
        <w:tc>
          <w:tcPr>
            <w:tcW w:w="744" w:type="dxa"/>
            <w:noWrap/>
            <w:hideMark/>
          </w:tcPr>
          <w:p w14:paraId="341712C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7437BF3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3.34</w:t>
            </w:r>
          </w:p>
        </w:tc>
        <w:tc>
          <w:tcPr>
            <w:tcW w:w="1163" w:type="dxa"/>
            <w:noWrap/>
            <w:hideMark/>
          </w:tcPr>
          <w:p w14:paraId="19AFB54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1.135</w:t>
            </w:r>
          </w:p>
        </w:tc>
        <w:tc>
          <w:tcPr>
            <w:tcW w:w="817" w:type="dxa"/>
            <w:noWrap/>
            <w:hideMark/>
          </w:tcPr>
          <w:p w14:paraId="04C9B72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.047</w:t>
            </w:r>
          </w:p>
        </w:tc>
        <w:tc>
          <w:tcPr>
            <w:tcW w:w="1203" w:type="dxa"/>
            <w:vMerge w:val="restart"/>
            <w:noWrap/>
            <w:hideMark/>
          </w:tcPr>
          <w:p w14:paraId="4984885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0.893***</w:t>
            </w:r>
          </w:p>
        </w:tc>
        <w:tc>
          <w:tcPr>
            <w:tcW w:w="1043" w:type="dxa"/>
            <w:vMerge w:val="restart"/>
            <w:noWrap/>
            <w:hideMark/>
          </w:tcPr>
          <w:p w14:paraId="7C6F79B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27563.5</w:t>
            </w:r>
          </w:p>
        </w:tc>
        <w:tc>
          <w:tcPr>
            <w:tcW w:w="960" w:type="dxa"/>
            <w:vMerge w:val="restart"/>
            <w:noWrap/>
            <w:hideMark/>
          </w:tcPr>
          <w:p w14:paraId="5B9E962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0.052</w:t>
            </w:r>
          </w:p>
        </w:tc>
      </w:tr>
      <w:tr w:rsidR="00A93414" w:rsidRPr="002A7627" w14:paraId="6FBCF87C" w14:textId="77777777" w:rsidTr="00A93414">
        <w:trPr>
          <w:gridAfter w:val="1"/>
          <w:wAfter w:w="1042" w:type="dxa"/>
          <w:trHeight w:val="300"/>
        </w:trPr>
        <w:tc>
          <w:tcPr>
            <w:tcW w:w="1150" w:type="dxa"/>
            <w:hideMark/>
          </w:tcPr>
          <w:p w14:paraId="347A622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5613AEF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4C2BC97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3.56</w:t>
            </w:r>
          </w:p>
        </w:tc>
        <w:tc>
          <w:tcPr>
            <w:tcW w:w="1163" w:type="dxa"/>
            <w:noWrap/>
            <w:hideMark/>
          </w:tcPr>
          <w:p w14:paraId="46DCB99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1.155</w:t>
            </w:r>
          </w:p>
        </w:tc>
        <w:tc>
          <w:tcPr>
            <w:tcW w:w="817" w:type="dxa"/>
            <w:noWrap/>
            <w:hideMark/>
          </w:tcPr>
          <w:p w14:paraId="1CC99EA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.112</w:t>
            </w:r>
          </w:p>
        </w:tc>
        <w:tc>
          <w:tcPr>
            <w:tcW w:w="1203" w:type="dxa"/>
            <w:vMerge/>
            <w:hideMark/>
          </w:tcPr>
          <w:p w14:paraId="7DD7D4EA"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5C0FFEF4"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6CB4D0D9"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13CDED43" w14:textId="77777777" w:rsidTr="00A93414">
        <w:trPr>
          <w:gridAfter w:val="1"/>
          <w:wAfter w:w="1042" w:type="dxa"/>
          <w:trHeight w:val="300"/>
        </w:trPr>
        <w:tc>
          <w:tcPr>
            <w:tcW w:w="1150" w:type="dxa"/>
            <w:hideMark/>
          </w:tcPr>
          <w:p w14:paraId="3F959D5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OP4</w:t>
            </w:r>
          </w:p>
        </w:tc>
        <w:tc>
          <w:tcPr>
            <w:tcW w:w="744" w:type="dxa"/>
            <w:noWrap/>
            <w:hideMark/>
          </w:tcPr>
          <w:p w14:paraId="69C2DD6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73B5032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3.54</w:t>
            </w:r>
          </w:p>
        </w:tc>
        <w:tc>
          <w:tcPr>
            <w:tcW w:w="1163" w:type="dxa"/>
            <w:noWrap/>
            <w:hideMark/>
          </w:tcPr>
          <w:p w14:paraId="02479CC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1.088</w:t>
            </w:r>
          </w:p>
        </w:tc>
        <w:tc>
          <w:tcPr>
            <w:tcW w:w="817" w:type="dxa"/>
            <w:noWrap/>
            <w:hideMark/>
          </w:tcPr>
          <w:p w14:paraId="1055760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.045</w:t>
            </w:r>
          </w:p>
        </w:tc>
        <w:tc>
          <w:tcPr>
            <w:tcW w:w="1203" w:type="dxa"/>
            <w:vMerge w:val="restart"/>
            <w:noWrap/>
            <w:hideMark/>
          </w:tcPr>
          <w:p w14:paraId="399CA85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0.884***</w:t>
            </w:r>
          </w:p>
        </w:tc>
        <w:tc>
          <w:tcPr>
            <w:tcW w:w="1043" w:type="dxa"/>
            <w:vMerge w:val="restart"/>
            <w:noWrap/>
            <w:hideMark/>
          </w:tcPr>
          <w:p w14:paraId="49F2968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29838.0</w:t>
            </w:r>
          </w:p>
        </w:tc>
        <w:tc>
          <w:tcPr>
            <w:tcW w:w="960" w:type="dxa"/>
            <w:vMerge w:val="restart"/>
            <w:noWrap/>
            <w:hideMark/>
          </w:tcPr>
          <w:p w14:paraId="7A86789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0.483</w:t>
            </w:r>
          </w:p>
        </w:tc>
      </w:tr>
      <w:tr w:rsidR="00A93414" w:rsidRPr="002A7627" w14:paraId="29010C5D" w14:textId="77777777" w:rsidTr="00A93414">
        <w:trPr>
          <w:gridAfter w:val="1"/>
          <w:wAfter w:w="1042" w:type="dxa"/>
          <w:trHeight w:val="300"/>
        </w:trPr>
        <w:tc>
          <w:tcPr>
            <w:tcW w:w="1150" w:type="dxa"/>
            <w:hideMark/>
          </w:tcPr>
          <w:p w14:paraId="5E13EF1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3DC837B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450D888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3.59</w:t>
            </w:r>
          </w:p>
        </w:tc>
        <w:tc>
          <w:tcPr>
            <w:tcW w:w="1163" w:type="dxa"/>
            <w:noWrap/>
            <w:hideMark/>
          </w:tcPr>
          <w:p w14:paraId="333C376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1.145</w:t>
            </w:r>
          </w:p>
        </w:tc>
        <w:tc>
          <w:tcPr>
            <w:tcW w:w="817" w:type="dxa"/>
            <w:noWrap/>
            <w:hideMark/>
          </w:tcPr>
          <w:p w14:paraId="282559E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.111</w:t>
            </w:r>
          </w:p>
        </w:tc>
        <w:tc>
          <w:tcPr>
            <w:tcW w:w="1203" w:type="dxa"/>
            <w:vMerge/>
            <w:hideMark/>
          </w:tcPr>
          <w:p w14:paraId="3BF5FE2E"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672504B3"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123226A4"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0E820AE3" w14:textId="77777777" w:rsidTr="00A93414">
        <w:trPr>
          <w:gridAfter w:val="1"/>
          <w:wAfter w:w="1042" w:type="dxa"/>
          <w:trHeight w:val="300"/>
        </w:trPr>
        <w:tc>
          <w:tcPr>
            <w:tcW w:w="1150" w:type="dxa"/>
            <w:hideMark/>
          </w:tcPr>
          <w:p w14:paraId="28441AC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OP5</w:t>
            </w:r>
          </w:p>
        </w:tc>
        <w:tc>
          <w:tcPr>
            <w:tcW w:w="744" w:type="dxa"/>
            <w:noWrap/>
            <w:hideMark/>
          </w:tcPr>
          <w:p w14:paraId="57C36F8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7F9B3D5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3.70</w:t>
            </w:r>
          </w:p>
        </w:tc>
        <w:tc>
          <w:tcPr>
            <w:tcW w:w="1163" w:type="dxa"/>
            <w:noWrap/>
            <w:hideMark/>
          </w:tcPr>
          <w:p w14:paraId="018D8A5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1.017</w:t>
            </w:r>
          </w:p>
        </w:tc>
        <w:tc>
          <w:tcPr>
            <w:tcW w:w="817" w:type="dxa"/>
            <w:noWrap/>
            <w:hideMark/>
          </w:tcPr>
          <w:p w14:paraId="2E0069E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.042</w:t>
            </w:r>
          </w:p>
        </w:tc>
        <w:tc>
          <w:tcPr>
            <w:tcW w:w="1203" w:type="dxa"/>
            <w:vMerge w:val="restart"/>
            <w:noWrap/>
            <w:hideMark/>
          </w:tcPr>
          <w:p w14:paraId="60EB449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0.857***</w:t>
            </w:r>
          </w:p>
        </w:tc>
        <w:tc>
          <w:tcPr>
            <w:tcW w:w="1043" w:type="dxa"/>
            <w:vMerge w:val="restart"/>
            <w:noWrap/>
            <w:hideMark/>
          </w:tcPr>
          <w:p w14:paraId="3CB253D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29944.5</w:t>
            </w:r>
          </w:p>
        </w:tc>
        <w:tc>
          <w:tcPr>
            <w:tcW w:w="960" w:type="dxa"/>
            <w:vMerge w:val="restart"/>
            <w:noWrap/>
            <w:hideMark/>
          </w:tcPr>
          <w:p w14:paraId="20483E1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0.513</w:t>
            </w:r>
          </w:p>
        </w:tc>
      </w:tr>
      <w:tr w:rsidR="00A93414" w:rsidRPr="002A7627" w14:paraId="289A0680" w14:textId="77777777" w:rsidTr="00A93414">
        <w:trPr>
          <w:gridAfter w:val="1"/>
          <w:wAfter w:w="1042" w:type="dxa"/>
          <w:trHeight w:val="300"/>
        </w:trPr>
        <w:tc>
          <w:tcPr>
            <w:tcW w:w="1150" w:type="dxa"/>
            <w:hideMark/>
          </w:tcPr>
          <w:p w14:paraId="2DE871D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49643AF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25370B3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3.77</w:t>
            </w:r>
          </w:p>
        </w:tc>
        <w:tc>
          <w:tcPr>
            <w:tcW w:w="1163" w:type="dxa"/>
            <w:noWrap/>
            <w:hideMark/>
          </w:tcPr>
          <w:p w14:paraId="4BB635F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.998</w:t>
            </w:r>
          </w:p>
        </w:tc>
        <w:tc>
          <w:tcPr>
            <w:tcW w:w="817" w:type="dxa"/>
            <w:noWrap/>
            <w:hideMark/>
          </w:tcPr>
          <w:p w14:paraId="2842122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.097</w:t>
            </w:r>
          </w:p>
        </w:tc>
        <w:tc>
          <w:tcPr>
            <w:tcW w:w="1203" w:type="dxa"/>
            <w:vMerge/>
            <w:hideMark/>
          </w:tcPr>
          <w:p w14:paraId="09BF9447"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15A8120E"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6BC967A5"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1F578CE6" w14:textId="77777777" w:rsidTr="00A93414">
        <w:trPr>
          <w:gridAfter w:val="1"/>
          <w:wAfter w:w="1042" w:type="dxa"/>
          <w:trHeight w:val="300"/>
        </w:trPr>
        <w:tc>
          <w:tcPr>
            <w:tcW w:w="1150" w:type="dxa"/>
            <w:hideMark/>
          </w:tcPr>
          <w:p w14:paraId="37F8232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OP6</w:t>
            </w:r>
          </w:p>
        </w:tc>
        <w:tc>
          <w:tcPr>
            <w:tcW w:w="744" w:type="dxa"/>
            <w:noWrap/>
            <w:hideMark/>
          </w:tcPr>
          <w:p w14:paraId="45699A6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7F548E2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3.10</w:t>
            </w:r>
          </w:p>
        </w:tc>
        <w:tc>
          <w:tcPr>
            <w:tcW w:w="1163" w:type="dxa"/>
            <w:noWrap/>
            <w:hideMark/>
          </w:tcPr>
          <w:p w14:paraId="69DF0F6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1.172</w:t>
            </w:r>
          </w:p>
        </w:tc>
        <w:tc>
          <w:tcPr>
            <w:tcW w:w="817" w:type="dxa"/>
            <w:noWrap/>
            <w:hideMark/>
          </w:tcPr>
          <w:p w14:paraId="2D5E4E4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.048</w:t>
            </w:r>
          </w:p>
        </w:tc>
        <w:tc>
          <w:tcPr>
            <w:tcW w:w="1203" w:type="dxa"/>
            <w:vMerge w:val="restart"/>
            <w:noWrap/>
            <w:hideMark/>
          </w:tcPr>
          <w:p w14:paraId="15ED3F8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0.903***</w:t>
            </w:r>
          </w:p>
        </w:tc>
        <w:tc>
          <w:tcPr>
            <w:tcW w:w="1043" w:type="dxa"/>
            <w:vMerge w:val="restart"/>
            <w:noWrap/>
            <w:hideMark/>
          </w:tcPr>
          <w:p w14:paraId="49A9DF3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29675.0</w:t>
            </w:r>
          </w:p>
        </w:tc>
        <w:tc>
          <w:tcPr>
            <w:tcW w:w="960" w:type="dxa"/>
            <w:vMerge w:val="restart"/>
            <w:noWrap/>
            <w:hideMark/>
          </w:tcPr>
          <w:p w14:paraId="14E48F3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0.432</w:t>
            </w:r>
          </w:p>
        </w:tc>
      </w:tr>
      <w:tr w:rsidR="00A93414" w:rsidRPr="002A7627" w14:paraId="2628A6AF" w14:textId="77777777" w:rsidTr="00A93414">
        <w:trPr>
          <w:gridAfter w:val="1"/>
          <w:wAfter w:w="1042" w:type="dxa"/>
          <w:trHeight w:val="300"/>
        </w:trPr>
        <w:tc>
          <w:tcPr>
            <w:tcW w:w="1150" w:type="dxa"/>
            <w:hideMark/>
          </w:tcPr>
          <w:p w14:paraId="7CC50B7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2E5527F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13EA61C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3.20</w:t>
            </w:r>
          </w:p>
        </w:tc>
        <w:tc>
          <w:tcPr>
            <w:tcW w:w="1163" w:type="dxa"/>
            <w:noWrap/>
            <w:hideMark/>
          </w:tcPr>
          <w:p w14:paraId="21B5FA9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1.073</w:t>
            </w:r>
          </w:p>
        </w:tc>
        <w:tc>
          <w:tcPr>
            <w:tcW w:w="817" w:type="dxa"/>
            <w:noWrap/>
            <w:hideMark/>
          </w:tcPr>
          <w:p w14:paraId="5D5B50E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.104</w:t>
            </w:r>
          </w:p>
        </w:tc>
        <w:tc>
          <w:tcPr>
            <w:tcW w:w="1203" w:type="dxa"/>
            <w:vMerge/>
            <w:hideMark/>
          </w:tcPr>
          <w:p w14:paraId="133B1319"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5C585882"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4448566F"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7FDEE0C4" w14:textId="77777777" w:rsidTr="00A93414">
        <w:trPr>
          <w:gridAfter w:val="1"/>
          <w:wAfter w:w="1042" w:type="dxa"/>
          <w:trHeight w:val="300"/>
        </w:trPr>
        <w:tc>
          <w:tcPr>
            <w:tcW w:w="1150" w:type="dxa"/>
            <w:hideMark/>
          </w:tcPr>
          <w:p w14:paraId="008F508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OP7</w:t>
            </w:r>
          </w:p>
        </w:tc>
        <w:tc>
          <w:tcPr>
            <w:tcW w:w="744" w:type="dxa"/>
            <w:noWrap/>
            <w:hideMark/>
          </w:tcPr>
          <w:p w14:paraId="15122E4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758639B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3.13</w:t>
            </w:r>
          </w:p>
        </w:tc>
        <w:tc>
          <w:tcPr>
            <w:tcW w:w="1163" w:type="dxa"/>
            <w:noWrap/>
            <w:hideMark/>
          </w:tcPr>
          <w:p w14:paraId="3960808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1.227</w:t>
            </w:r>
          </w:p>
        </w:tc>
        <w:tc>
          <w:tcPr>
            <w:tcW w:w="817" w:type="dxa"/>
            <w:noWrap/>
            <w:hideMark/>
          </w:tcPr>
          <w:p w14:paraId="46306E7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.051</w:t>
            </w:r>
          </w:p>
        </w:tc>
        <w:tc>
          <w:tcPr>
            <w:tcW w:w="1203" w:type="dxa"/>
            <w:vMerge w:val="restart"/>
            <w:noWrap/>
            <w:hideMark/>
          </w:tcPr>
          <w:p w14:paraId="4B0AFC3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0.894***</w:t>
            </w:r>
          </w:p>
        </w:tc>
        <w:tc>
          <w:tcPr>
            <w:tcW w:w="1043" w:type="dxa"/>
            <w:vMerge w:val="restart"/>
            <w:noWrap/>
            <w:hideMark/>
          </w:tcPr>
          <w:p w14:paraId="7F7A7EC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29957.0</w:t>
            </w:r>
          </w:p>
        </w:tc>
        <w:tc>
          <w:tcPr>
            <w:tcW w:w="960" w:type="dxa"/>
            <w:vMerge w:val="restart"/>
            <w:noWrap/>
            <w:hideMark/>
          </w:tcPr>
          <w:p w14:paraId="195F80D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0.529</w:t>
            </w:r>
          </w:p>
        </w:tc>
      </w:tr>
      <w:tr w:rsidR="00A93414" w:rsidRPr="002A7627" w14:paraId="52B4F434" w14:textId="77777777" w:rsidTr="00A93414">
        <w:trPr>
          <w:gridAfter w:val="1"/>
          <w:wAfter w:w="1042" w:type="dxa"/>
          <w:trHeight w:val="300"/>
        </w:trPr>
        <w:tc>
          <w:tcPr>
            <w:tcW w:w="1150" w:type="dxa"/>
            <w:hideMark/>
          </w:tcPr>
          <w:p w14:paraId="2461BA8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543DF30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67A07A6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3.08</w:t>
            </w:r>
          </w:p>
        </w:tc>
        <w:tc>
          <w:tcPr>
            <w:tcW w:w="1163" w:type="dxa"/>
            <w:noWrap/>
            <w:hideMark/>
          </w:tcPr>
          <w:p w14:paraId="1283AF3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1.164</w:t>
            </w:r>
          </w:p>
        </w:tc>
        <w:tc>
          <w:tcPr>
            <w:tcW w:w="817" w:type="dxa"/>
            <w:noWrap/>
            <w:hideMark/>
          </w:tcPr>
          <w:p w14:paraId="60E65C0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.113</w:t>
            </w:r>
          </w:p>
        </w:tc>
        <w:tc>
          <w:tcPr>
            <w:tcW w:w="1203" w:type="dxa"/>
            <w:vMerge/>
            <w:hideMark/>
          </w:tcPr>
          <w:p w14:paraId="00653A1C"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4672F52D"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4334913F"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59C868DD" w14:textId="77777777" w:rsidTr="00A93414">
        <w:trPr>
          <w:gridAfter w:val="1"/>
          <w:wAfter w:w="1042" w:type="dxa"/>
          <w:trHeight w:val="300"/>
        </w:trPr>
        <w:tc>
          <w:tcPr>
            <w:tcW w:w="1150" w:type="dxa"/>
            <w:hideMark/>
          </w:tcPr>
          <w:p w14:paraId="0309525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OP8</w:t>
            </w:r>
          </w:p>
        </w:tc>
        <w:tc>
          <w:tcPr>
            <w:tcW w:w="744" w:type="dxa"/>
            <w:noWrap/>
            <w:hideMark/>
          </w:tcPr>
          <w:p w14:paraId="17A7EF0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208AA8B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3.55</w:t>
            </w:r>
          </w:p>
        </w:tc>
        <w:tc>
          <w:tcPr>
            <w:tcW w:w="1163" w:type="dxa"/>
            <w:noWrap/>
            <w:hideMark/>
          </w:tcPr>
          <w:p w14:paraId="0276F03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1.067</w:t>
            </w:r>
          </w:p>
        </w:tc>
        <w:tc>
          <w:tcPr>
            <w:tcW w:w="817" w:type="dxa"/>
            <w:noWrap/>
            <w:hideMark/>
          </w:tcPr>
          <w:p w14:paraId="27EA13E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.044</w:t>
            </w:r>
          </w:p>
        </w:tc>
        <w:tc>
          <w:tcPr>
            <w:tcW w:w="1203" w:type="dxa"/>
            <w:vMerge w:val="restart"/>
            <w:noWrap/>
            <w:hideMark/>
          </w:tcPr>
          <w:p w14:paraId="5A0A0E9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0.879***</w:t>
            </w:r>
          </w:p>
        </w:tc>
        <w:tc>
          <w:tcPr>
            <w:tcW w:w="1043" w:type="dxa"/>
            <w:vMerge w:val="restart"/>
            <w:noWrap/>
            <w:hideMark/>
          </w:tcPr>
          <w:p w14:paraId="4EDE6B8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30807.5</w:t>
            </w:r>
          </w:p>
        </w:tc>
        <w:tc>
          <w:tcPr>
            <w:tcW w:w="960" w:type="dxa"/>
            <w:vMerge w:val="restart"/>
            <w:noWrap/>
            <w:hideMark/>
          </w:tcPr>
          <w:p w14:paraId="45D00E7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0.867</w:t>
            </w:r>
          </w:p>
        </w:tc>
      </w:tr>
      <w:tr w:rsidR="00A93414" w:rsidRPr="002A7627" w14:paraId="16E9E5BD" w14:textId="77777777" w:rsidTr="00A93414">
        <w:trPr>
          <w:gridAfter w:val="1"/>
          <w:wAfter w:w="1042" w:type="dxa"/>
          <w:trHeight w:val="300"/>
        </w:trPr>
        <w:tc>
          <w:tcPr>
            <w:tcW w:w="1150" w:type="dxa"/>
            <w:hideMark/>
          </w:tcPr>
          <w:p w14:paraId="786BBA8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57DEC6F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1885004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3.55</w:t>
            </w:r>
          </w:p>
        </w:tc>
        <w:tc>
          <w:tcPr>
            <w:tcW w:w="1163" w:type="dxa"/>
            <w:noWrap/>
            <w:hideMark/>
          </w:tcPr>
          <w:p w14:paraId="41685CE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1.070</w:t>
            </w:r>
          </w:p>
        </w:tc>
        <w:tc>
          <w:tcPr>
            <w:tcW w:w="817" w:type="dxa"/>
            <w:noWrap/>
            <w:hideMark/>
          </w:tcPr>
          <w:p w14:paraId="5BC05A0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.104</w:t>
            </w:r>
          </w:p>
        </w:tc>
        <w:tc>
          <w:tcPr>
            <w:tcW w:w="1203" w:type="dxa"/>
            <w:vMerge/>
            <w:hideMark/>
          </w:tcPr>
          <w:p w14:paraId="7D4B08D9"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429F5728"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75DF69C7"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538E64E3" w14:textId="77777777" w:rsidTr="00A93414">
        <w:trPr>
          <w:gridAfter w:val="1"/>
          <w:wAfter w:w="1042" w:type="dxa"/>
          <w:trHeight w:val="300"/>
        </w:trPr>
        <w:tc>
          <w:tcPr>
            <w:tcW w:w="1150" w:type="dxa"/>
            <w:hideMark/>
          </w:tcPr>
          <w:p w14:paraId="261F539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OP9</w:t>
            </w:r>
          </w:p>
        </w:tc>
        <w:tc>
          <w:tcPr>
            <w:tcW w:w="744" w:type="dxa"/>
            <w:noWrap/>
            <w:hideMark/>
          </w:tcPr>
          <w:p w14:paraId="1AD75A3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52ADDCC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3.57</w:t>
            </w:r>
          </w:p>
        </w:tc>
        <w:tc>
          <w:tcPr>
            <w:tcW w:w="1163" w:type="dxa"/>
            <w:noWrap/>
            <w:hideMark/>
          </w:tcPr>
          <w:p w14:paraId="72FCB45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1.000</w:t>
            </w:r>
          </w:p>
        </w:tc>
        <w:tc>
          <w:tcPr>
            <w:tcW w:w="817" w:type="dxa"/>
            <w:noWrap/>
            <w:hideMark/>
          </w:tcPr>
          <w:p w14:paraId="639F177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.041</w:t>
            </w:r>
          </w:p>
        </w:tc>
        <w:tc>
          <w:tcPr>
            <w:tcW w:w="1203" w:type="dxa"/>
            <w:vMerge w:val="restart"/>
            <w:noWrap/>
            <w:hideMark/>
          </w:tcPr>
          <w:p w14:paraId="695504E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0.882***</w:t>
            </w:r>
          </w:p>
        </w:tc>
        <w:tc>
          <w:tcPr>
            <w:tcW w:w="1043" w:type="dxa"/>
            <w:vMerge w:val="restart"/>
            <w:noWrap/>
            <w:hideMark/>
          </w:tcPr>
          <w:p w14:paraId="7DAAF53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29237.5</w:t>
            </w:r>
          </w:p>
        </w:tc>
        <w:tc>
          <w:tcPr>
            <w:tcW w:w="960" w:type="dxa"/>
            <w:vMerge w:val="restart"/>
            <w:noWrap/>
            <w:hideMark/>
          </w:tcPr>
          <w:p w14:paraId="228E98F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0.298</w:t>
            </w:r>
          </w:p>
        </w:tc>
      </w:tr>
      <w:tr w:rsidR="00A93414" w:rsidRPr="002A7627" w14:paraId="48A6DB30" w14:textId="77777777" w:rsidTr="00A93414">
        <w:trPr>
          <w:gridAfter w:val="1"/>
          <w:wAfter w:w="1042" w:type="dxa"/>
          <w:trHeight w:val="300"/>
        </w:trPr>
        <w:tc>
          <w:tcPr>
            <w:tcW w:w="1150" w:type="dxa"/>
            <w:hideMark/>
          </w:tcPr>
          <w:p w14:paraId="18C144A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4973EC5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7F3DF95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3.46</w:t>
            </w:r>
          </w:p>
        </w:tc>
        <w:tc>
          <w:tcPr>
            <w:tcW w:w="1163" w:type="dxa"/>
            <w:noWrap/>
            <w:hideMark/>
          </w:tcPr>
          <w:p w14:paraId="0792E8C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1.016</w:t>
            </w:r>
          </w:p>
        </w:tc>
        <w:tc>
          <w:tcPr>
            <w:tcW w:w="817" w:type="dxa"/>
            <w:noWrap/>
            <w:hideMark/>
          </w:tcPr>
          <w:p w14:paraId="29F9DFD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.099</w:t>
            </w:r>
          </w:p>
        </w:tc>
        <w:tc>
          <w:tcPr>
            <w:tcW w:w="1203" w:type="dxa"/>
            <w:vMerge/>
            <w:hideMark/>
          </w:tcPr>
          <w:p w14:paraId="720DB729"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1338A199"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7E9C2E3D"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5128C0E9" w14:textId="77777777" w:rsidTr="00A93414">
        <w:trPr>
          <w:gridAfter w:val="1"/>
          <w:wAfter w:w="1042" w:type="dxa"/>
          <w:trHeight w:val="300"/>
        </w:trPr>
        <w:tc>
          <w:tcPr>
            <w:tcW w:w="1150" w:type="dxa"/>
            <w:hideMark/>
          </w:tcPr>
          <w:p w14:paraId="4433922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AEP1</w:t>
            </w:r>
          </w:p>
        </w:tc>
        <w:tc>
          <w:tcPr>
            <w:tcW w:w="744" w:type="dxa"/>
            <w:noWrap/>
            <w:hideMark/>
          </w:tcPr>
          <w:p w14:paraId="097BF57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73836D6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3.78</w:t>
            </w:r>
          </w:p>
        </w:tc>
        <w:tc>
          <w:tcPr>
            <w:tcW w:w="1163" w:type="dxa"/>
            <w:noWrap/>
            <w:hideMark/>
          </w:tcPr>
          <w:p w14:paraId="1409E11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1.005</w:t>
            </w:r>
          </w:p>
        </w:tc>
        <w:tc>
          <w:tcPr>
            <w:tcW w:w="817" w:type="dxa"/>
            <w:noWrap/>
            <w:hideMark/>
          </w:tcPr>
          <w:p w14:paraId="5A0CF7C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.041</w:t>
            </w:r>
          </w:p>
        </w:tc>
        <w:tc>
          <w:tcPr>
            <w:tcW w:w="1203" w:type="dxa"/>
            <w:vMerge w:val="restart"/>
            <w:noWrap/>
            <w:hideMark/>
          </w:tcPr>
          <w:p w14:paraId="3E8BB2D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0.856***</w:t>
            </w:r>
          </w:p>
        </w:tc>
        <w:tc>
          <w:tcPr>
            <w:tcW w:w="1043" w:type="dxa"/>
            <w:vMerge w:val="restart"/>
            <w:noWrap/>
            <w:hideMark/>
          </w:tcPr>
          <w:p w14:paraId="1058B88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31065.0</w:t>
            </w:r>
          </w:p>
        </w:tc>
        <w:tc>
          <w:tcPr>
            <w:tcW w:w="960" w:type="dxa"/>
            <w:vMerge w:val="restart"/>
            <w:noWrap/>
            <w:hideMark/>
          </w:tcPr>
          <w:p w14:paraId="36AACA8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0.980</w:t>
            </w:r>
          </w:p>
        </w:tc>
      </w:tr>
      <w:tr w:rsidR="00A93414" w:rsidRPr="002A7627" w14:paraId="50F5B6BB" w14:textId="77777777" w:rsidTr="00A93414">
        <w:trPr>
          <w:gridAfter w:val="1"/>
          <w:wAfter w:w="1042" w:type="dxa"/>
          <w:trHeight w:val="300"/>
        </w:trPr>
        <w:tc>
          <w:tcPr>
            <w:tcW w:w="1150" w:type="dxa"/>
            <w:hideMark/>
          </w:tcPr>
          <w:p w14:paraId="237D8E0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22BD6A4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57A3A65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3.75</w:t>
            </w:r>
          </w:p>
        </w:tc>
        <w:tc>
          <w:tcPr>
            <w:tcW w:w="1163" w:type="dxa"/>
            <w:noWrap/>
            <w:hideMark/>
          </w:tcPr>
          <w:p w14:paraId="3C317BC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1.113</w:t>
            </w:r>
          </w:p>
        </w:tc>
        <w:tc>
          <w:tcPr>
            <w:tcW w:w="817" w:type="dxa"/>
            <w:noWrap/>
            <w:hideMark/>
          </w:tcPr>
          <w:p w14:paraId="516633C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.108</w:t>
            </w:r>
          </w:p>
        </w:tc>
        <w:tc>
          <w:tcPr>
            <w:tcW w:w="1203" w:type="dxa"/>
            <w:vMerge/>
            <w:hideMark/>
          </w:tcPr>
          <w:p w14:paraId="58DDDCEB"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52710BF8"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55E518D0"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46D6C19A" w14:textId="77777777" w:rsidTr="00A93414">
        <w:trPr>
          <w:gridAfter w:val="1"/>
          <w:wAfter w:w="1042" w:type="dxa"/>
          <w:trHeight w:val="300"/>
        </w:trPr>
        <w:tc>
          <w:tcPr>
            <w:tcW w:w="1150" w:type="dxa"/>
            <w:hideMark/>
          </w:tcPr>
          <w:p w14:paraId="7D70159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AEP2</w:t>
            </w:r>
          </w:p>
        </w:tc>
        <w:tc>
          <w:tcPr>
            <w:tcW w:w="744" w:type="dxa"/>
            <w:noWrap/>
            <w:hideMark/>
          </w:tcPr>
          <w:p w14:paraId="4FF97D7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314F849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3.77</w:t>
            </w:r>
          </w:p>
        </w:tc>
        <w:tc>
          <w:tcPr>
            <w:tcW w:w="1163" w:type="dxa"/>
            <w:noWrap/>
            <w:hideMark/>
          </w:tcPr>
          <w:p w14:paraId="529D80F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1.016</w:t>
            </w:r>
          </w:p>
        </w:tc>
        <w:tc>
          <w:tcPr>
            <w:tcW w:w="817" w:type="dxa"/>
            <w:noWrap/>
            <w:hideMark/>
          </w:tcPr>
          <w:p w14:paraId="7F68AEA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.042</w:t>
            </w:r>
          </w:p>
        </w:tc>
        <w:tc>
          <w:tcPr>
            <w:tcW w:w="1203" w:type="dxa"/>
            <w:vMerge w:val="restart"/>
            <w:noWrap/>
            <w:hideMark/>
          </w:tcPr>
          <w:p w14:paraId="6E02698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0.869***</w:t>
            </w:r>
          </w:p>
        </w:tc>
        <w:tc>
          <w:tcPr>
            <w:tcW w:w="1043" w:type="dxa"/>
            <w:vMerge w:val="restart"/>
            <w:noWrap/>
            <w:hideMark/>
          </w:tcPr>
          <w:p w14:paraId="6D9861B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30909.0</w:t>
            </w:r>
          </w:p>
        </w:tc>
        <w:tc>
          <w:tcPr>
            <w:tcW w:w="960" w:type="dxa"/>
            <w:vMerge w:val="restart"/>
            <w:noWrap/>
            <w:hideMark/>
          </w:tcPr>
          <w:p w14:paraId="09E8E64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0.911</w:t>
            </w:r>
          </w:p>
        </w:tc>
      </w:tr>
      <w:tr w:rsidR="00A93414" w:rsidRPr="002A7627" w14:paraId="497D56D5" w14:textId="77777777" w:rsidTr="00A93414">
        <w:trPr>
          <w:gridAfter w:val="1"/>
          <w:wAfter w:w="1042" w:type="dxa"/>
          <w:trHeight w:val="300"/>
        </w:trPr>
        <w:tc>
          <w:tcPr>
            <w:tcW w:w="1150" w:type="dxa"/>
            <w:hideMark/>
          </w:tcPr>
          <w:p w14:paraId="37CE174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78609D1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2D777D6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3.76</w:t>
            </w:r>
          </w:p>
        </w:tc>
        <w:tc>
          <w:tcPr>
            <w:tcW w:w="1163" w:type="dxa"/>
            <w:noWrap/>
            <w:hideMark/>
          </w:tcPr>
          <w:p w14:paraId="5C13CB6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1.019</w:t>
            </w:r>
          </w:p>
        </w:tc>
        <w:tc>
          <w:tcPr>
            <w:tcW w:w="817" w:type="dxa"/>
            <w:noWrap/>
            <w:hideMark/>
          </w:tcPr>
          <w:p w14:paraId="7E6E7A6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.099</w:t>
            </w:r>
          </w:p>
        </w:tc>
        <w:tc>
          <w:tcPr>
            <w:tcW w:w="1203" w:type="dxa"/>
            <w:vMerge/>
            <w:hideMark/>
          </w:tcPr>
          <w:p w14:paraId="6F5B3276"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18ABBFBF"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0FE7C500"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3909E4B9" w14:textId="77777777" w:rsidTr="00A93414">
        <w:trPr>
          <w:gridAfter w:val="1"/>
          <w:wAfter w:w="1042" w:type="dxa"/>
          <w:trHeight w:val="300"/>
        </w:trPr>
        <w:tc>
          <w:tcPr>
            <w:tcW w:w="1150" w:type="dxa"/>
            <w:hideMark/>
          </w:tcPr>
          <w:p w14:paraId="68790E4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AEP3</w:t>
            </w:r>
          </w:p>
        </w:tc>
        <w:tc>
          <w:tcPr>
            <w:tcW w:w="744" w:type="dxa"/>
            <w:noWrap/>
            <w:hideMark/>
          </w:tcPr>
          <w:p w14:paraId="0726B9E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73B5A3A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3.59</w:t>
            </w:r>
          </w:p>
        </w:tc>
        <w:tc>
          <w:tcPr>
            <w:tcW w:w="1163" w:type="dxa"/>
            <w:noWrap/>
            <w:hideMark/>
          </w:tcPr>
          <w:p w14:paraId="1A5469B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1.017</w:t>
            </w:r>
          </w:p>
        </w:tc>
        <w:tc>
          <w:tcPr>
            <w:tcW w:w="817" w:type="dxa"/>
            <w:noWrap/>
            <w:hideMark/>
          </w:tcPr>
          <w:p w14:paraId="3367FA0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.042</w:t>
            </w:r>
          </w:p>
        </w:tc>
        <w:tc>
          <w:tcPr>
            <w:tcW w:w="1203" w:type="dxa"/>
            <w:vMerge w:val="restart"/>
            <w:noWrap/>
            <w:hideMark/>
          </w:tcPr>
          <w:p w14:paraId="36EFBE0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0.877***</w:t>
            </w:r>
          </w:p>
        </w:tc>
        <w:tc>
          <w:tcPr>
            <w:tcW w:w="1043" w:type="dxa"/>
            <w:vMerge w:val="restart"/>
            <w:noWrap/>
            <w:hideMark/>
          </w:tcPr>
          <w:p w14:paraId="2658EF9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28772.5</w:t>
            </w:r>
          </w:p>
        </w:tc>
        <w:tc>
          <w:tcPr>
            <w:tcW w:w="960" w:type="dxa"/>
            <w:vMerge w:val="restart"/>
            <w:noWrap/>
            <w:hideMark/>
          </w:tcPr>
          <w:p w14:paraId="3CEBB19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0.193</w:t>
            </w:r>
          </w:p>
        </w:tc>
      </w:tr>
      <w:tr w:rsidR="00A93414" w:rsidRPr="002A7627" w14:paraId="1031E721" w14:textId="77777777" w:rsidTr="00A93414">
        <w:trPr>
          <w:gridAfter w:val="1"/>
          <w:wAfter w:w="1042" w:type="dxa"/>
          <w:trHeight w:val="300"/>
        </w:trPr>
        <w:tc>
          <w:tcPr>
            <w:tcW w:w="1150" w:type="dxa"/>
            <w:hideMark/>
          </w:tcPr>
          <w:p w14:paraId="4B985D6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2F4339B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4109F56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3.73</w:t>
            </w:r>
          </w:p>
        </w:tc>
        <w:tc>
          <w:tcPr>
            <w:tcW w:w="1163" w:type="dxa"/>
            <w:noWrap/>
            <w:hideMark/>
          </w:tcPr>
          <w:p w14:paraId="361834A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.981</w:t>
            </w:r>
          </w:p>
        </w:tc>
        <w:tc>
          <w:tcPr>
            <w:tcW w:w="817" w:type="dxa"/>
            <w:noWrap/>
            <w:hideMark/>
          </w:tcPr>
          <w:p w14:paraId="59A9BCE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.095</w:t>
            </w:r>
          </w:p>
        </w:tc>
        <w:tc>
          <w:tcPr>
            <w:tcW w:w="1203" w:type="dxa"/>
            <w:vMerge/>
            <w:hideMark/>
          </w:tcPr>
          <w:p w14:paraId="5FC0742E"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7536047D"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34573250"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3DE429EE" w14:textId="77777777" w:rsidTr="00A93414">
        <w:trPr>
          <w:gridAfter w:val="1"/>
          <w:wAfter w:w="1042" w:type="dxa"/>
          <w:trHeight w:val="300"/>
        </w:trPr>
        <w:tc>
          <w:tcPr>
            <w:tcW w:w="1150" w:type="dxa"/>
            <w:hideMark/>
          </w:tcPr>
          <w:p w14:paraId="657C9C1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OL1</w:t>
            </w:r>
          </w:p>
        </w:tc>
        <w:tc>
          <w:tcPr>
            <w:tcW w:w="744" w:type="dxa"/>
            <w:noWrap/>
            <w:hideMark/>
          </w:tcPr>
          <w:p w14:paraId="787C82D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5BB4F25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3.66</w:t>
            </w:r>
          </w:p>
        </w:tc>
        <w:tc>
          <w:tcPr>
            <w:tcW w:w="1163" w:type="dxa"/>
            <w:noWrap/>
            <w:hideMark/>
          </w:tcPr>
          <w:p w14:paraId="47C2955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.996</w:t>
            </w:r>
          </w:p>
        </w:tc>
        <w:tc>
          <w:tcPr>
            <w:tcW w:w="817" w:type="dxa"/>
            <w:noWrap/>
            <w:hideMark/>
          </w:tcPr>
          <w:p w14:paraId="0EE8870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.041</w:t>
            </w:r>
          </w:p>
        </w:tc>
        <w:tc>
          <w:tcPr>
            <w:tcW w:w="1203" w:type="dxa"/>
            <w:vMerge w:val="restart"/>
            <w:noWrap/>
            <w:hideMark/>
          </w:tcPr>
          <w:p w14:paraId="099199A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0.876***</w:t>
            </w:r>
          </w:p>
        </w:tc>
        <w:tc>
          <w:tcPr>
            <w:tcW w:w="1043" w:type="dxa"/>
            <w:vMerge w:val="restart"/>
            <w:noWrap/>
            <w:hideMark/>
          </w:tcPr>
          <w:p w14:paraId="31C12BC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29070.5</w:t>
            </w:r>
          </w:p>
        </w:tc>
        <w:tc>
          <w:tcPr>
            <w:tcW w:w="960" w:type="dxa"/>
            <w:vMerge w:val="restart"/>
            <w:noWrap/>
            <w:hideMark/>
          </w:tcPr>
          <w:p w14:paraId="5ABA733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0.256</w:t>
            </w:r>
          </w:p>
        </w:tc>
      </w:tr>
      <w:tr w:rsidR="00A93414" w:rsidRPr="002A7627" w14:paraId="07D26A0F" w14:textId="77777777" w:rsidTr="00A93414">
        <w:trPr>
          <w:gridAfter w:val="1"/>
          <w:wAfter w:w="1042" w:type="dxa"/>
          <w:trHeight w:val="300"/>
        </w:trPr>
        <w:tc>
          <w:tcPr>
            <w:tcW w:w="1150" w:type="dxa"/>
            <w:hideMark/>
          </w:tcPr>
          <w:p w14:paraId="7529547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4D9A649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371215B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3.79</w:t>
            </w:r>
          </w:p>
        </w:tc>
        <w:tc>
          <w:tcPr>
            <w:tcW w:w="1163" w:type="dxa"/>
            <w:noWrap/>
            <w:hideMark/>
          </w:tcPr>
          <w:p w14:paraId="4BD859B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.923</w:t>
            </w:r>
          </w:p>
        </w:tc>
        <w:tc>
          <w:tcPr>
            <w:tcW w:w="817" w:type="dxa"/>
            <w:noWrap/>
            <w:hideMark/>
          </w:tcPr>
          <w:p w14:paraId="45F760F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.090</w:t>
            </w:r>
          </w:p>
        </w:tc>
        <w:tc>
          <w:tcPr>
            <w:tcW w:w="1203" w:type="dxa"/>
            <w:vMerge/>
            <w:hideMark/>
          </w:tcPr>
          <w:p w14:paraId="3E50554D"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2AE535D4"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364ECB1A"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17DFD589" w14:textId="77777777" w:rsidTr="00A93414">
        <w:trPr>
          <w:gridAfter w:val="1"/>
          <w:wAfter w:w="1042" w:type="dxa"/>
          <w:trHeight w:val="300"/>
        </w:trPr>
        <w:tc>
          <w:tcPr>
            <w:tcW w:w="1150" w:type="dxa"/>
            <w:hideMark/>
          </w:tcPr>
          <w:p w14:paraId="2E3B6B1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OL2</w:t>
            </w:r>
          </w:p>
        </w:tc>
        <w:tc>
          <w:tcPr>
            <w:tcW w:w="744" w:type="dxa"/>
            <w:noWrap/>
            <w:hideMark/>
          </w:tcPr>
          <w:p w14:paraId="3888EAB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77A1244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3.66</w:t>
            </w:r>
          </w:p>
        </w:tc>
        <w:tc>
          <w:tcPr>
            <w:tcW w:w="1163" w:type="dxa"/>
            <w:noWrap/>
            <w:hideMark/>
          </w:tcPr>
          <w:p w14:paraId="7BF9A1A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.990</w:t>
            </w:r>
          </w:p>
        </w:tc>
        <w:tc>
          <w:tcPr>
            <w:tcW w:w="817" w:type="dxa"/>
            <w:noWrap/>
            <w:hideMark/>
          </w:tcPr>
          <w:p w14:paraId="32BBE9E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.041</w:t>
            </w:r>
          </w:p>
        </w:tc>
        <w:tc>
          <w:tcPr>
            <w:tcW w:w="1203" w:type="dxa"/>
            <w:vMerge w:val="restart"/>
            <w:noWrap/>
            <w:hideMark/>
          </w:tcPr>
          <w:p w14:paraId="6E09E39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0.872***</w:t>
            </w:r>
          </w:p>
        </w:tc>
        <w:tc>
          <w:tcPr>
            <w:tcW w:w="1043" w:type="dxa"/>
            <w:vMerge w:val="restart"/>
            <w:noWrap/>
            <w:hideMark/>
          </w:tcPr>
          <w:p w14:paraId="0C6DF8E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29650.5</w:t>
            </w:r>
          </w:p>
        </w:tc>
        <w:tc>
          <w:tcPr>
            <w:tcW w:w="960" w:type="dxa"/>
            <w:vMerge w:val="restart"/>
            <w:noWrap/>
            <w:hideMark/>
          </w:tcPr>
          <w:p w14:paraId="71F3250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0.415</w:t>
            </w:r>
          </w:p>
        </w:tc>
      </w:tr>
      <w:tr w:rsidR="00A93414" w:rsidRPr="002A7627" w14:paraId="4C702DD0" w14:textId="77777777" w:rsidTr="00A93414">
        <w:trPr>
          <w:gridAfter w:val="1"/>
          <w:wAfter w:w="1042" w:type="dxa"/>
          <w:trHeight w:val="300"/>
        </w:trPr>
        <w:tc>
          <w:tcPr>
            <w:tcW w:w="1150" w:type="dxa"/>
            <w:hideMark/>
          </w:tcPr>
          <w:p w14:paraId="010F9C8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4EF56E0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388B64E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3.72</w:t>
            </w:r>
          </w:p>
        </w:tc>
        <w:tc>
          <w:tcPr>
            <w:tcW w:w="1163" w:type="dxa"/>
            <w:noWrap/>
            <w:hideMark/>
          </w:tcPr>
          <w:p w14:paraId="56AACD1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1.012</w:t>
            </w:r>
          </w:p>
        </w:tc>
        <w:tc>
          <w:tcPr>
            <w:tcW w:w="817" w:type="dxa"/>
            <w:noWrap/>
            <w:hideMark/>
          </w:tcPr>
          <w:p w14:paraId="718B60D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.098</w:t>
            </w:r>
          </w:p>
        </w:tc>
        <w:tc>
          <w:tcPr>
            <w:tcW w:w="1203" w:type="dxa"/>
            <w:vMerge/>
            <w:hideMark/>
          </w:tcPr>
          <w:p w14:paraId="0B0E343B"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3AF66A1D"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1A51BA99"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35CFC789" w14:textId="77777777" w:rsidTr="00A93414">
        <w:trPr>
          <w:gridAfter w:val="1"/>
          <w:wAfter w:w="1042" w:type="dxa"/>
          <w:trHeight w:val="300"/>
        </w:trPr>
        <w:tc>
          <w:tcPr>
            <w:tcW w:w="1150" w:type="dxa"/>
            <w:hideMark/>
          </w:tcPr>
          <w:p w14:paraId="069A612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OL3</w:t>
            </w:r>
          </w:p>
        </w:tc>
        <w:tc>
          <w:tcPr>
            <w:tcW w:w="744" w:type="dxa"/>
            <w:noWrap/>
            <w:hideMark/>
          </w:tcPr>
          <w:p w14:paraId="6B8EC24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5EC104B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3.68</w:t>
            </w:r>
          </w:p>
        </w:tc>
        <w:tc>
          <w:tcPr>
            <w:tcW w:w="1163" w:type="dxa"/>
            <w:noWrap/>
            <w:hideMark/>
          </w:tcPr>
          <w:p w14:paraId="2DDE234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.982</w:t>
            </w:r>
          </w:p>
        </w:tc>
        <w:tc>
          <w:tcPr>
            <w:tcW w:w="817" w:type="dxa"/>
            <w:noWrap/>
            <w:hideMark/>
          </w:tcPr>
          <w:p w14:paraId="3DFBB22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.041</w:t>
            </w:r>
          </w:p>
        </w:tc>
        <w:tc>
          <w:tcPr>
            <w:tcW w:w="1203" w:type="dxa"/>
            <w:vMerge w:val="restart"/>
            <w:noWrap/>
            <w:hideMark/>
          </w:tcPr>
          <w:p w14:paraId="7BEF7DA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0.870***</w:t>
            </w:r>
          </w:p>
        </w:tc>
        <w:tc>
          <w:tcPr>
            <w:tcW w:w="1043" w:type="dxa"/>
            <w:vMerge w:val="restart"/>
            <w:noWrap/>
            <w:hideMark/>
          </w:tcPr>
          <w:p w14:paraId="2DB5566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29442.5</w:t>
            </w:r>
          </w:p>
        </w:tc>
        <w:tc>
          <w:tcPr>
            <w:tcW w:w="960" w:type="dxa"/>
            <w:vMerge w:val="restart"/>
            <w:noWrap/>
            <w:hideMark/>
          </w:tcPr>
          <w:p w14:paraId="20C161C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0.351</w:t>
            </w:r>
          </w:p>
        </w:tc>
      </w:tr>
      <w:tr w:rsidR="00A93414" w:rsidRPr="002A7627" w14:paraId="115C9119" w14:textId="77777777" w:rsidTr="00A93414">
        <w:trPr>
          <w:gridAfter w:val="1"/>
          <w:wAfter w:w="1042" w:type="dxa"/>
          <w:trHeight w:val="300"/>
        </w:trPr>
        <w:tc>
          <w:tcPr>
            <w:tcW w:w="1150" w:type="dxa"/>
            <w:hideMark/>
          </w:tcPr>
          <w:p w14:paraId="7F26A2D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0842FF2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0D43799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3.76</w:t>
            </w:r>
          </w:p>
        </w:tc>
        <w:tc>
          <w:tcPr>
            <w:tcW w:w="1163" w:type="dxa"/>
            <w:noWrap/>
            <w:hideMark/>
          </w:tcPr>
          <w:p w14:paraId="709BC04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1.019</w:t>
            </w:r>
          </w:p>
        </w:tc>
        <w:tc>
          <w:tcPr>
            <w:tcW w:w="817" w:type="dxa"/>
            <w:noWrap/>
            <w:hideMark/>
          </w:tcPr>
          <w:p w14:paraId="222CA01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.099</w:t>
            </w:r>
          </w:p>
        </w:tc>
        <w:tc>
          <w:tcPr>
            <w:tcW w:w="1203" w:type="dxa"/>
            <w:vMerge/>
            <w:hideMark/>
          </w:tcPr>
          <w:p w14:paraId="250657AB"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7F5DEF45"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51B11417"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49547B3E" w14:textId="77777777" w:rsidTr="00A93414">
        <w:trPr>
          <w:gridAfter w:val="1"/>
          <w:wAfter w:w="1042" w:type="dxa"/>
          <w:trHeight w:val="300"/>
        </w:trPr>
        <w:tc>
          <w:tcPr>
            <w:tcW w:w="1150" w:type="dxa"/>
            <w:hideMark/>
          </w:tcPr>
          <w:p w14:paraId="27371E4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OL4</w:t>
            </w:r>
          </w:p>
        </w:tc>
        <w:tc>
          <w:tcPr>
            <w:tcW w:w="744" w:type="dxa"/>
            <w:noWrap/>
            <w:hideMark/>
          </w:tcPr>
          <w:p w14:paraId="0891A4D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566CDF0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3.48</w:t>
            </w:r>
          </w:p>
        </w:tc>
        <w:tc>
          <w:tcPr>
            <w:tcW w:w="1163" w:type="dxa"/>
            <w:noWrap/>
            <w:hideMark/>
          </w:tcPr>
          <w:p w14:paraId="29B43DF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1.036</w:t>
            </w:r>
          </w:p>
        </w:tc>
        <w:tc>
          <w:tcPr>
            <w:tcW w:w="817" w:type="dxa"/>
            <w:noWrap/>
            <w:hideMark/>
          </w:tcPr>
          <w:p w14:paraId="02B94E2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.043</w:t>
            </w:r>
          </w:p>
        </w:tc>
        <w:tc>
          <w:tcPr>
            <w:tcW w:w="1203" w:type="dxa"/>
            <w:vMerge w:val="restart"/>
            <w:noWrap/>
            <w:hideMark/>
          </w:tcPr>
          <w:p w14:paraId="19F8BEF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0.886***</w:t>
            </w:r>
          </w:p>
        </w:tc>
        <w:tc>
          <w:tcPr>
            <w:tcW w:w="1043" w:type="dxa"/>
            <w:vMerge w:val="restart"/>
            <w:noWrap/>
            <w:hideMark/>
          </w:tcPr>
          <w:p w14:paraId="76C38A9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26246.0</w:t>
            </w:r>
          </w:p>
        </w:tc>
        <w:tc>
          <w:tcPr>
            <w:tcW w:w="960" w:type="dxa"/>
            <w:vMerge w:val="restart"/>
            <w:noWrap/>
            <w:hideMark/>
          </w:tcPr>
          <w:p w14:paraId="46A8807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0.007</w:t>
            </w:r>
          </w:p>
        </w:tc>
      </w:tr>
      <w:tr w:rsidR="00A93414" w:rsidRPr="002A7627" w14:paraId="39520B7B" w14:textId="77777777" w:rsidTr="00A93414">
        <w:trPr>
          <w:gridAfter w:val="1"/>
          <w:wAfter w:w="1042" w:type="dxa"/>
          <w:trHeight w:val="300"/>
        </w:trPr>
        <w:tc>
          <w:tcPr>
            <w:tcW w:w="1150" w:type="dxa"/>
            <w:hideMark/>
          </w:tcPr>
          <w:p w14:paraId="4908CD9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71C4126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0A03505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3.76</w:t>
            </w:r>
          </w:p>
        </w:tc>
        <w:tc>
          <w:tcPr>
            <w:tcW w:w="1163" w:type="dxa"/>
            <w:noWrap/>
            <w:hideMark/>
          </w:tcPr>
          <w:p w14:paraId="3C2CE4C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.972</w:t>
            </w:r>
          </w:p>
        </w:tc>
        <w:tc>
          <w:tcPr>
            <w:tcW w:w="817" w:type="dxa"/>
            <w:noWrap/>
            <w:hideMark/>
          </w:tcPr>
          <w:p w14:paraId="2152813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.094</w:t>
            </w:r>
          </w:p>
        </w:tc>
        <w:tc>
          <w:tcPr>
            <w:tcW w:w="1203" w:type="dxa"/>
            <w:vMerge/>
            <w:hideMark/>
          </w:tcPr>
          <w:p w14:paraId="7533CE4E"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5F7E706F"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10AC33F6"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4CF96EB4" w14:textId="77777777" w:rsidTr="00A93414">
        <w:trPr>
          <w:gridAfter w:val="1"/>
          <w:wAfter w:w="1042" w:type="dxa"/>
          <w:trHeight w:val="300"/>
        </w:trPr>
        <w:tc>
          <w:tcPr>
            <w:tcW w:w="1150" w:type="dxa"/>
            <w:hideMark/>
          </w:tcPr>
          <w:p w14:paraId="1B8F407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KMB1</w:t>
            </w:r>
          </w:p>
        </w:tc>
        <w:tc>
          <w:tcPr>
            <w:tcW w:w="744" w:type="dxa"/>
            <w:noWrap/>
            <w:hideMark/>
          </w:tcPr>
          <w:p w14:paraId="61A97D8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3E40C15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3.85</w:t>
            </w:r>
          </w:p>
        </w:tc>
        <w:tc>
          <w:tcPr>
            <w:tcW w:w="1163" w:type="dxa"/>
            <w:noWrap/>
            <w:hideMark/>
          </w:tcPr>
          <w:p w14:paraId="5546DE2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.962</w:t>
            </w:r>
          </w:p>
        </w:tc>
        <w:tc>
          <w:tcPr>
            <w:tcW w:w="817" w:type="dxa"/>
            <w:noWrap/>
            <w:hideMark/>
          </w:tcPr>
          <w:p w14:paraId="1AC5886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.040</w:t>
            </w:r>
          </w:p>
        </w:tc>
        <w:tc>
          <w:tcPr>
            <w:tcW w:w="1203" w:type="dxa"/>
            <w:vMerge w:val="restart"/>
            <w:noWrap/>
            <w:hideMark/>
          </w:tcPr>
          <w:p w14:paraId="270F02D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0.861***</w:t>
            </w:r>
          </w:p>
        </w:tc>
        <w:tc>
          <w:tcPr>
            <w:tcW w:w="1043" w:type="dxa"/>
            <w:vMerge w:val="restart"/>
            <w:noWrap/>
            <w:hideMark/>
          </w:tcPr>
          <w:p w14:paraId="05ED55D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30933.5</w:t>
            </w:r>
          </w:p>
        </w:tc>
        <w:tc>
          <w:tcPr>
            <w:tcW w:w="960" w:type="dxa"/>
            <w:vMerge w:val="restart"/>
            <w:noWrap/>
            <w:hideMark/>
          </w:tcPr>
          <w:p w14:paraId="7D01E69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0.921</w:t>
            </w:r>
          </w:p>
        </w:tc>
      </w:tr>
      <w:tr w:rsidR="00A93414" w:rsidRPr="002A7627" w14:paraId="6C3D810C" w14:textId="77777777" w:rsidTr="00A93414">
        <w:trPr>
          <w:gridAfter w:val="1"/>
          <w:wAfter w:w="1042" w:type="dxa"/>
          <w:trHeight w:val="300"/>
        </w:trPr>
        <w:tc>
          <w:tcPr>
            <w:tcW w:w="1150" w:type="dxa"/>
            <w:hideMark/>
          </w:tcPr>
          <w:p w14:paraId="1818BC7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0804041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1D1DC9C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3.86</w:t>
            </w:r>
          </w:p>
        </w:tc>
        <w:tc>
          <w:tcPr>
            <w:tcW w:w="1163" w:type="dxa"/>
            <w:noWrap/>
            <w:hideMark/>
          </w:tcPr>
          <w:p w14:paraId="1AD2FF4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.878</w:t>
            </w:r>
          </w:p>
        </w:tc>
        <w:tc>
          <w:tcPr>
            <w:tcW w:w="817" w:type="dxa"/>
            <w:noWrap/>
            <w:hideMark/>
          </w:tcPr>
          <w:p w14:paraId="2B98502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.085</w:t>
            </w:r>
          </w:p>
        </w:tc>
        <w:tc>
          <w:tcPr>
            <w:tcW w:w="1203" w:type="dxa"/>
            <w:vMerge/>
            <w:hideMark/>
          </w:tcPr>
          <w:p w14:paraId="0D472689"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7D9E04BF"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32290F52"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232A8A09" w14:textId="77777777" w:rsidTr="00A93414">
        <w:trPr>
          <w:gridAfter w:val="1"/>
          <w:wAfter w:w="1042" w:type="dxa"/>
          <w:trHeight w:val="300"/>
        </w:trPr>
        <w:tc>
          <w:tcPr>
            <w:tcW w:w="1150" w:type="dxa"/>
            <w:hideMark/>
          </w:tcPr>
          <w:p w14:paraId="0E8C956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KMB2</w:t>
            </w:r>
          </w:p>
        </w:tc>
        <w:tc>
          <w:tcPr>
            <w:tcW w:w="744" w:type="dxa"/>
            <w:noWrap/>
            <w:hideMark/>
          </w:tcPr>
          <w:p w14:paraId="424C8DE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0DED7A1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3.75</w:t>
            </w:r>
          </w:p>
        </w:tc>
        <w:tc>
          <w:tcPr>
            <w:tcW w:w="1163" w:type="dxa"/>
            <w:noWrap/>
            <w:hideMark/>
          </w:tcPr>
          <w:p w14:paraId="6A7198A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.965</w:t>
            </w:r>
          </w:p>
        </w:tc>
        <w:tc>
          <w:tcPr>
            <w:tcW w:w="817" w:type="dxa"/>
            <w:noWrap/>
            <w:hideMark/>
          </w:tcPr>
          <w:p w14:paraId="22F9FF6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.040</w:t>
            </w:r>
          </w:p>
        </w:tc>
        <w:tc>
          <w:tcPr>
            <w:tcW w:w="1203" w:type="dxa"/>
            <w:vMerge w:val="restart"/>
            <w:noWrap/>
            <w:hideMark/>
          </w:tcPr>
          <w:p w14:paraId="6BC8103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0.877***</w:t>
            </w:r>
          </w:p>
        </w:tc>
        <w:tc>
          <w:tcPr>
            <w:tcW w:w="1043" w:type="dxa"/>
            <w:vMerge w:val="restart"/>
            <w:noWrap/>
            <w:hideMark/>
          </w:tcPr>
          <w:p w14:paraId="7523339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29922.0</w:t>
            </w:r>
          </w:p>
        </w:tc>
        <w:tc>
          <w:tcPr>
            <w:tcW w:w="960" w:type="dxa"/>
            <w:vMerge w:val="restart"/>
            <w:noWrap/>
            <w:hideMark/>
          </w:tcPr>
          <w:p w14:paraId="627E525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0.510</w:t>
            </w:r>
          </w:p>
        </w:tc>
      </w:tr>
      <w:tr w:rsidR="00A93414" w:rsidRPr="002A7627" w14:paraId="47FE2D53" w14:textId="77777777" w:rsidTr="00A93414">
        <w:trPr>
          <w:gridAfter w:val="1"/>
          <w:wAfter w:w="1042" w:type="dxa"/>
          <w:trHeight w:val="300"/>
        </w:trPr>
        <w:tc>
          <w:tcPr>
            <w:tcW w:w="1150" w:type="dxa"/>
            <w:hideMark/>
          </w:tcPr>
          <w:p w14:paraId="31FE435A"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026AA37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500F03C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3.80</w:t>
            </w:r>
          </w:p>
        </w:tc>
        <w:tc>
          <w:tcPr>
            <w:tcW w:w="1163" w:type="dxa"/>
            <w:noWrap/>
            <w:hideMark/>
          </w:tcPr>
          <w:p w14:paraId="6B10851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.970</w:t>
            </w:r>
          </w:p>
        </w:tc>
        <w:tc>
          <w:tcPr>
            <w:tcW w:w="817" w:type="dxa"/>
            <w:noWrap/>
            <w:hideMark/>
          </w:tcPr>
          <w:p w14:paraId="73CEC31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.094</w:t>
            </w:r>
          </w:p>
        </w:tc>
        <w:tc>
          <w:tcPr>
            <w:tcW w:w="1203" w:type="dxa"/>
            <w:vMerge/>
            <w:hideMark/>
          </w:tcPr>
          <w:p w14:paraId="5E1FD778"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069A0FC2"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5F5B2DF0"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0DFC2A13" w14:textId="77777777" w:rsidTr="00A93414">
        <w:trPr>
          <w:gridAfter w:val="1"/>
          <w:wAfter w:w="1042" w:type="dxa"/>
          <w:trHeight w:val="300"/>
        </w:trPr>
        <w:tc>
          <w:tcPr>
            <w:tcW w:w="1150" w:type="dxa"/>
            <w:hideMark/>
          </w:tcPr>
          <w:p w14:paraId="7D1D9A8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KMB3</w:t>
            </w:r>
          </w:p>
        </w:tc>
        <w:tc>
          <w:tcPr>
            <w:tcW w:w="744" w:type="dxa"/>
            <w:noWrap/>
            <w:hideMark/>
          </w:tcPr>
          <w:p w14:paraId="73BDEA8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57DC4EB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3.87</w:t>
            </w:r>
          </w:p>
        </w:tc>
        <w:tc>
          <w:tcPr>
            <w:tcW w:w="1163" w:type="dxa"/>
            <w:noWrap/>
            <w:hideMark/>
          </w:tcPr>
          <w:p w14:paraId="39C5539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.978</w:t>
            </w:r>
          </w:p>
        </w:tc>
        <w:tc>
          <w:tcPr>
            <w:tcW w:w="817" w:type="dxa"/>
            <w:noWrap/>
            <w:hideMark/>
          </w:tcPr>
          <w:p w14:paraId="6224CB2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.040</w:t>
            </w:r>
          </w:p>
        </w:tc>
        <w:tc>
          <w:tcPr>
            <w:tcW w:w="1203" w:type="dxa"/>
            <w:vMerge w:val="restart"/>
            <w:noWrap/>
            <w:hideMark/>
          </w:tcPr>
          <w:p w14:paraId="389193D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0.860***</w:t>
            </w:r>
          </w:p>
        </w:tc>
        <w:tc>
          <w:tcPr>
            <w:tcW w:w="1043" w:type="dxa"/>
            <w:vMerge w:val="restart"/>
            <w:noWrap/>
            <w:hideMark/>
          </w:tcPr>
          <w:p w14:paraId="43E0A92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30595.0</w:t>
            </w:r>
          </w:p>
        </w:tc>
        <w:tc>
          <w:tcPr>
            <w:tcW w:w="960" w:type="dxa"/>
            <w:vMerge w:val="restart"/>
            <w:noWrap/>
            <w:hideMark/>
          </w:tcPr>
          <w:p w14:paraId="1CC6B43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0.775</w:t>
            </w:r>
          </w:p>
        </w:tc>
      </w:tr>
      <w:tr w:rsidR="00A93414" w:rsidRPr="002A7627" w14:paraId="0F055FC0" w14:textId="77777777" w:rsidTr="00A93414">
        <w:trPr>
          <w:gridAfter w:val="1"/>
          <w:wAfter w:w="1042" w:type="dxa"/>
          <w:trHeight w:val="300"/>
        </w:trPr>
        <w:tc>
          <w:tcPr>
            <w:tcW w:w="1150" w:type="dxa"/>
            <w:hideMark/>
          </w:tcPr>
          <w:p w14:paraId="1DE6E60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3E14880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34B3E97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3.85</w:t>
            </w:r>
          </w:p>
        </w:tc>
        <w:tc>
          <w:tcPr>
            <w:tcW w:w="1163" w:type="dxa"/>
            <w:noWrap/>
            <w:hideMark/>
          </w:tcPr>
          <w:p w14:paraId="75110B9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.954</w:t>
            </w:r>
          </w:p>
        </w:tc>
        <w:tc>
          <w:tcPr>
            <w:tcW w:w="817" w:type="dxa"/>
            <w:noWrap/>
            <w:hideMark/>
          </w:tcPr>
          <w:p w14:paraId="29F5AB7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.093</w:t>
            </w:r>
          </w:p>
        </w:tc>
        <w:tc>
          <w:tcPr>
            <w:tcW w:w="1203" w:type="dxa"/>
            <w:vMerge/>
            <w:hideMark/>
          </w:tcPr>
          <w:p w14:paraId="50C0D751"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11111067"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56AEE7F4"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0AA386DF" w14:textId="77777777" w:rsidTr="00A93414">
        <w:trPr>
          <w:gridAfter w:val="1"/>
          <w:wAfter w:w="1042" w:type="dxa"/>
          <w:trHeight w:val="300"/>
        </w:trPr>
        <w:tc>
          <w:tcPr>
            <w:tcW w:w="1150" w:type="dxa"/>
            <w:hideMark/>
          </w:tcPr>
          <w:p w14:paraId="5C36EFA3"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KMB4</w:t>
            </w:r>
          </w:p>
        </w:tc>
        <w:tc>
          <w:tcPr>
            <w:tcW w:w="744" w:type="dxa"/>
            <w:noWrap/>
            <w:hideMark/>
          </w:tcPr>
          <w:p w14:paraId="4294247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4847EAC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3.82</w:t>
            </w:r>
          </w:p>
        </w:tc>
        <w:tc>
          <w:tcPr>
            <w:tcW w:w="1163" w:type="dxa"/>
            <w:noWrap/>
            <w:hideMark/>
          </w:tcPr>
          <w:p w14:paraId="0A06D6A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.955</w:t>
            </w:r>
          </w:p>
        </w:tc>
        <w:tc>
          <w:tcPr>
            <w:tcW w:w="817" w:type="dxa"/>
            <w:noWrap/>
            <w:hideMark/>
          </w:tcPr>
          <w:p w14:paraId="43663A0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.039</w:t>
            </w:r>
          </w:p>
        </w:tc>
        <w:tc>
          <w:tcPr>
            <w:tcW w:w="1203" w:type="dxa"/>
            <w:vMerge w:val="restart"/>
            <w:noWrap/>
            <w:hideMark/>
          </w:tcPr>
          <w:p w14:paraId="43CE266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0.868***</w:t>
            </w:r>
          </w:p>
        </w:tc>
        <w:tc>
          <w:tcPr>
            <w:tcW w:w="1043" w:type="dxa"/>
            <w:vMerge w:val="restart"/>
            <w:noWrap/>
            <w:hideMark/>
          </w:tcPr>
          <w:p w14:paraId="56A4AFF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30924.5</w:t>
            </w:r>
          </w:p>
        </w:tc>
        <w:tc>
          <w:tcPr>
            <w:tcW w:w="960" w:type="dxa"/>
            <w:vMerge w:val="restart"/>
            <w:noWrap/>
            <w:hideMark/>
          </w:tcPr>
          <w:p w14:paraId="06FF491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0.917</w:t>
            </w:r>
          </w:p>
        </w:tc>
      </w:tr>
      <w:tr w:rsidR="00A93414" w:rsidRPr="002A7627" w14:paraId="2D0F50F0" w14:textId="77777777" w:rsidTr="00A93414">
        <w:trPr>
          <w:gridAfter w:val="1"/>
          <w:wAfter w:w="1042" w:type="dxa"/>
          <w:trHeight w:val="300"/>
        </w:trPr>
        <w:tc>
          <w:tcPr>
            <w:tcW w:w="1150" w:type="dxa"/>
            <w:hideMark/>
          </w:tcPr>
          <w:p w14:paraId="3E79BD2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5F59639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034E987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3.84</w:t>
            </w:r>
          </w:p>
        </w:tc>
        <w:tc>
          <w:tcPr>
            <w:tcW w:w="1163" w:type="dxa"/>
            <w:noWrap/>
            <w:hideMark/>
          </w:tcPr>
          <w:p w14:paraId="793AA87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.917</w:t>
            </w:r>
          </w:p>
        </w:tc>
        <w:tc>
          <w:tcPr>
            <w:tcW w:w="817" w:type="dxa"/>
            <w:noWrap/>
            <w:hideMark/>
          </w:tcPr>
          <w:p w14:paraId="5A5E151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.089</w:t>
            </w:r>
          </w:p>
        </w:tc>
        <w:tc>
          <w:tcPr>
            <w:tcW w:w="1203" w:type="dxa"/>
            <w:vMerge/>
            <w:hideMark/>
          </w:tcPr>
          <w:p w14:paraId="665C93FC"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08A608F6"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64B273BF"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51283F03" w14:textId="77777777" w:rsidTr="00A93414">
        <w:trPr>
          <w:gridAfter w:val="1"/>
          <w:wAfter w:w="1042" w:type="dxa"/>
          <w:trHeight w:val="300"/>
        </w:trPr>
        <w:tc>
          <w:tcPr>
            <w:tcW w:w="1150" w:type="dxa"/>
            <w:hideMark/>
          </w:tcPr>
          <w:p w14:paraId="3FA0C5E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KMB5</w:t>
            </w:r>
          </w:p>
        </w:tc>
        <w:tc>
          <w:tcPr>
            <w:tcW w:w="744" w:type="dxa"/>
            <w:noWrap/>
            <w:hideMark/>
          </w:tcPr>
          <w:p w14:paraId="15D50A0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28EEA9F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3.83</w:t>
            </w:r>
          </w:p>
        </w:tc>
        <w:tc>
          <w:tcPr>
            <w:tcW w:w="1163" w:type="dxa"/>
            <w:noWrap/>
            <w:hideMark/>
          </w:tcPr>
          <w:p w14:paraId="66FAAF5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.985</w:t>
            </w:r>
          </w:p>
        </w:tc>
        <w:tc>
          <w:tcPr>
            <w:tcW w:w="817" w:type="dxa"/>
            <w:noWrap/>
            <w:hideMark/>
          </w:tcPr>
          <w:p w14:paraId="3A254AD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.041</w:t>
            </w:r>
          </w:p>
        </w:tc>
        <w:tc>
          <w:tcPr>
            <w:tcW w:w="1203" w:type="dxa"/>
            <w:vMerge w:val="restart"/>
            <w:noWrap/>
            <w:hideMark/>
          </w:tcPr>
          <w:p w14:paraId="43B4D05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0.865***</w:t>
            </w:r>
          </w:p>
        </w:tc>
        <w:tc>
          <w:tcPr>
            <w:tcW w:w="1043" w:type="dxa"/>
            <w:vMerge w:val="restart"/>
            <w:noWrap/>
            <w:hideMark/>
          </w:tcPr>
          <w:p w14:paraId="0AA9FA05"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31082.0</w:t>
            </w:r>
          </w:p>
        </w:tc>
        <w:tc>
          <w:tcPr>
            <w:tcW w:w="960" w:type="dxa"/>
            <w:vMerge w:val="restart"/>
            <w:noWrap/>
            <w:hideMark/>
          </w:tcPr>
          <w:p w14:paraId="35E945D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0.987</w:t>
            </w:r>
          </w:p>
        </w:tc>
      </w:tr>
      <w:tr w:rsidR="00A93414" w:rsidRPr="002A7627" w14:paraId="3A0C1675" w14:textId="77777777" w:rsidTr="00A93414">
        <w:trPr>
          <w:gridAfter w:val="1"/>
          <w:wAfter w:w="1042" w:type="dxa"/>
          <w:trHeight w:val="300"/>
        </w:trPr>
        <w:tc>
          <w:tcPr>
            <w:tcW w:w="1150" w:type="dxa"/>
            <w:hideMark/>
          </w:tcPr>
          <w:p w14:paraId="1006390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59C55F7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03ECF18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3.82</w:t>
            </w:r>
          </w:p>
        </w:tc>
        <w:tc>
          <w:tcPr>
            <w:tcW w:w="1163" w:type="dxa"/>
            <w:noWrap/>
            <w:hideMark/>
          </w:tcPr>
          <w:p w14:paraId="33FA03C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.993</w:t>
            </w:r>
          </w:p>
        </w:tc>
        <w:tc>
          <w:tcPr>
            <w:tcW w:w="817" w:type="dxa"/>
            <w:noWrap/>
            <w:hideMark/>
          </w:tcPr>
          <w:p w14:paraId="196FFDA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.096</w:t>
            </w:r>
          </w:p>
        </w:tc>
        <w:tc>
          <w:tcPr>
            <w:tcW w:w="1203" w:type="dxa"/>
            <w:vMerge/>
            <w:hideMark/>
          </w:tcPr>
          <w:p w14:paraId="7862BC04"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hideMark/>
          </w:tcPr>
          <w:p w14:paraId="7ED3E92C"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hideMark/>
          </w:tcPr>
          <w:p w14:paraId="22A549C7"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68A0E92F" w14:textId="77777777" w:rsidTr="00A93414">
        <w:trPr>
          <w:gridAfter w:val="1"/>
          <w:wAfter w:w="1042" w:type="dxa"/>
          <w:trHeight w:val="300"/>
        </w:trPr>
        <w:tc>
          <w:tcPr>
            <w:tcW w:w="1150" w:type="dxa"/>
            <w:hideMark/>
          </w:tcPr>
          <w:p w14:paraId="7CC6650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KMB6</w:t>
            </w:r>
          </w:p>
        </w:tc>
        <w:tc>
          <w:tcPr>
            <w:tcW w:w="744" w:type="dxa"/>
            <w:noWrap/>
            <w:hideMark/>
          </w:tcPr>
          <w:p w14:paraId="621FF97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noWrap/>
            <w:hideMark/>
          </w:tcPr>
          <w:p w14:paraId="7FB3392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3.84</w:t>
            </w:r>
          </w:p>
        </w:tc>
        <w:tc>
          <w:tcPr>
            <w:tcW w:w="1163" w:type="dxa"/>
            <w:noWrap/>
            <w:hideMark/>
          </w:tcPr>
          <w:p w14:paraId="19A479F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.960</w:t>
            </w:r>
          </w:p>
        </w:tc>
        <w:tc>
          <w:tcPr>
            <w:tcW w:w="817" w:type="dxa"/>
            <w:noWrap/>
            <w:hideMark/>
          </w:tcPr>
          <w:p w14:paraId="55E7C8A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.040</w:t>
            </w:r>
          </w:p>
        </w:tc>
        <w:tc>
          <w:tcPr>
            <w:tcW w:w="1203" w:type="dxa"/>
            <w:vMerge w:val="restart"/>
            <w:noWrap/>
            <w:hideMark/>
          </w:tcPr>
          <w:p w14:paraId="380A8DC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0.865***</w:t>
            </w:r>
          </w:p>
        </w:tc>
        <w:tc>
          <w:tcPr>
            <w:tcW w:w="1043" w:type="dxa"/>
            <w:vMerge w:val="restart"/>
            <w:noWrap/>
            <w:hideMark/>
          </w:tcPr>
          <w:p w14:paraId="07EE11F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31019.5</w:t>
            </w:r>
          </w:p>
        </w:tc>
        <w:tc>
          <w:tcPr>
            <w:tcW w:w="960" w:type="dxa"/>
            <w:vMerge w:val="restart"/>
            <w:noWrap/>
            <w:hideMark/>
          </w:tcPr>
          <w:p w14:paraId="53330DB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0.959</w:t>
            </w:r>
          </w:p>
        </w:tc>
      </w:tr>
      <w:tr w:rsidR="00A93414" w:rsidRPr="002A7627" w14:paraId="0673F908" w14:textId="77777777" w:rsidTr="00A93414">
        <w:trPr>
          <w:gridAfter w:val="1"/>
          <w:wAfter w:w="1042" w:type="dxa"/>
          <w:trHeight w:val="300"/>
        </w:trPr>
        <w:tc>
          <w:tcPr>
            <w:tcW w:w="1150" w:type="dxa"/>
            <w:hideMark/>
          </w:tcPr>
          <w:p w14:paraId="001E9E8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noWrap/>
            <w:hideMark/>
          </w:tcPr>
          <w:p w14:paraId="31B4241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noWrap/>
            <w:hideMark/>
          </w:tcPr>
          <w:p w14:paraId="66DA578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3.84</w:t>
            </w:r>
          </w:p>
        </w:tc>
        <w:tc>
          <w:tcPr>
            <w:tcW w:w="1163" w:type="dxa"/>
            <w:noWrap/>
            <w:hideMark/>
          </w:tcPr>
          <w:p w14:paraId="615CF35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.958</w:t>
            </w:r>
          </w:p>
        </w:tc>
        <w:tc>
          <w:tcPr>
            <w:tcW w:w="817" w:type="dxa"/>
            <w:noWrap/>
            <w:hideMark/>
          </w:tcPr>
          <w:p w14:paraId="45EF4E61"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.093</w:t>
            </w:r>
          </w:p>
        </w:tc>
        <w:tc>
          <w:tcPr>
            <w:tcW w:w="1203" w:type="dxa"/>
            <w:vMerge/>
            <w:tcBorders>
              <w:bottom w:val="nil"/>
            </w:tcBorders>
            <w:hideMark/>
          </w:tcPr>
          <w:p w14:paraId="089EC4EB"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tcBorders>
              <w:bottom w:val="nil"/>
            </w:tcBorders>
            <w:hideMark/>
          </w:tcPr>
          <w:p w14:paraId="4DF53181"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tcBorders>
              <w:bottom w:val="nil"/>
            </w:tcBorders>
            <w:hideMark/>
          </w:tcPr>
          <w:p w14:paraId="5278FC4D"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280F6EB2" w14:textId="77777777" w:rsidTr="00A93414">
        <w:trPr>
          <w:gridAfter w:val="1"/>
          <w:wAfter w:w="1042" w:type="dxa"/>
          <w:trHeight w:val="300"/>
        </w:trPr>
        <w:tc>
          <w:tcPr>
            <w:tcW w:w="1150" w:type="dxa"/>
            <w:tcBorders>
              <w:bottom w:val="nil"/>
            </w:tcBorders>
            <w:hideMark/>
          </w:tcPr>
          <w:p w14:paraId="2A256054"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KMB7</w:t>
            </w:r>
          </w:p>
        </w:tc>
        <w:tc>
          <w:tcPr>
            <w:tcW w:w="744" w:type="dxa"/>
            <w:tcBorders>
              <w:bottom w:val="nil"/>
            </w:tcBorders>
            <w:noWrap/>
            <w:hideMark/>
          </w:tcPr>
          <w:p w14:paraId="76ED47B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587</w:t>
            </w:r>
          </w:p>
        </w:tc>
        <w:tc>
          <w:tcPr>
            <w:tcW w:w="876" w:type="dxa"/>
            <w:tcBorders>
              <w:bottom w:val="nil"/>
            </w:tcBorders>
            <w:noWrap/>
            <w:hideMark/>
          </w:tcPr>
          <w:p w14:paraId="07E5F39B"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3.78</w:t>
            </w:r>
          </w:p>
        </w:tc>
        <w:tc>
          <w:tcPr>
            <w:tcW w:w="1163" w:type="dxa"/>
            <w:tcBorders>
              <w:bottom w:val="nil"/>
            </w:tcBorders>
            <w:noWrap/>
            <w:hideMark/>
          </w:tcPr>
          <w:p w14:paraId="1BBF41F9"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1.001</w:t>
            </w:r>
          </w:p>
        </w:tc>
        <w:tc>
          <w:tcPr>
            <w:tcW w:w="817" w:type="dxa"/>
            <w:tcBorders>
              <w:bottom w:val="nil"/>
            </w:tcBorders>
            <w:noWrap/>
            <w:hideMark/>
          </w:tcPr>
          <w:p w14:paraId="1352BDEF"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.041</w:t>
            </w:r>
          </w:p>
        </w:tc>
        <w:tc>
          <w:tcPr>
            <w:tcW w:w="1203" w:type="dxa"/>
            <w:vMerge w:val="restart"/>
            <w:tcBorders>
              <w:top w:val="nil"/>
              <w:bottom w:val="single" w:sz="4" w:space="0" w:color="auto"/>
            </w:tcBorders>
            <w:noWrap/>
            <w:hideMark/>
          </w:tcPr>
          <w:p w14:paraId="684D3072"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0.869***</w:t>
            </w:r>
          </w:p>
        </w:tc>
        <w:tc>
          <w:tcPr>
            <w:tcW w:w="1043" w:type="dxa"/>
            <w:vMerge w:val="restart"/>
            <w:tcBorders>
              <w:top w:val="nil"/>
              <w:bottom w:val="single" w:sz="4" w:space="0" w:color="auto"/>
            </w:tcBorders>
            <w:noWrap/>
            <w:hideMark/>
          </w:tcPr>
          <w:p w14:paraId="74486F36"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29301.0</w:t>
            </w:r>
          </w:p>
        </w:tc>
        <w:tc>
          <w:tcPr>
            <w:tcW w:w="960" w:type="dxa"/>
            <w:vMerge w:val="restart"/>
            <w:tcBorders>
              <w:top w:val="nil"/>
              <w:bottom w:val="single" w:sz="4" w:space="0" w:color="auto"/>
            </w:tcBorders>
            <w:noWrap/>
            <w:hideMark/>
          </w:tcPr>
          <w:p w14:paraId="19DF56BE"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0.316</w:t>
            </w:r>
          </w:p>
        </w:tc>
      </w:tr>
      <w:tr w:rsidR="00A93414" w:rsidRPr="002A7627" w14:paraId="0817A3BD" w14:textId="77777777" w:rsidTr="00A93414">
        <w:trPr>
          <w:gridAfter w:val="1"/>
          <w:wAfter w:w="1042" w:type="dxa"/>
          <w:trHeight w:val="300"/>
        </w:trPr>
        <w:tc>
          <w:tcPr>
            <w:tcW w:w="1150" w:type="dxa"/>
            <w:tcBorders>
              <w:top w:val="nil"/>
              <w:bottom w:val="single" w:sz="4" w:space="0" w:color="auto"/>
            </w:tcBorders>
            <w:hideMark/>
          </w:tcPr>
          <w:p w14:paraId="73167AED"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 </w:t>
            </w:r>
          </w:p>
        </w:tc>
        <w:tc>
          <w:tcPr>
            <w:tcW w:w="744" w:type="dxa"/>
            <w:tcBorders>
              <w:top w:val="nil"/>
              <w:bottom w:val="single" w:sz="4" w:space="0" w:color="auto"/>
            </w:tcBorders>
            <w:noWrap/>
            <w:hideMark/>
          </w:tcPr>
          <w:p w14:paraId="4076D540"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106</w:t>
            </w:r>
          </w:p>
        </w:tc>
        <w:tc>
          <w:tcPr>
            <w:tcW w:w="876" w:type="dxa"/>
            <w:tcBorders>
              <w:top w:val="nil"/>
              <w:bottom w:val="single" w:sz="4" w:space="0" w:color="auto"/>
            </w:tcBorders>
            <w:noWrap/>
            <w:hideMark/>
          </w:tcPr>
          <w:p w14:paraId="29DFDB88"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3.88</w:t>
            </w:r>
          </w:p>
        </w:tc>
        <w:tc>
          <w:tcPr>
            <w:tcW w:w="1163" w:type="dxa"/>
            <w:tcBorders>
              <w:top w:val="nil"/>
              <w:bottom w:val="single" w:sz="4" w:space="0" w:color="auto"/>
            </w:tcBorders>
            <w:noWrap/>
            <w:hideMark/>
          </w:tcPr>
          <w:p w14:paraId="0BF5BDBC"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.953</w:t>
            </w:r>
          </w:p>
        </w:tc>
        <w:tc>
          <w:tcPr>
            <w:tcW w:w="817" w:type="dxa"/>
            <w:tcBorders>
              <w:top w:val="nil"/>
              <w:bottom w:val="single" w:sz="4" w:space="0" w:color="auto"/>
            </w:tcBorders>
            <w:noWrap/>
            <w:hideMark/>
          </w:tcPr>
          <w:p w14:paraId="6D7C9A27" w14:textId="77777777" w:rsidR="00A93414" w:rsidRPr="002A7627" w:rsidRDefault="00A93414" w:rsidP="00A93414">
            <w:pPr>
              <w:widowControl/>
              <w:autoSpaceDE/>
              <w:autoSpaceDN/>
              <w:adjustRightInd/>
              <w:jc w:val="both"/>
              <w:rPr>
                <w:rFonts w:eastAsia="Times New Roman" w:cs="Times New Roman"/>
                <w:szCs w:val="24"/>
              </w:rPr>
            </w:pPr>
            <w:r w:rsidRPr="002A7627">
              <w:rPr>
                <w:rFonts w:eastAsia="Times New Roman" w:cs="Times New Roman"/>
                <w:szCs w:val="24"/>
              </w:rPr>
              <w:t>.093</w:t>
            </w:r>
          </w:p>
        </w:tc>
        <w:tc>
          <w:tcPr>
            <w:tcW w:w="1203" w:type="dxa"/>
            <w:vMerge/>
            <w:tcBorders>
              <w:top w:val="nil"/>
              <w:bottom w:val="single" w:sz="4" w:space="0" w:color="auto"/>
            </w:tcBorders>
            <w:hideMark/>
          </w:tcPr>
          <w:p w14:paraId="6032C799" w14:textId="77777777" w:rsidR="00A93414" w:rsidRPr="002A7627" w:rsidRDefault="00A93414" w:rsidP="00A93414">
            <w:pPr>
              <w:widowControl/>
              <w:autoSpaceDE/>
              <w:autoSpaceDN/>
              <w:adjustRightInd/>
              <w:jc w:val="both"/>
              <w:rPr>
                <w:rFonts w:eastAsia="Times New Roman" w:cs="Times New Roman"/>
                <w:szCs w:val="24"/>
              </w:rPr>
            </w:pPr>
          </w:p>
        </w:tc>
        <w:tc>
          <w:tcPr>
            <w:tcW w:w="1043" w:type="dxa"/>
            <w:vMerge/>
            <w:tcBorders>
              <w:top w:val="nil"/>
              <w:bottom w:val="single" w:sz="4" w:space="0" w:color="auto"/>
            </w:tcBorders>
            <w:hideMark/>
          </w:tcPr>
          <w:p w14:paraId="1720151F" w14:textId="77777777" w:rsidR="00A93414" w:rsidRPr="002A7627" w:rsidRDefault="00A93414" w:rsidP="00A93414">
            <w:pPr>
              <w:widowControl/>
              <w:autoSpaceDE/>
              <w:autoSpaceDN/>
              <w:adjustRightInd/>
              <w:jc w:val="both"/>
              <w:rPr>
                <w:rFonts w:eastAsia="Times New Roman" w:cs="Times New Roman"/>
                <w:szCs w:val="24"/>
              </w:rPr>
            </w:pPr>
          </w:p>
        </w:tc>
        <w:tc>
          <w:tcPr>
            <w:tcW w:w="960" w:type="dxa"/>
            <w:vMerge/>
            <w:tcBorders>
              <w:top w:val="nil"/>
              <w:bottom w:val="single" w:sz="4" w:space="0" w:color="auto"/>
            </w:tcBorders>
            <w:hideMark/>
          </w:tcPr>
          <w:p w14:paraId="44D70640" w14:textId="77777777" w:rsidR="00A93414" w:rsidRPr="002A7627" w:rsidRDefault="00A93414" w:rsidP="00A93414">
            <w:pPr>
              <w:widowControl/>
              <w:autoSpaceDE/>
              <w:autoSpaceDN/>
              <w:adjustRightInd/>
              <w:jc w:val="both"/>
              <w:rPr>
                <w:rFonts w:eastAsia="Times New Roman" w:cs="Times New Roman"/>
                <w:szCs w:val="24"/>
              </w:rPr>
            </w:pPr>
          </w:p>
        </w:tc>
      </w:tr>
      <w:tr w:rsidR="00A93414" w:rsidRPr="002A7627" w14:paraId="6DF39A80" w14:textId="77777777" w:rsidTr="00A93414">
        <w:trPr>
          <w:trHeight w:val="300"/>
        </w:trPr>
        <w:tc>
          <w:tcPr>
            <w:tcW w:w="8998" w:type="dxa"/>
            <w:gridSpan w:val="9"/>
            <w:tcBorders>
              <w:top w:val="single" w:sz="4" w:space="0" w:color="auto"/>
              <w:bottom w:val="nil"/>
            </w:tcBorders>
          </w:tcPr>
          <w:p w14:paraId="7B0B1626" w14:textId="6C42DB9C" w:rsidR="00A93414" w:rsidRPr="002A7627" w:rsidRDefault="00A93414" w:rsidP="00F50AA8">
            <w:pPr>
              <w:jc w:val="both"/>
              <w:rPr>
                <w:rFonts w:cs="Times New Roman"/>
                <w:iCs/>
                <w:szCs w:val="24"/>
              </w:rPr>
            </w:pPr>
            <w:r w:rsidRPr="002A7627">
              <w:rPr>
                <w:rFonts w:cs="Times New Roman"/>
                <w:iCs/>
                <w:szCs w:val="24"/>
              </w:rPr>
              <w:t>Notes: Results represent standard deviations</w:t>
            </w:r>
            <w:r>
              <w:rPr>
                <w:rFonts w:cs="Times New Roman"/>
                <w:iCs/>
                <w:szCs w:val="24"/>
              </w:rPr>
              <w:t xml:space="preserve"> and mean</w:t>
            </w:r>
            <w:r w:rsidRPr="002A7627">
              <w:rPr>
                <w:rFonts w:cs="Times New Roman"/>
                <w:iCs/>
                <w:szCs w:val="24"/>
              </w:rPr>
              <w:t xml:space="preserve"> of scores on </w:t>
            </w:r>
            <w:r w:rsidR="00733271">
              <w:rPr>
                <w:rFonts w:cs="Times New Roman"/>
                <w:iCs/>
                <w:szCs w:val="24"/>
              </w:rPr>
              <w:t xml:space="preserve">the </w:t>
            </w:r>
            <w:r w:rsidRPr="002A7627">
              <w:rPr>
                <w:rFonts w:cs="Times New Roman"/>
                <w:iCs/>
                <w:szCs w:val="24"/>
              </w:rPr>
              <w:t>Likert</w:t>
            </w:r>
            <w:r w:rsidR="00733271">
              <w:rPr>
                <w:rFonts w:cs="Times New Roman"/>
                <w:iCs/>
                <w:szCs w:val="24"/>
              </w:rPr>
              <w:t>-type</w:t>
            </w:r>
            <w:r w:rsidRPr="002A7627">
              <w:rPr>
                <w:rFonts w:cs="Times New Roman"/>
                <w:iCs/>
                <w:szCs w:val="24"/>
              </w:rPr>
              <w:t xml:space="preserve"> </w:t>
            </w:r>
            <w:r w:rsidR="00733271">
              <w:rPr>
                <w:rFonts w:cs="Times New Roman"/>
                <w:iCs/>
                <w:szCs w:val="24"/>
              </w:rPr>
              <w:t>s</w:t>
            </w:r>
            <w:r w:rsidRPr="002A7627">
              <w:rPr>
                <w:rFonts w:cs="Times New Roman"/>
                <w:iCs/>
                <w:szCs w:val="24"/>
              </w:rPr>
              <w:t xml:space="preserve">cale </w:t>
            </w:r>
            <w:r>
              <w:rPr>
                <w:rFonts w:cs="Times New Roman"/>
                <w:iCs/>
                <w:szCs w:val="24"/>
              </w:rPr>
              <w:t>which range</w:t>
            </w:r>
            <w:r w:rsidR="00733271">
              <w:rPr>
                <w:rFonts w:cs="Times New Roman"/>
                <w:iCs/>
                <w:szCs w:val="24"/>
              </w:rPr>
              <w:t>d</w:t>
            </w:r>
            <w:r w:rsidRPr="002A7627">
              <w:rPr>
                <w:rFonts w:cs="Times New Roman"/>
                <w:iCs/>
                <w:szCs w:val="24"/>
              </w:rPr>
              <w:t xml:space="preserve"> from Strongly </w:t>
            </w:r>
            <w:r>
              <w:rPr>
                <w:rFonts w:cs="Times New Roman"/>
                <w:iCs/>
                <w:szCs w:val="24"/>
              </w:rPr>
              <w:t>A</w:t>
            </w:r>
            <w:r w:rsidRPr="002A7627">
              <w:rPr>
                <w:rFonts w:cs="Times New Roman"/>
                <w:iCs/>
                <w:szCs w:val="24"/>
              </w:rPr>
              <w:t>gree (</w:t>
            </w:r>
            <w:r>
              <w:rPr>
                <w:rFonts w:cs="Times New Roman"/>
                <w:iCs/>
                <w:szCs w:val="24"/>
              </w:rPr>
              <w:t>5</w:t>
            </w:r>
            <w:r w:rsidRPr="002A7627">
              <w:rPr>
                <w:rFonts w:cs="Times New Roman"/>
                <w:iCs/>
                <w:szCs w:val="24"/>
              </w:rPr>
              <w:t xml:space="preserve">) to Strongly </w:t>
            </w:r>
            <w:r>
              <w:rPr>
                <w:rFonts w:cs="Times New Roman"/>
                <w:iCs/>
                <w:szCs w:val="24"/>
              </w:rPr>
              <w:t>Disa</w:t>
            </w:r>
            <w:r w:rsidRPr="002A7627">
              <w:rPr>
                <w:rFonts w:cs="Times New Roman"/>
                <w:iCs/>
                <w:szCs w:val="24"/>
              </w:rPr>
              <w:t>gree (</w:t>
            </w:r>
            <w:r>
              <w:rPr>
                <w:rFonts w:cs="Times New Roman"/>
                <w:iCs/>
                <w:szCs w:val="24"/>
              </w:rPr>
              <w:t>1</w:t>
            </w:r>
            <w:r w:rsidRPr="002A7627">
              <w:rPr>
                <w:rFonts w:cs="Times New Roman"/>
                <w:iCs/>
                <w:szCs w:val="24"/>
              </w:rPr>
              <w:t>)</w:t>
            </w:r>
            <w:r w:rsidR="00733271">
              <w:rPr>
                <w:rFonts w:cs="Times New Roman"/>
                <w:iCs/>
                <w:szCs w:val="24"/>
              </w:rPr>
              <w:t>.</w:t>
            </w:r>
            <w:r w:rsidRPr="002A7627">
              <w:rPr>
                <w:rFonts w:cs="Times New Roman"/>
                <w:iCs/>
                <w:szCs w:val="24"/>
              </w:rPr>
              <w:t xml:space="preserve"> </w:t>
            </w:r>
            <w:r w:rsidR="00733271">
              <w:rPr>
                <w:rFonts w:cs="Times New Roman"/>
                <w:iCs/>
                <w:szCs w:val="24"/>
              </w:rPr>
              <w:t xml:space="preserve">A score of </w:t>
            </w:r>
            <w:r>
              <w:rPr>
                <w:rFonts w:cs="Times New Roman"/>
                <w:iCs/>
                <w:szCs w:val="24"/>
              </w:rPr>
              <w:t xml:space="preserve">three </w:t>
            </w:r>
            <w:r w:rsidR="00733271">
              <w:rPr>
                <w:rFonts w:cs="Times New Roman"/>
                <w:iCs/>
                <w:szCs w:val="24"/>
              </w:rPr>
              <w:t>was</w:t>
            </w:r>
            <w:r>
              <w:rPr>
                <w:rFonts w:cs="Times New Roman"/>
                <w:iCs/>
                <w:szCs w:val="24"/>
              </w:rPr>
              <w:t xml:space="preserve"> neutral</w:t>
            </w:r>
            <w:r w:rsidRPr="002A7627">
              <w:rPr>
                <w:rFonts w:cs="Times New Roman"/>
                <w:iCs/>
                <w:szCs w:val="24"/>
              </w:rPr>
              <w:t>.</w:t>
            </w:r>
            <w:r w:rsidR="00F50AA8">
              <w:rPr>
                <w:rFonts w:cs="Times New Roman"/>
                <w:iCs/>
                <w:szCs w:val="24"/>
              </w:rPr>
              <w:t xml:space="preserve"> </w:t>
            </w:r>
            <w:r w:rsidR="00EE462A">
              <w:rPr>
                <w:rFonts w:cs="Times New Roman"/>
                <w:iCs/>
                <w:szCs w:val="24"/>
              </w:rPr>
              <w:t>ᵅ</w:t>
            </w:r>
            <w:r w:rsidR="00C90EAA">
              <w:rPr>
                <w:rFonts w:cs="Times New Roman"/>
                <w:iCs/>
                <w:szCs w:val="24"/>
              </w:rPr>
              <w:t xml:space="preserve">Standard Deviation. </w:t>
            </w:r>
            <w:r w:rsidR="00EE462A">
              <w:rPr>
                <w:rFonts w:cs="Times New Roman"/>
                <w:iCs/>
                <w:szCs w:val="24"/>
              </w:rPr>
              <w:t>ᵇShapiro-Wilk test</w:t>
            </w:r>
          </w:p>
          <w:p w14:paraId="735DBB9E" w14:textId="06887B42" w:rsidR="00A93414" w:rsidRPr="002A7627" w:rsidRDefault="00C90EAA" w:rsidP="00A93414">
            <w:pPr>
              <w:widowControl/>
              <w:autoSpaceDE/>
              <w:autoSpaceDN/>
              <w:adjustRightInd/>
              <w:jc w:val="both"/>
              <w:rPr>
                <w:rFonts w:eastAsia="Times New Roman" w:cs="Times New Roman"/>
                <w:szCs w:val="24"/>
              </w:rPr>
            </w:pPr>
            <w:r w:rsidRPr="002A7627">
              <w:rPr>
                <w:rFonts w:cs="Times New Roman"/>
                <w:iCs/>
                <w:szCs w:val="24"/>
              </w:rPr>
              <w:t>*</w:t>
            </w:r>
            <w:r w:rsidR="00A93414" w:rsidRPr="002A7627">
              <w:rPr>
                <w:rFonts w:cs="Times New Roman"/>
                <w:iCs/>
                <w:szCs w:val="24"/>
              </w:rPr>
              <w:t>**p &lt; 0.0</w:t>
            </w:r>
            <w:r w:rsidR="00741CF5">
              <w:rPr>
                <w:rFonts w:cs="Times New Roman"/>
                <w:iCs/>
                <w:szCs w:val="24"/>
              </w:rPr>
              <w:t>0</w:t>
            </w:r>
            <w:r w:rsidR="00A93414" w:rsidRPr="002A7627">
              <w:rPr>
                <w:rFonts w:cs="Times New Roman"/>
                <w:iCs/>
                <w:szCs w:val="24"/>
              </w:rPr>
              <w:t>1</w:t>
            </w:r>
          </w:p>
        </w:tc>
      </w:tr>
    </w:tbl>
    <w:p w14:paraId="357B1550" w14:textId="77777777" w:rsidR="00A93414" w:rsidRPr="002A7627" w:rsidRDefault="00A93414" w:rsidP="00F50AA8"/>
    <w:p w14:paraId="4DED7ECB" w14:textId="42ED3C54" w:rsidR="00A93414" w:rsidRPr="002A7627" w:rsidRDefault="005F6EC8" w:rsidP="00A93414">
      <w:pPr>
        <w:pStyle w:val="Heading1"/>
        <w:rPr>
          <w:color w:val="000000"/>
        </w:rPr>
      </w:pPr>
      <w:bookmarkStart w:id="191" w:name="_Toc22331688"/>
      <w:bookmarkEnd w:id="190"/>
      <w:r>
        <w:rPr>
          <w:color w:val="000000"/>
        </w:rPr>
        <w:t xml:space="preserve">4.13. </w:t>
      </w:r>
      <w:r w:rsidR="00A93414" w:rsidRPr="002A7627">
        <w:rPr>
          <w:color w:val="000000"/>
        </w:rPr>
        <w:t>Data Analysis</w:t>
      </w:r>
      <w:bookmarkEnd w:id="191"/>
    </w:p>
    <w:p w14:paraId="2B261EB2" w14:textId="61B11DA7" w:rsidR="00A93414" w:rsidRPr="002A7627" w:rsidRDefault="00A93414" w:rsidP="001D5F54">
      <w:pPr>
        <w:pStyle w:val="AAAAAAA"/>
      </w:pPr>
      <w:r w:rsidRPr="002A7627">
        <w:t xml:space="preserve">This research </w:t>
      </w:r>
      <w:r w:rsidR="00A33144">
        <w:t>used</w:t>
      </w:r>
      <w:r w:rsidR="00A33144" w:rsidRPr="002A7627">
        <w:t xml:space="preserve"> </w:t>
      </w:r>
      <w:r w:rsidRPr="002A7627">
        <w:t xml:space="preserve">descriptive and inferential analytical methods </w:t>
      </w:r>
      <w:r w:rsidR="00A33144">
        <w:t>with</w:t>
      </w:r>
      <w:r w:rsidR="00A33144" w:rsidRPr="002A7627">
        <w:t xml:space="preserve"> </w:t>
      </w:r>
      <w:r w:rsidRPr="002A7627">
        <w:t xml:space="preserve">SPSS and SmartPLS software </w:t>
      </w:r>
      <w:r w:rsidR="00A33144">
        <w:t xml:space="preserve">to </w:t>
      </w:r>
      <w:r>
        <w:t>test the hypothes</w:t>
      </w:r>
      <w:r w:rsidR="00700ABB">
        <w:t>e</w:t>
      </w:r>
      <w:r>
        <w:t xml:space="preserve">s </w:t>
      </w:r>
      <w:r w:rsidR="000872D7">
        <w:t>and answer</w:t>
      </w:r>
      <w:r w:rsidRPr="002A7627">
        <w:t xml:space="preserve"> the research questions.</w:t>
      </w:r>
      <w:r>
        <w:t xml:space="preserve"> </w:t>
      </w:r>
    </w:p>
    <w:p w14:paraId="70744A2F" w14:textId="4FD91997" w:rsidR="00A93414" w:rsidRPr="002A7627" w:rsidRDefault="005F6EC8" w:rsidP="001D5F54">
      <w:pPr>
        <w:pStyle w:val="AAAAAAA"/>
        <w:rPr>
          <w:b/>
          <w:bCs/>
        </w:rPr>
      </w:pPr>
      <w:bookmarkStart w:id="192" w:name="_Toc22331689"/>
      <w:r w:rsidRPr="001D5F54">
        <w:rPr>
          <w:rStyle w:val="Heading2Char"/>
          <w:u w:val="none"/>
        </w:rPr>
        <w:t xml:space="preserve">4.13.1. </w:t>
      </w:r>
      <w:r w:rsidR="00A93414" w:rsidRPr="001D5F54">
        <w:rPr>
          <w:rStyle w:val="Heading2Char"/>
          <w:u w:val="none"/>
        </w:rPr>
        <w:t>Descriptive analysis</w:t>
      </w:r>
      <w:bookmarkEnd w:id="192"/>
      <w:r w:rsidR="00A93414" w:rsidRPr="002A7627">
        <w:t xml:space="preserve">. </w:t>
      </w:r>
      <w:r w:rsidR="00A33144">
        <w:t>To</w:t>
      </w:r>
      <w:r w:rsidR="00A93414" w:rsidRPr="002A7627">
        <w:t xml:space="preserve"> provid</w:t>
      </w:r>
      <w:r w:rsidR="00A33144">
        <w:t>e</w:t>
      </w:r>
      <w:r w:rsidR="00A93414" w:rsidRPr="002A7627">
        <w:t xml:space="preserve"> a better understanding of the research participants, eight demographic questions were </w:t>
      </w:r>
      <w:r w:rsidR="00A33144">
        <w:t>included</w:t>
      </w:r>
      <w:r w:rsidR="00A33144" w:rsidRPr="002A7627">
        <w:t xml:space="preserve"> </w:t>
      </w:r>
      <w:r w:rsidR="00A93414" w:rsidRPr="002A7627">
        <w:t>in the research questionnaire</w:t>
      </w:r>
      <w:r w:rsidR="00A33144">
        <w:t>, covering</w:t>
      </w:r>
      <w:r w:rsidR="00A93414" w:rsidRPr="002A7627">
        <w:t xml:space="preserve"> </w:t>
      </w:r>
      <w:r w:rsidR="00A93414" w:rsidRPr="002A7627">
        <w:rPr>
          <w:rFonts w:eastAsia="Calibri"/>
          <w:lang w:bidi="fa-IR"/>
        </w:rPr>
        <w:t xml:space="preserve">1) </w:t>
      </w:r>
      <w:r w:rsidR="00A33144" w:rsidRPr="002A7627">
        <w:rPr>
          <w:rFonts w:eastAsia="Calibri"/>
          <w:lang w:bidi="fa-IR"/>
        </w:rPr>
        <w:t>gender, 2) age, 3) job</w:t>
      </w:r>
      <w:r w:rsidR="00A33144">
        <w:rPr>
          <w:rFonts w:eastAsia="Calibri"/>
          <w:lang w:bidi="fa-IR"/>
        </w:rPr>
        <w:t xml:space="preserve"> </w:t>
      </w:r>
      <w:r w:rsidR="00A33144" w:rsidRPr="002A7627">
        <w:rPr>
          <w:rFonts w:eastAsia="Calibri"/>
          <w:lang w:bidi="fa-IR"/>
        </w:rPr>
        <w:t xml:space="preserve">function, 4) level of education, 5) position, 6) years of experience, 7) sector and 8) </w:t>
      </w:r>
      <w:r w:rsidR="00700ABB">
        <w:rPr>
          <w:rFonts w:eastAsia="Calibri"/>
          <w:lang w:bidi="fa-IR"/>
        </w:rPr>
        <w:t xml:space="preserve">whether the respondent worked in a </w:t>
      </w:r>
      <w:r w:rsidR="00A33144" w:rsidRPr="002A7627">
        <w:rPr>
          <w:rFonts w:eastAsia="Calibri"/>
          <w:lang w:bidi="fa-IR"/>
        </w:rPr>
        <w:t>police station</w:t>
      </w:r>
      <w:r w:rsidR="00A93414" w:rsidRPr="002A7627">
        <w:t xml:space="preserve">. </w:t>
      </w:r>
      <w:r w:rsidR="00A33144">
        <w:t>A</w:t>
      </w:r>
      <w:r w:rsidR="00A93414" w:rsidRPr="002A7627">
        <w:t xml:space="preserve"> descriptive analysis </w:t>
      </w:r>
      <w:r w:rsidR="00A33144">
        <w:t>was carried out</w:t>
      </w:r>
      <w:r w:rsidR="00A93414" w:rsidRPr="002A7627">
        <w:t xml:space="preserve"> by </w:t>
      </w:r>
      <w:r w:rsidR="00A33144">
        <w:t>showing</w:t>
      </w:r>
      <w:r w:rsidR="00A33144" w:rsidRPr="002A7627">
        <w:t xml:space="preserve"> </w:t>
      </w:r>
      <w:r w:rsidR="00A93414" w:rsidRPr="002A7627">
        <w:t>the frequency and percentage of the responses to each of the scales.</w:t>
      </w:r>
      <w:r w:rsidR="00A93414">
        <w:t xml:space="preserve"> </w:t>
      </w:r>
    </w:p>
    <w:p w14:paraId="384EDDC4" w14:textId="284280A8" w:rsidR="00A93414" w:rsidRPr="002A7627" w:rsidRDefault="005F6EC8" w:rsidP="00A93414">
      <w:pPr>
        <w:pStyle w:val="AAAAAAA"/>
      </w:pPr>
      <w:bookmarkStart w:id="193" w:name="_Toc22331690"/>
      <w:r w:rsidRPr="001D5F54">
        <w:rPr>
          <w:rStyle w:val="Heading2Char"/>
          <w:u w:val="none"/>
        </w:rPr>
        <w:t xml:space="preserve">4.13.2. </w:t>
      </w:r>
      <w:r w:rsidR="00A93414" w:rsidRPr="001D5F54">
        <w:rPr>
          <w:rStyle w:val="Heading2Char"/>
          <w:u w:val="none"/>
        </w:rPr>
        <w:t>Inferential Analysis</w:t>
      </w:r>
      <w:bookmarkEnd w:id="193"/>
      <w:r w:rsidR="00A93414" w:rsidRPr="002A7627">
        <w:t xml:space="preserve">. This research </w:t>
      </w:r>
      <w:r w:rsidR="00A33144">
        <w:t>used</w:t>
      </w:r>
      <w:r w:rsidR="00A33144" w:rsidRPr="002A7627">
        <w:t xml:space="preserve"> </w:t>
      </w:r>
      <w:r w:rsidR="00A93414" w:rsidRPr="002A7627">
        <w:t xml:space="preserve">inferential analysis to test the research hypotheses. The inferential analytical method used in this research </w:t>
      </w:r>
      <w:r w:rsidR="00A33144">
        <w:t>was structural equation modeling (</w:t>
      </w:r>
      <w:r w:rsidR="00A93414" w:rsidRPr="002A7627">
        <w:t>SEM</w:t>
      </w:r>
      <w:r w:rsidR="00A33144">
        <w:t>)</w:t>
      </w:r>
      <w:r w:rsidR="00A93414" w:rsidRPr="002A7627">
        <w:t xml:space="preserve"> using Confirmatory Factor Analysis (CFA). SEM is a statistical methodology that examines the hypothetical model to see if it is consistent with the data by measuring goodness-</w:t>
      </w:r>
      <w:r w:rsidR="00A93414" w:rsidRPr="002A7627">
        <w:rPr>
          <w:rStyle w:val="AAAAAAAChar"/>
        </w:rPr>
        <w:t>of-fit</w:t>
      </w:r>
      <w:r w:rsidR="00A93414">
        <w:t xml:space="preserve">. These requirements of the tests make sure that only results that are </w:t>
      </w:r>
      <w:r w:rsidR="00A33144">
        <w:t xml:space="preserve">both </w:t>
      </w:r>
      <w:r w:rsidR="00A93414">
        <w:t xml:space="preserve">reliable </w:t>
      </w:r>
      <w:r w:rsidR="00A33144">
        <w:t>and</w:t>
      </w:r>
      <w:r w:rsidR="00A93414">
        <w:t xml:space="preserve"> valid are </w:t>
      </w:r>
      <w:r w:rsidR="00A33144">
        <w:t>shown</w:t>
      </w:r>
      <w:r w:rsidR="00A93414">
        <w:t xml:space="preserve"> as the final output. I</w:t>
      </w:r>
      <w:r w:rsidR="00A93414" w:rsidRPr="002A7627">
        <w:t>f they are adequate, the model is accepted in terms of the</w:t>
      </w:r>
      <w:r w:rsidR="00A93414">
        <w:t xml:space="preserve"> relationships among variables. However, if they fail to provide </w:t>
      </w:r>
      <w:r w:rsidR="00A33144">
        <w:t xml:space="preserve">adequate </w:t>
      </w:r>
      <w:r w:rsidR="00A93414">
        <w:t xml:space="preserve">results, they are not accepted. </w:t>
      </w:r>
      <w:r w:rsidR="00A93414" w:rsidRPr="002A7627">
        <w:t>Structural mode</w:t>
      </w:r>
      <w:r w:rsidR="00A93414">
        <w:t>l</w:t>
      </w:r>
      <w:r w:rsidR="00A93414" w:rsidRPr="002A7627">
        <w:t xml:space="preserve">ing explains the optimal performance of an individual or </w:t>
      </w:r>
      <w:r w:rsidR="00C52075">
        <w:t>organization</w:t>
      </w:r>
      <w:r w:rsidR="00A93414" w:rsidRPr="002A7627">
        <w:t xml:space="preserve"> and forecasts the future </w:t>
      </w:r>
      <w:r w:rsidR="00A93414" w:rsidRPr="002A7627">
        <w:fldChar w:fldCharType="begin" w:fldLock="1"/>
      </w:r>
      <w:r w:rsidR="00A93414" w:rsidRPr="002A7627">
        <w:instrText>ADDIN CSL_CITATION {"citationItems":[{"id":"ITEM-1","itemData":{"DOI":"10.1287/mksc.1050.0161","ISSN":"0732-2399","abstract":"The recent marketing literature reflects a growing interest in structural models, stemming from: 1) the desire to test a variety of behavioral theories with market data, and 2) recent developments that facilitate estimation of and inference for these models. Whether one should always go through the effort of developing such tightly parameterized models with the associated computational burden of estimating them, and whether it pays off to make strict behavioral assumptions in terms of better decisions, remain open questions. To shed some light on these issues, we provide examples of structural approaches to consumer choice and demand as well as examples where the goal is to study the nature of competition in the marketplace. From that review spawns our discussion of issues in the development and application of structural models, including their estimation, testing and validation, their applicability in the practice of marketing, and their usefulness for normative, as well as descriptive purposes.","author":[{"dropping-particle":"","family":"Chintagunta","given":"Pradeep","non-dropping-particle":"","parse-names":false,"suffix":""},{"dropping-particle":"","family":"Erdem","given":"Tülin","non-dropping-particle":"","parse-names":false,"suffix":""},{"dropping-particle":"","family":"Rossi","given":"Peter E.","non-dropping-particle":"","parse-names":false,"suffix":""},{"dropping-particle":"","family":"Wedel","given":"Michel","non-dropping-particle":"","parse-names":false,"suffix":""}],"container-title":"Marketing Science","id":"ITEM-1","issue":"6","issued":{"date-parts":[["2006","11"]]},"page":"604-616","title":"Structural modeling in marketing: Review and assessment","type":"article-journal","volume":"25"},"uris":["http://www.mendeley.com/documents/?uuid=b78f7213-3835-4f39-88fd-97fd594c46c4"]}],"mendeley":{"formattedCitation":"(Chintagunta, Erdem, Rossi, &amp; Wedel, 2006)","manualFormatting":"(Chintagunta, Erdem, Rossi, &amp; Wedel, 2006)","plainTextFormattedCitation":"(Chintagunta, Erdem, Rossi, &amp; Wedel, 2006)","previouslyFormattedCitation":"(Chintagunta, Erdem, Rossi, &amp; Wedel, 2006)"},"properties":{"noteIndex":0},"schema":"https://github.com/citation-style-language/schema/raw/master/csl-citation.json"}</w:instrText>
      </w:r>
      <w:r w:rsidR="00A93414" w:rsidRPr="002A7627">
        <w:fldChar w:fldCharType="separate"/>
      </w:r>
      <w:r w:rsidR="00A93414" w:rsidRPr="002A7627">
        <w:rPr>
          <w:noProof/>
        </w:rPr>
        <w:t>(Chintagunta, Erdem, Rossi, &amp; Wedel, 2006)</w:t>
      </w:r>
      <w:r w:rsidR="00A93414" w:rsidRPr="002A7627">
        <w:fldChar w:fldCharType="end"/>
      </w:r>
      <w:r w:rsidR="00A93414" w:rsidRPr="002A7627">
        <w:t>. This methodology enables researcher</w:t>
      </w:r>
      <w:r w:rsidR="00A33144">
        <w:t>s</w:t>
      </w:r>
      <w:r w:rsidR="00A93414" w:rsidRPr="002A7627">
        <w:t xml:space="preserve"> to explain multi-causal relationships among exogenous </w:t>
      </w:r>
      <w:r w:rsidR="00A33144">
        <w:t>and</w:t>
      </w:r>
      <w:r w:rsidR="00A93414" w:rsidRPr="002A7627">
        <w:t xml:space="preserve"> endogenous variables and assess measurement errors </w:t>
      </w:r>
      <w:r w:rsidR="00A93414" w:rsidRPr="002A7627">
        <w:fldChar w:fldCharType="begin" w:fldLock="1"/>
      </w:r>
      <w:r w:rsidR="00A93414" w:rsidRPr="002A7627">
        <w:instrText>ADDIN CSL_CITATION {"citationItems":[{"id":"ITEM-1","itemData":{"DOI":"10.1007/978-3-319-01517-0_3","ISBN":"9781292021904","abstract":"KEY BENEFIT: For over 30 years, this text has provided students with the information they need to understand and apply multivariate data analysis. Hair, et. al provides an applications-oriented introduction to multivariate analysis for the non-statistician. By reducing heavy statistical research into fundamental concepts, the text explains to students how to understand and make use of the results of specific statistical techniques. In this seventh revision, the organization of the chapters has been greatly simplified. New chapters have been added on structural equations modeling, and all sections have been updated to reflect advances in technology, capability, and mathematical techniques. Preparing For a MV Analysis; Dependence Techniques; Interdependence Techniques; Moving Beyond the Basic Techniques MARKET: Statistics and statistical research can provide managers with invaluable data. This textbook teaches them the different kinds of analysis that can be done and how to apply the techniques in the workplace.","author":[{"dropping-particle":"","family":"Hair","given":"Joseph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E.","non-dropping-particle":"","parse-names":false,"suffix":""}],"container-title":"Exploratory Data Analysis in Business and Economics","id":"ITEM-1","issued":{"date-parts":[["2010"]]},"title":"Multivariate Data Analysis 7/e","type":"article"},"uris":["http://www.mendeley.com/documents/?uuid=026a06ce-0900-4b3f-9110-b932e276045d"]}],"mendeley":{"formattedCitation":"(Hair, Black, Babin, &amp; Anderson, 2010)","manualFormatting":"(Hair, Black, Babin, &amp; Anderson, 2010)","plainTextFormattedCitation":"(Hair, Black, Babin, &amp; Anderson, 2010)","previouslyFormattedCitation":"(Hair, Black, Babin, &amp; Anderson, 2010)"},"properties":{"noteIndex":0},"schema":"https://github.com/citation-style-language/schema/raw/master/csl-citation.json"}</w:instrText>
      </w:r>
      <w:r w:rsidR="00A93414" w:rsidRPr="002A7627">
        <w:fldChar w:fldCharType="separate"/>
      </w:r>
      <w:r w:rsidR="00A93414" w:rsidRPr="002A7627">
        <w:rPr>
          <w:noProof/>
        </w:rPr>
        <w:t>(Hair, Black, Babin, &amp; Anderson, 2010)</w:t>
      </w:r>
      <w:r w:rsidR="00A93414" w:rsidRPr="002A7627">
        <w:fldChar w:fldCharType="end"/>
      </w:r>
      <w:r w:rsidR="00A93414" w:rsidRPr="002A7627">
        <w:t>. When using SEM, structural relations represent the causal process, and the equations can be mode</w:t>
      </w:r>
      <w:r w:rsidR="00A93414">
        <w:t>l</w:t>
      </w:r>
      <w:r w:rsidR="00A93414" w:rsidRPr="002A7627">
        <w:t xml:space="preserve">ed to investigate </w:t>
      </w:r>
      <w:r w:rsidR="00A93414">
        <w:t xml:space="preserve">the different </w:t>
      </w:r>
      <w:r w:rsidR="00A93414" w:rsidRPr="002A7627">
        <w:t xml:space="preserve">theories </w:t>
      </w:r>
      <w:r w:rsidR="00A93414">
        <w:t xml:space="preserve">that are applicable. </w:t>
      </w:r>
      <w:r w:rsidR="00A33144">
        <w:t>If the model is not suitable</w:t>
      </w:r>
      <w:r w:rsidR="00A93414">
        <w:t xml:space="preserve">, the results will lack the basic prerequisites such as reliability </w:t>
      </w:r>
      <w:r w:rsidR="00A33144">
        <w:t>and</w:t>
      </w:r>
      <w:r w:rsidR="00A93414">
        <w:t xml:space="preserve"> validity </w:t>
      </w:r>
      <w:r w:rsidR="00A93414" w:rsidRPr="002A7627">
        <w:fldChar w:fldCharType="begin" w:fldLock="1"/>
      </w:r>
      <w:r w:rsidR="00A93414" w:rsidRPr="002A7627">
        <w:instrText>ADDIN CSL_CITATION {"citationItems":[{"id":"ITEM-1","itemData":{"author":[{"dropping-particle":"","family":"Byrne","given":"B. M.","non-dropping-particle":"","parse-names":false,"suffix":""}],"id":"ITEM-1","issued":{"date-parts":[["2008"]]},"publisher":"Psychology Press","publisher-place":"New York, NY","title":"Structural equation modeling with EQs: Basic concepts, applications, and programming","type":"book"},"uris":["http://www.mendeley.com/documents/?uuid=328ffd9d-f151-4c06-8c09-1e3b4e963838"]}],"mendeley":{"formattedCitation":"(Byrne, 2008)","plainTextFormattedCitation":"(Byrne, 2008)","previouslyFormattedCitation":"(Byrne, 2008)"},"properties":{"noteIndex":0},"schema":"https://github.com/citation-style-language/schema/raw/master/csl-citation.json"}</w:instrText>
      </w:r>
      <w:r w:rsidR="00A93414" w:rsidRPr="002A7627">
        <w:fldChar w:fldCharType="separate"/>
      </w:r>
      <w:r w:rsidR="00A93414" w:rsidRPr="002A7627">
        <w:rPr>
          <w:noProof/>
        </w:rPr>
        <w:t>(Byrne, 2008)</w:t>
      </w:r>
      <w:r w:rsidR="00A93414" w:rsidRPr="002A7627">
        <w:fldChar w:fldCharType="end"/>
      </w:r>
      <w:r w:rsidR="00A93414" w:rsidRPr="002A7627">
        <w:t xml:space="preserve">. </w:t>
      </w:r>
    </w:p>
    <w:p w14:paraId="449E893C" w14:textId="6CEE0552" w:rsidR="00A93414" w:rsidRDefault="00A93414" w:rsidP="00A93414">
      <w:pPr>
        <w:pStyle w:val="AAAAAAA"/>
      </w:pPr>
      <w:r w:rsidRPr="002A7627">
        <w:t xml:space="preserve">This </w:t>
      </w:r>
      <w:r w:rsidR="00A33144">
        <w:t>study used</w:t>
      </w:r>
      <w:r w:rsidRPr="002A7627">
        <w:t xml:space="preserve"> SEM </w:t>
      </w:r>
      <w:r w:rsidR="00A33144">
        <w:t>with</w:t>
      </w:r>
      <w:r w:rsidR="00A33144" w:rsidRPr="002A7627">
        <w:t xml:space="preserve"> </w:t>
      </w:r>
      <w:r w:rsidRPr="002A7627">
        <w:t xml:space="preserve">CFA </w:t>
      </w:r>
      <w:r w:rsidR="00A33144">
        <w:t>and partial least squares</w:t>
      </w:r>
      <w:r w:rsidR="00A33144" w:rsidRPr="002A7627">
        <w:t xml:space="preserve"> </w:t>
      </w:r>
      <w:r w:rsidR="00A33144">
        <w:t>(</w:t>
      </w:r>
      <w:r w:rsidRPr="002A7627">
        <w:t>PLS</w:t>
      </w:r>
      <w:r w:rsidR="00A33144">
        <w:t>)</w:t>
      </w:r>
      <w:r w:rsidRPr="002A7627">
        <w:t>. PLS or component-</w:t>
      </w:r>
      <w:r>
        <w:t xml:space="preserve">based SEM is based on </w:t>
      </w:r>
      <w:r w:rsidR="00A654F2">
        <w:t xml:space="preserve">the application </w:t>
      </w:r>
      <w:r>
        <w:t>of</w:t>
      </w:r>
      <w:r w:rsidR="00845FBB">
        <w:t xml:space="preserve"> least squares using the</w:t>
      </w:r>
      <w:r>
        <w:t xml:space="preserve"> PLS algorithms</w:t>
      </w:r>
      <w:r w:rsidRPr="002A7627">
        <w:t xml:space="preserve">. PLS-SEM is very helpful for the measurement and analysis of cause and effects relationship between numerous independent variables </w:t>
      </w:r>
      <w:r>
        <w:rPr>
          <w:noProof/>
        </w:rPr>
        <w:t>(Hair</w:t>
      </w:r>
      <w:r w:rsidR="000F122C">
        <w:rPr>
          <w:noProof/>
        </w:rPr>
        <w:t>, Sarstedt, Hopkins &amp; Kuppelwieser</w:t>
      </w:r>
      <w:r>
        <w:rPr>
          <w:noProof/>
        </w:rPr>
        <w:t xml:space="preserve">, </w:t>
      </w:r>
      <w:r w:rsidRPr="002A7627">
        <w:rPr>
          <w:noProof/>
        </w:rPr>
        <w:t>2014)</w:t>
      </w:r>
      <w:r w:rsidRPr="002A7627">
        <w:t xml:space="preserve">. PLS analysis can also be used if any multicollinearity exists among independent variables and </w:t>
      </w:r>
      <w:r>
        <w:t>even</w:t>
      </w:r>
      <w:r w:rsidRPr="002A7627">
        <w:t xml:space="preserve"> if there </w:t>
      </w:r>
      <w:r w:rsidR="00700ABB">
        <w:t>are</w:t>
      </w:r>
      <w:r w:rsidR="00700ABB" w:rsidRPr="002A7627">
        <w:t xml:space="preserve"> </w:t>
      </w:r>
      <w:r w:rsidRPr="002A7627">
        <w:t xml:space="preserve">missing data. The results </w:t>
      </w:r>
      <w:r w:rsidR="00A33144">
        <w:t>of</w:t>
      </w:r>
      <w:r w:rsidR="00A33144" w:rsidRPr="002A7627">
        <w:t xml:space="preserve"> </w:t>
      </w:r>
      <w:r w:rsidRPr="002A7627">
        <w:t xml:space="preserve">analysis </w:t>
      </w:r>
      <w:r w:rsidR="00A33144">
        <w:t>using</w:t>
      </w:r>
      <w:r w:rsidR="00A33144" w:rsidRPr="002A7627">
        <w:t xml:space="preserve"> </w:t>
      </w:r>
      <w:r w:rsidRPr="002A7627">
        <w:t xml:space="preserve">PLS are stronger </w:t>
      </w:r>
      <w:r w:rsidR="00700ABB">
        <w:t xml:space="preserve">after bootstrapping, </w:t>
      </w:r>
      <w:r w:rsidRPr="002A7627">
        <w:t xml:space="preserve">and the loadings after </w:t>
      </w:r>
      <w:r>
        <w:t>complet</w:t>
      </w:r>
      <w:r w:rsidRPr="002A7627">
        <w:t xml:space="preserve">ing the </w:t>
      </w:r>
      <w:r>
        <w:t>examination</w:t>
      </w:r>
      <w:r w:rsidRPr="002A7627">
        <w:t xml:space="preserve"> cannot be interpreted without starting the bootstrapping step</w:t>
      </w:r>
      <w:r w:rsidR="00A33144">
        <w:t>.</w:t>
      </w:r>
      <w:r w:rsidRPr="002A7627">
        <w:t xml:space="preserve"> </w:t>
      </w:r>
      <w:r w:rsidR="00A33144">
        <w:t>A</w:t>
      </w:r>
      <w:r w:rsidRPr="002A7627">
        <w:t>fter that</w:t>
      </w:r>
      <w:r w:rsidR="00A33144">
        <w:t>,</w:t>
      </w:r>
      <w:r w:rsidRPr="002A7627">
        <w:t xml:space="preserve"> the significance of </w:t>
      </w:r>
      <w:r w:rsidR="00A33144">
        <w:t xml:space="preserve">the </w:t>
      </w:r>
      <w:r w:rsidRPr="002A7627">
        <w:t xml:space="preserve">final results can be assessed </w:t>
      </w:r>
      <w:r>
        <w:rPr>
          <w:noProof/>
        </w:rPr>
        <w:t>(Hair</w:t>
      </w:r>
      <w:r w:rsidR="000F122C">
        <w:rPr>
          <w:noProof/>
        </w:rPr>
        <w:t>, Hult, Ringle &amp; Sarstedt</w:t>
      </w:r>
      <w:r w:rsidRPr="002A7627">
        <w:rPr>
          <w:noProof/>
        </w:rPr>
        <w:t>, 2017)</w:t>
      </w:r>
      <w:r w:rsidRPr="002A7627">
        <w:t>.</w:t>
      </w:r>
    </w:p>
    <w:p w14:paraId="524936BB" w14:textId="7EC2C39F" w:rsidR="00DB543C" w:rsidRPr="002A7627" w:rsidRDefault="00DB543C" w:rsidP="00AE462F">
      <w:pPr>
        <w:pStyle w:val="AAAAAAA"/>
      </w:pPr>
      <w:r w:rsidRPr="002A7627">
        <w:t xml:space="preserve">CFA evaluates reliability and equivalence of the measuring instrument, examines model fit, and tests the research hypotheses. </w:t>
      </w:r>
      <w:r w:rsidR="000872D7">
        <w:t>Assessing the model fit can be done</w:t>
      </w:r>
      <w:r w:rsidRPr="002A7627">
        <w:t xml:space="preserve"> in two ways. The first way is through inference statistics such as tests of model fit. The other way is through the use of fit indices, such as assessing the approximate model. Bootstrap-based tests of the model fit over the unweighted least squares (dULS) and the geodesic discrepancy (dG) between the empirical and the model-implied correlation matrix allow the assessment of the global goodness of the model fit </w:t>
      </w:r>
      <w:r w:rsidRPr="002A7627">
        <w:fldChar w:fldCharType="begin" w:fldLock="1"/>
      </w:r>
      <w:r w:rsidRPr="002A7627">
        <w:instrText>ADDIN CSL_CITATION {"citationItems":[{"id":"ITEM-1","itemData":{"DOI":"10.1016/j.csda.2014.07.008","ISBN":"0167-9473","ISSN":"01679473","PMID":"15677790","abstract":"• Consistent PLS estimates path coefficients and indicator loadings consistently. • Consistent PLS can estimate parameters of nonrecursive structural equation models. • A family of goodness-of-fit measures makes PLS suitable for confirmatory research. • Consistent PLS performs comparably to covariance-based structural equation modeling. a b s t r a c t A vital extension to partial least squares (PLS) path modeling is introduced: consistency. While maintaining all the strengths of PLS, the consistent version provides two key im-provements. Path coefficients, parameters of simultaneous equations, construct correla-tions, and indicator loadings are estimated consistently. The global goodness-of-fit of the structural model can also now be assessed, which makes PLS suitable for confirmatory research. A Monte Carlo simulation illustrates the new approach and compares it with covariance-based structural equation modeling.","author":[{"dropping-particle":"","family":"Dijkstra","given":"Theo K","non-dropping-particle":"","parse-names":false,"suffix":""},{"dropping-particle":"","family":"Henseler","given":"Jörg","non-dropping-particle":"","parse-names":false,"suffix":""}],"container-title":"Computational Statistics and Data Analysis","id":"ITEM-1","issued":{"date-parts":[["2015"]]},"page":"10-23","title":"Computational Statistics and Data Analysis Consistent and asymptotically normal PLS estimators for linear structural equations","type":"article-journal","volume":"81"},"uris":["http://www.mendeley.com/documents/?uuid=d2ae2393-dcad-45c9-a227-39192ad2e516"]}],"mendeley":{"formattedCitation":"(Dijkstra &amp; Henseler, 2015)","plainTextFormattedCitation":"(Dijkstra &amp; Henseler, 2015)","previouslyFormattedCitation":"(Dijkstra &amp; Henseler, 2015)"},"properties":{"noteIndex":0},"schema":"https://github.com/citation-style-language/schema/raw/master/csl-citation.json"}</w:instrText>
      </w:r>
      <w:r w:rsidRPr="002A7627">
        <w:fldChar w:fldCharType="separate"/>
      </w:r>
      <w:r w:rsidRPr="002A7627">
        <w:rPr>
          <w:noProof/>
        </w:rPr>
        <w:t>(Dijkstra &amp; Henseler, 2015)</w:t>
      </w:r>
      <w:r w:rsidRPr="002A7627">
        <w:fldChar w:fldCharType="end"/>
      </w:r>
      <w:r w:rsidRPr="002A7627">
        <w:t xml:space="preserve">, if the discrepancy between these two matrices points to an insignificant result (p &gt; 0.05). </w:t>
      </w:r>
      <w:r w:rsidRPr="002A7627">
        <w:fldChar w:fldCharType="begin" w:fldLock="1"/>
      </w:r>
      <w:r w:rsidRPr="002A7627">
        <w:instrText>ADDIN CSL_CITATION {"citationItems":[{"id":"ITEM-1","itemData":{"DOI":"10.1108/IMDS-09-2015-0382","ISBN":"0263557111","ISSN":"0263-5577","PMID":"21409434","abstract":"Purpose – Partial least squares (PLS) path modeling is a variance-based structural equation modeling (SEM) technique that is widely applied in business and social sciences. Its ability to model composites and factors makes it a formidable statistical tool for new technology research. Recent reviews, discussions, and developments have led to substantial changes in the understanding and use of PLS. The paper aims to discuss these issues. Design/methodology/approach – This paper aggregates new insights and offers a fresh look at PLS path modeling. It presents new developments, such as consistent PLS, confirmatory composite analysis, and the heterotrait-monotrait ratio of correlations. Findings – PLS path modeling is the method of choice if a SEM contains both factors and composites. Novel tests of exact fit make a confirmatory use of PLS path modeling possible. Originality/value – This paper provides updated guidelines of how to use PLS and how to report and interpret its results.","author":[{"dropping-particle":"","family":"Henseler","given":"Jörg","non-dropping-particle":"","parse-names":false,"suffix":""},{"dropping-particle":"","family":"Hubona","given":"Geoffrey","non-dropping-particle":"","parse-names":false,"suffix":""},{"dropping-particle":"","family":"Ray","given":"Pauline Ash","non-dropping-particle":"","parse-names":false,"suffix":""}],"container-title":"Industrial Management and Data Systems","id":"ITEM-1","issue":"1","issued":{"date-parts":[["2016","2"]]},"page":"2-20","title":"Using PLS path modeling in new technology research: Updated guidelines","type":"article-journal","volume":"116"},"uris":["http://www.mendeley.com/documents/?uuid=09b5e4c5-6228-4008-ba38-cd2bf7202710"]}],"mendeley":{"formattedCitation":"(Henseler, Hubona, &amp; Ray, 2016)","manualFormatting":"Henseler, Hubona, and Ray (2016)","plainTextFormattedCitation":"(Henseler, Hubona, &amp; Ray, 2016)","previouslyFormattedCitation":"(Henseler, Hubona, &amp; Ray, 2016)"},"properties":{"noteIndex":0},"schema":"https://github.com/citation-style-language/schema/raw/master/csl-citation.json"}</w:instrText>
      </w:r>
      <w:r w:rsidRPr="002A7627">
        <w:fldChar w:fldCharType="separate"/>
      </w:r>
      <w:r w:rsidRPr="002A7627">
        <w:rPr>
          <w:noProof/>
        </w:rPr>
        <w:t>Henseler, Hubona, and Ray (2016)</w:t>
      </w:r>
      <w:r w:rsidRPr="002A7627">
        <w:fldChar w:fldCharType="end"/>
      </w:r>
      <w:r w:rsidRPr="002A7627">
        <w:t xml:space="preserve"> argued that if dULS and dG &lt; than the 95% bootstrapped quantile (HI 95% of dULS and HI 95% of dG), researchers may not need to reject the model.</w:t>
      </w:r>
      <w:r w:rsidRPr="002A7627">
        <w:rPr>
          <w:b/>
          <w:bCs/>
        </w:rPr>
        <w:t xml:space="preserve"> </w:t>
      </w:r>
      <w:r w:rsidRPr="002A7627">
        <w:t xml:space="preserve">Next to performing the tests of model fit, </w:t>
      </w:r>
      <w:r w:rsidR="0054702A">
        <w:t xml:space="preserve">the researcher can determine </w:t>
      </w:r>
      <w:r w:rsidRPr="002A7627">
        <w:t xml:space="preserve">the approximate model fit as well. </w:t>
      </w:r>
      <w:r w:rsidR="00A33144">
        <w:t>T</w:t>
      </w:r>
      <w:r w:rsidRPr="002A7627">
        <w:t xml:space="preserve">he approximate model fit criterion for PLS path modeling is the standardized root mean square residual (SRMR) </w:t>
      </w:r>
      <w:r w:rsidRPr="002A7627">
        <w:fldChar w:fldCharType="begin" w:fldLock="1"/>
      </w:r>
      <w:r w:rsidRPr="002A7627">
        <w:instrText>ADDIN CSL_CITATION {"citationItems":[{"id":"ITEM-1","itemData":{"DOI":"10.1080/10705519909540118","ISSN":"10705511","abstract":"This article examines the adequacy of the \"rules of thumb\" conventional cutoff crite- ria and several new alternatives for various fit indexes used to evaluate model fit in practice. Using a 2-index presentation strategy, which includes using the maximum likelihood (ML)-based standardized root mean squared residual (SRMR) and supple- menting it with either Tucker-Lewis Index (TLI), Bollen's (1989) Fit Index (BL89), Relative Noncentrality Index (RNI), Comparative Fit Index (CFI), Gamma Hat, Mc- Donald's Centrality Index (Mc), or root mean squared error of approximation (RMSEA), various combinations of cutoff values from selected ranges of cutoff crite- ria for the ML-based SRMR and a given supplemental fit index were used to calculate rejection rates for various types of true-population and misspecified models; that is, models with misspecified factor covariance(s) and models with misspecified factor loading(s). The results suggest that, for the ML method, a cutoff value close to .95 for TLI, BL89, CFI, RNI, and Gamma Hat; a cutoff value close to .90 for Mc; a cutoff value close to .08 for SRMR; and a cutoff value close to .06 for RMSEA are needed before we can conclude that there is a relatively good fit between the hypothesized model and the observed data. Furthermore, the 2-index presentation strategy is re- quired to reject reasonable proportions of various types of true-population and misspecified models. Finally, using the proposed cutoff criteria, the ML-based TLI, Mc, and RMSEA tend to overreject true-population models at small sample size and thus are less preferable when sample size is small.","author":[{"dropping-particle":"","family":"Hu","given":"Li Tze","non-dropping-particle":"","parse-names":false,"suffix":""},{"dropping-particle":"","family":"Bentler","given":"Peter M.","non-dropping-particle":"","parse-names":false,"suffix":""}],"container-title":"Structural Equation Modeling","id":"ITEM-1","issue":"1","issued":{"date-parts":[["1999"]]},"page":"1-55","title":"Cutoff criteria for fit indexes in covariance structure analysis: Conventional criteria versus new alternatives","type":"article-journal","volume":"6"},"uris":["http://www.mendeley.com/documents/?uuid=9ea91de2-0277-4683-8370-a87cb173c1b1"]},{"id":"ITEM-2","itemData":{"author":[{"dropping-particle":"","family":"Hu","given":"Li Tze","non-dropping-particle":"","parse-names":false,"suffix":""},{"dropping-particle":"","family":"Bentler","given":"Peter M.","non-dropping-particle":"","parse-names":false,"suffix":""}],"container-title":"Psychological Methods","id":"ITEM-2","issue":"4","issued":{"date-parts":[["1998"]]},"page":"424–453","title":"Fit indices in covariance structure modeling: Sensitivity to underparameterized model misspecification","type":"article-journal","volume":"3"},"uris":["http://www.mendeley.com/documents/?uuid=1fe8ef18-06c2-4a00-851c-6f80d3b6d645"]}],"mendeley":{"formattedCitation":"(Hu &amp; Bentler, 1998, 1999)","manualFormatting":"(Hu &amp; Bentler, 1998, 1999)","plainTextFormattedCitation":"(Hu &amp; Bentler, 1998, 1999)","previouslyFormattedCitation":"(Hu &amp; Bentler, 1998, 1999)"},"properties":{"noteIndex":0},"schema":"https://github.com/citation-style-language/schema/raw/master/csl-citation.json"}</w:instrText>
      </w:r>
      <w:r w:rsidRPr="002A7627">
        <w:fldChar w:fldCharType="separate"/>
      </w:r>
      <w:r w:rsidRPr="002A7627">
        <w:rPr>
          <w:noProof/>
        </w:rPr>
        <w:t>(Hu &amp; Bentler, 1998, 1999)</w:t>
      </w:r>
      <w:r w:rsidRPr="002A7627">
        <w:fldChar w:fldCharType="end"/>
      </w:r>
      <w:r w:rsidR="00522001">
        <w:t>, and</w:t>
      </w:r>
      <w:r w:rsidRPr="002A7627">
        <w:rPr>
          <w:b/>
          <w:bCs/>
        </w:rPr>
        <w:t xml:space="preserve"> </w:t>
      </w:r>
      <w:r w:rsidR="00522001">
        <w:t>a</w:t>
      </w:r>
      <w:r w:rsidRPr="002A7627">
        <w:t xml:space="preserve"> cut-off value of 0.08 </w:t>
      </w:r>
      <w:r w:rsidR="00A33144">
        <w:t>w</w:t>
      </w:r>
      <w:r w:rsidRPr="002A7627">
        <w:t xml:space="preserve">as suggested </w:t>
      </w:r>
      <w:r w:rsidR="00522001">
        <w:t>(</w:t>
      </w:r>
      <w:r w:rsidRPr="002A7627">
        <w:rPr>
          <w:noProof/>
        </w:rPr>
        <w:t xml:space="preserve">Hu </w:t>
      </w:r>
      <w:r w:rsidR="00522001">
        <w:rPr>
          <w:noProof/>
        </w:rPr>
        <w:t>&amp;</w:t>
      </w:r>
      <w:r w:rsidR="00522001" w:rsidRPr="002A7627">
        <w:rPr>
          <w:noProof/>
        </w:rPr>
        <w:t xml:space="preserve"> </w:t>
      </w:r>
      <w:r w:rsidRPr="002A7627">
        <w:rPr>
          <w:noProof/>
        </w:rPr>
        <w:t>Bentler</w:t>
      </w:r>
      <w:r w:rsidR="00522001">
        <w:rPr>
          <w:noProof/>
        </w:rPr>
        <w:t>,</w:t>
      </w:r>
      <w:r w:rsidRPr="002A7627">
        <w:rPr>
          <w:noProof/>
        </w:rPr>
        <w:t xml:space="preserve"> 1999)</w:t>
      </w:r>
      <w:r w:rsidRPr="002A7627">
        <w:t xml:space="preserve">. Another useful approximate model fit criterion </w:t>
      </w:r>
      <w:r w:rsidR="00522001">
        <w:t>is</w:t>
      </w:r>
      <w:r w:rsidRPr="002A7627">
        <w:t xml:space="preserve"> the </w:t>
      </w:r>
      <w:r w:rsidR="0054702A" w:rsidRPr="002A7627">
        <w:t>normed fit index (NFI)</w:t>
      </w:r>
      <w:r w:rsidR="0054702A">
        <w:t xml:space="preserve"> or </w:t>
      </w:r>
      <w:r w:rsidRPr="002A7627">
        <w:t>Bentler</w:t>
      </w:r>
      <w:r w:rsidR="003A0710">
        <w:t>–</w:t>
      </w:r>
      <w:r w:rsidRPr="002A7627">
        <w:t xml:space="preserve">Bonett index </w:t>
      </w:r>
      <w:r w:rsidRPr="002A7627">
        <w:fldChar w:fldCharType="begin" w:fldLock="1"/>
      </w:r>
      <w:r w:rsidRPr="002A7627">
        <w:instrText>ADDIN CSL_CITATION {"citationItems":[{"id":"ITEM-1","itemData":{"author":[{"dropping-particle":"","family":"Bentler","given":"P. M.","non-dropping-particle":"","parse-names":false,"suffix":""},{"dropping-particle":"","family":"Bonett","given":"D. G.","non-dropping-particle":"","parse-names":false,"suffix":""}],"container-title":"Psychological Bulletin","id":"ITEM-1","issue":"3","issued":{"date-parts":[["1980"]]},"page":"588-606","title":"Significance tests and goodness of fit in the analysis of covariance structures","type":"article-journal","volume":"88"},"uris":["http://www.mendeley.com/documents/?uuid=58d01bb1-f2cf-4011-9618-30d216268f2c"]}],"mendeley":{"formattedCitation":"(Bentler &amp; Bonett, 1980)","plainTextFormattedCitation":"(Bentler &amp; Bonett, 1980)","previouslyFormattedCitation":"(Bentler &amp; Bonett, 1980)"},"properties":{"noteIndex":0},"schema":"https://github.com/citation-style-language/schema/raw/master/csl-citation.json"}</w:instrText>
      </w:r>
      <w:r w:rsidRPr="002A7627">
        <w:fldChar w:fldCharType="separate"/>
      </w:r>
      <w:r w:rsidRPr="002A7627">
        <w:rPr>
          <w:noProof/>
        </w:rPr>
        <w:t>(Bentler &amp; Bonett, 1980)</w:t>
      </w:r>
      <w:r w:rsidRPr="002A7627">
        <w:fldChar w:fldCharType="end"/>
      </w:r>
      <w:r w:rsidRPr="002A7627">
        <w:t xml:space="preserve">. The suggestion </w:t>
      </w:r>
      <w:r w:rsidR="0054702A">
        <w:t>of calculating</w:t>
      </w:r>
      <w:r w:rsidRPr="002A7627">
        <w:t xml:space="preserve"> the NFI in connection with PLS path modeling can be </w:t>
      </w:r>
      <w:r w:rsidR="0054702A" w:rsidRPr="002A7627">
        <w:t>accredited</w:t>
      </w:r>
      <w:r w:rsidRPr="002A7627">
        <w:t xml:space="preserve"> to </w:t>
      </w:r>
      <w:r w:rsidRPr="00AE462F">
        <w:rPr>
          <w:color w:val="000000" w:themeColor="text1"/>
        </w:rPr>
        <w:fldChar w:fldCharType="begin" w:fldLock="1"/>
      </w:r>
      <w:r w:rsidRPr="00AE462F">
        <w:rPr>
          <w:color w:val="000000" w:themeColor="text1"/>
        </w:rPr>
        <w:instrText>ADDIN CSL_CITATION {"citationItems":[{"id":"ITEM-1","itemData":{"author":[{"dropping-particle":"","family":"Lohmöller","given":"J. B.","non-dropping-particle":"","parse-names":false,"suffix":""}],"id":"ITEM-1","issued":{"date-parts":[["1989"]]},"publisher":"Physica","publisher-place":"Heidelberg, Germany","title":"Latent variable path modeling with partial least squares","type":"book"},"uris":["http://www.mendeley.com/documents/?uuid=9bc48fdf-c333-4b53-bbdb-a79abf1a459c"]}],"mendeley":{"formattedCitation":"(Lohmöller, 1989)","manualFormatting":"Lohmöller (1989)","plainTextFormattedCitation":"(Lohmöller, 1989)","previouslyFormattedCitation":"(Lohmöller, 1989)"},"properties":{"noteIndex":0},"schema":"https://github.com/citation-style-language/schema/raw/master/csl-citation.json"}</w:instrText>
      </w:r>
      <w:r w:rsidRPr="00AE462F">
        <w:rPr>
          <w:color w:val="000000" w:themeColor="text1"/>
        </w:rPr>
        <w:fldChar w:fldCharType="separate"/>
      </w:r>
      <w:r w:rsidRPr="00AE462F">
        <w:rPr>
          <w:noProof/>
          <w:color w:val="000000" w:themeColor="text1"/>
        </w:rPr>
        <w:t>Lohmöller (1989)</w:t>
      </w:r>
      <w:r w:rsidRPr="00AE462F">
        <w:rPr>
          <w:color w:val="000000" w:themeColor="text1"/>
        </w:rPr>
        <w:fldChar w:fldCharType="end"/>
      </w:r>
      <w:r w:rsidRPr="00AE462F">
        <w:rPr>
          <w:color w:val="000000" w:themeColor="text1"/>
        </w:rPr>
        <w:t>.</w:t>
      </w:r>
      <w:r w:rsidR="00036536">
        <w:rPr>
          <w:color w:val="000000" w:themeColor="text1"/>
        </w:rPr>
        <w:t xml:space="preserve"> </w:t>
      </w:r>
      <w:r w:rsidR="00522001">
        <w:rPr>
          <w:color w:val="000000" w:themeColor="text1"/>
        </w:rPr>
        <w:t>V</w:t>
      </w:r>
      <w:r w:rsidR="001A120A" w:rsidRPr="00AE462F">
        <w:rPr>
          <w:color w:val="000000" w:themeColor="text1"/>
        </w:rPr>
        <w:t xml:space="preserve">alues of NFI that are more than 0.90 </w:t>
      </w:r>
      <w:r w:rsidR="00522001">
        <w:rPr>
          <w:color w:val="000000" w:themeColor="text1"/>
        </w:rPr>
        <w:t>are</w:t>
      </w:r>
      <w:r w:rsidR="001A120A" w:rsidRPr="00AE462F">
        <w:rPr>
          <w:color w:val="000000" w:themeColor="text1"/>
        </w:rPr>
        <w:t xml:space="preserve"> considered acceptable </w:t>
      </w:r>
      <w:r w:rsidR="001A120A" w:rsidRPr="00AE462F">
        <w:rPr>
          <w:color w:val="000000" w:themeColor="text1"/>
        </w:rPr>
        <w:fldChar w:fldCharType="begin" w:fldLock="1"/>
      </w:r>
      <w:r w:rsidR="001A120A" w:rsidRPr="00AE462F">
        <w:rPr>
          <w:color w:val="000000" w:themeColor="text1"/>
        </w:rPr>
        <w:instrText>ADDIN CSL_CITATION {"citationItems":[{"id":"ITEM-1","itemData":{"author":[{"dropping-particle":"","family":"Byrne","given":"B. M.","non-dropping-particle":"","parse-names":false,"suffix":""}],"id":"ITEM-1","issued":{"date-parts":[["2008"]]},"publisher":"Psychology Press","publisher-place":"New York, NY","title":"Structural equation modeling with EQs: Basic concepts, applications, and programming","type":"book"},"uris":["http://www.mendeley.com/documents/?uuid=328ffd9d-f151-4c06-8c09-1e3b4e963838"]}],"mendeley":{"formattedCitation":"(Byrne, 2008)","plainTextFormattedCitation":"(Byrne, 2008)","previouslyFormattedCitation":"(Byrne, 2008)"},"properties":{"noteIndex":0},"schema":"https://github.com/citation-style-language/schema/raw/master/csl-citation.json"}</w:instrText>
      </w:r>
      <w:r w:rsidR="001A120A" w:rsidRPr="00AE462F">
        <w:rPr>
          <w:color w:val="000000" w:themeColor="text1"/>
        </w:rPr>
        <w:fldChar w:fldCharType="separate"/>
      </w:r>
      <w:r w:rsidR="001A120A" w:rsidRPr="00AE462F">
        <w:rPr>
          <w:noProof/>
          <w:color w:val="000000" w:themeColor="text1"/>
        </w:rPr>
        <w:t>(Byrne, 2008)</w:t>
      </w:r>
      <w:r w:rsidR="001A120A" w:rsidRPr="00AE462F">
        <w:rPr>
          <w:color w:val="000000" w:themeColor="text1"/>
        </w:rPr>
        <w:fldChar w:fldCharType="end"/>
      </w:r>
      <w:r w:rsidR="001A120A" w:rsidRPr="009F22D3">
        <w:rPr>
          <w:color w:val="FF0000"/>
        </w:rPr>
        <w:t>.</w:t>
      </w:r>
    </w:p>
    <w:p w14:paraId="5DC57F0B" w14:textId="4E61BFD1" w:rsidR="00DB543C" w:rsidRPr="002A7627" w:rsidRDefault="00DB543C" w:rsidP="00DB543C">
      <w:pPr>
        <w:pStyle w:val="AAAAAAA"/>
      </w:pPr>
      <w:r w:rsidRPr="002A7627">
        <w:t>This research also examine</w:t>
      </w:r>
      <w:r w:rsidR="00522001">
        <w:t>d</w:t>
      </w:r>
      <w:r w:rsidRPr="002A7627">
        <w:t xml:space="preserve"> the reliability and validity of the constructs. To assess internal consistency and reliability, the indices of composite reliability (CR), Cronbach’s alpha coefficient, and rho_A are considered. A minimum value of 0.7 indicates a reliable model </w:t>
      </w:r>
      <w:r w:rsidRPr="002A7627">
        <w:fldChar w:fldCharType="begin" w:fldLock="1"/>
      </w:r>
      <w:r w:rsidRPr="002A7627">
        <w:instrText>ADDIN CSL_CITATION {"citationItems":[{"id":"ITEM-1","itemData":{"DOI":"10.1037/018882","ISBN":"007047849X 9780070478497","ISSN":"1554-0138","PMID":"3666758","abstract":"About proper cronbach alpha for scales - early stages, moderate reliability 0.70 - basic research 0.80 - applied setting 0.90 to 0.95","author":[{"dropping-particle":"","family":"Nunnally","given":"J.C.","non-dropping-particle":"","parse-names":false,"suffix":""},{"dropping-particle":"","family":"Bernstein","given":"I.H.","non-dropping-particle":"","parse-names":false,"suffix":""}],"container-title":"Psychometric Theory","id":"ITEM-1","issue":"1","issued":{"date-parts":[["1994"]]},"page":"261-263","title":"The assessment of reliability","type":"article-journal","volume":"3"},"uris":["http://www.mendeley.com/documents/?uuid=9cec7f97-1cd6-4957-a789-47a09de2d50c"]}],"mendeley":{"formattedCitation":"(Nunnally &amp; Bernstein, 1994)","plainTextFormattedCitation":"(Nunnally &amp; Bernstein, 1994)","previouslyFormattedCitation":"(Nunnally &amp; Bernstein, 1994)"},"properties":{"noteIndex":0},"schema":"https://github.com/citation-style-language/schema/raw/master/csl-citation.json"}</w:instrText>
      </w:r>
      <w:r w:rsidRPr="002A7627">
        <w:fldChar w:fldCharType="separate"/>
      </w:r>
      <w:r w:rsidRPr="002A7627">
        <w:rPr>
          <w:noProof/>
        </w:rPr>
        <w:t>(Nunnally &amp; Bernstein, 1994)</w:t>
      </w:r>
      <w:r w:rsidRPr="002A7627">
        <w:fldChar w:fldCharType="end"/>
      </w:r>
      <w:r w:rsidRPr="002A7627">
        <w:t xml:space="preserve">. The validity of the constructs </w:t>
      </w:r>
      <w:r w:rsidR="00522001">
        <w:t>was</w:t>
      </w:r>
      <w:r w:rsidR="00522001" w:rsidRPr="002A7627">
        <w:t xml:space="preserve"> </w:t>
      </w:r>
      <w:r w:rsidRPr="002A7627">
        <w:t>assessed through convergent validity and discriminant validity.</w:t>
      </w:r>
      <w:r w:rsidRPr="002A7627">
        <w:rPr>
          <w:b/>
          <w:bCs/>
        </w:rPr>
        <w:t xml:space="preserve"> </w:t>
      </w:r>
      <w:r w:rsidRPr="002A7627">
        <w:t xml:space="preserve">Convergent validity </w:t>
      </w:r>
      <w:r w:rsidR="00522001">
        <w:t>is</w:t>
      </w:r>
      <w:r w:rsidR="008F1887">
        <w:t xml:space="preserve"> defined as</w:t>
      </w:r>
      <w:r w:rsidRPr="002A7627">
        <w:t xml:space="preserve"> the extent to which the construct converges to </w:t>
      </w:r>
      <w:r w:rsidR="008F1887" w:rsidRPr="002A7627">
        <w:t>describe</w:t>
      </w:r>
      <w:r w:rsidRPr="002A7627">
        <w:t xml:space="preserve"> the variance of its items. </w:t>
      </w:r>
      <w:r w:rsidR="00522001">
        <w:t>There are problems with c</w:t>
      </w:r>
      <w:r w:rsidRPr="002A7627">
        <w:t xml:space="preserve">onvergent validity where the variables do not correlate well with each other within their parent factor; i.e., the latent factor is not well </w:t>
      </w:r>
      <w:r w:rsidR="008F1887" w:rsidRPr="002A7627">
        <w:t>described</w:t>
      </w:r>
      <w:r w:rsidRPr="002A7627">
        <w:t xml:space="preserve"> by its observed variables </w:t>
      </w:r>
      <w:r w:rsidRPr="002A7627">
        <w:fldChar w:fldCharType="begin" w:fldLock="1"/>
      </w:r>
      <w:r w:rsidRPr="002A7627">
        <w:instrText>ADDIN CSL_CITATION {"citationItems":[{"id":"ITEM-1","itemData":{"DOI":"10.1108/EBR-11-2018-0203","ISSN":"0955534X","abstract":"Purpose –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 This paper provides an overview of previously and recently proposed metrics as well as rules of thumb for evaluating the research results based on the application of PLS-SEM. Findings –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 Methodological developments associated with PLS-SEM are rapidly emerging. The metrics reported in this paper are useful for current applications, but must always be up to date with the latest developments in the PLS-SEM method. Originality/value –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PLS-SEM","type":"article-journal","volume":"31"},"uris":["http://www.mendeley.com/documents/?uuid=632893ee-4602-4bf3-9c88-ab5a48d4eeca"]}],"mendeley":{"formattedCitation":"(Hair, Risher, Sarstedt, &amp; Ringle, 2019)","manualFormatting":"(Hair, Risher, Sarstedt, &amp; Ringle, 2019)","plainTextFormattedCitation":"(Hair, Risher, Sarstedt, &amp; Ringle, 2019)","previouslyFormattedCitation":"(Hair, Risher, Sarstedt, &amp; Ringle, 2019)"},"properties":{"noteIndex":0},"schema":"https://github.com/citation-style-language/schema/raw/master/csl-citation.json"}</w:instrText>
      </w:r>
      <w:r w:rsidRPr="002A7627">
        <w:fldChar w:fldCharType="separate"/>
      </w:r>
      <w:r w:rsidRPr="002A7627">
        <w:rPr>
          <w:noProof/>
        </w:rPr>
        <w:t>(Hair, Risher, Sarstedt, &amp; Ringle, 2019)</w:t>
      </w:r>
      <w:r w:rsidRPr="002A7627">
        <w:fldChar w:fldCharType="end"/>
      </w:r>
      <w:r w:rsidRPr="002A7627">
        <w:t xml:space="preserve">. </w:t>
      </w:r>
      <w:r w:rsidR="000872D7">
        <w:t xml:space="preserve">To evaluate the construct’s convergent validity, </w:t>
      </w:r>
      <w:r w:rsidR="00522001">
        <w:t>this study</w:t>
      </w:r>
      <w:r w:rsidR="000872D7">
        <w:t xml:space="preserve"> used </w:t>
      </w:r>
      <w:r w:rsidRPr="002A7627">
        <w:t xml:space="preserve">the Average Variance Extracted (AVE) for all items on each construct. An AVE of 0.5 or higher is regarded as acceptable </w:t>
      </w:r>
      <w:r w:rsidRPr="002A7627">
        <w:fldChar w:fldCharType="begin" w:fldLock="1"/>
      </w:r>
      <w:r w:rsidRPr="002A7627">
        <w:instrText>ADDIN CSL_CITATION {"citationItems":[{"id":"ITEM-1","itemData":{"DOI":"10.2307/3151312","ISSN":"0022-2437","abstract":"JSTOR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The statistical tests used in the analysis of structural equation models with unobservable variables and measurement error are examined. A drawback of the commonly applied chi square test, in addition to the known problems related to sample size and power, is that it may indicate an increasing correspondence between the hypothesized model and the observed data as both the measurement properties and the relationship between constructs decline. Further, and contrary to common assertion, the risk of making a Type II error can be substantial even when the sample size is large. Moreover, the present testing methods are unable to assess a model's explanatory power. To overcome these problems, the authors develop and apply a testing system based on measures of shared variance within the structural model, measurement model, and overall model.","author":[{"dropping-particle":"","family":"Fornell","given":"Claes","non-dropping-particle":"","parse-names":false,"suffix":""},{"dropping-particle":"","family":"Larcker","given":"David F","non-dropping-particle":"","parse-names":false,"suffix":""}],"container-title":"Source Journal of Marketing Research","id":"ITEM-1","issue":"1","issued":{"date-parts":[["1981"]]},"page":"39-50","title":"Evaluating structural equation models with unobservable variables and measurement error","type":"article-journal","volume":"18"},"uris":["http://www.mendeley.com/documents/?uuid=86ca8206-53fa-4001-bf92-ead78e04ae69"]}],"mendeley":{"formattedCitation":"(Fornell &amp; Larcker, 1981)","manualFormatting":"(Fornell &amp; Larcker, 1981)","plainTextFormattedCitation":"(Fornell &amp; Larcker, 1981)","previouslyFormattedCitation":"(Fornell &amp; Larcker, 1981)"},"properties":{"noteIndex":0},"schema":"https://github.com/citation-style-language/schema/raw/master/csl-citation.json"}</w:instrText>
      </w:r>
      <w:r w:rsidRPr="002A7627">
        <w:fldChar w:fldCharType="separate"/>
      </w:r>
      <w:r w:rsidRPr="002A7627">
        <w:rPr>
          <w:noProof/>
        </w:rPr>
        <w:t>(Fornell &amp; Larcker, 1981)</w:t>
      </w:r>
      <w:r w:rsidRPr="002A7627">
        <w:fldChar w:fldCharType="end"/>
      </w:r>
      <w:r w:rsidRPr="002A7627">
        <w:t xml:space="preserve">. The second metric used to test the convergent validity </w:t>
      </w:r>
      <w:r w:rsidR="00522001">
        <w:t>was</w:t>
      </w:r>
      <w:r w:rsidR="00522001" w:rsidRPr="002A7627">
        <w:t xml:space="preserve"> </w:t>
      </w:r>
      <w:r w:rsidRPr="002A7627">
        <w:t>Composite Reliability (CR). A model has convergent validity when for every factor, CR</w:t>
      </w:r>
      <w:r w:rsidR="00700ABB">
        <w:t xml:space="preserve"> </w:t>
      </w:r>
      <w:r w:rsidRPr="002A7627">
        <w:t>&gt;</w:t>
      </w:r>
      <w:r w:rsidR="00700ABB">
        <w:t xml:space="preserve"> </w:t>
      </w:r>
      <w:r w:rsidRPr="002A7627">
        <w:t xml:space="preserve">AVE </w:t>
      </w:r>
      <w:r w:rsidRPr="002A7627">
        <w:fldChar w:fldCharType="begin" w:fldLock="1"/>
      </w:r>
      <w:r w:rsidRPr="002A7627">
        <w:instrText>ADDIN CSL_CITATION {"citationItems":[{"id":"ITEM-1","itemData":{"DOI":"10.1109/RFIC.2004.1320574","ISBN":"0-7803-8333-8","abstract":"The purpose of this paper was to test a theoretical model of Facebook usage among university students in Malaysia using a confirmatory analysis. The theoretical model used to underpin the model was the parsimonius Technology Acceptance Model (Davis et al., 1989). We collected data from 600 undergraduate students of six public universities from Peninsular Malaysia using a structured questionnaire. Data were analyzed using SmartPLS 3.2.6 and instead of using the usual exploratory modeling analysis we used the more recent confirmatory analysis which is now available in SmartPLS called consistent PLS. Consistent PLS gives fit values that can be used to assess the model fit. The Standardized Root Mean Square Residual (SRMR = 0.03) was lower than 0.08 and the Normed Fit Index (NFI = 0.939) was higher than 0.90 thus we can conclude that the data fits the model well. The results show that ease of use influenced enjoyment but did not influence usage directly while usefulness influenced both enjoyment and usage directly and enjoyment also influenced usage directly. The R2 was 0.702 for enjoyment and 0.609 for usage. Implications of the findings are further discussed.","author":[{"dropping-particle":"","family":"Ramayah","given":"T","non-dropping-particle":"","parse-names":false,"suffix":""},{"dropping-particle":"","family":"Yeap","given":"Jasmine A. L. JAL","non-dropping-particle":"","parse-names":false,"suffix":""},{"dropping-particle":"","family":"Ahmad","given":"NH Noor Hazlina","non-dropping-particle":"","parse-names":false,"suffix":""},{"dropping-particle":"","family":"Abdul-Halim","given":"Hasliza","non-dropping-particle":"","parse-names":false,"suffix":""},{"dropping-particle":"","family":"Rahman","given":"S.A.","non-dropping-particle":"","parse-names":false,"suffix":""},{"dropping-particle":"","family":"Halim","given":"HA","non-dropping-particle":"","parse-names":false,"suffix":""}],"container-title":"International Journal of Business and Innovation","id":"ITEM-1","issue":"2","issued":{"date-parts":[["2017"]]},"page":"1-14","title":"Testing a confirmatory model of Facebook Usage in SmartPLS using consistent PLS","type":"article-journal","volume":"3"},"uris":["http://www.mendeley.com/documents/?uuid=d3744bbf-177c-4f34-bda0-2b1a656abcdd"]}],"mendeley":{"formattedCitation":"(Ramayah et al., 2017)","plainTextFormattedCitation":"(Ramayah et al., 2017)","previouslyFormattedCitation":"(Ramayah et al., 2017)"},"properties":{"noteIndex":0},"schema":"https://github.com/citation-style-language/schema/raw/master/csl-citation.json"}</w:instrText>
      </w:r>
      <w:r w:rsidRPr="002A7627">
        <w:fldChar w:fldCharType="separate"/>
      </w:r>
      <w:r w:rsidRPr="002A7627">
        <w:rPr>
          <w:noProof/>
        </w:rPr>
        <w:t>(Ramayah et al., 2017)</w:t>
      </w:r>
      <w:r w:rsidRPr="002A7627">
        <w:fldChar w:fldCharType="end"/>
      </w:r>
      <w:r w:rsidRPr="002A7627">
        <w:t>.</w:t>
      </w:r>
    </w:p>
    <w:p w14:paraId="7CA7C466" w14:textId="757CA393" w:rsidR="00DB543C" w:rsidRPr="002A7627" w:rsidRDefault="00AE462F" w:rsidP="00DB543C">
      <w:pPr>
        <w:pStyle w:val="AAAAAAA"/>
        <w:rPr>
          <w:rFonts w:eastAsia="Calibri"/>
        </w:rPr>
      </w:pPr>
      <w:r w:rsidRPr="004D08C5">
        <w:rPr>
          <w:rFonts w:eastAsia="Calibri"/>
          <w:color w:val="000000" w:themeColor="text1"/>
        </w:rPr>
        <w:t>Discriminant validity is the level to which any construct is</w:t>
      </w:r>
      <w:r w:rsidR="009F32A5">
        <w:rPr>
          <w:rFonts w:eastAsia="Calibri"/>
          <w:color w:val="000000" w:themeColor="text1"/>
        </w:rPr>
        <w:t xml:space="preserve"> </w:t>
      </w:r>
      <w:r w:rsidR="00E21458">
        <w:rPr>
          <w:rFonts w:eastAsia="Calibri"/>
          <w:color w:val="000000" w:themeColor="text1"/>
        </w:rPr>
        <w:t>correlated with other</w:t>
      </w:r>
      <w:r w:rsidRPr="004D08C5">
        <w:rPr>
          <w:rFonts w:eastAsia="Calibri"/>
          <w:color w:val="000000" w:themeColor="text1"/>
        </w:rPr>
        <w:t xml:space="preserve"> constructs </w:t>
      </w:r>
      <w:r w:rsidR="00E21458">
        <w:rPr>
          <w:rFonts w:eastAsia="Calibri"/>
          <w:color w:val="000000" w:themeColor="text1"/>
        </w:rPr>
        <w:t xml:space="preserve">and the measured variables </w:t>
      </w:r>
      <w:r w:rsidR="00904B26">
        <w:rPr>
          <w:rFonts w:eastAsia="Calibri"/>
          <w:color w:val="000000" w:themeColor="text1"/>
        </w:rPr>
        <w:t>may be</w:t>
      </w:r>
      <w:r w:rsidR="00DE2ECA">
        <w:rPr>
          <w:rFonts w:eastAsia="Calibri"/>
          <w:color w:val="000000" w:themeColor="text1"/>
        </w:rPr>
        <w:t xml:space="preserve"> measur</w:t>
      </w:r>
      <w:r w:rsidR="00904B26">
        <w:rPr>
          <w:rFonts w:eastAsia="Calibri"/>
          <w:color w:val="000000" w:themeColor="text1"/>
        </w:rPr>
        <w:t>ed as a single</w:t>
      </w:r>
      <w:r w:rsidR="00DE2ECA">
        <w:rPr>
          <w:rFonts w:eastAsia="Calibri"/>
          <w:color w:val="000000" w:themeColor="text1"/>
        </w:rPr>
        <w:t xml:space="preserve"> construct</w:t>
      </w:r>
      <w:r w:rsidR="00DB543C" w:rsidRPr="004D08C5">
        <w:rPr>
          <w:rFonts w:eastAsia="Calibri"/>
          <w:color w:val="000000" w:themeColor="text1"/>
        </w:rPr>
        <w:t xml:space="preserve"> </w:t>
      </w:r>
      <w:r w:rsidR="00DB543C" w:rsidRPr="004D08C5">
        <w:rPr>
          <w:rFonts w:eastAsia="Calibri"/>
          <w:color w:val="000000" w:themeColor="text1"/>
        </w:rPr>
        <w:fldChar w:fldCharType="begin" w:fldLock="1"/>
      </w:r>
      <w:r w:rsidR="00DB543C" w:rsidRPr="004D08C5">
        <w:rPr>
          <w:rFonts w:eastAsia="Calibri"/>
          <w:color w:val="000000" w:themeColor="text1"/>
        </w:rPr>
        <w:instrText>ADDIN CSL_CITATION {"citationItems":[{"id":"ITEM-1","itemData":{"DOI":"10.1108/EBR-11-2018-0203","ISSN":"0955534X","abstract":"Purpose –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 This paper provides an overview of previously and recently proposed metrics as well as rules of thumb for evaluating the research results based on the application of PLS-SEM. Findings –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 Methodological developments associated with PLS-SEM are rapidly emerging. The metrics reported in this paper are useful for current applications, but must always be up to date with the latest developments in the PLS-SEM method. Originality/value –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PLS-SEM","type":"article-journal","volume":"31"},"uris":["http://www.mendeley.com/documents/?uuid=632893ee-4602-4bf3-9c88-ab5a48d4eeca"]}],"mendeley":{"formattedCitation":"(Hair et al., 2019)","manualFormatting":"(Hair et al., 2019)","plainTextFormattedCitation":"(Hair et al., 2019)","previouslyFormattedCitation":"(Hair et al., 2019)"},"properties":{"noteIndex":0},"schema":"https://github.com/citation-style-language/schema/raw/master/csl-citation.json"}</w:instrText>
      </w:r>
      <w:r w:rsidR="00DB543C" w:rsidRPr="004D08C5">
        <w:rPr>
          <w:rFonts w:eastAsia="Calibri"/>
          <w:color w:val="000000" w:themeColor="text1"/>
        </w:rPr>
        <w:fldChar w:fldCharType="separate"/>
      </w:r>
      <w:r w:rsidR="00DB543C" w:rsidRPr="004D08C5">
        <w:rPr>
          <w:rFonts w:eastAsia="Calibri"/>
          <w:noProof/>
          <w:color w:val="000000" w:themeColor="text1"/>
        </w:rPr>
        <w:t>(Hair et al., 2019)</w:t>
      </w:r>
      <w:r w:rsidR="00DB543C" w:rsidRPr="004D08C5">
        <w:rPr>
          <w:rFonts w:eastAsia="Calibri"/>
          <w:color w:val="000000" w:themeColor="text1"/>
        </w:rPr>
        <w:fldChar w:fldCharType="end"/>
      </w:r>
      <w:r w:rsidR="00DB543C" w:rsidRPr="004D08C5">
        <w:rPr>
          <w:rFonts w:eastAsia="Calibri"/>
          <w:color w:val="000000" w:themeColor="text1"/>
        </w:rPr>
        <w:t xml:space="preserve">. </w:t>
      </w:r>
      <w:r w:rsidR="00DB543C" w:rsidRPr="002A7627">
        <w:rPr>
          <w:rFonts w:eastAsia="Calibri"/>
        </w:rPr>
        <w:t>The heterotrait-monotrait (HTMT) ratio of the correlations is the metric used for testing discriminant validity. If the HTMT</w:t>
      </w:r>
      <w:r w:rsidR="00DB0AF8" w:rsidRPr="00615FB5">
        <w:rPr>
          <w:rFonts w:eastAsia="Calibri"/>
          <w:vertAlign w:val="subscript"/>
        </w:rPr>
        <w:t>0</w:t>
      </w:r>
      <w:r w:rsidR="00904B26" w:rsidRPr="00615FB5">
        <w:rPr>
          <w:rFonts w:eastAsia="Calibri"/>
          <w:vertAlign w:val="subscript"/>
        </w:rPr>
        <w:t>.85</w:t>
      </w:r>
      <w:r w:rsidR="00DB543C" w:rsidRPr="002A7627">
        <w:rPr>
          <w:rFonts w:eastAsia="Calibri"/>
        </w:rPr>
        <w:t xml:space="preserve"> value is less than 0.85 </w:t>
      </w:r>
      <w:r w:rsidR="00DB543C" w:rsidRPr="002A7627">
        <w:rPr>
          <w:rFonts w:eastAsia="Calibri"/>
        </w:rPr>
        <w:fldChar w:fldCharType="begin" w:fldLock="1"/>
      </w:r>
      <w:r w:rsidR="00DB543C" w:rsidRPr="002A7627">
        <w:rPr>
          <w:rFonts w:eastAsia="Calibri"/>
        </w:rPr>
        <w:instrText>ADDIN CSL_CITATION {"citationItems":[{"id":"ITEM-1","itemData":{"author":[{"dropping-particle":"","family":"Kline","given":"R.B.","non-dropping-particle":"","parse-names":false,"suffix":""}],"id":"ITEM-1","issued":{"date-parts":[["2011"]]},"publisher":"Guilford press","publisher-place":"New York, NY","title":"Principles and practice of structural equation modeling","type":"book"},"uris":["http://www.mendeley.com/documents/?uuid=8ada82ef-d82b-4412-a1e2-c10307171931"]},{"id":"ITEM-2","itemData":{"DOI":"10.1108/IMDS-09-2015-0382","ISBN":"0263557111","ISSN":"0263-5577","PMID":"21409434","abstract":"Purpose – Partial least squares (PLS) path modeling is a variance-based structural equation modeling (SEM) technique that is widely applied in business and social sciences. Its ability to model composites and factors makes it a formidable statistical tool for new technology research. Recent reviews, discussions, and developments have led to substantial changes in the understanding and use of PLS. The paper aims to discuss these issues. Design/methodology/approach – This paper aggregates new insights and offers a fresh look at PLS path modeling. It presents new developments, such as consistent PLS, confirmatory composite analysis, and the heterotrait-monotrait ratio of correlations. Findings – PLS path modeling is the method of choice if a SEM contains both factors and composites. Novel tests of exact fit make a confirmatory use of PLS path modeling possible. Originality/value – This paper provides updated guidelines of how to use PLS and how to report and interpret its results.","author":[{"dropping-particle":"","family":"Henseler","given":"Jörg","non-dropping-particle":"","parse-names":false,"suffix":""},{"dropping-particle":"","family":"Hubona","given":"Geoffrey","non-dropping-particle":"","parse-names":false,"suffix":""},{"dropping-particle":"","family":"Ray","given":"Pauline Ash","non-dropping-particle":"","parse-names":false,"suffix":""}],"container-title":"Industrial Management and Data Systems","id":"ITEM-2","issue":"1","issued":{"date-parts":[["2016","2"]]},"page":"2-20","title":"Using PLS path modeling in new technology research: Updated guidelines","type":"article-journal","volume":"116"},"uris":["http://www.mendeley.com/documents/?uuid=09b5e4c5-6228-4008-ba38-cd2bf7202710"]}],"mendeley":{"formattedCitation":"(Henseler et al., 2016; Kline, 2011)","plainTextFormattedCitation":"(Henseler et al., 2016; Kline, 2011)","previouslyFormattedCitation":"(Henseler et al., 2016; Kline, 2011)"},"properties":{"noteIndex":0},"schema":"https://github.com/citation-style-language/schema/raw/master/csl-citation.json"}</w:instrText>
      </w:r>
      <w:r w:rsidR="00DB543C" w:rsidRPr="002A7627">
        <w:rPr>
          <w:rFonts w:eastAsia="Calibri"/>
        </w:rPr>
        <w:fldChar w:fldCharType="separate"/>
      </w:r>
      <w:r w:rsidR="00DB543C" w:rsidRPr="002A7627">
        <w:rPr>
          <w:rFonts w:eastAsia="Calibri"/>
          <w:noProof/>
        </w:rPr>
        <w:t>(Henseler et al., 2016; Kline, 2011)</w:t>
      </w:r>
      <w:r w:rsidR="00DB543C" w:rsidRPr="002A7627">
        <w:rPr>
          <w:rFonts w:eastAsia="Calibri"/>
        </w:rPr>
        <w:fldChar w:fldCharType="end"/>
      </w:r>
      <w:r w:rsidR="00DB543C" w:rsidRPr="002A7627">
        <w:rPr>
          <w:rFonts w:eastAsia="Calibri"/>
        </w:rPr>
        <w:t>, or HTMT</w:t>
      </w:r>
      <w:r w:rsidR="00DB0AF8">
        <w:rPr>
          <w:rFonts w:eastAsia="Calibri"/>
          <w:vertAlign w:val="subscript"/>
        </w:rPr>
        <w:t>0.</w:t>
      </w:r>
      <w:r w:rsidR="00DB543C" w:rsidRPr="00615FB5">
        <w:rPr>
          <w:rFonts w:eastAsia="Calibri"/>
          <w:vertAlign w:val="subscript"/>
        </w:rPr>
        <w:t>90</w:t>
      </w:r>
      <w:r w:rsidR="00DB543C" w:rsidRPr="002A7627">
        <w:rPr>
          <w:rFonts w:eastAsia="Calibri"/>
        </w:rPr>
        <w:t xml:space="preserve"> </w:t>
      </w:r>
      <w:r w:rsidR="00904B26">
        <w:rPr>
          <w:rFonts w:eastAsia="Calibri"/>
        </w:rPr>
        <w:t>less than</w:t>
      </w:r>
      <w:r w:rsidR="00DB543C" w:rsidRPr="002A7627">
        <w:rPr>
          <w:rFonts w:eastAsia="Calibri"/>
        </w:rPr>
        <w:t xml:space="preserve"> 0.90 </w:t>
      </w:r>
      <w:r w:rsidR="00DB543C" w:rsidRPr="002A7627">
        <w:rPr>
          <w:rFonts w:eastAsia="Calibri"/>
        </w:rPr>
        <w:fldChar w:fldCharType="begin" w:fldLock="1"/>
      </w:r>
      <w:r w:rsidR="00DB543C" w:rsidRPr="002A7627">
        <w:rPr>
          <w:rFonts w:eastAsia="Calibri"/>
        </w:rPr>
        <w:instrText>ADDIN CSL_CITATION {"citationItems":[{"id":"ITEM-1","itemData":{"DOI":"10.1080/07421222.2001.11045669","ISSN":"07421222","abstract":"A hallmark of the new economy is the ability of organizations to realize economic value from their collection of knowledge assets as well as their assets of information, production distribution, and affiliation. Despite the competitive necessity of becoming a knowledge-based organization, senior managers have found it difficult to transform their firms through programs of knowledge management. This is particularly true if their organizations have long histories of process and a tradition of business success. This research examines the issue of effective knowledge management from the perspective of organizational capabilities. This perspective suggests that a knowledge infrastructure consisting of technology, structure, and culture along with a knowledge process architecture of acquisition, conversion, application, and protection are essential organizational capabilities or \"preconditions\" for effective knowledge management. Through analysis of surveys collected from over 300 senior executives, this research empirically models and uncovers key aspects of these dimensions. The results provide a basis for understanding the competitive predisposition of a firm as it enters a program of knowledge management.","author":[{"dropping-particle":"","family":"Gold","given":"Andrew H.","non-dropping-particle":"","parse-names":false,"suffix":""},{"dropping-particle":"","family":"Malhotra","given":"Arvind","non-dropping-particle":"","parse-names":false,"suffix":""},{"dropping-particle":"","family":"Segars","given":"Albert H.","non-dropping-particle":"","parse-names":false,"suffix":""}],"container-title":"Journal of Management Information Systems","id":"ITEM-1","issue":"1","issued":{"date-parts":[["2001"]]},"page":"185–214","title":"Knowledge management: An organizational capabilities perspective","type":"article-journal","volume":"18"},"uris":["http://www.mendeley.com/documents/?uuid=8b28cae1-41b6-477b-9137-a41900d8e27d"]}],"mendeley":{"formattedCitation":"(Gold et al., 2001)","plainTextFormattedCitation":"(Gold et al., 2001)","previouslyFormattedCitation":"(Gold et al., 2001)"},"properties":{"noteIndex":0},"schema":"https://github.com/citation-style-language/schema/raw/master/csl-citation.json"}</w:instrText>
      </w:r>
      <w:r w:rsidR="00DB543C" w:rsidRPr="002A7627">
        <w:rPr>
          <w:rFonts w:eastAsia="Calibri"/>
        </w:rPr>
        <w:fldChar w:fldCharType="separate"/>
      </w:r>
      <w:r w:rsidR="00DB543C" w:rsidRPr="002A7627">
        <w:rPr>
          <w:rFonts w:eastAsia="Calibri"/>
          <w:noProof/>
        </w:rPr>
        <w:t>(Gold et al., 2001)</w:t>
      </w:r>
      <w:r w:rsidR="00DB543C" w:rsidRPr="002A7627">
        <w:rPr>
          <w:rFonts w:eastAsia="Calibri"/>
        </w:rPr>
        <w:fldChar w:fldCharType="end"/>
      </w:r>
      <w:r w:rsidR="00DB543C" w:rsidRPr="002A7627">
        <w:rPr>
          <w:rFonts w:eastAsia="Calibri"/>
        </w:rPr>
        <w:t>, the model shows discriminant validity.</w:t>
      </w:r>
    </w:p>
    <w:p w14:paraId="4B26837A" w14:textId="762F7E7E" w:rsidR="00DB543C" w:rsidRPr="002A7627" w:rsidRDefault="00DB543C" w:rsidP="00DB543C">
      <w:pPr>
        <w:pStyle w:val="AAAAAAA"/>
        <w:rPr>
          <w:rFonts w:eastAsia="Calibri"/>
        </w:rPr>
      </w:pPr>
      <w:r w:rsidRPr="002A7627">
        <w:rPr>
          <w:rFonts w:eastAsia="Calibri"/>
        </w:rPr>
        <w:t xml:space="preserve">The structural model </w:t>
      </w:r>
      <w:r w:rsidR="000A6AC4">
        <w:rPr>
          <w:rFonts w:eastAsia="Calibri"/>
        </w:rPr>
        <w:t xml:space="preserve">was </w:t>
      </w:r>
      <w:r w:rsidRPr="002A7627">
        <w:rPr>
          <w:rFonts w:eastAsia="Calibri"/>
        </w:rPr>
        <w:t xml:space="preserve">also assessed for collinearity. This </w:t>
      </w:r>
      <w:r w:rsidR="00AE462F">
        <w:rPr>
          <w:rFonts w:eastAsia="Calibri"/>
        </w:rPr>
        <w:t>usually</w:t>
      </w:r>
      <w:r w:rsidR="00AE462F" w:rsidRPr="002A7627">
        <w:rPr>
          <w:rFonts w:eastAsia="Calibri"/>
        </w:rPr>
        <w:t xml:space="preserve"> happens</w:t>
      </w:r>
      <w:r w:rsidRPr="002A7627">
        <w:rPr>
          <w:rFonts w:eastAsia="Calibri"/>
        </w:rPr>
        <w:t xml:space="preserve"> when two variables </w:t>
      </w:r>
      <w:r w:rsidR="000A6AC4">
        <w:rPr>
          <w:rFonts w:eastAsia="Calibri"/>
        </w:rPr>
        <w:t>that</w:t>
      </w:r>
      <w:r w:rsidR="000A6AC4" w:rsidRPr="002A7627">
        <w:rPr>
          <w:rFonts w:eastAsia="Calibri"/>
        </w:rPr>
        <w:t xml:space="preserve"> </w:t>
      </w:r>
      <w:r w:rsidRPr="002A7627">
        <w:rPr>
          <w:rFonts w:eastAsia="Calibri"/>
        </w:rPr>
        <w:t>are hypothesized to have a causal relationship end up measuring the same construct.</w:t>
      </w:r>
      <w:r w:rsidRPr="002A7627">
        <w:rPr>
          <w:rFonts w:eastAsia="Calibri"/>
          <w:b/>
          <w:bCs/>
        </w:rPr>
        <w:t xml:space="preserve"> </w:t>
      </w:r>
      <w:r w:rsidR="00AE462F">
        <w:rPr>
          <w:rFonts w:eastAsia="Calibri"/>
        </w:rPr>
        <w:t>To assess</w:t>
      </w:r>
      <w:r w:rsidRPr="002A7627">
        <w:rPr>
          <w:rFonts w:eastAsia="Calibri"/>
        </w:rPr>
        <w:t xml:space="preserve"> the collinearity, the variance inflation factor (VIF) is often used. </w:t>
      </w:r>
      <w:r w:rsidR="009E23B0">
        <w:rPr>
          <w:rFonts w:eastAsia="Calibri"/>
        </w:rPr>
        <w:t xml:space="preserve">A </w:t>
      </w:r>
      <w:r w:rsidRPr="002A7627">
        <w:rPr>
          <w:rFonts w:eastAsia="Calibri"/>
        </w:rPr>
        <w:t xml:space="preserve">VIF </w:t>
      </w:r>
      <w:r w:rsidR="009E23B0">
        <w:rPr>
          <w:rFonts w:eastAsia="Calibri"/>
        </w:rPr>
        <w:t>of more</w:t>
      </w:r>
      <w:r w:rsidRPr="002A7627">
        <w:rPr>
          <w:rFonts w:eastAsia="Calibri"/>
        </w:rPr>
        <w:t xml:space="preserve"> than 5 indicates that there might be a potential problem</w:t>
      </w:r>
      <w:r w:rsidR="00542ACC">
        <w:rPr>
          <w:rFonts w:eastAsia="Calibri"/>
        </w:rPr>
        <w:t xml:space="preserve"> </w:t>
      </w:r>
      <w:r w:rsidR="000A6AC4">
        <w:rPr>
          <w:rFonts w:eastAsia="Calibri"/>
        </w:rPr>
        <w:t>of</w:t>
      </w:r>
      <w:r w:rsidR="00542ACC">
        <w:rPr>
          <w:rFonts w:eastAsia="Calibri"/>
        </w:rPr>
        <w:t xml:space="preserve"> collinearity</w:t>
      </w:r>
      <w:r w:rsidRPr="002A7627">
        <w:rPr>
          <w:rFonts w:eastAsia="Calibri"/>
        </w:rPr>
        <w:t xml:space="preserve"> </w:t>
      </w:r>
      <w:r w:rsidRPr="002A7627">
        <w:rPr>
          <w:rFonts w:eastAsia="Calibri"/>
        </w:rPr>
        <w:fldChar w:fldCharType="begin" w:fldLock="1"/>
      </w:r>
      <w:r w:rsidRPr="002A7627">
        <w:rPr>
          <w:rFonts w:eastAsia="Calibri"/>
        </w:rPr>
        <w:instrText>ADDIN CSL_CITATION {"citationItems":[{"id":"ITEM-1","itemData":{"DOI":"10.1108/EBR-11-2018-0203","ISSN":"0955534X","abstract":"Purpose –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 This paper provides an overview of previously and recently proposed metrics as well as rules of thumb for evaluating the research results based on the application of PLS-SEM. Findings –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 Methodological developments associated with PLS-SEM are rapidly emerging. The metrics reported in this paper are useful for current applications, but must always be up to date with the latest developments in the PLS-SEM method. Originality/value –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PLS-SEM","type":"article-journal","volume":"31"},"uris":["http://www.mendeley.com/documents/?uuid=632893ee-4602-4bf3-9c88-ab5a48d4eeca"]}],"mendeley":{"formattedCitation":"(Hair et al., 2019)","manualFormatting":"(Hair et al., 2019)","plainTextFormattedCitation":"(Hair et al., 2019)","previouslyFormattedCitation":"(Hair et al., 2019)"},"properties":{"noteIndex":0},"schema":"https://github.com/citation-style-language/schema/raw/master/csl-citation.json"}</w:instrText>
      </w:r>
      <w:r w:rsidRPr="002A7627">
        <w:rPr>
          <w:rFonts w:eastAsia="Calibri"/>
        </w:rPr>
        <w:fldChar w:fldCharType="separate"/>
      </w:r>
      <w:r w:rsidRPr="002A7627">
        <w:rPr>
          <w:rFonts w:eastAsia="Calibri"/>
          <w:noProof/>
        </w:rPr>
        <w:t>(Hair et al., 2019)</w:t>
      </w:r>
      <w:r w:rsidRPr="002A7627">
        <w:rPr>
          <w:rFonts w:eastAsia="Calibri"/>
        </w:rPr>
        <w:fldChar w:fldCharType="end"/>
      </w:r>
      <w:r w:rsidRPr="002A7627">
        <w:rPr>
          <w:rFonts w:eastAsia="Calibri"/>
        </w:rPr>
        <w:t>.</w:t>
      </w:r>
    </w:p>
    <w:p w14:paraId="1F8EB411" w14:textId="34410FDC" w:rsidR="00DB543C" w:rsidRPr="002A7627" w:rsidRDefault="00DB543C" w:rsidP="00DB543C">
      <w:pPr>
        <w:pStyle w:val="AAAAAAA"/>
      </w:pPr>
      <w:r w:rsidRPr="002A7627">
        <w:t xml:space="preserve">The final phase of analysis in this research </w:t>
      </w:r>
      <w:r w:rsidR="000A6AC4">
        <w:t>was</w:t>
      </w:r>
      <w:r w:rsidR="000A6AC4" w:rsidRPr="002A7627">
        <w:t xml:space="preserve"> </w:t>
      </w:r>
      <w:r w:rsidRPr="002A7627">
        <w:t xml:space="preserve">to test the research hypotheses </w:t>
      </w:r>
      <w:r w:rsidR="009E23B0">
        <w:t>using</w:t>
      </w:r>
      <w:r w:rsidRPr="002A7627">
        <w:t xml:space="preserve"> </w:t>
      </w:r>
      <w:r w:rsidR="00542ACC">
        <w:t>SEM</w:t>
      </w:r>
      <w:r w:rsidRPr="002A7627">
        <w:t>. The path coefficients or beta coefficients (</w:t>
      </w:r>
      <w:r w:rsidRPr="00615FB5">
        <w:rPr>
          <w:i/>
        </w:rPr>
        <w:t>β</w:t>
      </w:r>
      <w:r w:rsidRPr="002A7627">
        <w:t xml:space="preserve">) are the most important results of a structural model. They indicate the change in a dependent variable resulting from a unit change in an independent variable with the condition that all the other independent variables remain constant </w:t>
      </w:r>
      <w:r w:rsidRPr="002A7627">
        <w:fldChar w:fldCharType="begin" w:fldLock="1"/>
      </w:r>
      <w:r w:rsidRPr="002A7627">
        <w:instrText>ADDIN CSL_CITATION {"citationItems":[{"id":"ITEM-1","itemData":{"DOI":"10.1108/IMDS-09-2015-0382","ISBN":"0263557111","ISSN":"0263-5577","PMID":"21409434","abstract":"Purpose – Partial least squares (PLS) path modeling is a variance-based structural equation modeling (SEM) technique that is widely applied in business and social sciences. Its ability to model composites and factors makes it a formidable statistical tool for new technology research. Recent reviews, discussions, and developments have led to substantial changes in the understanding and use of PLS. The paper aims to discuss these issues. Design/methodology/approach – This paper aggregates new insights and offers a fresh look at PLS path modeling. It presents new developments, such as consistent PLS, confirmatory composite analysis, and the heterotrait-monotrait ratio of correlations. Findings – PLS path modeling is the method of choice if a SEM contains both factors and composites. Novel tests of exact fit make a confirmatory use of PLS path modeling possible. Originality/value – This paper provides updated guidelines of how to use PLS and how to report and interpret its results.","author":[{"dropping-particle":"","family":"Henseler","given":"Jörg","non-dropping-particle":"","parse-names":false,"suffix":""},{"dropping-particle":"","family":"Hubona","given":"Geoffrey","non-dropping-particle":"","parse-names":false,"suffix":""},{"dropping-particle":"","family":"Ray","given":"Pauline Ash","non-dropping-particle":"","parse-names":false,"suffix":""}],"container-title":"Industrial Management and Data Systems","id":"ITEM-1","issue":"1","issued":{"date-parts":[["2016","2"]]},"page":"2-20","title":"Using PLS path modeling in new technology research: Updated guidelines","type":"article-journal","volume":"116"},"uris":["http://www.mendeley.com/documents/?uuid=09b5e4c5-6228-4008-ba38-cd2bf7202710"]}],"mendeley":{"formattedCitation":"(Henseler et al., 2016)","plainTextFormattedCitation":"(Henseler et al., 2016)","previouslyFormattedCitation":"(Henseler et al., 2016)"},"properties":{"noteIndex":0},"schema":"https://github.com/citation-style-language/schema/raw/master/csl-citation.json"}</w:instrText>
      </w:r>
      <w:r w:rsidRPr="002A7627">
        <w:fldChar w:fldCharType="separate"/>
      </w:r>
      <w:r w:rsidRPr="002A7627">
        <w:rPr>
          <w:noProof/>
        </w:rPr>
        <w:t>(Henseler et al., 2016)</w:t>
      </w:r>
      <w:r w:rsidRPr="002A7627">
        <w:fldChar w:fldCharType="end"/>
      </w:r>
      <w:r w:rsidRPr="002A7627">
        <w:t xml:space="preserve">. </w:t>
      </w:r>
      <w:r w:rsidR="000A6AC4">
        <w:t>T</w:t>
      </w:r>
      <w:r w:rsidRPr="002A7627">
        <w:t xml:space="preserve">he predictive power of the research model </w:t>
      </w:r>
      <w:r w:rsidR="000A6AC4">
        <w:t>was</w:t>
      </w:r>
      <w:r w:rsidR="000A6AC4" w:rsidRPr="002A7627">
        <w:t xml:space="preserve"> </w:t>
      </w:r>
      <w:r w:rsidRPr="002A7627">
        <w:t xml:space="preserve">evaluated </w:t>
      </w:r>
      <w:r w:rsidR="000A6AC4">
        <w:t>using</w:t>
      </w:r>
      <w:r w:rsidRPr="002A7627">
        <w:t xml:space="preserve"> the coefficient of determination score (</w:t>
      </w:r>
      <w:r w:rsidRPr="00615FB5">
        <w:rPr>
          <w:i/>
        </w:rPr>
        <w:t>R</w:t>
      </w:r>
      <w:r w:rsidRPr="00615FB5">
        <w:rPr>
          <w:i/>
          <w:vertAlign w:val="superscript"/>
        </w:rPr>
        <w:t>2</w:t>
      </w:r>
      <w:r w:rsidRPr="002A7627">
        <w:t xml:space="preserve">). The </w:t>
      </w:r>
      <w:r w:rsidRPr="00615FB5">
        <w:rPr>
          <w:i/>
        </w:rPr>
        <w:t>R</w:t>
      </w:r>
      <w:r w:rsidRPr="00615FB5">
        <w:rPr>
          <w:i/>
          <w:vertAlign w:val="superscript"/>
        </w:rPr>
        <w:t>2</w:t>
      </w:r>
      <w:r w:rsidRPr="002A7627">
        <w:t xml:space="preserve"> is a measure of the model’s predictive accuracy, and can also be viewed as the combined effect of the exogenous variables on endogenous variables. As a guideline, </w:t>
      </w:r>
      <w:r w:rsidRPr="00615FB5">
        <w:rPr>
          <w:i/>
        </w:rPr>
        <w:t>R</w:t>
      </w:r>
      <w:r w:rsidRPr="00615FB5">
        <w:rPr>
          <w:i/>
          <w:vertAlign w:val="superscript"/>
        </w:rPr>
        <w:t>2</w:t>
      </w:r>
      <w:r w:rsidRPr="002A7627">
        <w:t xml:space="preserve"> values of 0.75, 0.50, and 0.25 can be considered substantial, moderate, and weak </w:t>
      </w:r>
      <w:r w:rsidRPr="002A7627">
        <w:fldChar w:fldCharType="begin" w:fldLock="1"/>
      </w:r>
      <w:r w:rsidRPr="002A7627">
        <w:instrText>ADDIN CSL_CITATION {"citationItems":[{"id":"ITEM-1","itemData":{"DOI":"10.1108/EBR-11-2018-0203","ISSN":"0955534X","abstract":"Purpose –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 This paper provides an overview of previously and recently proposed metrics as well as rules of thumb for evaluating the research results based on the application of PLS-SEM. Findings –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 Methodological developments associated with PLS-SEM are rapidly emerging. The metrics reported in this paper are useful for current applications, but must always be up to date with the latest developments in the PLS-SEM method. Originality/value –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PLS-SEM","type":"article-journal","volume":"31"},"uris":["http://www.mendeley.com/documents/?uuid=632893ee-4602-4bf3-9c88-ab5a48d4eeca"]}],"mendeley":{"formattedCitation":"(Hair et al., 2019)","manualFormatting":"(Hair et al., 2019)","plainTextFormattedCitation":"(Hair et al., 2019)","previouslyFormattedCitation":"(Hair et al., 2019)"},"properties":{"noteIndex":0},"schema":"https://github.com/citation-style-language/schema/raw/master/csl-citation.json"}</w:instrText>
      </w:r>
      <w:r w:rsidRPr="002A7627">
        <w:fldChar w:fldCharType="separate"/>
      </w:r>
      <w:r w:rsidRPr="002A7627">
        <w:rPr>
          <w:noProof/>
        </w:rPr>
        <w:t>(Hair et al., 2019)</w:t>
      </w:r>
      <w:r w:rsidRPr="002A7627">
        <w:fldChar w:fldCharType="end"/>
      </w:r>
      <w:r w:rsidRPr="002A7627">
        <w:t>.</w:t>
      </w:r>
    </w:p>
    <w:p w14:paraId="409EB45C" w14:textId="5F7EF681" w:rsidR="00DB543C" w:rsidRPr="002A7627" w:rsidRDefault="000A6AC4" w:rsidP="00DB543C">
      <w:pPr>
        <w:pStyle w:val="AAAAAAA"/>
      </w:pPr>
      <w:r>
        <w:t>T</w:t>
      </w:r>
      <w:r w:rsidR="00DB543C" w:rsidRPr="002A7627">
        <w:t xml:space="preserve">he removal of </w:t>
      </w:r>
      <w:r>
        <w:t>particular</w:t>
      </w:r>
      <w:r w:rsidR="00DB543C" w:rsidRPr="002A7627">
        <w:t xml:space="preserve"> predictor construct</w:t>
      </w:r>
      <w:r>
        <w:t>s may</w:t>
      </w:r>
      <w:r w:rsidR="00DB543C" w:rsidRPr="002A7627">
        <w:t xml:space="preserve"> affect an endogenous construct’s </w:t>
      </w:r>
      <w:r w:rsidR="00DB543C" w:rsidRPr="00615FB5">
        <w:rPr>
          <w:i/>
        </w:rPr>
        <w:t>R</w:t>
      </w:r>
      <w:r w:rsidR="00DB543C" w:rsidRPr="00615FB5">
        <w:rPr>
          <w:i/>
          <w:vertAlign w:val="superscript"/>
        </w:rPr>
        <w:t>2</w:t>
      </w:r>
      <w:r w:rsidR="00DB543C" w:rsidRPr="002A7627">
        <w:t xml:space="preserve"> value. The metric used </w:t>
      </w:r>
      <w:r>
        <w:t xml:space="preserve">for this </w:t>
      </w:r>
      <w:r w:rsidR="00DB543C" w:rsidRPr="002A7627">
        <w:t>is effect size (</w:t>
      </w:r>
      <w:r w:rsidR="00DB543C" w:rsidRPr="00615FB5">
        <w:rPr>
          <w:i/>
        </w:rPr>
        <w:t>f</w:t>
      </w:r>
      <w:r w:rsidR="00DB543C" w:rsidRPr="00615FB5">
        <w:rPr>
          <w:i/>
          <w:vertAlign w:val="superscript"/>
        </w:rPr>
        <w:t>2</w:t>
      </w:r>
      <w:r w:rsidR="00DB543C" w:rsidRPr="002A7627">
        <w:t xml:space="preserve">). According to </w:t>
      </w:r>
      <w:r w:rsidR="00DB543C" w:rsidRPr="002A7627">
        <w:fldChar w:fldCharType="begin" w:fldLock="1"/>
      </w:r>
      <w:r w:rsidR="00DB543C" w:rsidRPr="002A7627">
        <w:instrText>ADDIN CSL_CITATION {"citationItems":[{"id":"ITEM-1","itemData":{"author":[{"dropping-particle":"","family":"Cohen","given":"J.","non-dropping-particle":"","parse-names":false,"suffix":""}],"id":"ITEM-1","issued":{"date-parts":[["1988"]]},"publisher":"Lawrence Erlbaum","publisher-place":"Mahwah, NJ","title":"Statistical power analysis for the behavioral sciences","type":"book"},"uris":["http://www.mendeley.com/documents/?uuid=bf9c9cc1-cc9b-4c7b-b37c-9a486d0b7f12"]}],"mendeley":{"formattedCitation":"(J. Cohen, 1988)","manualFormatting":"Cohen (1988)","plainTextFormattedCitation":"(J. Cohen, 1988)","previouslyFormattedCitation":"(J. Cohen, 1988)"},"properties":{"noteIndex":0},"schema":"https://github.com/citation-style-language/schema/raw/master/csl-citation.json"}</w:instrText>
      </w:r>
      <w:r w:rsidR="00DB543C" w:rsidRPr="002A7627">
        <w:fldChar w:fldCharType="separate"/>
      </w:r>
      <w:r w:rsidR="00DB543C" w:rsidRPr="002A7627">
        <w:rPr>
          <w:noProof/>
        </w:rPr>
        <w:t>Cohen (1988)</w:t>
      </w:r>
      <w:r w:rsidR="00DB543C" w:rsidRPr="002A7627">
        <w:fldChar w:fldCharType="end"/>
      </w:r>
      <w:r w:rsidR="00DB543C" w:rsidRPr="002A7627">
        <w:t xml:space="preserve">, </w:t>
      </w:r>
      <w:r w:rsidR="00DB543C" w:rsidRPr="00615FB5">
        <w:rPr>
          <w:i/>
        </w:rPr>
        <w:t>f</w:t>
      </w:r>
      <w:r w:rsidR="00DB543C" w:rsidRPr="00615FB5">
        <w:rPr>
          <w:i/>
          <w:vertAlign w:val="superscript"/>
        </w:rPr>
        <w:t>2</w:t>
      </w:r>
      <w:r w:rsidR="00DB543C" w:rsidRPr="002A7627">
        <w:t xml:space="preserve"> values of 0.35, 0.15, and 0.02 are considered large, medium, and small effect sizes. </w:t>
      </w:r>
    </w:p>
    <w:p w14:paraId="116F02C0" w14:textId="3FDB37F4" w:rsidR="00DB543C" w:rsidRDefault="00DB543C" w:rsidP="00A93414">
      <w:pPr>
        <w:pStyle w:val="AAAAAAA"/>
      </w:pPr>
    </w:p>
    <w:p w14:paraId="41B97FD1" w14:textId="07A7DCB5" w:rsidR="00A93414" w:rsidRPr="002A7627" w:rsidRDefault="005F6EC8" w:rsidP="00A93414">
      <w:pPr>
        <w:pStyle w:val="Heading1"/>
        <w:rPr>
          <w:color w:val="000000"/>
        </w:rPr>
      </w:pPr>
      <w:bookmarkStart w:id="194" w:name="_Toc22331691"/>
      <w:r>
        <w:rPr>
          <w:color w:val="000000"/>
        </w:rPr>
        <w:t xml:space="preserve">4.14. </w:t>
      </w:r>
      <w:r w:rsidR="00A93414" w:rsidRPr="002A7627">
        <w:rPr>
          <w:color w:val="000000"/>
        </w:rPr>
        <w:t>Summary</w:t>
      </w:r>
      <w:bookmarkEnd w:id="194"/>
    </w:p>
    <w:p w14:paraId="5DFE028E" w14:textId="43A619FB" w:rsidR="0010785C" w:rsidRDefault="00A93414" w:rsidP="003325BB">
      <w:pPr>
        <w:spacing w:line="480" w:lineRule="auto"/>
        <w:jc w:val="lowKashida"/>
      </w:pPr>
      <w:r w:rsidRPr="001A25B4">
        <w:t>Th</w:t>
      </w:r>
      <w:r w:rsidR="00FA302F">
        <w:t>is</w:t>
      </w:r>
      <w:r w:rsidRPr="001A25B4">
        <w:t xml:space="preserve"> chapter </w:t>
      </w:r>
      <w:r w:rsidR="00FA302F">
        <w:t xml:space="preserve">has </w:t>
      </w:r>
      <w:r w:rsidRPr="001A25B4">
        <w:t>clarified the philosophy of the study and explained the research methodology</w:t>
      </w:r>
      <w:r w:rsidR="00FA302F">
        <w:t>,</w:t>
      </w:r>
      <w:r w:rsidRPr="001A25B4">
        <w:t xml:space="preserve"> focus</w:t>
      </w:r>
      <w:r w:rsidR="00FA302F">
        <w:t>ing</w:t>
      </w:r>
      <w:r w:rsidRPr="001A25B4">
        <w:t xml:space="preserve"> on the quantitative mono-method </w:t>
      </w:r>
      <w:r w:rsidR="00FA302F">
        <w:t>and</w:t>
      </w:r>
      <w:r w:rsidR="00FA302F" w:rsidRPr="001A25B4">
        <w:t xml:space="preserve"> </w:t>
      </w:r>
      <w:r w:rsidRPr="001A25B4">
        <w:t>a deductive approach. This study used a survey as the re</w:t>
      </w:r>
      <w:r w:rsidR="00FA302F">
        <w:t>s</w:t>
      </w:r>
      <w:r w:rsidRPr="001A25B4">
        <w:t>ea</w:t>
      </w:r>
      <w:r w:rsidR="00FA302F">
        <w:t>r</w:t>
      </w:r>
      <w:r w:rsidRPr="001A25B4">
        <w:t>ch tool (</w:t>
      </w:r>
      <w:r w:rsidR="00FA302F">
        <w:t>both o</w:t>
      </w:r>
      <w:r w:rsidRPr="001A25B4">
        <w:t>nline and face</w:t>
      </w:r>
      <w:r w:rsidR="00FA302F">
        <w:t>-</w:t>
      </w:r>
      <w:r w:rsidRPr="001A25B4">
        <w:t>to</w:t>
      </w:r>
      <w:r w:rsidR="00FA302F">
        <w:t>-</w:t>
      </w:r>
      <w:r w:rsidRPr="001A25B4">
        <w:t xml:space="preserve">face or hard copy) </w:t>
      </w:r>
      <w:r w:rsidR="00FA302F">
        <w:t>to</w:t>
      </w:r>
      <w:r w:rsidR="00FA302F" w:rsidRPr="001A25B4">
        <w:t xml:space="preserve"> </w:t>
      </w:r>
      <w:r w:rsidRPr="001A25B4">
        <w:t xml:space="preserve">collect data from the policing </w:t>
      </w:r>
      <w:r w:rsidR="00E01BF4" w:rsidRPr="00170927">
        <w:t>organization</w:t>
      </w:r>
      <w:r w:rsidRPr="00170927">
        <w:t xml:space="preserve">. </w:t>
      </w:r>
      <w:r w:rsidR="00FA302F">
        <w:t>T</w:t>
      </w:r>
      <w:r w:rsidRPr="00170927">
        <w:t xml:space="preserve">he chapter </w:t>
      </w:r>
      <w:r w:rsidR="00FA302F">
        <w:t xml:space="preserve">has also </w:t>
      </w:r>
      <w:r w:rsidRPr="00170927">
        <w:t xml:space="preserve">shed light on the research design, instrumentation, population, technique </w:t>
      </w:r>
      <w:r w:rsidRPr="003325BB">
        <w:t xml:space="preserve">and sampling method. The next section deals with </w:t>
      </w:r>
      <w:r w:rsidR="00FA302F">
        <w:t xml:space="preserve">the </w:t>
      </w:r>
      <w:r w:rsidRPr="003325BB">
        <w:t>research analysis and presents the results</w:t>
      </w:r>
      <w:r w:rsidRPr="002A7627">
        <w:t>.</w:t>
      </w:r>
      <w:r w:rsidR="004336AF">
        <w:t xml:space="preserve"> </w:t>
      </w:r>
    </w:p>
    <w:p w14:paraId="795B44C2" w14:textId="77777777" w:rsidR="000C5006" w:rsidRPr="002A7627" w:rsidRDefault="000C5006" w:rsidP="003325BB">
      <w:pPr>
        <w:spacing w:line="480" w:lineRule="auto"/>
        <w:jc w:val="lowKashida"/>
        <w:sectPr w:rsidR="000C5006" w:rsidRPr="002A7627" w:rsidSect="005C2441">
          <w:headerReference w:type="default" r:id="rId33"/>
          <w:pgSz w:w="12240" w:h="15840"/>
          <w:pgMar w:top="1800" w:right="2160" w:bottom="1800" w:left="2160" w:header="720" w:footer="720" w:gutter="0"/>
          <w:cols w:space="720"/>
          <w:docGrid w:linePitch="360"/>
        </w:sectPr>
      </w:pPr>
    </w:p>
    <w:p w14:paraId="29F07B96" w14:textId="35B3B9EF" w:rsidR="00EE53EB" w:rsidRPr="002A7627" w:rsidRDefault="00FB4A03" w:rsidP="00677985">
      <w:pPr>
        <w:pStyle w:val="Title"/>
        <w:rPr>
          <w:rFonts w:asciiTheme="majorBidi" w:hAnsiTheme="majorBidi" w:cstheme="majorBidi"/>
          <w:sz w:val="40"/>
          <w:szCs w:val="40"/>
          <w:lang w:bidi="fa-IR"/>
        </w:rPr>
      </w:pPr>
      <w:bookmarkStart w:id="195" w:name="_Toc13959660"/>
      <w:bookmarkStart w:id="196" w:name="_Toc22331692"/>
      <w:r>
        <w:rPr>
          <w:color w:val="000000"/>
        </w:rPr>
        <w:t>CHAPTER 5: ANALYSIS OF THE RESULTS</w:t>
      </w:r>
      <w:bookmarkEnd w:id="195"/>
      <w:bookmarkEnd w:id="196"/>
    </w:p>
    <w:p w14:paraId="09C200B7" w14:textId="0F961E0C" w:rsidR="00EE53EB" w:rsidRPr="002A7627" w:rsidRDefault="00B00750" w:rsidP="0017121F">
      <w:pPr>
        <w:pStyle w:val="Heading1"/>
        <w:rPr>
          <w:rFonts w:asciiTheme="majorBidi" w:hAnsiTheme="majorBidi"/>
          <w:color w:val="000000"/>
          <w:lang w:bidi="fa-IR"/>
        </w:rPr>
      </w:pPr>
      <w:bookmarkStart w:id="197" w:name="_Toc13959661"/>
      <w:bookmarkStart w:id="198" w:name="_Toc22331693"/>
      <w:r>
        <w:rPr>
          <w:color w:val="000000"/>
        </w:rPr>
        <w:t xml:space="preserve">5.1. </w:t>
      </w:r>
      <w:r w:rsidR="00EE53EB" w:rsidRPr="002A7627">
        <w:rPr>
          <w:color w:val="000000"/>
        </w:rPr>
        <w:t>Introduction</w:t>
      </w:r>
      <w:bookmarkEnd w:id="197"/>
      <w:bookmarkEnd w:id="198"/>
    </w:p>
    <w:p w14:paraId="72A22114" w14:textId="7D957FD0" w:rsidR="00EE53EB" w:rsidRPr="002A7627" w:rsidRDefault="00EE53EB" w:rsidP="0010785C">
      <w:pPr>
        <w:pStyle w:val="AAAAAAA"/>
        <w:rPr>
          <w:lang w:bidi="fa-IR"/>
        </w:rPr>
      </w:pPr>
      <w:r w:rsidRPr="002A7627">
        <w:rPr>
          <w:lang w:bidi="fa-IR"/>
        </w:rPr>
        <w:t xml:space="preserve">This chapter details the analytical methods used </w:t>
      </w:r>
      <w:r w:rsidR="00647F8A">
        <w:rPr>
          <w:lang w:bidi="fa-IR"/>
        </w:rPr>
        <w:t>to answer</w:t>
      </w:r>
      <w:r w:rsidRPr="002A7627">
        <w:rPr>
          <w:lang w:bidi="fa-IR"/>
        </w:rPr>
        <w:t xml:space="preserve"> the research questions and </w:t>
      </w:r>
      <w:r w:rsidR="00DE2ECA">
        <w:rPr>
          <w:lang w:bidi="fa-IR"/>
        </w:rPr>
        <w:t>test</w:t>
      </w:r>
      <w:r w:rsidRPr="002A7627">
        <w:rPr>
          <w:lang w:bidi="fa-IR"/>
        </w:rPr>
        <w:t xml:space="preserve"> the research hypotheses</w:t>
      </w:r>
      <w:r w:rsidR="00647F8A">
        <w:rPr>
          <w:lang w:bidi="fa-IR"/>
        </w:rPr>
        <w:t>, and also sets out the results</w:t>
      </w:r>
      <w:r w:rsidRPr="002A7627">
        <w:rPr>
          <w:lang w:bidi="fa-IR"/>
        </w:rPr>
        <w:t>. The statistical methods applied in this research include descriptive analysis for demographic variables and S</w:t>
      </w:r>
      <w:r w:rsidR="00601387" w:rsidRPr="002A7627">
        <w:rPr>
          <w:lang w:bidi="fa-IR"/>
        </w:rPr>
        <w:t>EM</w:t>
      </w:r>
      <w:r w:rsidRPr="002A7627">
        <w:rPr>
          <w:lang w:bidi="fa-IR"/>
        </w:rPr>
        <w:t xml:space="preserve"> </w:t>
      </w:r>
      <w:r w:rsidR="00647F8A">
        <w:rPr>
          <w:lang w:bidi="fa-IR"/>
        </w:rPr>
        <w:t>with</w:t>
      </w:r>
      <w:r w:rsidR="00647F8A" w:rsidRPr="002A7627">
        <w:rPr>
          <w:lang w:bidi="fa-IR"/>
        </w:rPr>
        <w:t xml:space="preserve"> </w:t>
      </w:r>
      <w:r w:rsidRPr="002A7627">
        <w:rPr>
          <w:lang w:bidi="fa-IR"/>
        </w:rPr>
        <w:t>C</w:t>
      </w:r>
      <w:r w:rsidR="00601387" w:rsidRPr="002A7627">
        <w:rPr>
          <w:lang w:bidi="fa-IR"/>
        </w:rPr>
        <w:t>FA</w:t>
      </w:r>
      <w:r w:rsidRPr="002A7627">
        <w:rPr>
          <w:lang w:bidi="fa-IR"/>
        </w:rPr>
        <w:t xml:space="preserve">, </w:t>
      </w:r>
      <w:r w:rsidR="00647F8A">
        <w:rPr>
          <w:lang w:bidi="fa-IR"/>
        </w:rPr>
        <w:t>using</w:t>
      </w:r>
      <w:r w:rsidRPr="002A7627">
        <w:rPr>
          <w:lang w:bidi="fa-IR"/>
        </w:rPr>
        <w:t xml:space="preserve"> SPSS and SmartPLS 3 software. </w:t>
      </w:r>
    </w:p>
    <w:p w14:paraId="50DBE9BC" w14:textId="42B1E56A" w:rsidR="00EE53EB" w:rsidRPr="002A7627" w:rsidRDefault="00B00750" w:rsidP="0017121F">
      <w:pPr>
        <w:pStyle w:val="Heading1"/>
        <w:rPr>
          <w:rFonts w:asciiTheme="majorBidi" w:hAnsiTheme="majorBidi"/>
          <w:color w:val="000000"/>
          <w:lang w:bidi="fa-IR"/>
        </w:rPr>
      </w:pPr>
      <w:bookmarkStart w:id="199" w:name="_Toc13959662"/>
      <w:bookmarkStart w:id="200" w:name="_Toc22331694"/>
      <w:r>
        <w:rPr>
          <w:color w:val="000000"/>
        </w:rPr>
        <w:t xml:space="preserve">5.2. </w:t>
      </w:r>
      <w:r w:rsidR="00EE53EB" w:rsidRPr="002A7627">
        <w:rPr>
          <w:color w:val="000000"/>
        </w:rPr>
        <w:t>Demographics</w:t>
      </w:r>
      <w:bookmarkEnd w:id="199"/>
      <w:bookmarkEnd w:id="200"/>
    </w:p>
    <w:p w14:paraId="1FA2B9AD" w14:textId="32B24F6C" w:rsidR="00EE53EB" w:rsidRPr="002A7627" w:rsidRDefault="00647F8A" w:rsidP="0010785C">
      <w:pPr>
        <w:pStyle w:val="AAAAAAA"/>
        <w:rPr>
          <w:lang w:bidi="fa-IR"/>
        </w:rPr>
      </w:pPr>
      <w:r>
        <w:rPr>
          <w:lang w:bidi="fa-IR"/>
        </w:rPr>
        <w:t>T</w:t>
      </w:r>
      <w:r w:rsidR="00EE53EB" w:rsidRPr="002A7627">
        <w:rPr>
          <w:lang w:bidi="fa-IR"/>
        </w:rPr>
        <w:t xml:space="preserve">wo data collection approaches were </w:t>
      </w:r>
      <w:r>
        <w:rPr>
          <w:lang w:bidi="fa-IR"/>
        </w:rPr>
        <w:t>used</w:t>
      </w:r>
      <w:r w:rsidRPr="002A7627">
        <w:rPr>
          <w:lang w:bidi="fa-IR"/>
        </w:rPr>
        <w:t xml:space="preserve"> </w:t>
      </w:r>
      <w:r w:rsidR="00EE53EB" w:rsidRPr="002A7627">
        <w:rPr>
          <w:lang w:bidi="fa-IR"/>
        </w:rPr>
        <w:t>to collect the data: online and hard</w:t>
      </w:r>
      <w:r w:rsidR="009E23B0">
        <w:rPr>
          <w:lang w:bidi="fa-IR"/>
        </w:rPr>
        <w:t xml:space="preserve"> </w:t>
      </w:r>
      <w:r w:rsidR="00EE53EB" w:rsidRPr="002A7627">
        <w:rPr>
          <w:lang w:bidi="fa-IR"/>
        </w:rPr>
        <w:t xml:space="preserve">copy survey questionnaires. In total, </w:t>
      </w:r>
      <w:r w:rsidR="008348A5">
        <w:rPr>
          <w:lang w:bidi="fa-IR"/>
        </w:rPr>
        <w:t>1157</w:t>
      </w:r>
      <w:r w:rsidR="008348A5" w:rsidRPr="002A7627">
        <w:rPr>
          <w:lang w:bidi="fa-IR"/>
        </w:rPr>
        <w:t xml:space="preserve"> </w:t>
      </w:r>
      <w:r w:rsidR="00EE53EB" w:rsidRPr="002A7627">
        <w:rPr>
          <w:lang w:bidi="fa-IR"/>
        </w:rPr>
        <w:t xml:space="preserve">online questionnaires were sent </w:t>
      </w:r>
      <w:r>
        <w:rPr>
          <w:lang w:bidi="fa-IR"/>
        </w:rPr>
        <w:t xml:space="preserve">out </w:t>
      </w:r>
      <w:r w:rsidR="00EE53EB" w:rsidRPr="002A7627">
        <w:rPr>
          <w:lang w:bidi="fa-IR"/>
        </w:rPr>
        <w:t xml:space="preserve">to through </w:t>
      </w:r>
      <w:r>
        <w:rPr>
          <w:lang w:bidi="fa-IR"/>
        </w:rPr>
        <w:t xml:space="preserve">the organization’s </w:t>
      </w:r>
      <w:r w:rsidR="00EE53EB" w:rsidRPr="002A7627">
        <w:rPr>
          <w:lang w:bidi="fa-IR"/>
        </w:rPr>
        <w:t xml:space="preserve">Intranet, </w:t>
      </w:r>
      <w:r>
        <w:rPr>
          <w:lang w:bidi="fa-IR"/>
        </w:rPr>
        <w:t>and</w:t>
      </w:r>
      <w:r w:rsidRPr="002A7627">
        <w:rPr>
          <w:lang w:bidi="fa-IR"/>
        </w:rPr>
        <w:t xml:space="preserve"> </w:t>
      </w:r>
      <w:r w:rsidR="00EE53EB" w:rsidRPr="002A7627">
        <w:rPr>
          <w:lang w:bidi="fa-IR"/>
        </w:rPr>
        <w:t xml:space="preserve">587 participants replied. </w:t>
      </w:r>
      <w:r>
        <w:rPr>
          <w:lang w:bidi="fa-IR"/>
        </w:rPr>
        <w:t>A further</w:t>
      </w:r>
      <w:r w:rsidR="00EE53EB" w:rsidRPr="002A7627">
        <w:rPr>
          <w:lang w:bidi="fa-IR"/>
        </w:rPr>
        <w:t xml:space="preserve"> </w:t>
      </w:r>
      <w:r w:rsidR="008348A5" w:rsidRPr="002A7627">
        <w:rPr>
          <w:lang w:bidi="fa-IR"/>
        </w:rPr>
        <w:t>1</w:t>
      </w:r>
      <w:r w:rsidR="008348A5">
        <w:rPr>
          <w:lang w:bidi="fa-IR"/>
        </w:rPr>
        <w:t>20</w:t>
      </w:r>
      <w:r w:rsidR="008348A5" w:rsidRPr="002A7627">
        <w:rPr>
          <w:lang w:bidi="fa-IR"/>
        </w:rPr>
        <w:t xml:space="preserve"> </w:t>
      </w:r>
      <w:r w:rsidR="00EE53EB" w:rsidRPr="002A7627">
        <w:rPr>
          <w:lang w:bidi="fa-IR"/>
        </w:rPr>
        <w:t>hard</w:t>
      </w:r>
      <w:r w:rsidR="009E23B0">
        <w:rPr>
          <w:lang w:bidi="fa-IR"/>
        </w:rPr>
        <w:t xml:space="preserve"> </w:t>
      </w:r>
      <w:r w:rsidR="00EE53EB" w:rsidRPr="002A7627">
        <w:rPr>
          <w:lang w:bidi="fa-IR"/>
        </w:rPr>
        <w:t xml:space="preserve">copy questionnaires were distributed manually, </w:t>
      </w:r>
      <w:r>
        <w:rPr>
          <w:lang w:bidi="fa-IR"/>
        </w:rPr>
        <w:t>and</w:t>
      </w:r>
      <w:r w:rsidRPr="002A7627">
        <w:rPr>
          <w:lang w:bidi="fa-IR"/>
        </w:rPr>
        <w:t xml:space="preserve"> </w:t>
      </w:r>
      <w:r w:rsidR="00EE53EB" w:rsidRPr="002A7627">
        <w:rPr>
          <w:lang w:bidi="fa-IR"/>
        </w:rPr>
        <w:t>responses were collected</w:t>
      </w:r>
      <w:r w:rsidR="003F11CA">
        <w:rPr>
          <w:lang w:bidi="fa-IR"/>
        </w:rPr>
        <w:t xml:space="preserve"> and used</w:t>
      </w:r>
      <w:r w:rsidR="00EE53EB" w:rsidRPr="002A7627">
        <w:rPr>
          <w:lang w:bidi="fa-IR"/>
        </w:rPr>
        <w:t xml:space="preserve">. </w:t>
      </w:r>
      <w:r>
        <w:rPr>
          <w:lang w:bidi="fa-IR"/>
        </w:rPr>
        <w:t>A</w:t>
      </w:r>
      <w:r w:rsidR="00EE53EB" w:rsidRPr="002A7627">
        <w:rPr>
          <w:lang w:bidi="fa-IR"/>
        </w:rPr>
        <w:t xml:space="preserve"> total of 693 complete questionnaires were collected</w:t>
      </w:r>
      <w:r w:rsidR="003F11CA">
        <w:rPr>
          <w:lang w:bidi="fa-IR"/>
        </w:rPr>
        <w:t xml:space="preserve"> and used</w:t>
      </w:r>
      <w:r w:rsidR="00F43C2E" w:rsidRPr="002A7627">
        <w:rPr>
          <w:lang w:bidi="fa-IR"/>
        </w:rPr>
        <w:t>,</w:t>
      </w:r>
      <w:r w:rsidR="00EE53EB" w:rsidRPr="002A7627">
        <w:rPr>
          <w:lang w:bidi="fa-IR"/>
        </w:rPr>
        <w:t xml:space="preserve"> including 587</w:t>
      </w:r>
      <w:r>
        <w:rPr>
          <w:lang w:bidi="fa-IR"/>
        </w:rPr>
        <w:t xml:space="preserve"> </w:t>
      </w:r>
      <w:r w:rsidR="00EE53EB" w:rsidRPr="002A7627">
        <w:rPr>
          <w:lang w:bidi="fa-IR"/>
        </w:rPr>
        <w:t>(84.7%) online and 106</w:t>
      </w:r>
      <w:r>
        <w:rPr>
          <w:lang w:bidi="fa-IR"/>
        </w:rPr>
        <w:t xml:space="preserve"> </w:t>
      </w:r>
      <w:r w:rsidR="00EE53EB" w:rsidRPr="002A7627">
        <w:rPr>
          <w:lang w:bidi="fa-IR"/>
        </w:rPr>
        <w:t>(15.3%) hard cop</w:t>
      </w:r>
      <w:r>
        <w:rPr>
          <w:lang w:bidi="fa-IR"/>
        </w:rPr>
        <w:t>ies</w:t>
      </w:r>
      <w:r w:rsidR="00EE53EB" w:rsidRPr="002A7627">
        <w:rPr>
          <w:lang w:bidi="fa-IR"/>
        </w:rPr>
        <w:t xml:space="preserve">. </w:t>
      </w:r>
    </w:p>
    <w:p w14:paraId="43356E8B" w14:textId="05408705" w:rsidR="002D539D" w:rsidRDefault="00647F8A" w:rsidP="0010785C">
      <w:pPr>
        <w:pStyle w:val="AAAAAAA"/>
        <w:rPr>
          <w:lang w:bidi="fa-IR"/>
        </w:rPr>
      </w:pPr>
      <w:r>
        <w:rPr>
          <w:lang w:bidi="fa-IR"/>
        </w:rPr>
        <w:t>T</w:t>
      </w:r>
      <w:r w:rsidR="00EE53EB" w:rsidRPr="002A7627">
        <w:rPr>
          <w:lang w:bidi="fa-IR"/>
        </w:rPr>
        <w:t xml:space="preserve">he research questionnaire </w:t>
      </w:r>
      <w:r>
        <w:rPr>
          <w:lang w:bidi="fa-IR"/>
        </w:rPr>
        <w:t>included</w:t>
      </w:r>
      <w:r w:rsidRPr="002A7627">
        <w:rPr>
          <w:lang w:bidi="fa-IR"/>
        </w:rPr>
        <w:t xml:space="preserve"> </w:t>
      </w:r>
      <w:r w:rsidR="00781ECB" w:rsidRPr="002A7627">
        <w:rPr>
          <w:lang w:bidi="fa-IR"/>
        </w:rPr>
        <w:t>eight</w:t>
      </w:r>
      <w:r w:rsidR="00EE53EB" w:rsidRPr="002A7627">
        <w:rPr>
          <w:lang w:bidi="fa-IR"/>
        </w:rPr>
        <w:t xml:space="preserve"> demographic questions</w:t>
      </w:r>
      <w:r w:rsidR="00F43C2E" w:rsidRPr="002A7627">
        <w:rPr>
          <w:lang w:bidi="fa-IR"/>
        </w:rPr>
        <w:t>,</w:t>
      </w:r>
      <w:r w:rsidR="00EE53EB" w:rsidRPr="002A7627">
        <w:rPr>
          <w:lang w:bidi="fa-IR"/>
        </w:rPr>
        <w:t xml:space="preserve"> </w:t>
      </w:r>
      <w:r>
        <w:rPr>
          <w:lang w:bidi="fa-IR"/>
        </w:rPr>
        <w:t>covering</w:t>
      </w:r>
      <w:r w:rsidR="00EE53EB" w:rsidRPr="002A7627">
        <w:rPr>
          <w:lang w:bidi="fa-IR"/>
        </w:rPr>
        <w:t xml:space="preserve"> </w:t>
      </w:r>
      <w:r w:rsidRPr="002A7627">
        <w:rPr>
          <w:lang w:bidi="fa-IR"/>
        </w:rPr>
        <w:t>gender, age, job</w:t>
      </w:r>
      <w:r w:rsidRPr="002A7627">
        <w:t xml:space="preserve"> </w:t>
      </w:r>
      <w:r w:rsidRPr="002A7627">
        <w:rPr>
          <w:lang w:bidi="fa-IR"/>
        </w:rPr>
        <w:t xml:space="preserve">function, level of education, position, years of experience, sector and </w:t>
      </w:r>
      <w:r w:rsidR="009E23B0">
        <w:rPr>
          <w:lang w:bidi="fa-IR"/>
        </w:rPr>
        <w:t xml:space="preserve">whether the respondent worked in a </w:t>
      </w:r>
      <w:r w:rsidRPr="002A7627">
        <w:rPr>
          <w:lang w:bidi="fa-IR"/>
        </w:rPr>
        <w:t>police station</w:t>
      </w:r>
      <w:r w:rsidR="00EE53EB" w:rsidRPr="002A7627">
        <w:rPr>
          <w:lang w:bidi="fa-IR"/>
        </w:rPr>
        <w:t>. Th</w:t>
      </w:r>
      <w:r>
        <w:rPr>
          <w:lang w:bidi="fa-IR"/>
        </w:rPr>
        <w:t>is</w:t>
      </w:r>
      <w:r w:rsidR="00EE53EB" w:rsidRPr="002A7627">
        <w:rPr>
          <w:lang w:bidi="fa-IR"/>
        </w:rPr>
        <w:t xml:space="preserve"> section analyzes the demographic</w:t>
      </w:r>
      <w:r>
        <w:rPr>
          <w:lang w:bidi="fa-IR"/>
        </w:rPr>
        <w:t xml:space="preserve"> information from participants. </w:t>
      </w:r>
    </w:p>
    <w:p w14:paraId="504818D1" w14:textId="77777777" w:rsidR="00647F8A" w:rsidRPr="002A7627" w:rsidRDefault="00647F8A" w:rsidP="00440923">
      <w:pPr>
        <w:pStyle w:val="AAAAAAA"/>
        <w:ind w:firstLine="0"/>
        <w:rPr>
          <w:lang w:bidi="fa-IR"/>
        </w:rPr>
        <w:sectPr w:rsidR="00647F8A" w:rsidRPr="002A7627" w:rsidSect="00031AF8">
          <w:footerReference w:type="default" r:id="rId34"/>
          <w:pgSz w:w="12240" w:h="15840"/>
          <w:pgMar w:top="2880" w:right="2160" w:bottom="1800" w:left="2160" w:header="720" w:footer="720" w:gutter="0"/>
          <w:cols w:space="720"/>
          <w:docGrid w:linePitch="360"/>
        </w:sectPr>
      </w:pPr>
    </w:p>
    <w:p w14:paraId="3BBBB29F" w14:textId="6F2639DC" w:rsidR="00EE53EB" w:rsidRPr="002A7627" w:rsidRDefault="00B00750" w:rsidP="00647F8A">
      <w:pPr>
        <w:pStyle w:val="AAAAAAA"/>
        <w:rPr>
          <w:lang w:bidi="fa-IR"/>
        </w:rPr>
      </w:pPr>
      <w:bookmarkStart w:id="201" w:name="_Toc22331695"/>
      <w:r>
        <w:rPr>
          <w:rStyle w:val="Heading2Char"/>
          <w:color w:val="000000"/>
          <w:u w:val="none"/>
        </w:rPr>
        <w:t xml:space="preserve">5.2.1. </w:t>
      </w:r>
      <w:r w:rsidR="00EE53EB" w:rsidRPr="002A7627">
        <w:rPr>
          <w:rStyle w:val="Heading2Char"/>
          <w:color w:val="000000"/>
          <w:u w:val="none"/>
        </w:rPr>
        <w:t>Gender</w:t>
      </w:r>
      <w:r w:rsidR="0010785C" w:rsidRPr="002A7627">
        <w:rPr>
          <w:rStyle w:val="Heading2Char"/>
          <w:color w:val="000000"/>
          <w:u w:val="none"/>
        </w:rPr>
        <w:t>.</w:t>
      </w:r>
      <w:bookmarkEnd w:id="201"/>
      <w:r w:rsidR="0010785C" w:rsidRPr="002A7627">
        <w:rPr>
          <w:lang w:bidi="fa-IR"/>
        </w:rPr>
        <w:t xml:space="preserve"> </w:t>
      </w:r>
      <w:r w:rsidR="00EE53EB" w:rsidRPr="002A7627">
        <w:rPr>
          <w:lang w:bidi="fa-IR"/>
        </w:rPr>
        <w:t xml:space="preserve">The first demographic variable considered in this study </w:t>
      </w:r>
      <w:r w:rsidR="00647F8A">
        <w:rPr>
          <w:lang w:bidi="fa-IR"/>
        </w:rPr>
        <w:t>was</w:t>
      </w:r>
      <w:r w:rsidR="00647F8A" w:rsidRPr="002A7627">
        <w:rPr>
          <w:lang w:bidi="fa-IR"/>
        </w:rPr>
        <w:t xml:space="preserve"> </w:t>
      </w:r>
      <w:r w:rsidR="00EE53EB" w:rsidRPr="002A7627">
        <w:rPr>
          <w:lang w:bidi="fa-IR"/>
        </w:rPr>
        <w:t xml:space="preserve">gender. </w:t>
      </w:r>
      <w:r w:rsidR="00647F8A">
        <w:rPr>
          <w:lang w:bidi="fa-IR"/>
        </w:rPr>
        <w:t>The majority of</w:t>
      </w:r>
      <w:r w:rsidR="00EE53EB" w:rsidRPr="002A7627">
        <w:rPr>
          <w:lang w:bidi="fa-IR"/>
        </w:rPr>
        <w:t xml:space="preserve"> participants (570 respondents</w:t>
      </w:r>
      <w:r w:rsidR="00647F8A">
        <w:rPr>
          <w:lang w:bidi="fa-IR"/>
        </w:rPr>
        <w:t>, 82.3%</w:t>
      </w:r>
      <w:r w:rsidR="00EE53EB" w:rsidRPr="002A7627">
        <w:rPr>
          <w:lang w:bidi="fa-IR"/>
        </w:rPr>
        <w:t xml:space="preserve">) </w:t>
      </w:r>
      <w:r w:rsidR="00647F8A">
        <w:rPr>
          <w:lang w:bidi="fa-IR"/>
        </w:rPr>
        <w:t>were</w:t>
      </w:r>
      <w:r w:rsidR="00EE53EB" w:rsidRPr="002A7627">
        <w:rPr>
          <w:lang w:bidi="fa-IR"/>
        </w:rPr>
        <w:t xml:space="preserve"> </w:t>
      </w:r>
      <w:r w:rsidR="00647F8A">
        <w:rPr>
          <w:lang w:bidi="fa-IR"/>
        </w:rPr>
        <w:t>men, and</w:t>
      </w:r>
      <w:r w:rsidR="00EE53EB" w:rsidRPr="002A7627">
        <w:rPr>
          <w:lang w:bidi="fa-IR"/>
        </w:rPr>
        <w:t xml:space="preserve"> 123 </w:t>
      </w:r>
      <w:r w:rsidR="00647F8A">
        <w:rPr>
          <w:lang w:bidi="fa-IR"/>
        </w:rPr>
        <w:t>(17.7%) were women (see Table 9)</w:t>
      </w:r>
      <w:r w:rsidR="00EE53EB" w:rsidRPr="002A7627">
        <w:rPr>
          <w:lang w:bidi="fa-IR"/>
        </w:rPr>
        <w:t xml:space="preserve">. </w:t>
      </w:r>
    </w:p>
    <w:p w14:paraId="56777871" w14:textId="46F54698" w:rsidR="00EA4132" w:rsidRPr="001D5F54" w:rsidRDefault="00C52840" w:rsidP="0089702C">
      <w:pPr>
        <w:pStyle w:val="Caption"/>
        <w:jc w:val="lowKashida"/>
        <w:rPr>
          <w:color w:val="000000"/>
          <w:szCs w:val="24"/>
        </w:rPr>
      </w:pPr>
      <w:bookmarkStart w:id="202" w:name="_Toc19478587"/>
      <w:bookmarkStart w:id="203" w:name="_Toc21074077"/>
      <w:r w:rsidRPr="004D08C5">
        <w:rPr>
          <w:bCs w:val="0"/>
        </w:rPr>
        <w:t xml:space="preserve">Table </w:t>
      </w:r>
      <w:r w:rsidR="006D32F8" w:rsidRPr="004D08C5">
        <w:rPr>
          <w:bCs w:val="0"/>
          <w:noProof/>
        </w:rPr>
        <w:fldChar w:fldCharType="begin"/>
      </w:r>
      <w:r w:rsidR="006D32F8" w:rsidRPr="004D08C5">
        <w:rPr>
          <w:bCs w:val="0"/>
          <w:noProof/>
        </w:rPr>
        <w:instrText xml:space="preserve"> SEQ Table \* ARABIC </w:instrText>
      </w:r>
      <w:r w:rsidR="006D32F8" w:rsidRPr="004D08C5">
        <w:rPr>
          <w:bCs w:val="0"/>
          <w:noProof/>
        </w:rPr>
        <w:fldChar w:fldCharType="separate"/>
      </w:r>
      <w:r w:rsidR="00972C3F">
        <w:rPr>
          <w:bCs w:val="0"/>
          <w:noProof/>
        </w:rPr>
        <w:t>9</w:t>
      </w:r>
      <w:r w:rsidR="006D32F8" w:rsidRPr="004D08C5">
        <w:rPr>
          <w:bCs w:val="0"/>
          <w:noProof/>
        </w:rPr>
        <w:fldChar w:fldCharType="end"/>
      </w:r>
      <w:r w:rsidRPr="004D08C5">
        <w:rPr>
          <w:bCs w:val="0"/>
        </w:rPr>
        <w:t>.</w:t>
      </w:r>
      <w:r>
        <w:t xml:space="preserve"> </w:t>
      </w:r>
      <w:r w:rsidRPr="003603B5">
        <w:t xml:space="preserve">The frequency and percentage of participants </w:t>
      </w:r>
      <w:r w:rsidR="00647F8A">
        <w:t>by</w:t>
      </w:r>
      <w:r w:rsidRPr="003603B5">
        <w:t xml:space="preserve"> gender</w:t>
      </w:r>
      <w:bookmarkEnd w:id="202"/>
      <w:bookmarkEnd w:id="203"/>
    </w:p>
    <w:tbl>
      <w:tblPr>
        <w:tblW w:w="6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520"/>
        <w:gridCol w:w="1271"/>
        <w:gridCol w:w="1009"/>
        <w:gridCol w:w="1392"/>
        <w:gridCol w:w="1468"/>
      </w:tblGrid>
      <w:tr w:rsidR="00EE53EB" w:rsidRPr="002A7627" w14:paraId="1FAFA320" w14:textId="77777777" w:rsidTr="004E20E0">
        <w:trPr>
          <w:cantSplit/>
        </w:trPr>
        <w:tc>
          <w:tcPr>
            <w:tcW w:w="1560" w:type="dxa"/>
            <w:gridSpan w:val="2"/>
            <w:tcBorders>
              <w:top w:val="single" w:sz="4" w:space="0" w:color="auto"/>
              <w:left w:val="nil"/>
              <w:bottom w:val="single" w:sz="4" w:space="0" w:color="auto"/>
              <w:right w:val="nil"/>
            </w:tcBorders>
            <w:shd w:val="clear" w:color="auto" w:fill="FFFFFF"/>
            <w:vAlign w:val="center"/>
          </w:tcPr>
          <w:p w14:paraId="464F1237" w14:textId="77777777" w:rsidR="00EE53EB" w:rsidRPr="002A7627" w:rsidRDefault="00EE53EB" w:rsidP="00B05733">
            <w:pPr>
              <w:jc w:val="center"/>
              <w:rPr>
                <w:rFonts w:asciiTheme="majorBidi" w:hAnsiTheme="majorBidi" w:cstheme="majorBidi"/>
              </w:rPr>
            </w:pPr>
          </w:p>
        </w:tc>
        <w:tc>
          <w:tcPr>
            <w:tcW w:w="1271" w:type="dxa"/>
            <w:tcBorders>
              <w:top w:val="single" w:sz="4" w:space="0" w:color="auto"/>
              <w:left w:val="nil"/>
              <w:bottom w:val="single" w:sz="4" w:space="0" w:color="auto"/>
              <w:right w:val="nil"/>
            </w:tcBorders>
            <w:shd w:val="clear" w:color="auto" w:fill="FFFFFF"/>
            <w:vAlign w:val="center"/>
          </w:tcPr>
          <w:p w14:paraId="627AAC7F"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Frequency</w:t>
            </w:r>
          </w:p>
        </w:tc>
        <w:tc>
          <w:tcPr>
            <w:tcW w:w="1009" w:type="dxa"/>
            <w:tcBorders>
              <w:top w:val="single" w:sz="4" w:space="0" w:color="auto"/>
              <w:left w:val="nil"/>
              <w:bottom w:val="single" w:sz="4" w:space="0" w:color="auto"/>
              <w:right w:val="nil"/>
            </w:tcBorders>
            <w:shd w:val="clear" w:color="auto" w:fill="FFFFFF"/>
            <w:vAlign w:val="center"/>
          </w:tcPr>
          <w:p w14:paraId="1738647F"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Percent</w:t>
            </w:r>
          </w:p>
        </w:tc>
        <w:tc>
          <w:tcPr>
            <w:tcW w:w="1392" w:type="dxa"/>
            <w:tcBorders>
              <w:top w:val="single" w:sz="4" w:space="0" w:color="auto"/>
              <w:left w:val="nil"/>
              <w:bottom w:val="single" w:sz="4" w:space="0" w:color="auto"/>
              <w:right w:val="nil"/>
            </w:tcBorders>
            <w:shd w:val="clear" w:color="auto" w:fill="FFFFFF"/>
            <w:vAlign w:val="center"/>
          </w:tcPr>
          <w:p w14:paraId="6974263D"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Valid Percent</w:t>
            </w:r>
          </w:p>
        </w:tc>
        <w:tc>
          <w:tcPr>
            <w:tcW w:w="1468" w:type="dxa"/>
            <w:tcBorders>
              <w:top w:val="single" w:sz="4" w:space="0" w:color="auto"/>
              <w:left w:val="nil"/>
              <w:bottom w:val="single" w:sz="4" w:space="0" w:color="auto"/>
              <w:right w:val="nil"/>
            </w:tcBorders>
            <w:shd w:val="clear" w:color="auto" w:fill="FFFFFF"/>
            <w:vAlign w:val="center"/>
          </w:tcPr>
          <w:p w14:paraId="27EBE4A7"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Cumulative Percent</w:t>
            </w:r>
          </w:p>
        </w:tc>
      </w:tr>
      <w:tr w:rsidR="00EE53EB" w:rsidRPr="002A7627" w14:paraId="38D963E9" w14:textId="77777777" w:rsidTr="004E20E0">
        <w:trPr>
          <w:cantSplit/>
        </w:trPr>
        <w:tc>
          <w:tcPr>
            <w:tcW w:w="40" w:type="dxa"/>
            <w:vMerge w:val="restart"/>
            <w:tcBorders>
              <w:top w:val="single" w:sz="4" w:space="0" w:color="auto"/>
              <w:left w:val="nil"/>
              <w:bottom w:val="nil"/>
              <w:right w:val="nil"/>
            </w:tcBorders>
            <w:shd w:val="clear" w:color="auto" w:fill="FFFFFF"/>
            <w:vAlign w:val="center"/>
          </w:tcPr>
          <w:p w14:paraId="3011CEE7" w14:textId="77777777" w:rsidR="00EE53EB" w:rsidRPr="002A7627" w:rsidRDefault="00EE53EB" w:rsidP="00B05733">
            <w:pPr>
              <w:ind w:left="60" w:right="60"/>
              <w:jc w:val="center"/>
              <w:rPr>
                <w:rFonts w:asciiTheme="majorBidi" w:hAnsiTheme="majorBidi" w:cstheme="majorBidi"/>
              </w:rPr>
            </w:pPr>
          </w:p>
        </w:tc>
        <w:tc>
          <w:tcPr>
            <w:tcW w:w="1520" w:type="dxa"/>
            <w:tcBorders>
              <w:top w:val="single" w:sz="4" w:space="0" w:color="auto"/>
              <w:left w:val="nil"/>
              <w:bottom w:val="nil"/>
              <w:right w:val="nil"/>
            </w:tcBorders>
            <w:shd w:val="clear" w:color="auto" w:fill="FFFFFF"/>
            <w:vAlign w:val="center"/>
          </w:tcPr>
          <w:p w14:paraId="363B4A50"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Male</w:t>
            </w:r>
          </w:p>
        </w:tc>
        <w:tc>
          <w:tcPr>
            <w:tcW w:w="1271" w:type="dxa"/>
            <w:tcBorders>
              <w:top w:val="single" w:sz="4" w:space="0" w:color="auto"/>
              <w:left w:val="nil"/>
              <w:bottom w:val="nil"/>
              <w:right w:val="nil"/>
            </w:tcBorders>
            <w:shd w:val="clear" w:color="auto" w:fill="FFFFFF"/>
            <w:vAlign w:val="center"/>
          </w:tcPr>
          <w:p w14:paraId="1B9EA31A"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570</w:t>
            </w:r>
          </w:p>
        </w:tc>
        <w:tc>
          <w:tcPr>
            <w:tcW w:w="1009" w:type="dxa"/>
            <w:tcBorders>
              <w:top w:val="single" w:sz="4" w:space="0" w:color="auto"/>
              <w:left w:val="nil"/>
              <w:bottom w:val="nil"/>
              <w:right w:val="nil"/>
            </w:tcBorders>
            <w:shd w:val="clear" w:color="auto" w:fill="FFFFFF"/>
            <w:vAlign w:val="center"/>
          </w:tcPr>
          <w:p w14:paraId="2FE3CD3A"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82.3</w:t>
            </w:r>
          </w:p>
        </w:tc>
        <w:tc>
          <w:tcPr>
            <w:tcW w:w="1392" w:type="dxa"/>
            <w:tcBorders>
              <w:top w:val="single" w:sz="4" w:space="0" w:color="auto"/>
              <w:left w:val="nil"/>
              <w:bottom w:val="nil"/>
              <w:right w:val="nil"/>
            </w:tcBorders>
            <w:shd w:val="clear" w:color="auto" w:fill="FFFFFF"/>
            <w:vAlign w:val="center"/>
          </w:tcPr>
          <w:p w14:paraId="5144E710"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82.3</w:t>
            </w:r>
          </w:p>
        </w:tc>
        <w:tc>
          <w:tcPr>
            <w:tcW w:w="1468" w:type="dxa"/>
            <w:tcBorders>
              <w:top w:val="single" w:sz="4" w:space="0" w:color="auto"/>
              <w:left w:val="nil"/>
              <w:bottom w:val="nil"/>
              <w:right w:val="nil"/>
            </w:tcBorders>
            <w:shd w:val="clear" w:color="auto" w:fill="FFFFFF"/>
            <w:vAlign w:val="center"/>
          </w:tcPr>
          <w:p w14:paraId="5B61251B"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82.3</w:t>
            </w:r>
          </w:p>
        </w:tc>
      </w:tr>
      <w:tr w:rsidR="00EE53EB" w:rsidRPr="002A7627" w14:paraId="64581269" w14:textId="77777777" w:rsidTr="004E20E0">
        <w:trPr>
          <w:cantSplit/>
        </w:trPr>
        <w:tc>
          <w:tcPr>
            <w:tcW w:w="40" w:type="dxa"/>
            <w:vMerge/>
            <w:tcBorders>
              <w:top w:val="nil"/>
              <w:left w:val="nil"/>
              <w:bottom w:val="nil"/>
              <w:right w:val="nil"/>
            </w:tcBorders>
            <w:shd w:val="clear" w:color="auto" w:fill="FFFFFF"/>
            <w:vAlign w:val="center"/>
          </w:tcPr>
          <w:p w14:paraId="06DAB917" w14:textId="77777777" w:rsidR="00EE53EB" w:rsidRPr="002A7627" w:rsidRDefault="00EE53EB" w:rsidP="00B05733">
            <w:pPr>
              <w:jc w:val="center"/>
              <w:rPr>
                <w:rFonts w:asciiTheme="majorBidi" w:hAnsiTheme="majorBidi" w:cstheme="majorBidi"/>
              </w:rPr>
            </w:pPr>
          </w:p>
        </w:tc>
        <w:tc>
          <w:tcPr>
            <w:tcW w:w="1520" w:type="dxa"/>
            <w:tcBorders>
              <w:top w:val="nil"/>
              <w:left w:val="nil"/>
              <w:bottom w:val="nil"/>
              <w:right w:val="nil"/>
            </w:tcBorders>
            <w:shd w:val="clear" w:color="auto" w:fill="FFFFFF"/>
            <w:vAlign w:val="center"/>
          </w:tcPr>
          <w:p w14:paraId="0FFB59DC"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Female</w:t>
            </w:r>
          </w:p>
        </w:tc>
        <w:tc>
          <w:tcPr>
            <w:tcW w:w="1271" w:type="dxa"/>
            <w:tcBorders>
              <w:top w:val="nil"/>
              <w:left w:val="nil"/>
              <w:bottom w:val="nil"/>
              <w:right w:val="nil"/>
            </w:tcBorders>
            <w:shd w:val="clear" w:color="auto" w:fill="FFFFFF"/>
            <w:vAlign w:val="center"/>
          </w:tcPr>
          <w:p w14:paraId="38B310BC"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123</w:t>
            </w:r>
          </w:p>
        </w:tc>
        <w:tc>
          <w:tcPr>
            <w:tcW w:w="1009" w:type="dxa"/>
            <w:tcBorders>
              <w:top w:val="nil"/>
              <w:left w:val="nil"/>
              <w:bottom w:val="nil"/>
              <w:right w:val="nil"/>
            </w:tcBorders>
            <w:shd w:val="clear" w:color="auto" w:fill="FFFFFF"/>
            <w:vAlign w:val="center"/>
          </w:tcPr>
          <w:p w14:paraId="4895BE89"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17.7</w:t>
            </w:r>
          </w:p>
        </w:tc>
        <w:tc>
          <w:tcPr>
            <w:tcW w:w="1392" w:type="dxa"/>
            <w:tcBorders>
              <w:top w:val="nil"/>
              <w:left w:val="nil"/>
              <w:bottom w:val="nil"/>
              <w:right w:val="nil"/>
            </w:tcBorders>
            <w:shd w:val="clear" w:color="auto" w:fill="FFFFFF"/>
            <w:vAlign w:val="center"/>
          </w:tcPr>
          <w:p w14:paraId="33BB5720"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17.7</w:t>
            </w:r>
          </w:p>
        </w:tc>
        <w:tc>
          <w:tcPr>
            <w:tcW w:w="1468" w:type="dxa"/>
            <w:tcBorders>
              <w:top w:val="nil"/>
              <w:left w:val="nil"/>
              <w:bottom w:val="nil"/>
              <w:right w:val="nil"/>
            </w:tcBorders>
            <w:shd w:val="clear" w:color="auto" w:fill="FFFFFF"/>
            <w:vAlign w:val="center"/>
          </w:tcPr>
          <w:p w14:paraId="350A39CC"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100.0</w:t>
            </w:r>
          </w:p>
        </w:tc>
      </w:tr>
      <w:tr w:rsidR="00EE53EB" w:rsidRPr="002A7627" w14:paraId="508D73AA" w14:textId="77777777" w:rsidTr="004E20E0">
        <w:trPr>
          <w:cantSplit/>
        </w:trPr>
        <w:tc>
          <w:tcPr>
            <w:tcW w:w="40" w:type="dxa"/>
            <w:vMerge/>
            <w:tcBorders>
              <w:top w:val="nil"/>
              <w:left w:val="nil"/>
              <w:bottom w:val="nil"/>
              <w:right w:val="nil"/>
            </w:tcBorders>
            <w:shd w:val="clear" w:color="auto" w:fill="FFFFFF"/>
            <w:vAlign w:val="center"/>
          </w:tcPr>
          <w:p w14:paraId="21C7350A" w14:textId="77777777" w:rsidR="00EE53EB" w:rsidRPr="002A7627" w:rsidRDefault="00EE53EB" w:rsidP="00B05733">
            <w:pPr>
              <w:jc w:val="center"/>
              <w:rPr>
                <w:rFonts w:asciiTheme="majorBidi" w:hAnsiTheme="majorBidi" w:cstheme="majorBidi"/>
              </w:rPr>
            </w:pPr>
          </w:p>
        </w:tc>
        <w:tc>
          <w:tcPr>
            <w:tcW w:w="1520" w:type="dxa"/>
            <w:tcBorders>
              <w:top w:val="nil"/>
              <w:left w:val="nil"/>
              <w:bottom w:val="single" w:sz="4" w:space="0" w:color="auto"/>
              <w:right w:val="nil"/>
            </w:tcBorders>
            <w:shd w:val="clear" w:color="auto" w:fill="FFFFFF"/>
            <w:vAlign w:val="center"/>
          </w:tcPr>
          <w:p w14:paraId="724A93E0"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Total</w:t>
            </w:r>
          </w:p>
        </w:tc>
        <w:tc>
          <w:tcPr>
            <w:tcW w:w="1271" w:type="dxa"/>
            <w:tcBorders>
              <w:top w:val="nil"/>
              <w:left w:val="nil"/>
              <w:bottom w:val="single" w:sz="4" w:space="0" w:color="auto"/>
              <w:right w:val="nil"/>
            </w:tcBorders>
            <w:shd w:val="clear" w:color="auto" w:fill="FFFFFF"/>
            <w:vAlign w:val="center"/>
          </w:tcPr>
          <w:p w14:paraId="3217F103"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693</w:t>
            </w:r>
          </w:p>
        </w:tc>
        <w:tc>
          <w:tcPr>
            <w:tcW w:w="1009" w:type="dxa"/>
            <w:tcBorders>
              <w:top w:val="nil"/>
              <w:left w:val="nil"/>
              <w:bottom w:val="single" w:sz="4" w:space="0" w:color="auto"/>
              <w:right w:val="nil"/>
            </w:tcBorders>
            <w:shd w:val="clear" w:color="auto" w:fill="FFFFFF"/>
            <w:vAlign w:val="center"/>
          </w:tcPr>
          <w:p w14:paraId="5B85C4A6"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100.0</w:t>
            </w:r>
          </w:p>
        </w:tc>
        <w:tc>
          <w:tcPr>
            <w:tcW w:w="1392" w:type="dxa"/>
            <w:tcBorders>
              <w:top w:val="nil"/>
              <w:left w:val="nil"/>
              <w:bottom w:val="single" w:sz="4" w:space="0" w:color="auto"/>
              <w:right w:val="nil"/>
            </w:tcBorders>
            <w:shd w:val="clear" w:color="auto" w:fill="FFFFFF"/>
            <w:vAlign w:val="center"/>
          </w:tcPr>
          <w:p w14:paraId="35D5F5DD"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100.0</w:t>
            </w:r>
          </w:p>
        </w:tc>
        <w:tc>
          <w:tcPr>
            <w:tcW w:w="1468" w:type="dxa"/>
            <w:tcBorders>
              <w:top w:val="nil"/>
              <w:left w:val="nil"/>
              <w:bottom w:val="single" w:sz="4" w:space="0" w:color="auto"/>
              <w:right w:val="nil"/>
            </w:tcBorders>
            <w:shd w:val="clear" w:color="auto" w:fill="FFFFFF"/>
            <w:vAlign w:val="center"/>
          </w:tcPr>
          <w:p w14:paraId="6C45E5CA" w14:textId="77777777" w:rsidR="00EE53EB" w:rsidRPr="002A7627" w:rsidRDefault="00EE53EB" w:rsidP="00B05733">
            <w:pPr>
              <w:jc w:val="center"/>
              <w:rPr>
                <w:rFonts w:asciiTheme="majorBidi" w:hAnsiTheme="majorBidi" w:cstheme="majorBidi"/>
              </w:rPr>
            </w:pPr>
          </w:p>
        </w:tc>
      </w:tr>
    </w:tbl>
    <w:p w14:paraId="5D9B0F35" w14:textId="77777777" w:rsidR="00EE53EB" w:rsidRPr="002A7627" w:rsidRDefault="00EE53EB" w:rsidP="00EE53EB">
      <w:pPr>
        <w:spacing w:line="400" w:lineRule="atLeast"/>
        <w:rPr>
          <w:rFonts w:cs="Times New Roman"/>
          <w:szCs w:val="24"/>
        </w:rPr>
      </w:pPr>
    </w:p>
    <w:p w14:paraId="74FD3489" w14:textId="7D6E2648" w:rsidR="00EA4132" w:rsidRPr="002A7627" w:rsidRDefault="00EA4132" w:rsidP="00EA4132">
      <w:pPr>
        <w:keepNext/>
        <w:jc w:val="center"/>
      </w:pPr>
    </w:p>
    <w:p w14:paraId="6BA2DF9E" w14:textId="0B88BBF5" w:rsidR="00EE53EB" w:rsidRDefault="0079574F" w:rsidP="00677985">
      <w:pPr>
        <w:pStyle w:val="AAAAAAA"/>
        <w:rPr>
          <w:lang w:bidi="fa-IR"/>
        </w:rPr>
      </w:pPr>
      <w:bookmarkStart w:id="204" w:name="_Toc22331696"/>
      <w:r>
        <w:rPr>
          <w:rStyle w:val="Heading2Char"/>
          <w:color w:val="000000"/>
          <w:u w:val="none"/>
        </w:rPr>
        <w:t>5.2.5 Age</w:t>
      </w:r>
      <w:bookmarkEnd w:id="204"/>
      <w:r w:rsidR="0010785C" w:rsidRPr="002A7627">
        <w:rPr>
          <w:lang w:bidi="fa-IR"/>
        </w:rPr>
        <w:t xml:space="preserve">. </w:t>
      </w:r>
      <w:r w:rsidR="00647F8A">
        <w:rPr>
          <w:lang w:bidi="fa-IR"/>
        </w:rPr>
        <w:t>The majority of</w:t>
      </w:r>
      <w:r w:rsidR="00EE53EB" w:rsidRPr="002A7627">
        <w:rPr>
          <w:lang w:bidi="fa-IR"/>
        </w:rPr>
        <w:t xml:space="preserve"> participants were age</w:t>
      </w:r>
      <w:r w:rsidR="00647F8A">
        <w:rPr>
          <w:lang w:bidi="fa-IR"/>
        </w:rPr>
        <w:t>d</w:t>
      </w:r>
      <w:r w:rsidR="00EE53EB" w:rsidRPr="002A7627">
        <w:rPr>
          <w:lang w:bidi="fa-IR"/>
        </w:rPr>
        <w:t xml:space="preserve"> 36</w:t>
      </w:r>
      <w:r w:rsidR="00647F8A">
        <w:rPr>
          <w:lang w:bidi="fa-IR"/>
        </w:rPr>
        <w:t>–</w:t>
      </w:r>
      <w:r w:rsidR="00EE53EB" w:rsidRPr="002A7627">
        <w:rPr>
          <w:lang w:bidi="fa-IR"/>
        </w:rPr>
        <w:t xml:space="preserve">45 </w:t>
      </w:r>
      <w:r w:rsidR="00647F8A">
        <w:rPr>
          <w:lang w:bidi="fa-IR"/>
        </w:rPr>
        <w:t xml:space="preserve">years </w:t>
      </w:r>
      <w:r w:rsidR="00EE53EB" w:rsidRPr="002A7627">
        <w:rPr>
          <w:lang w:bidi="fa-IR"/>
        </w:rPr>
        <w:t>(344 respondents</w:t>
      </w:r>
      <w:r w:rsidR="00647F8A">
        <w:rPr>
          <w:lang w:bidi="fa-IR"/>
        </w:rPr>
        <w:t>, 49.6%</w:t>
      </w:r>
      <w:r w:rsidR="00EE53EB" w:rsidRPr="002A7627">
        <w:rPr>
          <w:lang w:bidi="fa-IR"/>
        </w:rPr>
        <w:t xml:space="preserve">). The second </w:t>
      </w:r>
      <w:r w:rsidR="00647F8A">
        <w:rPr>
          <w:lang w:bidi="fa-IR"/>
        </w:rPr>
        <w:t xml:space="preserve">largest </w:t>
      </w:r>
      <w:r w:rsidR="00EE53EB" w:rsidRPr="002A7627">
        <w:rPr>
          <w:lang w:bidi="fa-IR"/>
        </w:rPr>
        <w:t>age group was 26</w:t>
      </w:r>
      <w:r w:rsidR="00647F8A">
        <w:rPr>
          <w:lang w:bidi="fa-IR"/>
        </w:rPr>
        <w:t>–</w:t>
      </w:r>
      <w:r w:rsidR="00EE53EB" w:rsidRPr="002A7627">
        <w:rPr>
          <w:lang w:bidi="fa-IR"/>
        </w:rPr>
        <w:t xml:space="preserve">35 </w:t>
      </w:r>
      <w:r w:rsidR="00647F8A">
        <w:rPr>
          <w:lang w:bidi="fa-IR"/>
        </w:rPr>
        <w:t>years (</w:t>
      </w:r>
      <w:r w:rsidR="00EE53EB" w:rsidRPr="002A7627">
        <w:rPr>
          <w:lang w:bidi="fa-IR"/>
        </w:rPr>
        <w:t>271</w:t>
      </w:r>
      <w:r w:rsidR="00647F8A">
        <w:rPr>
          <w:lang w:bidi="fa-IR"/>
        </w:rPr>
        <w:t xml:space="preserve"> participants</w:t>
      </w:r>
      <w:r w:rsidR="00F43C2E" w:rsidRPr="002A7627">
        <w:rPr>
          <w:lang w:bidi="fa-IR"/>
        </w:rPr>
        <w:t>,</w:t>
      </w:r>
      <w:r w:rsidR="00EE53EB" w:rsidRPr="002A7627">
        <w:rPr>
          <w:lang w:bidi="fa-IR"/>
        </w:rPr>
        <w:t xml:space="preserve"> 39.1%</w:t>
      </w:r>
      <w:r w:rsidR="00647F8A">
        <w:rPr>
          <w:lang w:bidi="fa-IR"/>
        </w:rPr>
        <w:t>)</w:t>
      </w:r>
      <w:r w:rsidR="00EE53EB" w:rsidRPr="002A7627">
        <w:rPr>
          <w:lang w:bidi="fa-IR"/>
        </w:rPr>
        <w:t>. I</w:t>
      </w:r>
      <w:r w:rsidR="00647F8A">
        <w:rPr>
          <w:lang w:bidi="fa-IR"/>
        </w:rPr>
        <w:t xml:space="preserve">n total, therefore, </w:t>
      </w:r>
      <w:r w:rsidR="00EE53EB" w:rsidRPr="002A7627">
        <w:rPr>
          <w:lang w:bidi="fa-IR"/>
        </w:rPr>
        <w:t>88.7% of the participants were aged between 26 and 45 years old</w:t>
      </w:r>
      <w:r w:rsidR="008B09F7">
        <w:rPr>
          <w:lang w:bidi="fa-IR"/>
        </w:rPr>
        <w:t xml:space="preserve"> (see Table 10)</w:t>
      </w:r>
      <w:r w:rsidR="00EE53EB" w:rsidRPr="002A7627">
        <w:rPr>
          <w:lang w:bidi="fa-IR"/>
        </w:rPr>
        <w:t xml:space="preserve">. The </w:t>
      </w:r>
      <w:r w:rsidR="00647F8A">
        <w:rPr>
          <w:lang w:bidi="fa-IR"/>
        </w:rPr>
        <w:t xml:space="preserve">smallest </w:t>
      </w:r>
      <w:r w:rsidR="00EE53EB" w:rsidRPr="002A7627">
        <w:rPr>
          <w:lang w:bidi="fa-IR"/>
        </w:rPr>
        <w:t xml:space="preserve">group of participants </w:t>
      </w:r>
      <w:r w:rsidR="00647F8A">
        <w:rPr>
          <w:lang w:bidi="fa-IR"/>
        </w:rPr>
        <w:t>was those aged</w:t>
      </w:r>
      <w:r w:rsidR="00EE53EB" w:rsidRPr="002A7627">
        <w:rPr>
          <w:lang w:bidi="fa-IR"/>
        </w:rPr>
        <w:t xml:space="preserve"> 56 </w:t>
      </w:r>
      <w:r w:rsidR="00647F8A">
        <w:rPr>
          <w:lang w:bidi="fa-IR"/>
        </w:rPr>
        <w:t xml:space="preserve">years </w:t>
      </w:r>
      <w:r w:rsidR="00EE53EB" w:rsidRPr="002A7627">
        <w:rPr>
          <w:lang w:bidi="fa-IR"/>
        </w:rPr>
        <w:t>or more</w:t>
      </w:r>
      <w:r w:rsidR="008B09F7">
        <w:rPr>
          <w:lang w:bidi="fa-IR"/>
        </w:rPr>
        <w:t xml:space="preserve"> (</w:t>
      </w:r>
      <w:r w:rsidR="00781ECB" w:rsidRPr="002A7627">
        <w:rPr>
          <w:lang w:bidi="fa-IR"/>
        </w:rPr>
        <w:t>four</w:t>
      </w:r>
      <w:r w:rsidR="00EE53EB" w:rsidRPr="002A7627">
        <w:rPr>
          <w:lang w:bidi="fa-IR"/>
        </w:rPr>
        <w:t xml:space="preserve"> participants</w:t>
      </w:r>
      <w:r w:rsidR="008B09F7">
        <w:rPr>
          <w:lang w:bidi="fa-IR"/>
        </w:rPr>
        <w:t>,</w:t>
      </w:r>
      <w:r w:rsidR="00EE53EB" w:rsidRPr="002A7627">
        <w:rPr>
          <w:lang w:bidi="fa-IR"/>
        </w:rPr>
        <w:t xml:space="preserve"> 0.6% of the total</w:t>
      </w:r>
      <w:r w:rsidR="008B09F7">
        <w:rPr>
          <w:lang w:bidi="fa-IR"/>
        </w:rPr>
        <w:t>)</w:t>
      </w:r>
      <w:r w:rsidR="00EE53EB" w:rsidRPr="002A7627">
        <w:rPr>
          <w:lang w:bidi="fa-IR"/>
        </w:rPr>
        <w:t>.</w:t>
      </w:r>
    </w:p>
    <w:p w14:paraId="77F73A7A" w14:textId="0F60D297" w:rsidR="00EA4132" w:rsidRPr="004D08C5" w:rsidRDefault="00C52840" w:rsidP="004D08C5">
      <w:pPr>
        <w:pStyle w:val="Caption"/>
        <w:keepNext/>
        <w:jc w:val="lowKashida"/>
        <w:rPr>
          <w:bCs w:val="0"/>
          <w:color w:val="000000"/>
          <w:szCs w:val="24"/>
        </w:rPr>
      </w:pPr>
      <w:bookmarkStart w:id="205" w:name="_Toc14144622"/>
      <w:bookmarkStart w:id="206" w:name="_Toc19478588"/>
      <w:bookmarkStart w:id="207" w:name="_Toc21074078"/>
      <w:r w:rsidRPr="004D08C5">
        <w:rPr>
          <w:bCs w:val="0"/>
        </w:rPr>
        <w:t xml:space="preserve">Table </w:t>
      </w:r>
      <w:r w:rsidR="006D32F8" w:rsidRPr="004D08C5">
        <w:rPr>
          <w:bCs w:val="0"/>
          <w:noProof/>
        </w:rPr>
        <w:fldChar w:fldCharType="begin"/>
      </w:r>
      <w:r w:rsidR="006D32F8" w:rsidRPr="004D08C5">
        <w:rPr>
          <w:bCs w:val="0"/>
          <w:noProof/>
        </w:rPr>
        <w:instrText xml:space="preserve"> SEQ Table \* ARABIC </w:instrText>
      </w:r>
      <w:r w:rsidR="006D32F8" w:rsidRPr="004D08C5">
        <w:rPr>
          <w:bCs w:val="0"/>
          <w:noProof/>
        </w:rPr>
        <w:fldChar w:fldCharType="separate"/>
      </w:r>
      <w:r w:rsidR="00972C3F">
        <w:rPr>
          <w:bCs w:val="0"/>
          <w:noProof/>
        </w:rPr>
        <w:t>10</w:t>
      </w:r>
      <w:r w:rsidR="006D32F8" w:rsidRPr="004D08C5">
        <w:rPr>
          <w:bCs w:val="0"/>
          <w:noProof/>
        </w:rPr>
        <w:fldChar w:fldCharType="end"/>
      </w:r>
      <w:r w:rsidRPr="004D08C5">
        <w:rPr>
          <w:bCs w:val="0"/>
        </w:rPr>
        <w:t>.</w:t>
      </w:r>
      <w:r>
        <w:t xml:space="preserve"> </w:t>
      </w:r>
      <w:r w:rsidRPr="004D08C5">
        <w:rPr>
          <w:bCs w:val="0"/>
        </w:rPr>
        <w:t xml:space="preserve">The frequency and percentage of participants </w:t>
      </w:r>
      <w:r w:rsidR="008B09F7">
        <w:rPr>
          <w:bCs w:val="0"/>
        </w:rPr>
        <w:t>by</w:t>
      </w:r>
      <w:r w:rsidRPr="004D08C5">
        <w:rPr>
          <w:bCs w:val="0"/>
        </w:rPr>
        <w:t xml:space="preserve"> age.</w:t>
      </w:r>
      <w:bookmarkEnd w:id="205"/>
      <w:bookmarkEnd w:id="206"/>
      <w:bookmarkEnd w:id="207"/>
    </w:p>
    <w:tbl>
      <w:tblPr>
        <w:tblW w:w="754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2390"/>
        <w:gridCol w:w="1241"/>
        <w:gridCol w:w="1009"/>
        <w:gridCol w:w="1392"/>
        <w:gridCol w:w="1469"/>
      </w:tblGrid>
      <w:tr w:rsidR="00EE53EB" w:rsidRPr="002A7627" w14:paraId="4BB396D3" w14:textId="77777777" w:rsidTr="001D5F54">
        <w:trPr>
          <w:cantSplit/>
          <w:jc w:val="center"/>
        </w:trPr>
        <w:tc>
          <w:tcPr>
            <w:tcW w:w="2430" w:type="dxa"/>
            <w:gridSpan w:val="2"/>
            <w:tcBorders>
              <w:top w:val="single" w:sz="4" w:space="0" w:color="auto"/>
              <w:left w:val="nil"/>
              <w:bottom w:val="single" w:sz="4" w:space="0" w:color="auto"/>
              <w:right w:val="nil"/>
            </w:tcBorders>
            <w:shd w:val="clear" w:color="auto" w:fill="FFFFFF"/>
            <w:vAlign w:val="center"/>
          </w:tcPr>
          <w:p w14:paraId="1032AC4A" w14:textId="77777777" w:rsidR="00EE53EB" w:rsidRPr="002A7627" w:rsidRDefault="00EE53EB" w:rsidP="00B05733">
            <w:pPr>
              <w:jc w:val="center"/>
              <w:rPr>
                <w:rFonts w:asciiTheme="majorBidi" w:hAnsiTheme="majorBidi" w:cstheme="majorBidi"/>
              </w:rPr>
            </w:pPr>
          </w:p>
        </w:tc>
        <w:tc>
          <w:tcPr>
            <w:tcW w:w="1241" w:type="dxa"/>
            <w:tcBorders>
              <w:top w:val="single" w:sz="4" w:space="0" w:color="auto"/>
              <w:left w:val="nil"/>
              <w:bottom w:val="single" w:sz="4" w:space="0" w:color="auto"/>
              <w:right w:val="nil"/>
            </w:tcBorders>
            <w:shd w:val="clear" w:color="auto" w:fill="FFFFFF"/>
            <w:vAlign w:val="center"/>
          </w:tcPr>
          <w:p w14:paraId="03085FB0"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Frequency</w:t>
            </w:r>
          </w:p>
        </w:tc>
        <w:tc>
          <w:tcPr>
            <w:tcW w:w="1009" w:type="dxa"/>
            <w:tcBorders>
              <w:top w:val="single" w:sz="4" w:space="0" w:color="auto"/>
              <w:left w:val="nil"/>
              <w:bottom w:val="single" w:sz="4" w:space="0" w:color="auto"/>
              <w:right w:val="nil"/>
            </w:tcBorders>
            <w:shd w:val="clear" w:color="auto" w:fill="FFFFFF"/>
            <w:vAlign w:val="center"/>
          </w:tcPr>
          <w:p w14:paraId="734B9D61"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Percent</w:t>
            </w:r>
          </w:p>
        </w:tc>
        <w:tc>
          <w:tcPr>
            <w:tcW w:w="1392" w:type="dxa"/>
            <w:tcBorders>
              <w:top w:val="single" w:sz="4" w:space="0" w:color="auto"/>
              <w:left w:val="nil"/>
              <w:bottom w:val="single" w:sz="4" w:space="0" w:color="auto"/>
              <w:right w:val="nil"/>
            </w:tcBorders>
            <w:shd w:val="clear" w:color="auto" w:fill="FFFFFF"/>
            <w:vAlign w:val="center"/>
          </w:tcPr>
          <w:p w14:paraId="36E18628"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Valid Percent</w:t>
            </w:r>
          </w:p>
        </w:tc>
        <w:tc>
          <w:tcPr>
            <w:tcW w:w="1469" w:type="dxa"/>
            <w:tcBorders>
              <w:top w:val="single" w:sz="4" w:space="0" w:color="auto"/>
              <w:left w:val="nil"/>
              <w:bottom w:val="single" w:sz="4" w:space="0" w:color="auto"/>
              <w:right w:val="nil"/>
            </w:tcBorders>
            <w:shd w:val="clear" w:color="auto" w:fill="FFFFFF"/>
            <w:vAlign w:val="center"/>
          </w:tcPr>
          <w:p w14:paraId="04E476F0"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Cumulative Percent</w:t>
            </w:r>
          </w:p>
        </w:tc>
      </w:tr>
      <w:tr w:rsidR="00EE53EB" w:rsidRPr="002A7627" w14:paraId="706983D1" w14:textId="77777777" w:rsidTr="001D5F54">
        <w:trPr>
          <w:cantSplit/>
          <w:jc w:val="center"/>
        </w:trPr>
        <w:tc>
          <w:tcPr>
            <w:tcW w:w="40" w:type="dxa"/>
            <w:vMerge w:val="restart"/>
            <w:tcBorders>
              <w:top w:val="single" w:sz="4" w:space="0" w:color="auto"/>
              <w:left w:val="nil"/>
              <w:bottom w:val="nil"/>
              <w:right w:val="nil"/>
            </w:tcBorders>
            <w:shd w:val="clear" w:color="auto" w:fill="FFFFFF"/>
            <w:vAlign w:val="center"/>
          </w:tcPr>
          <w:p w14:paraId="43ADFAFD" w14:textId="77777777" w:rsidR="00EE53EB" w:rsidRPr="002A7627" w:rsidRDefault="00EE53EB" w:rsidP="00B05733">
            <w:pPr>
              <w:ind w:left="60" w:right="60"/>
              <w:jc w:val="center"/>
              <w:rPr>
                <w:rFonts w:asciiTheme="majorBidi" w:hAnsiTheme="majorBidi" w:cstheme="majorBidi"/>
              </w:rPr>
            </w:pPr>
          </w:p>
        </w:tc>
        <w:tc>
          <w:tcPr>
            <w:tcW w:w="2390" w:type="dxa"/>
            <w:tcBorders>
              <w:top w:val="single" w:sz="4" w:space="0" w:color="auto"/>
              <w:left w:val="nil"/>
              <w:bottom w:val="nil"/>
              <w:right w:val="nil"/>
            </w:tcBorders>
            <w:shd w:val="clear" w:color="auto" w:fill="FFFFFF"/>
            <w:vAlign w:val="center"/>
          </w:tcPr>
          <w:p w14:paraId="048289B1"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25 years or below</w:t>
            </w:r>
          </w:p>
        </w:tc>
        <w:tc>
          <w:tcPr>
            <w:tcW w:w="1241" w:type="dxa"/>
            <w:tcBorders>
              <w:top w:val="single" w:sz="4" w:space="0" w:color="auto"/>
              <w:left w:val="nil"/>
              <w:bottom w:val="nil"/>
              <w:right w:val="nil"/>
            </w:tcBorders>
            <w:shd w:val="clear" w:color="auto" w:fill="FFFFFF"/>
            <w:vAlign w:val="center"/>
          </w:tcPr>
          <w:p w14:paraId="1EE8ED3F"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9</w:t>
            </w:r>
          </w:p>
        </w:tc>
        <w:tc>
          <w:tcPr>
            <w:tcW w:w="1009" w:type="dxa"/>
            <w:tcBorders>
              <w:top w:val="single" w:sz="4" w:space="0" w:color="auto"/>
              <w:left w:val="nil"/>
              <w:bottom w:val="nil"/>
              <w:right w:val="nil"/>
            </w:tcBorders>
            <w:shd w:val="clear" w:color="auto" w:fill="FFFFFF"/>
            <w:vAlign w:val="center"/>
          </w:tcPr>
          <w:p w14:paraId="68E2483A"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1.3</w:t>
            </w:r>
          </w:p>
        </w:tc>
        <w:tc>
          <w:tcPr>
            <w:tcW w:w="1392" w:type="dxa"/>
            <w:tcBorders>
              <w:top w:val="single" w:sz="4" w:space="0" w:color="auto"/>
              <w:left w:val="nil"/>
              <w:bottom w:val="nil"/>
              <w:right w:val="nil"/>
            </w:tcBorders>
            <w:shd w:val="clear" w:color="auto" w:fill="FFFFFF"/>
            <w:vAlign w:val="center"/>
          </w:tcPr>
          <w:p w14:paraId="4BF9B7B4"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1.3</w:t>
            </w:r>
          </w:p>
        </w:tc>
        <w:tc>
          <w:tcPr>
            <w:tcW w:w="1469" w:type="dxa"/>
            <w:tcBorders>
              <w:top w:val="single" w:sz="4" w:space="0" w:color="auto"/>
              <w:left w:val="nil"/>
              <w:bottom w:val="nil"/>
              <w:right w:val="nil"/>
            </w:tcBorders>
            <w:shd w:val="clear" w:color="auto" w:fill="FFFFFF"/>
            <w:vAlign w:val="center"/>
          </w:tcPr>
          <w:p w14:paraId="46095E0A"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1.3</w:t>
            </w:r>
          </w:p>
        </w:tc>
      </w:tr>
      <w:tr w:rsidR="00EE53EB" w:rsidRPr="002A7627" w14:paraId="34DA312B" w14:textId="77777777" w:rsidTr="001D5F54">
        <w:trPr>
          <w:cantSplit/>
          <w:jc w:val="center"/>
        </w:trPr>
        <w:tc>
          <w:tcPr>
            <w:tcW w:w="40" w:type="dxa"/>
            <w:vMerge/>
            <w:tcBorders>
              <w:top w:val="nil"/>
              <w:left w:val="nil"/>
              <w:bottom w:val="nil"/>
              <w:right w:val="nil"/>
            </w:tcBorders>
            <w:shd w:val="clear" w:color="auto" w:fill="FFFFFF"/>
            <w:vAlign w:val="center"/>
          </w:tcPr>
          <w:p w14:paraId="1AF2CF21" w14:textId="77777777" w:rsidR="00EE53EB" w:rsidRPr="002A7627" w:rsidRDefault="00EE53EB" w:rsidP="00B05733">
            <w:pPr>
              <w:jc w:val="center"/>
              <w:rPr>
                <w:rFonts w:asciiTheme="majorBidi" w:hAnsiTheme="majorBidi" w:cstheme="majorBidi"/>
              </w:rPr>
            </w:pPr>
          </w:p>
        </w:tc>
        <w:tc>
          <w:tcPr>
            <w:tcW w:w="2390" w:type="dxa"/>
            <w:tcBorders>
              <w:top w:val="nil"/>
              <w:left w:val="nil"/>
              <w:bottom w:val="nil"/>
              <w:right w:val="nil"/>
            </w:tcBorders>
            <w:shd w:val="clear" w:color="auto" w:fill="FFFFFF"/>
            <w:vAlign w:val="center"/>
          </w:tcPr>
          <w:p w14:paraId="7000F589" w14:textId="139DC943"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26</w:t>
            </w:r>
            <w:r w:rsidR="008B09F7">
              <w:rPr>
                <w:rFonts w:asciiTheme="majorBidi" w:hAnsiTheme="majorBidi" w:cstheme="majorBidi"/>
                <w:b/>
                <w:bCs/>
              </w:rPr>
              <w:t>–</w:t>
            </w:r>
            <w:r w:rsidRPr="002A7627">
              <w:rPr>
                <w:rFonts w:asciiTheme="majorBidi" w:hAnsiTheme="majorBidi" w:cstheme="majorBidi"/>
                <w:b/>
                <w:bCs/>
              </w:rPr>
              <w:t>35</w:t>
            </w:r>
            <w:r w:rsidR="008B09F7">
              <w:rPr>
                <w:rFonts w:asciiTheme="majorBidi" w:hAnsiTheme="majorBidi" w:cstheme="majorBidi"/>
                <w:b/>
                <w:bCs/>
              </w:rPr>
              <w:t xml:space="preserve"> years</w:t>
            </w:r>
          </w:p>
        </w:tc>
        <w:tc>
          <w:tcPr>
            <w:tcW w:w="1241" w:type="dxa"/>
            <w:tcBorders>
              <w:top w:val="nil"/>
              <w:left w:val="nil"/>
              <w:bottom w:val="nil"/>
              <w:right w:val="nil"/>
            </w:tcBorders>
            <w:shd w:val="clear" w:color="auto" w:fill="FFFFFF"/>
            <w:vAlign w:val="center"/>
          </w:tcPr>
          <w:p w14:paraId="6FD86CB9"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271</w:t>
            </w:r>
          </w:p>
        </w:tc>
        <w:tc>
          <w:tcPr>
            <w:tcW w:w="1009" w:type="dxa"/>
            <w:tcBorders>
              <w:top w:val="nil"/>
              <w:left w:val="nil"/>
              <w:bottom w:val="nil"/>
              <w:right w:val="nil"/>
            </w:tcBorders>
            <w:shd w:val="clear" w:color="auto" w:fill="FFFFFF"/>
            <w:vAlign w:val="center"/>
          </w:tcPr>
          <w:p w14:paraId="5CCFDB08"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39.1</w:t>
            </w:r>
          </w:p>
        </w:tc>
        <w:tc>
          <w:tcPr>
            <w:tcW w:w="1392" w:type="dxa"/>
            <w:tcBorders>
              <w:top w:val="nil"/>
              <w:left w:val="nil"/>
              <w:bottom w:val="nil"/>
              <w:right w:val="nil"/>
            </w:tcBorders>
            <w:shd w:val="clear" w:color="auto" w:fill="FFFFFF"/>
            <w:vAlign w:val="center"/>
          </w:tcPr>
          <w:p w14:paraId="2D12BC6A"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39.1</w:t>
            </w:r>
          </w:p>
        </w:tc>
        <w:tc>
          <w:tcPr>
            <w:tcW w:w="1469" w:type="dxa"/>
            <w:tcBorders>
              <w:top w:val="nil"/>
              <w:left w:val="nil"/>
              <w:bottom w:val="nil"/>
              <w:right w:val="nil"/>
            </w:tcBorders>
            <w:shd w:val="clear" w:color="auto" w:fill="FFFFFF"/>
            <w:vAlign w:val="center"/>
          </w:tcPr>
          <w:p w14:paraId="42D307AC"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40.4</w:t>
            </w:r>
          </w:p>
        </w:tc>
      </w:tr>
      <w:tr w:rsidR="00EE53EB" w:rsidRPr="002A7627" w14:paraId="4B5CF262" w14:textId="77777777" w:rsidTr="001D5F54">
        <w:trPr>
          <w:cantSplit/>
          <w:jc w:val="center"/>
        </w:trPr>
        <w:tc>
          <w:tcPr>
            <w:tcW w:w="40" w:type="dxa"/>
            <w:vMerge/>
            <w:tcBorders>
              <w:top w:val="nil"/>
              <w:left w:val="nil"/>
              <w:bottom w:val="nil"/>
              <w:right w:val="nil"/>
            </w:tcBorders>
            <w:shd w:val="clear" w:color="auto" w:fill="FFFFFF"/>
            <w:vAlign w:val="center"/>
          </w:tcPr>
          <w:p w14:paraId="319D16BD" w14:textId="77777777" w:rsidR="00EE53EB" w:rsidRPr="002A7627" w:rsidRDefault="00EE53EB" w:rsidP="00B05733">
            <w:pPr>
              <w:jc w:val="center"/>
              <w:rPr>
                <w:rFonts w:asciiTheme="majorBidi" w:hAnsiTheme="majorBidi" w:cstheme="majorBidi"/>
              </w:rPr>
            </w:pPr>
          </w:p>
        </w:tc>
        <w:tc>
          <w:tcPr>
            <w:tcW w:w="2390" w:type="dxa"/>
            <w:tcBorders>
              <w:top w:val="nil"/>
              <w:left w:val="nil"/>
              <w:bottom w:val="nil"/>
              <w:right w:val="nil"/>
            </w:tcBorders>
            <w:shd w:val="clear" w:color="auto" w:fill="FFFFFF"/>
            <w:vAlign w:val="center"/>
          </w:tcPr>
          <w:p w14:paraId="727E1B83" w14:textId="273ED433"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36</w:t>
            </w:r>
            <w:r w:rsidR="008B09F7">
              <w:rPr>
                <w:rFonts w:asciiTheme="majorBidi" w:hAnsiTheme="majorBidi" w:cstheme="majorBidi"/>
                <w:b/>
                <w:bCs/>
              </w:rPr>
              <w:t>–</w:t>
            </w:r>
            <w:r w:rsidRPr="002A7627">
              <w:rPr>
                <w:rFonts w:asciiTheme="majorBidi" w:hAnsiTheme="majorBidi" w:cstheme="majorBidi"/>
                <w:b/>
                <w:bCs/>
              </w:rPr>
              <w:t>45</w:t>
            </w:r>
            <w:r w:rsidR="008B09F7">
              <w:rPr>
                <w:rFonts w:asciiTheme="majorBidi" w:hAnsiTheme="majorBidi" w:cstheme="majorBidi"/>
                <w:b/>
                <w:bCs/>
              </w:rPr>
              <w:t xml:space="preserve"> years</w:t>
            </w:r>
          </w:p>
        </w:tc>
        <w:tc>
          <w:tcPr>
            <w:tcW w:w="1241" w:type="dxa"/>
            <w:tcBorders>
              <w:top w:val="nil"/>
              <w:left w:val="nil"/>
              <w:bottom w:val="nil"/>
              <w:right w:val="nil"/>
            </w:tcBorders>
            <w:shd w:val="clear" w:color="auto" w:fill="FFFFFF"/>
            <w:vAlign w:val="center"/>
          </w:tcPr>
          <w:p w14:paraId="6AF25C09"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344</w:t>
            </w:r>
          </w:p>
        </w:tc>
        <w:tc>
          <w:tcPr>
            <w:tcW w:w="1009" w:type="dxa"/>
            <w:tcBorders>
              <w:top w:val="nil"/>
              <w:left w:val="nil"/>
              <w:bottom w:val="nil"/>
              <w:right w:val="nil"/>
            </w:tcBorders>
            <w:shd w:val="clear" w:color="auto" w:fill="FFFFFF"/>
            <w:vAlign w:val="center"/>
          </w:tcPr>
          <w:p w14:paraId="6EC1B163"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49.6</w:t>
            </w:r>
          </w:p>
        </w:tc>
        <w:tc>
          <w:tcPr>
            <w:tcW w:w="1392" w:type="dxa"/>
            <w:tcBorders>
              <w:top w:val="nil"/>
              <w:left w:val="nil"/>
              <w:bottom w:val="nil"/>
              <w:right w:val="nil"/>
            </w:tcBorders>
            <w:shd w:val="clear" w:color="auto" w:fill="FFFFFF"/>
            <w:vAlign w:val="center"/>
          </w:tcPr>
          <w:p w14:paraId="17BF275E"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49.6</w:t>
            </w:r>
          </w:p>
        </w:tc>
        <w:tc>
          <w:tcPr>
            <w:tcW w:w="1469" w:type="dxa"/>
            <w:tcBorders>
              <w:top w:val="nil"/>
              <w:left w:val="nil"/>
              <w:bottom w:val="nil"/>
              <w:right w:val="nil"/>
            </w:tcBorders>
            <w:shd w:val="clear" w:color="auto" w:fill="FFFFFF"/>
            <w:vAlign w:val="center"/>
          </w:tcPr>
          <w:p w14:paraId="1B55F321"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90.0</w:t>
            </w:r>
          </w:p>
        </w:tc>
      </w:tr>
      <w:tr w:rsidR="00EE53EB" w:rsidRPr="002A7627" w14:paraId="29DEA918" w14:textId="77777777" w:rsidTr="001D5F54">
        <w:trPr>
          <w:cantSplit/>
          <w:jc w:val="center"/>
        </w:trPr>
        <w:tc>
          <w:tcPr>
            <w:tcW w:w="40" w:type="dxa"/>
            <w:vMerge/>
            <w:tcBorders>
              <w:top w:val="nil"/>
              <w:left w:val="nil"/>
              <w:bottom w:val="nil"/>
              <w:right w:val="nil"/>
            </w:tcBorders>
            <w:shd w:val="clear" w:color="auto" w:fill="FFFFFF"/>
            <w:vAlign w:val="center"/>
          </w:tcPr>
          <w:p w14:paraId="47CB78AF" w14:textId="77777777" w:rsidR="00EE53EB" w:rsidRPr="002A7627" w:rsidRDefault="00EE53EB" w:rsidP="00B05733">
            <w:pPr>
              <w:jc w:val="center"/>
              <w:rPr>
                <w:rFonts w:asciiTheme="majorBidi" w:hAnsiTheme="majorBidi" w:cstheme="majorBidi"/>
              </w:rPr>
            </w:pPr>
          </w:p>
        </w:tc>
        <w:tc>
          <w:tcPr>
            <w:tcW w:w="2390" w:type="dxa"/>
            <w:tcBorders>
              <w:top w:val="nil"/>
              <w:left w:val="nil"/>
              <w:bottom w:val="nil"/>
              <w:right w:val="nil"/>
            </w:tcBorders>
            <w:shd w:val="clear" w:color="auto" w:fill="FFFFFF"/>
            <w:vAlign w:val="center"/>
          </w:tcPr>
          <w:p w14:paraId="63E1BEAB" w14:textId="305F7F98"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46</w:t>
            </w:r>
            <w:r w:rsidR="008B09F7">
              <w:rPr>
                <w:rFonts w:asciiTheme="majorBidi" w:hAnsiTheme="majorBidi" w:cstheme="majorBidi"/>
                <w:b/>
                <w:bCs/>
              </w:rPr>
              <w:t>–</w:t>
            </w:r>
            <w:r w:rsidRPr="002A7627">
              <w:rPr>
                <w:rFonts w:asciiTheme="majorBidi" w:hAnsiTheme="majorBidi" w:cstheme="majorBidi"/>
                <w:b/>
                <w:bCs/>
              </w:rPr>
              <w:t>55</w:t>
            </w:r>
            <w:r w:rsidR="008B09F7">
              <w:rPr>
                <w:rFonts w:asciiTheme="majorBidi" w:hAnsiTheme="majorBidi" w:cstheme="majorBidi"/>
                <w:b/>
                <w:bCs/>
              </w:rPr>
              <w:t xml:space="preserve"> years</w:t>
            </w:r>
          </w:p>
        </w:tc>
        <w:tc>
          <w:tcPr>
            <w:tcW w:w="1241" w:type="dxa"/>
            <w:tcBorders>
              <w:top w:val="nil"/>
              <w:left w:val="nil"/>
              <w:bottom w:val="nil"/>
              <w:right w:val="nil"/>
            </w:tcBorders>
            <w:shd w:val="clear" w:color="auto" w:fill="FFFFFF"/>
            <w:vAlign w:val="center"/>
          </w:tcPr>
          <w:p w14:paraId="665C91F1"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65</w:t>
            </w:r>
          </w:p>
        </w:tc>
        <w:tc>
          <w:tcPr>
            <w:tcW w:w="1009" w:type="dxa"/>
            <w:tcBorders>
              <w:top w:val="nil"/>
              <w:left w:val="nil"/>
              <w:bottom w:val="nil"/>
              <w:right w:val="nil"/>
            </w:tcBorders>
            <w:shd w:val="clear" w:color="auto" w:fill="FFFFFF"/>
            <w:vAlign w:val="center"/>
          </w:tcPr>
          <w:p w14:paraId="0857B301"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9.4</w:t>
            </w:r>
          </w:p>
        </w:tc>
        <w:tc>
          <w:tcPr>
            <w:tcW w:w="1392" w:type="dxa"/>
            <w:tcBorders>
              <w:top w:val="nil"/>
              <w:left w:val="nil"/>
              <w:bottom w:val="nil"/>
              <w:right w:val="nil"/>
            </w:tcBorders>
            <w:shd w:val="clear" w:color="auto" w:fill="FFFFFF"/>
            <w:vAlign w:val="center"/>
          </w:tcPr>
          <w:p w14:paraId="277AE8C9"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9.4</w:t>
            </w:r>
          </w:p>
        </w:tc>
        <w:tc>
          <w:tcPr>
            <w:tcW w:w="1469" w:type="dxa"/>
            <w:tcBorders>
              <w:top w:val="nil"/>
              <w:left w:val="nil"/>
              <w:bottom w:val="nil"/>
              <w:right w:val="nil"/>
            </w:tcBorders>
            <w:shd w:val="clear" w:color="auto" w:fill="FFFFFF"/>
            <w:vAlign w:val="center"/>
          </w:tcPr>
          <w:p w14:paraId="31411C12"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99.4</w:t>
            </w:r>
          </w:p>
        </w:tc>
      </w:tr>
      <w:tr w:rsidR="00EE53EB" w:rsidRPr="002A7627" w14:paraId="6D232FDD" w14:textId="77777777" w:rsidTr="001D5F54">
        <w:trPr>
          <w:cantSplit/>
          <w:jc w:val="center"/>
        </w:trPr>
        <w:tc>
          <w:tcPr>
            <w:tcW w:w="40" w:type="dxa"/>
            <w:vMerge/>
            <w:tcBorders>
              <w:top w:val="nil"/>
              <w:left w:val="nil"/>
              <w:bottom w:val="nil"/>
              <w:right w:val="nil"/>
            </w:tcBorders>
            <w:shd w:val="clear" w:color="auto" w:fill="FFFFFF"/>
            <w:vAlign w:val="center"/>
          </w:tcPr>
          <w:p w14:paraId="5E09CD4B" w14:textId="77777777" w:rsidR="00EE53EB" w:rsidRPr="002A7627" w:rsidRDefault="00EE53EB" w:rsidP="00B05733">
            <w:pPr>
              <w:jc w:val="center"/>
              <w:rPr>
                <w:rFonts w:asciiTheme="majorBidi" w:hAnsiTheme="majorBidi" w:cstheme="majorBidi"/>
              </w:rPr>
            </w:pPr>
          </w:p>
        </w:tc>
        <w:tc>
          <w:tcPr>
            <w:tcW w:w="2390" w:type="dxa"/>
            <w:tcBorders>
              <w:top w:val="nil"/>
              <w:left w:val="nil"/>
              <w:bottom w:val="nil"/>
              <w:right w:val="nil"/>
            </w:tcBorders>
            <w:shd w:val="clear" w:color="auto" w:fill="FFFFFF"/>
            <w:vAlign w:val="center"/>
          </w:tcPr>
          <w:p w14:paraId="39158C57" w14:textId="09A84838"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 xml:space="preserve">56 </w:t>
            </w:r>
            <w:r w:rsidR="008B09F7">
              <w:rPr>
                <w:rFonts w:asciiTheme="majorBidi" w:hAnsiTheme="majorBidi" w:cstheme="majorBidi"/>
                <w:b/>
                <w:bCs/>
              </w:rPr>
              <w:t xml:space="preserve">years </w:t>
            </w:r>
            <w:r w:rsidRPr="002A7627">
              <w:rPr>
                <w:rFonts w:asciiTheme="majorBidi" w:hAnsiTheme="majorBidi" w:cstheme="majorBidi"/>
                <w:b/>
                <w:bCs/>
              </w:rPr>
              <w:t>or more</w:t>
            </w:r>
          </w:p>
        </w:tc>
        <w:tc>
          <w:tcPr>
            <w:tcW w:w="1241" w:type="dxa"/>
            <w:tcBorders>
              <w:top w:val="nil"/>
              <w:left w:val="nil"/>
              <w:bottom w:val="nil"/>
              <w:right w:val="nil"/>
            </w:tcBorders>
            <w:shd w:val="clear" w:color="auto" w:fill="FFFFFF"/>
            <w:vAlign w:val="center"/>
          </w:tcPr>
          <w:p w14:paraId="0AB5B422"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4</w:t>
            </w:r>
          </w:p>
        </w:tc>
        <w:tc>
          <w:tcPr>
            <w:tcW w:w="1009" w:type="dxa"/>
            <w:tcBorders>
              <w:top w:val="nil"/>
              <w:left w:val="nil"/>
              <w:bottom w:val="nil"/>
              <w:right w:val="nil"/>
            </w:tcBorders>
            <w:shd w:val="clear" w:color="auto" w:fill="FFFFFF"/>
            <w:vAlign w:val="center"/>
          </w:tcPr>
          <w:p w14:paraId="77CC3D9C"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.6</w:t>
            </w:r>
          </w:p>
        </w:tc>
        <w:tc>
          <w:tcPr>
            <w:tcW w:w="1392" w:type="dxa"/>
            <w:tcBorders>
              <w:top w:val="nil"/>
              <w:left w:val="nil"/>
              <w:bottom w:val="nil"/>
              <w:right w:val="nil"/>
            </w:tcBorders>
            <w:shd w:val="clear" w:color="auto" w:fill="FFFFFF"/>
            <w:vAlign w:val="center"/>
          </w:tcPr>
          <w:p w14:paraId="716491E4"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.6</w:t>
            </w:r>
          </w:p>
        </w:tc>
        <w:tc>
          <w:tcPr>
            <w:tcW w:w="1469" w:type="dxa"/>
            <w:tcBorders>
              <w:top w:val="nil"/>
              <w:left w:val="nil"/>
              <w:bottom w:val="nil"/>
              <w:right w:val="nil"/>
            </w:tcBorders>
            <w:shd w:val="clear" w:color="auto" w:fill="FFFFFF"/>
            <w:vAlign w:val="center"/>
          </w:tcPr>
          <w:p w14:paraId="3A3DBA5C"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100.0</w:t>
            </w:r>
          </w:p>
        </w:tc>
      </w:tr>
      <w:tr w:rsidR="00EE53EB" w:rsidRPr="002A7627" w14:paraId="02CAD37F" w14:textId="77777777" w:rsidTr="001D5F54">
        <w:trPr>
          <w:cantSplit/>
          <w:jc w:val="center"/>
        </w:trPr>
        <w:tc>
          <w:tcPr>
            <w:tcW w:w="40" w:type="dxa"/>
            <w:vMerge/>
            <w:tcBorders>
              <w:top w:val="nil"/>
              <w:left w:val="nil"/>
              <w:bottom w:val="nil"/>
              <w:right w:val="nil"/>
            </w:tcBorders>
            <w:shd w:val="clear" w:color="auto" w:fill="FFFFFF"/>
            <w:vAlign w:val="center"/>
          </w:tcPr>
          <w:p w14:paraId="79F02652" w14:textId="77777777" w:rsidR="00EE53EB" w:rsidRPr="002A7627" w:rsidRDefault="00EE53EB" w:rsidP="00B05733">
            <w:pPr>
              <w:jc w:val="center"/>
              <w:rPr>
                <w:rFonts w:asciiTheme="majorBidi" w:hAnsiTheme="majorBidi" w:cstheme="majorBidi"/>
              </w:rPr>
            </w:pPr>
          </w:p>
        </w:tc>
        <w:tc>
          <w:tcPr>
            <w:tcW w:w="2390" w:type="dxa"/>
            <w:tcBorders>
              <w:top w:val="nil"/>
              <w:left w:val="nil"/>
              <w:bottom w:val="single" w:sz="4" w:space="0" w:color="auto"/>
              <w:right w:val="nil"/>
            </w:tcBorders>
            <w:shd w:val="clear" w:color="auto" w:fill="FFFFFF"/>
            <w:vAlign w:val="center"/>
          </w:tcPr>
          <w:p w14:paraId="0CFB0D81"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Total</w:t>
            </w:r>
          </w:p>
        </w:tc>
        <w:tc>
          <w:tcPr>
            <w:tcW w:w="1241" w:type="dxa"/>
            <w:tcBorders>
              <w:top w:val="nil"/>
              <w:left w:val="nil"/>
              <w:bottom w:val="single" w:sz="4" w:space="0" w:color="auto"/>
              <w:right w:val="nil"/>
            </w:tcBorders>
            <w:shd w:val="clear" w:color="auto" w:fill="FFFFFF"/>
            <w:vAlign w:val="center"/>
          </w:tcPr>
          <w:p w14:paraId="1641CF21"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693</w:t>
            </w:r>
          </w:p>
        </w:tc>
        <w:tc>
          <w:tcPr>
            <w:tcW w:w="1009" w:type="dxa"/>
            <w:tcBorders>
              <w:top w:val="nil"/>
              <w:left w:val="nil"/>
              <w:bottom w:val="single" w:sz="4" w:space="0" w:color="auto"/>
              <w:right w:val="nil"/>
            </w:tcBorders>
            <w:shd w:val="clear" w:color="auto" w:fill="FFFFFF"/>
            <w:vAlign w:val="center"/>
          </w:tcPr>
          <w:p w14:paraId="75B3E07A"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100.0</w:t>
            </w:r>
          </w:p>
        </w:tc>
        <w:tc>
          <w:tcPr>
            <w:tcW w:w="1392" w:type="dxa"/>
            <w:tcBorders>
              <w:top w:val="nil"/>
              <w:left w:val="nil"/>
              <w:bottom w:val="single" w:sz="4" w:space="0" w:color="auto"/>
              <w:right w:val="nil"/>
            </w:tcBorders>
            <w:shd w:val="clear" w:color="auto" w:fill="FFFFFF"/>
            <w:vAlign w:val="center"/>
          </w:tcPr>
          <w:p w14:paraId="10B7B111"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100.0</w:t>
            </w:r>
          </w:p>
        </w:tc>
        <w:tc>
          <w:tcPr>
            <w:tcW w:w="1469" w:type="dxa"/>
            <w:tcBorders>
              <w:top w:val="nil"/>
              <w:left w:val="nil"/>
              <w:bottom w:val="single" w:sz="4" w:space="0" w:color="auto"/>
              <w:right w:val="nil"/>
            </w:tcBorders>
            <w:shd w:val="clear" w:color="auto" w:fill="FFFFFF"/>
            <w:vAlign w:val="center"/>
          </w:tcPr>
          <w:p w14:paraId="72109FAE" w14:textId="77777777" w:rsidR="00EE53EB" w:rsidRPr="002A7627" w:rsidRDefault="00EE53EB" w:rsidP="00EA4132">
            <w:pPr>
              <w:keepNext/>
              <w:jc w:val="center"/>
              <w:rPr>
                <w:rFonts w:asciiTheme="majorBidi" w:hAnsiTheme="majorBidi" w:cstheme="majorBidi"/>
              </w:rPr>
            </w:pPr>
          </w:p>
        </w:tc>
      </w:tr>
    </w:tbl>
    <w:p w14:paraId="05BF065F" w14:textId="77777777" w:rsidR="00EE53EB" w:rsidRPr="002A7627" w:rsidRDefault="00EE53EB" w:rsidP="00EE53EB">
      <w:pPr>
        <w:tabs>
          <w:tab w:val="left" w:pos="2790"/>
        </w:tabs>
        <w:rPr>
          <w:rFonts w:asciiTheme="majorBidi" w:hAnsiTheme="majorBidi" w:cstheme="majorBidi"/>
          <w:b/>
          <w:bCs/>
          <w:szCs w:val="24"/>
          <w:lang w:bidi="fa-IR"/>
        </w:rPr>
      </w:pPr>
    </w:p>
    <w:p w14:paraId="0CCA96E3" w14:textId="02293066" w:rsidR="005A7B1D" w:rsidRPr="002A7627" w:rsidRDefault="0079574F" w:rsidP="00677985">
      <w:pPr>
        <w:pStyle w:val="AAAAAAA"/>
        <w:rPr>
          <w:lang w:bidi="fa-IR"/>
        </w:rPr>
      </w:pPr>
      <w:bookmarkStart w:id="208" w:name="_Toc22331697"/>
      <w:r>
        <w:rPr>
          <w:rStyle w:val="Heading2Char"/>
          <w:color w:val="000000"/>
          <w:u w:val="none"/>
        </w:rPr>
        <w:t>5.2.3. Job</w:t>
      </w:r>
      <w:r w:rsidR="00EE53EB" w:rsidRPr="002A7627">
        <w:rPr>
          <w:rStyle w:val="Heading2Char"/>
          <w:color w:val="000000"/>
          <w:u w:val="none"/>
        </w:rPr>
        <w:t xml:space="preserve"> </w:t>
      </w:r>
      <w:r w:rsidR="0010785C" w:rsidRPr="002A7627">
        <w:rPr>
          <w:rStyle w:val="Heading2Char"/>
          <w:color w:val="000000"/>
          <w:u w:val="none"/>
        </w:rPr>
        <w:t>function</w:t>
      </w:r>
      <w:bookmarkEnd w:id="208"/>
      <w:r w:rsidR="0010785C" w:rsidRPr="002A7627">
        <w:t xml:space="preserve">. </w:t>
      </w:r>
      <w:r w:rsidR="00EE53EB" w:rsidRPr="002A7627">
        <w:rPr>
          <w:lang w:bidi="fa-IR"/>
        </w:rPr>
        <w:t xml:space="preserve">The third demographic variable considered in this study </w:t>
      </w:r>
      <w:r w:rsidR="008B09F7">
        <w:rPr>
          <w:lang w:bidi="fa-IR"/>
        </w:rPr>
        <w:t>was</w:t>
      </w:r>
      <w:r w:rsidR="008B09F7" w:rsidRPr="002A7627">
        <w:rPr>
          <w:lang w:bidi="fa-IR"/>
        </w:rPr>
        <w:t xml:space="preserve"> </w:t>
      </w:r>
      <w:r w:rsidR="00EE53EB" w:rsidRPr="002A7627">
        <w:rPr>
          <w:lang w:bidi="fa-IR"/>
        </w:rPr>
        <w:t>job</w:t>
      </w:r>
      <w:r w:rsidR="00EE53EB" w:rsidRPr="002A7627">
        <w:t xml:space="preserve"> </w:t>
      </w:r>
      <w:r w:rsidR="00EE53EB" w:rsidRPr="002A7627">
        <w:rPr>
          <w:lang w:bidi="fa-IR"/>
        </w:rPr>
        <w:t xml:space="preserve">function. </w:t>
      </w:r>
      <w:r w:rsidR="008B09F7">
        <w:rPr>
          <w:lang w:bidi="fa-IR"/>
        </w:rPr>
        <w:t>The majority of</w:t>
      </w:r>
      <w:r w:rsidR="00EE53EB" w:rsidRPr="002A7627">
        <w:rPr>
          <w:lang w:bidi="fa-IR"/>
        </w:rPr>
        <w:t xml:space="preserve"> participants </w:t>
      </w:r>
      <w:r w:rsidR="008B09F7">
        <w:rPr>
          <w:lang w:bidi="fa-IR"/>
        </w:rPr>
        <w:t>were in</w:t>
      </w:r>
      <w:r w:rsidR="00EE53EB" w:rsidRPr="002A7627">
        <w:rPr>
          <w:lang w:bidi="fa-IR"/>
        </w:rPr>
        <w:t xml:space="preserve"> administrative job</w:t>
      </w:r>
      <w:r w:rsidR="008B09F7">
        <w:rPr>
          <w:lang w:bidi="fa-IR"/>
        </w:rPr>
        <w:t>s</w:t>
      </w:r>
      <w:r w:rsidR="00EE53EB" w:rsidRPr="002A7627">
        <w:rPr>
          <w:lang w:bidi="fa-IR"/>
        </w:rPr>
        <w:t xml:space="preserve"> (455 respondents</w:t>
      </w:r>
      <w:r w:rsidR="008B09F7">
        <w:rPr>
          <w:lang w:bidi="fa-IR"/>
        </w:rPr>
        <w:t xml:space="preserve">, </w:t>
      </w:r>
      <w:r w:rsidR="00EE53EB" w:rsidRPr="002A7627">
        <w:rPr>
          <w:lang w:bidi="fa-IR"/>
        </w:rPr>
        <w:t>65.7%</w:t>
      </w:r>
      <w:r w:rsidR="008B09F7">
        <w:rPr>
          <w:lang w:bidi="fa-IR"/>
        </w:rPr>
        <w:t>).</w:t>
      </w:r>
      <w:r w:rsidR="00EE53EB" w:rsidRPr="002A7627">
        <w:rPr>
          <w:lang w:bidi="fa-IR"/>
        </w:rPr>
        <w:t xml:space="preserve"> The second </w:t>
      </w:r>
      <w:r w:rsidR="008B09F7">
        <w:rPr>
          <w:lang w:bidi="fa-IR"/>
        </w:rPr>
        <w:t xml:space="preserve">largest </w:t>
      </w:r>
      <w:r w:rsidR="00EE53EB" w:rsidRPr="002A7627">
        <w:rPr>
          <w:lang w:bidi="fa-IR"/>
        </w:rPr>
        <w:t xml:space="preserve">group </w:t>
      </w:r>
      <w:r w:rsidR="008B09F7">
        <w:rPr>
          <w:lang w:bidi="fa-IR"/>
        </w:rPr>
        <w:t xml:space="preserve">was </w:t>
      </w:r>
      <w:r w:rsidR="00EE53EB" w:rsidRPr="002A7627">
        <w:rPr>
          <w:lang w:bidi="fa-IR"/>
        </w:rPr>
        <w:t xml:space="preserve">operational </w:t>
      </w:r>
      <w:r w:rsidR="008B09F7">
        <w:rPr>
          <w:lang w:bidi="fa-IR"/>
        </w:rPr>
        <w:t xml:space="preserve">staff (152, 21.9%), followed by </w:t>
      </w:r>
      <w:r w:rsidR="00EE53EB" w:rsidRPr="002A7627">
        <w:rPr>
          <w:lang w:bidi="fa-IR"/>
        </w:rPr>
        <w:t xml:space="preserve">technical </w:t>
      </w:r>
      <w:r w:rsidR="008B09F7">
        <w:rPr>
          <w:lang w:bidi="fa-IR"/>
        </w:rPr>
        <w:t>staff (</w:t>
      </w:r>
      <w:r w:rsidR="00EE53EB" w:rsidRPr="002A7627">
        <w:rPr>
          <w:lang w:bidi="fa-IR"/>
        </w:rPr>
        <w:t>44 participants, 6.3%</w:t>
      </w:r>
      <w:r w:rsidR="008B09F7">
        <w:rPr>
          <w:lang w:bidi="fa-IR"/>
        </w:rPr>
        <w:t xml:space="preserve">), then </w:t>
      </w:r>
      <w:r w:rsidR="00EE53EB" w:rsidRPr="002A7627">
        <w:rPr>
          <w:lang w:bidi="fa-IR"/>
        </w:rPr>
        <w:t xml:space="preserve">other jobs </w:t>
      </w:r>
      <w:r w:rsidR="008B09F7">
        <w:rPr>
          <w:lang w:bidi="fa-IR"/>
        </w:rPr>
        <w:t>(</w:t>
      </w:r>
      <w:r w:rsidR="00EE53EB" w:rsidRPr="002A7627">
        <w:rPr>
          <w:lang w:bidi="fa-IR"/>
        </w:rPr>
        <w:t>42, 6.1%</w:t>
      </w:r>
      <w:r w:rsidR="008B09F7">
        <w:rPr>
          <w:lang w:bidi="fa-IR"/>
        </w:rPr>
        <w:t>) (see Table 11)</w:t>
      </w:r>
      <w:r w:rsidR="00EE53EB" w:rsidRPr="002A7627">
        <w:rPr>
          <w:lang w:bidi="fa-IR"/>
        </w:rPr>
        <w:t xml:space="preserve">. </w:t>
      </w:r>
    </w:p>
    <w:p w14:paraId="107E1C9E" w14:textId="406EAB48" w:rsidR="00EA4132" w:rsidRPr="004D08C5" w:rsidRDefault="00C52840" w:rsidP="00263B9C">
      <w:pPr>
        <w:pStyle w:val="Caption"/>
        <w:keepNext/>
      </w:pPr>
      <w:bookmarkStart w:id="209" w:name="_Toc14144623"/>
      <w:bookmarkStart w:id="210" w:name="_Toc19478589"/>
      <w:bookmarkStart w:id="211" w:name="_Toc21074079"/>
      <w:r w:rsidRPr="004D08C5">
        <w:rPr>
          <w:bCs w:val="0"/>
        </w:rPr>
        <w:t xml:space="preserve">Table </w:t>
      </w:r>
      <w:r w:rsidR="006D32F8" w:rsidRPr="004D08C5">
        <w:rPr>
          <w:bCs w:val="0"/>
          <w:noProof/>
        </w:rPr>
        <w:fldChar w:fldCharType="begin"/>
      </w:r>
      <w:r w:rsidR="006D32F8" w:rsidRPr="004D08C5">
        <w:rPr>
          <w:bCs w:val="0"/>
          <w:noProof/>
        </w:rPr>
        <w:instrText xml:space="preserve"> SEQ Table \* ARABIC </w:instrText>
      </w:r>
      <w:r w:rsidR="006D32F8" w:rsidRPr="004D08C5">
        <w:rPr>
          <w:bCs w:val="0"/>
          <w:noProof/>
        </w:rPr>
        <w:fldChar w:fldCharType="separate"/>
      </w:r>
      <w:r w:rsidR="00972C3F">
        <w:rPr>
          <w:bCs w:val="0"/>
          <w:noProof/>
        </w:rPr>
        <w:t>11</w:t>
      </w:r>
      <w:r w:rsidR="006D32F8" w:rsidRPr="004D08C5">
        <w:rPr>
          <w:bCs w:val="0"/>
          <w:noProof/>
        </w:rPr>
        <w:fldChar w:fldCharType="end"/>
      </w:r>
      <w:r w:rsidRPr="004D08C5">
        <w:rPr>
          <w:bCs w:val="0"/>
        </w:rPr>
        <w:t>.</w:t>
      </w:r>
      <w:r>
        <w:t xml:space="preserve"> </w:t>
      </w:r>
      <w:r w:rsidRPr="00812F2C">
        <w:t>The frequency and percentage of participants b</w:t>
      </w:r>
      <w:r w:rsidR="008B09F7">
        <w:t>y</w:t>
      </w:r>
      <w:r w:rsidRPr="00812F2C">
        <w:t xml:space="preserve"> job function</w:t>
      </w:r>
      <w:bookmarkEnd w:id="209"/>
      <w:bookmarkEnd w:id="210"/>
      <w:bookmarkEnd w:id="211"/>
    </w:p>
    <w:tbl>
      <w:tblPr>
        <w:tblW w:w="787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2633"/>
        <w:gridCol w:w="1334"/>
        <w:gridCol w:w="1009"/>
        <w:gridCol w:w="1393"/>
        <w:gridCol w:w="1469"/>
      </w:tblGrid>
      <w:tr w:rsidR="00EE53EB" w:rsidRPr="002A7627" w14:paraId="33C12681" w14:textId="77777777" w:rsidTr="004E20E0">
        <w:trPr>
          <w:cantSplit/>
          <w:jc w:val="center"/>
        </w:trPr>
        <w:tc>
          <w:tcPr>
            <w:tcW w:w="2673" w:type="dxa"/>
            <w:gridSpan w:val="2"/>
            <w:tcBorders>
              <w:top w:val="single" w:sz="4" w:space="0" w:color="auto"/>
              <w:left w:val="nil"/>
              <w:bottom w:val="single" w:sz="4" w:space="0" w:color="auto"/>
              <w:right w:val="nil"/>
            </w:tcBorders>
            <w:shd w:val="clear" w:color="auto" w:fill="FFFFFF"/>
            <w:vAlign w:val="center"/>
          </w:tcPr>
          <w:p w14:paraId="35B982DF" w14:textId="77777777" w:rsidR="00EE53EB" w:rsidRPr="002A7627" w:rsidRDefault="00EE53EB" w:rsidP="00B05733">
            <w:pPr>
              <w:jc w:val="center"/>
              <w:rPr>
                <w:rFonts w:asciiTheme="majorBidi" w:hAnsiTheme="majorBidi" w:cstheme="majorBidi"/>
              </w:rPr>
            </w:pPr>
          </w:p>
        </w:tc>
        <w:tc>
          <w:tcPr>
            <w:tcW w:w="1334" w:type="dxa"/>
            <w:tcBorders>
              <w:top w:val="single" w:sz="4" w:space="0" w:color="auto"/>
              <w:left w:val="nil"/>
              <w:bottom w:val="single" w:sz="4" w:space="0" w:color="auto"/>
              <w:right w:val="nil"/>
            </w:tcBorders>
            <w:shd w:val="clear" w:color="auto" w:fill="FFFFFF"/>
            <w:vAlign w:val="center"/>
          </w:tcPr>
          <w:p w14:paraId="28DE7616"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Frequency</w:t>
            </w:r>
          </w:p>
        </w:tc>
        <w:tc>
          <w:tcPr>
            <w:tcW w:w="1009" w:type="dxa"/>
            <w:tcBorders>
              <w:top w:val="single" w:sz="4" w:space="0" w:color="auto"/>
              <w:left w:val="nil"/>
              <w:bottom w:val="single" w:sz="4" w:space="0" w:color="auto"/>
              <w:right w:val="nil"/>
            </w:tcBorders>
            <w:shd w:val="clear" w:color="auto" w:fill="FFFFFF"/>
            <w:vAlign w:val="center"/>
          </w:tcPr>
          <w:p w14:paraId="7964F1FF"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Percent</w:t>
            </w:r>
          </w:p>
        </w:tc>
        <w:tc>
          <w:tcPr>
            <w:tcW w:w="1393" w:type="dxa"/>
            <w:tcBorders>
              <w:top w:val="single" w:sz="4" w:space="0" w:color="auto"/>
              <w:left w:val="nil"/>
              <w:bottom w:val="single" w:sz="4" w:space="0" w:color="auto"/>
              <w:right w:val="nil"/>
            </w:tcBorders>
            <w:shd w:val="clear" w:color="auto" w:fill="FFFFFF"/>
            <w:vAlign w:val="center"/>
          </w:tcPr>
          <w:p w14:paraId="30A4B2D5"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Valid Percent</w:t>
            </w:r>
          </w:p>
        </w:tc>
        <w:tc>
          <w:tcPr>
            <w:tcW w:w="1469" w:type="dxa"/>
            <w:tcBorders>
              <w:top w:val="single" w:sz="4" w:space="0" w:color="auto"/>
              <w:left w:val="nil"/>
              <w:bottom w:val="single" w:sz="4" w:space="0" w:color="auto"/>
              <w:right w:val="nil"/>
            </w:tcBorders>
            <w:shd w:val="clear" w:color="auto" w:fill="FFFFFF"/>
            <w:vAlign w:val="center"/>
          </w:tcPr>
          <w:p w14:paraId="396D5E23"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Cumulative Percent</w:t>
            </w:r>
          </w:p>
        </w:tc>
      </w:tr>
      <w:tr w:rsidR="00EE53EB" w:rsidRPr="002A7627" w14:paraId="21704CBE" w14:textId="77777777" w:rsidTr="004E20E0">
        <w:trPr>
          <w:cantSplit/>
          <w:jc w:val="center"/>
        </w:trPr>
        <w:tc>
          <w:tcPr>
            <w:tcW w:w="40" w:type="dxa"/>
            <w:vMerge w:val="restart"/>
            <w:tcBorders>
              <w:top w:val="single" w:sz="4" w:space="0" w:color="auto"/>
              <w:left w:val="nil"/>
              <w:bottom w:val="nil"/>
              <w:right w:val="nil"/>
            </w:tcBorders>
            <w:shd w:val="clear" w:color="auto" w:fill="FFFFFF"/>
          </w:tcPr>
          <w:p w14:paraId="13EEE8C6" w14:textId="77777777" w:rsidR="00EE53EB" w:rsidRPr="002A7627" w:rsidRDefault="00EE53EB" w:rsidP="00B05733">
            <w:pPr>
              <w:spacing w:line="320" w:lineRule="atLeast"/>
              <w:ind w:left="60" w:right="60"/>
              <w:rPr>
                <w:rFonts w:asciiTheme="majorBidi" w:hAnsiTheme="majorBidi" w:cstheme="majorBidi"/>
              </w:rPr>
            </w:pPr>
          </w:p>
        </w:tc>
        <w:tc>
          <w:tcPr>
            <w:tcW w:w="2633" w:type="dxa"/>
            <w:tcBorders>
              <w:top w:val="single" w:sz="4" w:space="0" w:color="auto"/>
              <w:left w:val="nil"/>
              <w:bottom w:val="nil"/>
              <w:right w:val="nil"/>
            </w:tcBorders>
            <w:shd w:val="clear" w:color="auto" w:fill="FFFFFF"/>
            <w:vAlign w:val="center"/>
          </w:tcPr>
          <w:p w14:paraId="4F64B976"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Technical</w:t>
            </w:r>
          </w:p>
        </w:tc>
        <w:tc>
          <w:tcPr>
            <w:tcW w:w="1334" w:type="dxa"/>
            <w:tcBorders>
              <w:top w:val="single" w:sz="4" w:space="0" w:color="auto"/>
              <w:left w:val="nil"/>
              <w:bottom w:val="nil"/>
              <w:right w:val="nil"/>
            </w:tcBorders>
            <w:shd w:val="clear" w:color="auto" w:fill="FFFFFF"/>
            <w:vAlign w:val="center"/>
          </w:tcPr>
          <w:p w14:paraId="662BD349"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44</w:t>
            </w:r>
          </w:p>
        </w:tc>
        <w:tc>
          <w:tcPr>
            <w:tcW w:w="1009" w:type="dxa"/>
            <w:tcBorders>
              <w:top w:val="single" w:sz="4" w:space="0" w:color="auto"/>
              <w:left w:val="nil"/>
              <w:bottom w:val="nil"/>
              <w:right w:val="nil"/>
            </w:tcBorders>
            <w:shd w:val="clear" w:color="auto" w:fill="FFFFFF"/>
            <w:vAlign w:val="center"/>
          </w:tcPr>
          <w:p w14:paraId="3A55752E"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6.3</w:t>
            </w:r>
          </w:p>
        </w:tc>
        <w:tc>
          <w:tcPr>
            <w:tcW w:w="1393" w:type="dxa"/>
            <w:tcBorders>
              <w:top w:val="single" w:sz="4" w:space="0" w:color="auto"/>
              <w:left w:val="nil"/>
              <w:bottom w:val="nil"/>
              <w:right w:val="nil"/>
            </w:tcBorders>
            <w:shd w:val="clear" w:color="auto" w:fill="FFFFFF"/>
            <w:vAlign w:val="center"/>
          </w:tcPr>
          <w:p w14:paraId="7B7D417F"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6.3</w:t>
            </w:r>
          </w:p>
        </w:tc>
        <w:tc>
          <w:tcPr>
            <w:tcW w:w="1469" w:type="dxa"/>
            <w:tcBorders>
              <w:top w:val="single" w:sz="4" w:space="0" w:color="auto"/>
              <w:left w:val="nil"/>
              <w:bottom w:val="nil"/>
              <w:right w:val="nil"/>
            </w:tcBorders>
            <w:shd w:val="clear" w:color="auto" w:fill="FFFFFF"/>
            <w:vAlign w:val="center"/>
          </w:tcPr>
          <w:p w14:paraId="0F469289"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6.3</w:t>
            </w:r>
          </w:p>
        </w:tc>
      </w:tr>
      <w:tr w:rsidR="00EE53EB" w:rsidRPr="002A7627" w14:paraId="50110075" w14:textId="77777777" w:rsidTr="004E20E0">
        <w:trPr>
          <w:cantSplit/>
          <w:jc w:val="center"/>
        </w:trPr>
        <w:tc>
          <w:tcPr>
            <w:tcW w:w="40" w:type="dxa"/>
            <w:vMerge/>
            <w:tcBorders>
              <w:top w:val="nil"/>
              <w:left w:val="nil"/>
              <w:bottom w:val="nil"/>
              <w:right w:val="nil"/>
            </w:tcBorders>
            <w:shd w:val="clear" w:color="auto" w:fill="FFFFFF"/>
          </w:tcPr>
          <w:p w14:paraId="6C3CC6A0" w14:textId="77777777" w:rsidR="00EE53EB" w:rsidRPr="002A7627" w:rsidRDefault="00EE53EB" w:rsidP="00B05733">
            <w:pPr>
              <w:rPr>
                <w:rFonts w:asciiTheme="majorBidi" w:hAnsiTheme="majorBidi" w:cstheme="majorBidi"/>
              </w:rPr>
            </w:pPr>
          </w:p>
        </w:tc>
        <w:tc>
          <w:tcPr>
            <w:tcW w:w="2633" w:type="dxa"/>
            <w:tcBorders>
              <w:top w:val="nil"/>
              <w:left w:val="nil"/>
              <w:bottom w:val="nil"/>
              <w:right w:val="nil"/>
            </w:tcBorders>
            <w:shd w:val="clear" w:color="auto" w:fill="FFFFFF"/>
            <w:vAlign w:val="center"/>
          </w:tcPr>
          <w:p w14:paraId="729CCB67"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Administrative</w:t>
            </w:r>
          </w:p>
        </w:tc>
        <w:tc>
          <w:tcPr>
            <w:tcW w:w="1334" w:type="dxa"/>
            <w:tcBorders>
              <w:top w:val="nil"/>
              <w:left w:val="nil"/>
              <w:bottom w:val="nil"/>
              <w:right w:val="nil"/>
            </w:tcBorders>
            <w:shd w:val="clear" w:color="auto" w:fill="FFFFFF"/>
            <w:vAlign w:val="center"/>
          </w:tcPr>
          <w:p w14:paraId="04342230"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455</w:t>
            </w:r>
          </w:p>
        </w:tc>
        <w:tc>
          <w:tcPr>
            <w:tcW w:w="1009" w:type="dxa"/>
            <w:tcBorders>
              <w:top w:val="nil"/>
              <w:left w:val="nil"/>
              <w:bottom w:val="nil"/>
              <w:right w:val="nil"/>
            </w:tcBorders>
            <w:shd w:val="clear" w:color="auto" w:fill="FFFFFF"/>
            <w:vAlign w:val="center"/>
          </w:tcPr>
          <w:p w14:paraId="5F1030FA"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65.7</w:t>
            </w:r>
          </w:p>
        </w:tc>
        <w:tc>
          <w:tcPr>
            <w:tcW w:w="1393" w:type="dxa"/>
            <w:tcBorders>
              <w:top w:val="nil"/>
              <w:left w:val="nil"/>
              <w:bottom w:val="nil"/>
              <w:right w:val="nil"/>
            </w:tcBorders>
            <w:shd w:val="clear" w:color="auto" w:fill="FFFFFF"/>
            <w:vAlign w:val="center"/>
          </w:tcPr>
          <w:p w14:paraId="0B33C0BD"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65.7</w:t>
            </w:r>
          </w:p>
        </w:tc>
        <w:tc>
          <w:tcPr>
            <w:tcW w:w="1469" w:type="dxa"/>
            <w:tcBorders>
              <w:top w:val="nil"/>
              <w:left w:val="nil"/>
              <w:bottom w:val="nil"/>
              <w:right w:val="nil"/>
            </w:tcBorders>
            <w:shd w:val="clear" w:color="auto" w:fill="FFFFFF"/>
            <w:vAlign w:val="center"/>
          </w:tcPr>
          <w:p w14:paraId="5B75C4F0"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72.0</w:t>
            </w:r>
          </w:p>
        </w:tc>
      </w:tr>
      <w:tr w:rsidR="00EE53EB" w:rsidRPr="002A7627" w14:paraId="6BA68BAB" w14:textId="77777777" w:rsidTr="004E20E0">
        <w:trPr>
          <w:cantSplit/>
          <w:jc w:val="center"/>
        </w:trPr>
        <w:tc>
          <w:tcPr>
            <w:tcW w:w="40" w:type="dxa"/>
            <w:vMerge/>
            <w:tcBorders>
              <w:top w:val="nil"/>
              <w:left w:val="nil"/>
              <w:bottom w:val="nil"/>
              <w:right w:val="nil"/>
            </w:tcBorders>
            <w:shd w:val="clear" w:color="auto" w:fill="FFFFFF"/>
          </w:tcPr>
          <w:p w14:paraId="374B571B" w14:textId="77777777" w:rsidR="00EE53EB" w:rsidRPr="002A7627" w:rsidRDefault="00EE53EB" w:rsidP="00B05733">
            <w:pPr>
              <w:rPr>
                <w:rFonts w:asciiTheme="majorBidi" w:hAnsiTheme="majorBidi" w:cstheme="majorBidi"/>
              </w:rPr>
            </w:pPr>
          </w:p>
        </w:tc>
        <w:tc>
          <w:tcPr>
            <w:tcW w:w="2633" w:type="dxa"/>
            <w:tcBorders>
              <w:top w:val="nil"/>
              <w:left w:val="nil"/>
              <w:bottom w:val="nil"/>
              <w:right w:val="nil"/>
            </w:tcBorders>
            <w:shd w:val="clear" w:color="auto" w:fill="FFFFFF"/>
            <w:vAlign w:val="center"/>
          </w:tcPr>
          <w:p w14:paraId="60596F0A"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Operational field work</w:t>
            </w:r>
          </w:p>
        </w:tc>
        <w:tc>
          <w:tcPr>
            <w:tcW w:w="1334" w:type="dxa"/>
            <w:tcBorders>
              <w:top w:val="nil"/>
              <w:left w:val="nil"/>
              <w:bottom w:val="nil"/>
              <w:right w:val="nil"/>
            </w:tcBorders>
            <w:shd w:val="clear" w:color="auto" w:fill="FFFFFF"/>
            <w:vAlign w:val="center"/>
          </w:tcPr>
          <w:p w14:paraId="6205B05E"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152</w:t>
            </w:r>
          </w:p>
        </w:tc>
        <w:tc>
          <w:tcPr>
            <w:tcW w:w="1009" w:type="dxa"/>
            <w:tcBorders>
              <w:top w:val="nil"/>
              <w:left w:val="nil"/>
              <w:bottom w:val="nil"/>
              <w:right w:val="nil"/>
            </w:tcBorders>
            <w:shd w:val="clear" w:color="auto" w:fill="FFFFFF"/>
            <w:vAlign w:val="center"/>
          </w:tcPr>
          <w:p w14:paraId="0F4BE8E8"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21.9</w:t>
            </w:r>
          </w:p>
        </w:tc>
        <w:tc>
          <w:tcPr>
            <w:tcW w:w="1393" w:type="dxa"/>
            <w:tcBorders>
              <w:top w:val="nil"/>
              <w:left w:val="nil"/>
              <w:bottom w:val="nil"/>
              <w:right w:val="nil"/>
            </w:tcBorders>
            <w:shd w:val="clear" w:color="auto" w:fill="FFFFFF"/>
            <w:vAlign w:val="center"/>
          </w:tcPr>
          <w:p w14:paraId="6E32CF31"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21.9</w:t>
            </w:r>
          </w:p>
        </w:tc>
        <w:tc>
          <w:tcPr>
            <w:tcW w:w="1469" w:type="dxa"/>
            <w:tcBorders>
              <w:top w:val="nil"/>
              <w:left w:val="nil"/>
              <w:bottom w:val="nil"/>
              <w:right w:val="nil"/>
            </w:tcBorders>
            <w:shd w:val="clear" w:color="auto" w:fill="FFFFFF"/>
            <w:vAlign w:val="center"/>
          </w:tcPr>
          <w:p w14:paraId="2E436C82"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93.9</w:t>
            </w:r>
          </w:p>
        </w:tc>
      </w:tr>
      <w:tr w:rsidR="00EE53EB" w:rsidRPr="002A7627" w14:paraId="539AD9BB" w14:textId="77777777" w:rsidTr="004E20E0">
        <w:trPr>
          <w:cantSplit/>
          <w:jc w:val="center"/>
        </w:trPr>
        <w:tc>
          <w:tcPr>
            <w:tcW w:w="40" w:type="dxa"/>
            <w:vMerge/>
            <w:tcBorders>
              <w:top w:val="nil"/>
              <w:left w:val="nil"/>
              <w:bottom w:val="nil"/>
              <w:right w:val="nil"/>
            </w:tcBorders>
            <w:shd w:val="clear" w:color="auto" w:fill="FFFFFF"/>
          </w:tcPr>
          <w:p w14:paraId="6F491428" w14:textId="77777777" w:rsidR="00EE53EB" w:rsidRPr="002A7627" w:rsidRDefault="00EE53EB" w:rsidP="00B05733">
            <w:pPr>
              <w:rPr>
                <w:rFonts w:asciiTheme="majorBidi" w:hAnsiTheme="majorBidi" w:cstheme="majorBidi"/>
              </w:rPr>
            </w:pPr>
          </w:p>
        </w:tc>
        <w:tc>
          <w:tcPr>
            <w:tcW w:w="2633" w:type="dxa"/>
            <w:tcBorders>
              <w:top w:val="nil"/>
              <w:left w:val="nil"/>
              <w:bottom w:val="nil"/>
              <w:right w:val="nil"/>
            </w:tcBorders>
            <w:shd w:val="clear" w:color="auto" w:fill="FFFFFF"/>
            <w:vAlign w:val="center"/>
          </w:tcPr>
          <w:p w14:paraId="6197383E"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Others</w:t>
            </w:r>
          </w:p>
        </w:tc>
        <w:tc>
          <w:tcPr>
            <w:tcW w:w="1334" w:type="dxa"/>
            <w:tcBorders>
              <w:top w:val="nil"/>
              <w:left w:val="nil"/>
              <w:bottom w:val="nil"/>
              <w:right w:val="nil"/>
            </w:tcBorders>
            <w:shd w:val="clear" w:color="auto" w:fill="FFFFFF"/>
            <w:vAlign w:val="center"/>
          </w:tcPr>
          <w:p w14:paraId="01558A27"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42</w:t>
            </w:r>
          </w:p>
        </w:tc>
        <w:tc>
          <w:tcPr>
            <w:tcW w:w="1009" w:type="dxa"/>
            <w:tcBorders>
              <w:top w:val="nil"/>
              <w:left w:val="nil"/>
              <w:bottom w:val="nil"/>
              <w:right w:val="nil"/>
            </w:tcBorders>
            <w:shd w:val="clear" w:color="auto" w:fill="FFFFFF"/>
            <w:vAlign w:val="center"/>
          </w:tcPr>
          <w:p w14:paraId="49A1B5A9"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6.1</w:t>
            </w:r>
          </w:p>
        </w:tc>
        <w:tc>
          <w:tcPr>
            <w:tcW w:w="1393" w:type="dxa"/>
            <w:tcBorders>
              <w:top w:val="nil"/>
              <w:left w:val="nil"/>
              <w:bottom w:val="nil"/>
              <w:right w:val="nil"/>
            </w:tcBorders>
            <w:shd w:val="clear" w:color="auto" w:fill="FFFFFF"/>
            <w:vAlign w:val="center"/>
          </w:tcPr>
          <w:p w14:paraId="5BC2F6C6"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6.1</w:t>
            </w:r>
          </w:p>
        </w:tc>
        <w:tc>
          <w:tcPr>
            <w:tcW w:w="1469" w:type="dxa"/>
            <w:tcBorders>
              <w:top w:val="nil"/>
              <w:left w:val="nil"/>
              <w:bottom w:val="nil"/>
              <w:right w:val="nil"/>
            </w:tcBorders>
            <w:shd w:val="clear" w:color="auto" w:fill="FFFFFF"/>
            <w:vAlign w:val="center"/>
          </w:tcPr>
          <w:p w14:paraId="61820230"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100.0</w:t>
            </w:r>
          </w:p>
        </w:tc>
      </w:tr>
      <w:tr w:rsidR="00EE53EB" w:rsidRPr="002A7627" w14:paraId="13FC5BFA" w14:textId="77777777" w:rsidTr="004E20E0">
        <w:trPr>
          <w:cantSplit/>
          <w:jc w:val="center"/>
        </w:trPr>
        <w:tc>
          <w:tcPr>
            <w:tcW w:w="40" w:type="dxa"/>
            <w:vMerge/>
            <w:tcBorders>
              <w:top w:val="nil"/>
              <w:left w:val="nil"/>
              <w:bottom w:val="nil"/>
              <w:right w:val="nil"/>
            </w:tcBorders>
            <w:shd w:val="clear" w:color="auto" w:fill="FFFFFF"/>
          </w:tcPr>
          <w:p w14:paraId="769FC328" w14:textId="77777777" w:rsidR="00EE53EB" w:rsidRPr="002A7627" w:rsidRDefault="00EE53EB" w:rsidP="00B05733">
            <w:pPr>
              <w:rPr>
                <w:rFonts w:asciiTheme="majorBidi" w:hAnsiTheme="majorBidi" w:cstheme="majorBidi"/>
              </w:rPr>
            </w:pPr>
          </w:p>
        </w:tc>
        <w:tc>
          <w:tcPr>
            <w:tcW w:w="2633" w:type="dxa"/>
            <w:tcBorders>
              <w:top w:val="nil"/>
              <w:left w:val="nil"/>
              <w:bottom w:val="single" w:sz="4" w:space="0" w:color="auto"/>
              <w:right w:val="nil"/>
            </w:tcBorders>
            <w:shd w:val="clear" w:color="auto" w:fill="FFFFFF"/>
            <w:vAlign w:val="center"/>
          </w:tcPr>
          <w:p w14:paraId="6A0EC8C5"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Total</w:t>
            </w:r>
          </w:p>
        </w:tc>
        <w:tc>
          <w:tcPr>
            <w:tcW w:w="1334" w:type="dxa"/>
            <w:tcBorders>
              <w:top w:val="nil"/>
              <w:left w:val="nil"/>
              <w:bottom w:val="single" w:sz="4" w:space="0" w:color="auto"/>
              <w:right w:val="nil"/>
            </w:tcBorders>
            <w:shd w:val="clear" w:color="auto" w:fill="FFFFFF"/>
            <w:vAlign w:val="center"/>
          </w:tcPr>
          <w:p w14:paraId="5439157E"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693</w:t>
            </w:r>
          </w:p>
        </w:tc>
        <w:tc>
          <w:tcPr>
            <w:tcW w:w="1009" w:type="dxa"/>
            <w:tcBorders>
              <w:top w:val="nil"/>
              <w:left w:val="nil"/>
              <w:bottom w:val="single" w:sz="4" w:space="0" w:color="auto"/>
              <w:right w:val="nil"/>
            </w:tcBorders>
            <w:shd w:val="clear" w:color="auto" w:fill="FFFFFF"/>
            <w:vAlign w:val="center"/>
          </w:tcPr>
          <w:p w14:paraId="2CFA5A24"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100.0</w:t>
            </w:r>
          </w:p>
        </w:tc>
        <w:tc>
          <w:tcPr>
            <w:tcW w:w="1393" w:type="dxa"/>
            <w:tcBorders>
              <w:top w:val="nil"/>
              <w:left w:val="nil"/>
              <w:bottom w:val="single" w:sz="4" w:space="0" w:color="auto"/>
              <w:right w:val="nil"/>
            </w:tcBorders>
            <w:shd w:val="clear" w:color="auto" w:fill="FFFFFF"/>
            <w:vAlign w:val="center"/>
          </w:tcPr>
          <w:p w14:paraId="1B60E8FA"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100.0</w:t>
            </w:r>
          </w:p>
        </w:tc>
        <w:tc>
          <w:tcPr>
            <w:tcW w:w="1469" w:type="dxa"/>
            <w:tcBorders>
              <w:top w:val="nil"/>
              <w:left w:val="nil"/>
              <w:bottom w:val="single" w:sz="4" w:space="0" w:color="auto"/>
              <w:right w:val="nil"/>
            </w:tcBorders>
            <w:shd w:val="clear" w:color="auto" w:fill="FFFFFF"/>
            <w:vAlign w:val="center"/>
          </w:tcPr>
          <w:p w14:paraId="6FD686C0" w14:textId="77777777" w:rsidR="00EE53EB" w:rsidRPr="002A7627" w:rsidRDefault="00EE53EB" w:rsidP="00B05733">
            <w:pPr>
              <w:jc w:val="center"/>
              <w:rPr>
                <w:rFonts w:asciiTheme="majorBidi" w:hAnsiTheme="majorBidi" w:cstheme="majorBidi"/>
                <w:b/>
                <w:bCs/>
              </w:rPr>
            </w:pPr>
          </w:p>
        </w:tc>
      </w:tr>
    </w:tbl>
    <w:p w14:paraId="3A16C13D" w14:textId="77777777" w:rsidR="008B09F7" w:rsidRDefault="008B09F7" w:rsidP="00677985">
      <w:pPr>
        <w:pStyle w:val="AAAAAAA"/>
        <w:rPr>
          <w:rStyle w:val="Heading2Char"/>
          <w:color w:val="000000"/>
          <w:u w:val="none"/>
        </w:rPr>
      </w:pPr>
    </w:p>
    <w:p w14:paraId="59EAAC8D" w14:textId="1133CB84" w:rsidR="00EE53EB" w:rsidRPr="002A7627" w:rsidRDefault="0079574F" w:rsidP="00677985">
      <w:pPr>
        <w:pStyle w:val="AAAAAAA"/>
        <w:rPr>
          <w:lang w:bidi="fa-IR"/>
        </w:rPr>
      </w:pPr>
      <w:bookmarkStart w:id="212" w:name="_Toc22331698"/>
      <w:r>
        <w:rPr>
          <w:rStyle w:val="Heading2Char"/>
          <w:color w:val="000000"/>
          <w:u w:val="none"/>
        </w:rPr>
        <w:t xml:space="preserve">5.2.4. </w:t>
      </w:r>
      <w:r w:rsidR="00EE53EB" w:rsidRPr="002A7627">
        <w:rPr>
          <w:rStyle w:val="Heading2Char"/>
          <w:color w:val="000000"/>
          <w:u w:val="none"/>
        </w:rPr>
        <w:t xml:space="preserve">Level of </w:t>
      </w:r>
      <w:r w:rsidR="0010785C" w:rsidRPr="002A7627">
        <w:rPr>
          <w:rStyle w:val="Heading2Char"/>
          <w:color w:val="000000"/>
          <w:u w:val="none"/>
        </w:rPr>
        <w:t>education</w:t>
      </w:r>
      <w:bookmarkEnd w:id="212"/>
      <w:r w:rsidR="0010785C" w:rsidRPr="002A7627">
        <w:rPr>
          <w:lang w:bidi="fa-IR"/>
        </w:rPr>
        <w:t xml:space="preserve">. </w:t>
      </w:r>
      <w:r w:rsidR="00EE53EB" w:rsidRPr="002A7627">
        <w:rPr>
          <w:lang w:bidi="fa-IR"/>
        </w:rPr>
        <w:t xml:space="preserve">The </w:t>
      </w:r>
      <w:r w:rsidR="008B09F7">
        <w:rPr>
          <w:lang w:bidi="fa-IR"/>
        </w:rPr>
        <w:t>largest group of</w:t>
      </w:r>
      <w:r w:rsidR="00EE53EB" w:rsidRPr="002A7627">
        <w:rPr>
          <w:lang w:bidi="fa-IR"/>
        </w:rPr>
        <w:t xml:space="preserve"> participants </w:t>
      </w:r>
      <w:r w:rsidR="008B09F7">
        <w:rPr>
          <w:lang w:bidi="fa-IR"/>
        </w:rPr>
        <w:t>held a</w:t>
      </w:r>
      <w:r w:rsidR="00EE53EB" w:rsidRPr="002A7627">
        <w:rPr>
          <w:lang w:bidi="fa-IR"/>
        </w:rPr>
        <w:t xml:space="preserve"> </w:t>
      </w:r>
      <w:r w:rsidR="008B09F7">
        <w:rPr>
          <w:lang w:bidi="fa-IR"/>
        </w:rPr>
        <w:t>b</w:t>
      </w:r>
      <w:r w:rsidR="00EE53EB" w:rsidRPr="002A7627">
        <w:rPr>
          <w:lang w:bidi="fa-IR"/>
        </w:rPr>
        <w:t>achelor</w:t>
      </w:r>
      <w:r w:rsidR="008B09F7">
        <w:rPr>
          <w:lang w:bidi="fa-IR"/>
        </w:rPr>
        <w:t>’s degree or d</w:t>
      </w:r>
      <w:r w:rsidR="00EE53EB" w:rsidRPr="002A7627">
        <w:rPr>
          <w:lang w:bidi="fa-IR"/>
        </w:rPr>
        <w:t>iploma (328 respondents, 47.3%</w:t>
      </w:r>
      <w:r w:rsidR="008B09F7">
        <w:rPr>
          <w:lang w:bidi="fa-IR"/>
        </w:rPr>
        <w:t>)</w:t>
      </w:r>
      <w:r w:rsidR="00EE53EB" w:rsidRPr="002A7627">
        <w:rPr>
          <w:lang w:bidi="fa-IR"/>
        </w:rPr>
        <w:t xml:space="preserve">. </w:t>
      </w:r>
      <w:r w:rsidR="008B09F7">
        <w:rPr>
          <w:lang w:bidi="fa-IR"/>
        </w:rPr>
        <w:t>This was followed by those with a postgraduate degree (</w:t>
      </w:r>
      <w:r w:rsidR="00EE53EB" w:rsidRPr="002A7627">
        <w:rPr>
          <w:lang w:bidi="fa-IR"/>
        </w:rPr>
        <w:t>228</w:t>
      </w:r>
      <w:r w:rsidR="00F43C2E" w:rsidRPr="002A7627">
        <w:rPr>
          <w:lang w:bidi="fa-IR"/>
        </w:rPr>
        <w:t>,</w:t>
      </w:r>
      <w:r w:rsidR="00EE53EB" w:rsidRPr="002A7627">
        <w:rPr>
          <w:lang w:bidi="fa-IR"/>
        </w:rPr>
        <w:t xml:space="preserve"> 32.9%</w:t>
      </w:r>
      <w:r w:rsidR="008B09F7">
        <w:rPr>
          <w:lang w:bidi="fa-IR"/>
        </w:rPr>
        <w:t>)</w:t>
      </w:r>
      <w:r w:rsidR="00EE53EB" w:rsidRPr="002A7627">
        <w:rPr>
          <w:lang w:bidi="fa-IR"/>
        </w:rPr>
        <w:t xml:space="preserve">. </w:t>
      </w:r>
      <w:r w:rsidR="008B09F7">
        <w:rPr>
          <w:lang w:bidi="fa-IR"/>
        </w:rPr>
        <w:t>This</w:t>
      </w:r>
      <w:r w:rsidR="00EE53EB" w:rsidRPr="002A7627">
        <w:rPr>
          <w:lang w:bidi="fa-IR"/>
        </w:rPr>
        <w:t xml:space="preserve"> means that 80.2% of the participants ha</w:t>
      </w:r>
      <w:r w:rsidR="008B09F7">
        <w:rPr>
          <w:lang w:bidi="fa-IR"/>
        </w:rPr>
        <w:t>d</w:t>
      </w:r>
      <w:r w:rsidR="00EE53EB" w:rsidRPr="002A7627">
        <w:rPr>
          <w:lang w:bidi="fa-IR"/>
        </w:rPr>
        <w:t xml:space="preserve"> graduated from university. </w:t>
      </w:r>
      <w:r w:rsidR="008B09F7">
        <w:rPr>
          <w:lang w:bidi="fa-IR"/>
        </w:rPr>
        <w:t xml:space="preserve">Very few had less than </w:t>
      </w:r>
      <w:r w:rsidR="00EE53EB" w:rsidRPr="002A7627">
        <w:rPr>
          <w:lang w:bidi="fa-IR"/>
        </w:rPr>
        <w:t xml:space="preserve">high school </w:t>
      </w:r>
      <w:r w:rsidR="008B09F7">
        <w:rPr>
          <w:lang w:bidi="fa-IR"/>
        </w:rPr>
        <w:t>education (</w:t>
      </w:r>
      <w:r w:rsidR="00EE53EB" w:rsidRPr="002A7627">
        <w:rPr>
          <w:lang w:bidi="fa-IR"/>
        </w:rPr>
        <w:t>10</w:t>
      </w:r>
      <w:r w:rsidR="008B09F7">
        <w:rPr>
          <w:lang w:bidi="fa-IR"/>
        </w:rPr>
        <w:t xml:space="preserve"> respondents</w:t>
      </w:r>
      <w:r w:rsidR="00EE53EB" w:rsidRPr="002A7627">
        <w:rPr>
          <w:lang w:bidi="fa-IR"/>
        </w:rPr>
        <w:t>, 1.4%</w:t>
      </w:r>
      <w:r w:rsidR="008B09F7">
        <w:rPr>
          <w:lang w:bidi="fa-IR"/>
        </w:rPr>
        <w:t>) (see Table 12)</w:t>
      </w:r>
      <w:r w:rsidR="00EE53EB" w:rsidRPr="002A7627">
        <w:rPr>
          <w:lang w:bidi="fa-IR"/>
        </w:rPr>
        <w:t>.</w:t>
      </w:r>
    </w:p>
    <w:p w14:paraId="52010F7D" w14:textId="70DE92B7" w:rsidR="00EA4132" w:rsidRPr="004D08C5" w:rsidRDefault="00C52840" w:rsidP="0089702C">
      <w:pPr>
        <w:pStyle w:val="Caption"/>
        <w:jc w:val="lowKashida"/>
      </w:pPr>
      <w:bookmarkStart w:id="213" w:name="_Toc14144624"/>
      <w:bookmarkStart w:id="214" w:name="_Toc19478590"/>
      <w:bookmarkStart w:id="215" w:name="_Toc21074080"/>
      <w:r w:rsidRPr="004D08C5">
        <w:rPr>
          <w:bCs w:val="0"/>
        </w:rPr>
        <w:t xml:space="preserve">Table </w:t>
      </w:r>
      <w:r w:rsidR="006D32F8" w:rsidRPr="004D08C5">
        <w:rPr>
          <w:bCs w:val="0"/>
        </w:rPr>
        <w:fldChar w:fldCharType="begin"/>
      </w:r>
      <w:r w:rsidR="006D32F8" w:rsidRPr="004D08C5">
        <w:rPr>
          <w:bCs w:val="0"/>
        </w:rPr>
        <w:instrText xml:space="preserve"> SEQ Table \* ARABIC </w:instrText>
      </w:r>
      <w:r w:rsidR="006D32F8" w:rsidRPr="004D08C5">
        <w:rPr>
          <w:bCs w:val="0"/>
        </w:rPr>
        <w:fldChar w:fldCharType="separate"/>
      </w:r>
      <w:r w:rsidR="00972C3F">
        <w:rPr>
          <w:bCs w:val="0"/>
          <w:noProof/>
        </w:rPr>
        <w:t>12</w:t>
      </w:r>
      <w:r w:rsidR="006D32F8" w:rsidRPr="004D08C5">
        <w:rPr>
          <w:bCs w:val="0"/>
        </w:rPr>
        <w:fldChar w:fldCharType="end"/>
      </w:r>
      <w:r w:rsidRPr="004D08C5">
        <w:rPr>
          <w:bCs w:val="0"/>
        </w:rPr>
        <w:t>.</w:t>
      </w:r>
      <w:r w:rsidRPr="00812F2C">
        <w:t xml:space="preserve"> The frequency and percentage of participants </w:t>
      </w:r>
      <w:r w:rsidR="008B09F7">
        <w:t>by</w:t>
      </w:r>
      <w:r w:rsidRPr="00812F2C">
        <w:t xml:space="preserve"> level of education</w:t>
      </w:r>
      <w:bookmarkEnd w:id="213"/>
      <w:bookmarkEnd w:id="214"/>
      <w:bookmarkEnd w:id="215"/>
    </w:p>
    <w:tbl>
      <w:tblPr>
        <w:tblW w:w="75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2390"/>
        <w:gridCol w:w="1260"/>
        <w:gridCol w:w="1009"/>
        <w:gridCol w:w="1392"/>
        <w:gridCol w:w="1478"/>
      </w:tblGrid>
      <w:tr w:rsidR="00EE53EB" w:rsidRPr="002A7627" w14:paraId="46660037" w14:textId="77777777" w:rsidTr="00EA4132">
        <w:trPr>
          <w:cantSplit/>
          <w:jc w:val="center"/>
        </w:trPr>
        <w:tc>
          <w:tcPr>
            <w:tcW w:w="2430" w:type="dxa"/>
            <w:gridSpan w:val="2"/>
            <w:tcBorders>
              <w:top w:val="single" w:sz="4" w:space="0" w:color="auto"/>
              <w:left w:val="nil"/>
              <w:bottom w:val="single" w:sz="4" w:space="0" w:color="auto"/>
              <w:right w:val="nil"/>
            </w:tcBorders>
            <w:shd w:val="clear" w:color="auto" w:fill="FFFFFF"/>
            <w:vAlign w:val="center"/>
          </w:tcPr>
          <w:p w14:paraId="19CC006D" w14:textId="77777777" w:rsidR="00EE53EB" w:rsidRPr="002A7627" w:rsidRDefault="00EE53EB" w:rsidP="00B05733">
            <w:pPr>
              <w:jc w:val="center"/>
              <w:rPr>
                <w:rFonts w:asciiTheme="majorBidi" w:hAnsiTheme="majorBidi" w:cstheme="majorBidi"/>
              </w:rPr>
            </w:pPr>
          </w:p>
        </w:tc>
        <w:tc>
          <w:tcPr>
            <w:tcW w:w="1260" w:type="dxa"/>
            <w:tcBorders>
              <w:top w:val="single" w:sz="4" w:space="0" w:color="auto"/>
              <w:left w:val="nil"/>
              <w:bottom w:val="single" w:sz="4" w:space="0" w:color="auto"/>
              <w:right w:val="nil"/>
            </w:tcBorders>
            <w:shd w:val="clear" w:color="auto" w:fill="FFFFFF"/>
            <w:vAlign w:val="center"/>
          </w:tcPr>
          <w:p w14:paraId="42392519"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Frequency</w:t>
            </w:r>
          </w:p>
        </w:tc>
        <w:tc>
          <w:tcPr>
            <w:tcW w:w="1009" w:type="dxa"/>
            <w:tcBorders>
              <w:top w:val="single" w:sz="4" w:space="0" w:color="auto"/>
              <w:left w:val="nil"/>
              <w:bottom w:val="single" w:sz="4" w:space="0" w:color="auto"/>
              <w:right w:val="nil"/>
            </w:tcBorders>
            <w:shd w:val="clear" w:color="auto" w:fill="FFFFFF"/>
            <w:vAlign w:val="center"/>
          </w:tcPr>
          <w:p w14:paraId="2550FF35"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Percent</w:t>
            </w:r>
          </w:p>
        </w:tc>
        <w:tc>
          <w:tcPr>
            <w:tcW w:w="1392" w:type="dxa"/>
            <w:tcBorders>
              <w:top w:val="single" w:sz="4" w:space="0" w:color="auto"/>
              <w:left w:val="nil"/>
              <w:bottom w:val="single" w:sz="4" w:space="0" w:color="auto"/>
              <w:right w:val="nil"/>
            </w:tcBorders>
            <w:shd w:val="clear" w:color="auto" w:fill="FFFFFF"/>
            <w:vAlign w:val="center"/>
          </w:tcPr>
          <w:p w14:paraId="2F5B66E7"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Valid Percent</w:t>
            </w:r>
          </w:p>
        </w:tc>
        <w:tc>
          <w:tcPr>
            <w:tcW w:w="1478" w:type="dxa"/>
            <w:tcBorders>
              <w:top w:val="single" w:sz="4" w:space="0" w:color="auto"/>
              <w:left w:val="nil"/>
              <w:bottom w:val="single" w:sz="4" w:space="0" w:color="auto"/>
              <w:right w:val="nil"/>
            </w:tcBorders>
            <w:shd w:val="clear" w:color="auto" w:fill="FFFFFF"/>
            <w:vAlign w:val="center"/>
          </w:tcPr>
          <w:p w14:paraId="60876CCE"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Cumulative Percent</w:t>
            </w:r>
          </w:p>
        </w:tc>
      </w:tr>
      <w:tr w:rsidR="00EE53EB" w:rsidRPr="002A7627" w14:paraId="49BCA8C1" w14:textId="77777777" w:rsidTr="00EA4132">
        <w:trPr>
          <w:cantSplit/>
          <w:jc w:val="center"/>
        </w:trPr>
        <w:tc>
          <w:tcPr>
            <w:tcW w:w="40" w:type="dxa"/>
            <w:vMerge w:val="restart"/>
            <w:tcBorders>
              <w:top w:val="single" w:sz="4" w:space="0" w:color="auto"/>
              <w:left w:val="nil"/>
              <w:bottom w:val="nil"/>
              <w:right w:val="nil"/>
            </w:tcBorders>
            <w:shd w:val="clear" w:color="auto" w:fill="FFFFFF"/>
          </w:tcPr>
          <w:p w14:paraId="52230E9A" w14:textId="77777777" w:rsidR="00EE53EB" w:rsidRPr="002A7627" w:rsidRDefault="00EE53EB" w:rsidP="00B05733">
            <w:pPr>
              <w:ind w:left="60" w:right="60"/>
              <w:rPr>
                <w:rFonts w:asciiTheme="majorBidi" w:hAnsiTheme="majorBidi" w:cstheme="majorBidi"/>
              </w:rPr>
            </w:pPr>
          </w:p>
        </w:tc>
        <w:tc>
          <w:tcPr>
            <w:tcW w:w="2390" w:type="dxa"/>
            <w:tcBorders>
              <w:top w:val="single" w:sz="4" w:space="0" w:color="auto"/>
              <w:left w:val="nil"/>
              <w:bottom w:val="nil"/>
              <w:right w:val="nil"/>
            </w:tcBorders>
            <w:shd w:val="clear" w:color="auto" w:fill="FFFFFF"/>
            <w:vAlign w:val="center"/>
          </w:tcPr>
          <w:p w14:paraId="25F414DF"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Below high school</w:t>
            </w:r>
          </w:p>
        </w:tc>
        <w:tc>
          <w:tcPr>
            <w:tcW w:w="1260" w:type="dxa"/>
            <w:tcBorders>
              <w:top w:val="single" w:sz="4" w:space="0" w:color="auto"/>
              <w:left w:val="nil"/>
              <w:bottom w:val="nil"/>
              <w:right w:val="nil"/>
            </w:tcBorders>
            <w:shd w:val="clear" w:color="auto" w:fill="FFFFFF"/>
            <w:vAlign w:val="center"/>
          </w:tcPr>
          <w:p w14:paraId="1FD16A35"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10</w:t>
            </w:r>
          </w:p>
        </w:tc>
        <w:tc>
          <w:tcPr>
            <w:tcW w:w="1009" w:type="dxa"/>
            <w:tcBorders>
              <w:top w:val="single" w:sz="4" w:space="0" w:color="auto"/>
              <w:left w:val="nil"/>
              <w:bottom w:val="nil"/>
              <w:right w:val="nil"/>
            </w:tcBorders>
            <w:shd w:val="clear" w:color="auto" w:fill="FFFFFF"/>
            <w:vAlign w:val="center"/>
          </w:tcPr>
          <w:p w14:paraId="3FE439C3"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1.4</w:t>
            </w:r>
          </w:p>
        </w:tc>
        <w:tc>
          <w:tcPr>
            <w:tcW w:w="1392" w:type="dxa"/>
            <w:tcBorders>
              <w:top w:val="single" w:sz="4" w:space="0" w:color="auto"/>
              <w:left w:val="nil"/>
              <w:bottom w:val="nil"/>
              <w:right w:val="nil"/>
            </w:tcBorders>
            <w:shd w:val="clear" w:color="auto" w:fill="FFFFFF"/>
            <w:vAlign w:val="center"/>
          </w:tcPr>
          <w:p w14:paraId="3188C4C2"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1.4</w:t>
            </w:r>
          </w:p>
        </w:tc>
        <w:tc>
          <w:tcPr>
            <w:tcW w:w="1478" w:type="dxa"/>
            <w:tcBorders>
              <w:top w:val="single" w:sz="4" w:space="0" w:color="auto"/>
              <w:left w:val="nil"/>
              <w:bottom w:val="nil"/>
              <w:right w:val="nil"/>
            </w:tcBorders>
            <w:shd w:val="clear" w:color="auto" w:fill="FFFFFF"/>
            <w:vAlign w:val="center"/>
          </w:tcPr>
          <w:p w14:paraId="66F114ED"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1.4</w:t>
            </w:r>
          </w:p>
        </w:tc>
      </w:tr>
      <w:tr w:rsidR="00EE53EB" w:rsidRPr="002A7627" w14:paraId="32F4FE19" w14:textId="77777777" w:rsidTr="00EA4132">
        <w:trPr>
          <w:cantSplit/>
          <w:jc w:val="center"/>
        </w:trPr>
        <w:tc>
          <w:tcPr>
            <w:tcW w:w="40" w:type="dxa"/>
            <w:vMerge/>
            <w:tcBorders>
              <w:top w:val="nil"/>
              <w:left w:val="nil"/>
              <w:bottom w:val="nil"/>
              <w:right w:val="nil"/>
            </w:tcBorders>
            <w:shd w:val="clear" w:color="auto" w:fill="FFFFFF"/>
          </w:tcPr>
          <w:p w14:paraId="65A2DA17" w14:textId="77777777" w:rsidR="00EE53EB" w:rsidRPr="002A7627" w:rsidRDefault="00EE53EB" w:rsidP="00B05733">
            <w:pPr>
              <w:rPr>
                <w:rFonts w:asciiTheme="majorBidi" w:hAnsiTheme="majorBidi" w:cstheme="majorBidi"/>
              </w:rPr>
            </w:pPr>
          </w:p>
        </w:tc>
        <w:tc>
          <w:tcPr>
            <w:tcW w:w="2390" w:type="dxa"/>
            <w:tcBorders>
              <w:top w:val="nil"/>
              <w:left w:val="nil"/>
              <w:bottom w:val="nil"/>
              <w:right w:val="nil"/>
            </w:tcBorders>
            <w:shd w:val="clear" w:color="auto" w:fill="FFFFFF"/>
            <w:vAlign w:val="center"/>
          </w:tcPr>
          <w:p w14:paraId="3395865D"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High school</w:t>
            </w:r>
          </w:p>
        </w:tc>
        <w:tc>
          <w:tcPr>
            <w:tcW w:w="1260" w:type="dxa"/>
            <w:tcBorders>
              <w:top w:val="nil"/>
              <w:left w:val="nil"/>
              <w:bottom w:val="nil"/>
              <w:right w:val="nil"/>
            </w:tcBorders>
            <w:shd w:val="clear" w:color="auto" w:fill="FFFFFF"/>
            <w:vAlign w:val="center"/>
          </w:tcPr>
          <w:p w14:paraId="0A5067BE"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127</w:t>
            </w:r>
          </w:p>
        </w:tc>
        <w:tc>
          <w:tcPr>
            <w:tcW w:w="1009" w:type="dxa"/>
            <w:tcBorders>
              <w:top w:val="nil"/>
              <w:left w:val="nil"/>
              <w:bottom w:val="nil"/>
              <w:right w:val="nil"/>
            </w:tcBorders>
            <w:shd w:val="clear" w:color="auto" w:fill="FFFFFF"/>
            <w:vAlign w:val="center"/>
          </w:tcPr>
          <w:p w14:paraId="49A8A237"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18.3</w:t>
            </w:r>
          </w:p>
        </w:tc>
        <w:tc>
          <w:tcPr>
            <w:tcW w:w="1392" w:type="dxa"/>
            <w:tcBorders>
              <w:top w:val="nil"/>
              <w:left w:val="nil"/>
              <w:bottom w:val="nil"/>
              <w:right w:val="nil"/>
            </w:tcBorders>
            <w:shd w:val="clear" w:color="auto" w:fill="FFFFFF"/>
            <w:vAlign w:val="center"/>
          </w:tcPr>
          <w:p w14:paraId="6563E8AD"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18.3</w:t>
            </w:r>
          </w:p>
        </w:tc>
        <w:tc>
          <w:tcPr>
            <w:tcW w:w="1478" w:type="dxa"/>
            <w:tcBorders>
              <w:top w:val="nil"/>
              <w:left w:val="nil"/>
              <w:bottom w:val="nil"/>
              <w:right w:val="nil"/>
            </w:tcBorders>
            <w:shd w:val="clear" w:color="auto" w:fill="FFFFFF"/>
            <w:vAlign w:val="center"/>
          </w:tcPr>
          <w:p w14:paraId="44E226BD"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19.8</w:t>
            </w:r>
          </w:p>
        </w:tc>
      </w:tr>
      <w:tr w:rsidR="00EE53EB" w:rsidRPr="002A7627" w14:paraId="7AE77D95" w14:textId="77777777" w:rsidTr="00EA4132">
        <w:trPr>
          <w:cantSplit/>
          <w:jc w:val="center"/>
        </w:trPr>
        <w:tc>
          <w:tcPr>
            <w:tcW w:w="40" w:type="dxa"/>
            <w:vMerge/>
            <w:tcBorders>
              <w:top w:val="nil"/>
              <w:left w:val="nil"/>
              <w:bottom w:val="nil"/>
              <w:right w:val="nil"/>
            </w:tcBorders>
            <w:shd w:val="clear" w:color="auto" w:fill="FFFFFF"/>
          </w:tcPr>
          <w:p w14:paraId="7BC4CBF6" w14:textId="77777777" w:rsidR="00EE53EB" w:rsidRPr="002A7627" w:rsidRDefault="00EE53EB" w:rsidP="00B05733">
            <w:pPr>
              <w:rPr>
                <w:rFonts w:asciiTheme="majorBidi" w:hAnsiTheme="majorBidi" w:cstheme="majorBidi"/>
              </w:rPr>
            </w:pPr>
          </w:p>
        </w:tc>
        <w:tc>
          <w:tcPr>
            <w:tcW w:w="2390" w:type="dxa"/>
            <w:tcBorders>
              <w:top w:val="nil"/>
              <w:left w:val="nil"/>
              <w:bottom w:val="nil"/>
              <w:right w:val="nil"/>
            </w:tcBorders>
            <w:shd w:val="clear" w:color="auto" w:fill="FFFFFF"/>
            <w:vAlign w:val="center"/>
          </w:tcPr>
          <w:p w14:paraId="47D19620"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Bachelor / Diploma</w:t>
            </w:r>
          </w:p>
        </w:tc>
        <w:tc>
          <w:tcPr>
            <w:tcW w:w="1260" w:type="dxa"/>
            <w:tcBorders>
              <w:top w:val="nil"/>
              <w:left w:val="nil"/>
              <w:bottom w:val="nil"/>
              <w:right w:val="nil"/>
            </w:tcBorders>
            <w:shd w:val="clear" w:color="auto" w:fill="FFFFFF"/>
            <w:vAlign w:val="center"/>
          </w:tcPr>
          <w:p w14:paraId="4E7929E8"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328</w:t>
            </w:r>
          </w:p>
        </w:tc>
        <w:tc>
          <w:tcPr>
            <w:tcW w:w="1009" w:type="dxa"/>
            <w:tcBorders>
              <w:top w:val="nil"/>
              <w:left w:val="nil"/>
              <w:bottom w:val="nil"/>
              <w:right w:val="nil"/>
            </w:tcBorders>
            <w:shd w:val="clear" w:color="auto" w:fill="FFFFFF"/>
            <w:vAlign w:val="center"/>
          </w:tcPr>
          <w:p w14:paraId="194992C8"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47.3</w:t>
            </w:r>
          </w:p>
        </w:tc>
        <w:tc>
          <w:tcPr>
            <w:tcW w:w="1392" w:type="dxa"/>
            <w:tcBorders>
              <w:top w:val="nil"/>
              <w:left w:val="nil"/>
              <w:bottom w:val="nil"/>
              <w:right w:val="nil"/>
            </w:tcBorders>
            <w:shd w:val="clear" w:color="auto" w:fill="FFFFFF"/>
            <w:vAlign w:val="center"/>
          </w:tcPr>
          <w:p w14:paraId="3690D2E8"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47.3</w:t>
            </w:r>
          </w:p>
        </w:tc>
        <w:tc>
          <w:tcPr>
            <w:tcW w:w="1478" w:type="dxa"/>
            <w:tcBorders>
              <w:top w:val="nil"/>
              <w:left w:val="nil"/>
              <w:bottom w:val="nil"/>
              <w:right w:val="nil"/>
            </w:tcBorders>
            <w:shd w:val="clear" w:color="auto" w:fill="FFFFFF"/>
            <w:vAlign w:val="center"/>
          </w:tcPr>
          <w:p w14:paraId="6CF7D65C"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67.1</w:t>
            </w:r>
          </w:p>
        </w:tc>
      </w:tr>
      <w:tr w:rsidR="00EE53EB" w:rsidRPr="002A7627" w14:paraId="4B0F2CE5" w14:textId="77777777" w:rsidTr="00EA4132">
        <w:trPr>
          <w:cantSplit/>
          <w:jc w:val="center"/>
        </w:trPr>
        <w:tc>
          <w:tcPr>
            <w:tcW w:w="40" w:type="dxa"/>
            <w:vMerge/>
            <w:tcBorders>
              <w:top w:val="nil"/>
              <w:left w:val="nil"/>
              <w:bottom w:val="nil"/>
              <w:right w:val="nil"/>
            </w:tcBorders>
            <w:shd w:val="clear" w:color="auto" w:fill="FFFFFF"/>
          </w:tcPr>
          <w:p w14:paraId="1DC9A834" w14:textId="77777777" w:rsidR="00EE53EB" w:rsidRPr="002A7627" w:rsidRDefault="00EE53EB" w:rsidP="00B05733">
            <w:pPr>
              <w:rPr>
                <w:rFonts w:asciiTheme="majorBidi" w:hAnsiTheme="majorBidi" w:cstheme="majorBidi"/>
              </w:rPr>
            </w:pPr>
          </w:p>
        </w:tc>
        <w:tc>
          <w:tcPr>
            <w:tcW w:w="2390" w:type="dxa"/>
            <w:tcBorders>
              <w:top w:val="nil"/>
              <w:left w:val="nil"/>
              <w:bottom w:val="nil"/>
              <w:right w:val="nil"/>
            </w:tcBorders>
            <w:shd w:val="clear" w:color="auto" w:fill="FFFFFF"/>
            <w:vAlign w:val="center"/>
          </w:tcPr>
          <w:p w14:paraId="5C469C18"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Master and above</w:t>
            </w:r>
          </w:p>
        </w:tc>
        <w:tc>
          <w:tcPr>
            <w:tcW w:w="1260" w:type="dxa"/>
            <w:tcBorders>
              <w:top w:val="nil"/>
              <w:left w:val="nil"/>
              <w:bottom w:val="nil"/>
              <w:right w:val="nil"/>
            </w:tcBorders>
            <w:shd w:val="clear" w:color="auto" w:fill="FFFFFF"/>
            <w:vAlign w:val="center"/>
          </w:tcPr>
          <w:p w14:paraId="1BDF3051"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228</w:t>
            </w:r>
          </w:p>
        </w:tc>
        <w:tc>
          <w:tcPr>
            <w:tcW w:w="1009" w:type="dxa"/>
            <w:tcBorders>
              <w:top w:val="nil"/>
              <w:left w:val="nil"/>
              <w:bottom w:val="nil"/>
              <w:right w:val="nil"/>
            </w:tcBorders>
            <w:shd w:val="clear" w:color="auto" w:fill="FFFFFF"/>
            <w:vAlign w:val="center"/>
          </w:tcPr>
          <w:p w14:paraId="5C4D66F8"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32.9</w:t>
            </w:r>
          </w:p>
        </w:tc>
        <w:tc>
          <w:tcPr>
            <w:tcW w:w="1392" w:type="dxa"/>
            <w:tcBorders>
              <w:top w:val="nil"/>
              <w:left w:val="nil"/>
              <w:bottom w:val="nil"/>
              <w:right w:val="nil"/>
            </w:tcBorders>
            <w:shd w:val="clear" w:color="auto" w:fill="FFFFFF"/>
            <w:vAlign w:val="center"/>
          </w:tcPr>
          <w:p w14:paraId="2074263E"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32.9</w:t>
            </w:r>
          </w:p>
        </w:tc>
        <w:tc>
          <w:tcPr>
            <w:tcW w:w="1478" w:type="dxa"/>
            <w:tcBorders>
              <w:top w:val="nil"/>
              <w:left w:val="nil"/>
              <w:bottom w:val="nil"/>
              <w:right w:val="nil"/>
            </w:tcBorders>
            <w:shd w:val="clear" w:color="auto" w:fill="FFFFFF"/>
            <w:vAlign w:val="center"/>
          </w:tcPr>
          <w:p w14:paraId="22EBCC73"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100.0</w:t>
            </w:r>
          </w:p>
        </w:tc>
      </w:tr>
      <w:tr w:rsidR="00EE53EB" w:rsidRPr="002A7627" w14:paraId="59EFC36A" w14:textId="77777777" w:rsidTr="00EA4132">
        <w:trPr>
          <w:cantSplit/>
          <w:jc w:val="center"/>
        </w:trPr>
        <w:tc>
          <w:tcPr>
            <w:tcW w:w="40" w:type="dxa"/>
            <w:vMerge/>
            <w:tcBorders>
              <w:top w:val="nil"/>
              <w:left w:val="nil"/>
              <w:bottom w:val="nil"/>
              <w:right w:val="nil"/>
            </w:tcBorders>
            <w:shd w:val="clear" w:color="auto" w:fill="FFFFFF"/>
          </w:tcPr>
          <w:p w14:paraId="203A3438" w14:textId="77777777" w:rsidR="00EE53EB" w:rsidRPr="002A7627" w:rsidRDefault="00EE53EB" w:rsidP="00B05733">
            <w:pPr>
              <w:rPr>
                <w:rFonts w:asciiTheme="majorBidi" w:hAnsiTheme="majorBidi" w:cstheme="majorBidi"/>
              </w:rPr>
            </w:pPr>
          </w:p>
        </w:tc>
        <w:tc>
          <w:tcPr>
            <w:tcW w:w="2390" w:type="dxa"/>
            <w:tcBorders>
              <w:top w:val="nil"/>
              <w:left w:val="nil"/>
              <w:bottom w:val="single" w:sz="4" w:space="0" w:color="auto"/>
              <w:right w:val="nil"/>
            </w:tcBorders>
            <w:shd w:val="clear" w:color="auto" w:fill="FFFFFF"/>
            <w:vAlign w:val="center"/>
          </w:tcPr>
          <w:p w14:paraId="73F218D0"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Total</w:t>
            </w:r>
          </w:p>
        </w:tc>
        <w:tc>
          <w:tcPr>
            <w:tcW w:w="1260" w:type="dxa"/>
            <w:tcBorders>
              <w:top w:val="nil"/>
              <w:left w:val="nil"/>
              <w:bottom w:val="single" w:sz="4" w:space="0" w:color="auto"/>
              <w:right w:val="nil"/>
            </w:tcBorders>
            <w:shd w:val="clear" w:color="auto" w:fill="FFFFFF"/>
            <w:vAlign w:val="center"/>
          </w:tcPr>
          <w:p w14:paraId="29AEE6EA"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693</w:t>
            </w:r>
          </w:p>
        </w:tc>
        <w:tc>
          <w:tcPr>
            <w:tcW w:w="1009" w:type="dxa"/>
            <w:tcBorders>
              <w:top w:val="nil"/>
              <w:left w:val="nil"/>
              <w:bottom w:val="single" w:sz="4" w:space="0" w:color="auto"/>
              <w:right w:val="nil"/>
            </w:tcBorders>
            <w:shd w:val="clear" w:color="auto" w:fill="FFFFFF"/>
            <w:vAlign w:val="center"/>
          </w:tcPr>
          <w:p w14:paraId="35DD6285"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100.0</w:t>
            </w:r>
          </w:p>
        </w:tc>
        <w:tc>
          <w:tcPr>
            <w:tcW w:w="1392" w:type="dxa"/>
            <w:tcBorders>
              <w:top w:val="nil"/>
              <w:left w:val="nil"/>
              <w:bottom w:val="single" w:sz="4" w:space="0" w:color="auto"/>
              <w:right w:val="nil"/>
            </w:tcBorders>
            <w:shd w:val="clear" w:color="auto" w:fill="FFFFFF"/>
            <w:vAlign w:val="center"/>
          </w:tcPr>
          <w:p w14:paraId="0919550C"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100.0</w:t>
            </w:r>
          </w:p>
        </w:tc>
        <w:tc>
          <w:tcPr>
            <w:tcW w:w="1478" w:type="dxa"/>
            <w:tcBorders>
              <w:top w:val="nil"/>
              <w:left w:val="nil"/>
              <w:bottom w:val="single" w:sz="4" w:space="0" w:color="auto"/>
              <w:right w:val="nil"/>
            </w:tcBorders>
            <w:shd w:val="clear" w:color="auto" w:fill="FFFFFF"/>
            <w:vAlign w:val="center"/>
          </w:tcPr>
          <w:p w14:paraId="2BE060D6" w14:textId="77777777" w:rsidR="00EE53EB" w:rsidRPr="002A7627" w:rsidRDefault="00EE53EB" w:rsidP="00B05733">
            <w:pPr>
              <w:jc w:val="center"/>
              <w:rPr>
                <w:rFonts w:asciiTheme="majorBidi" w:hAnsiTheme="majorBidi" w:cstheme="majorBidi"/>
              </w:rPr>
            </w:pPr>
          </w:p>
        </w:tc>
      </w:tr>
    </w:tbl>
    <w:p w14:paraId="55984FC7" w14:textId="77777777" w:rsidR="00EE53EB" w:rsidRPr="002A7627" w:rsidRDefault="00EE53EB" w:rsidP="00EE53EB">
      <w:pPr>
        <w:rPr>
          <w:rFonts w:asciiTheme="majorBidi" w:hAnsiTheme="majorBidi" w:cstheme="majorBidi"/>
          <w:szCs w:val="24"/>
          <w:lang w:bidi="fa-IR"/>
        </w:rPr>
      </w:pPr>
    </w:p>
    <w:p w14:paraId="6C423B02" w14:textId="71D4EA4D" w:rsidR="00EE53EB" w:rsidRDefault="005A7B1D" w:rsidP="008B09F7">
      <w:pPr>
        <w:pStyle w:val="AAAAAAA"/>
        <w:rPr>
          <w:lang w:bidi="fa-IR"/>
        </w:rPr>
      </w:pPr>
      <w:bookmarkStart w:id="216" w:name="_Toc22331699"/>
      <w:r>
        <w:rPr>
          <w:rStyle w:val="Heading2Char"/>
          <w:color w:val="000000"/>
          <w:u w:val="none"/>
        </w:rPr>
        <w:t xml:space="preserve">5.2.5. </w:t>
      </w:r>
      <w:r w:rsidR="00EE53EB" w:rsidRPr="002A7627">
        <w:rPr>
          <w:rStyle w:val="Heading2Char"/>
          <w:color w:val="000000"/>
          <w:u w:val="none"/>
        </w:rPr>
        <w:t>Position</w:t>
      </w:r>
      <w:bookmarkEnd w:id="216"/>
      <w:r w:rsidR="0010785C" w:rsidRPr="002A7627">
        <w:t xml:space="preserve">. </w:t>
      </w:r>
      <w:r w:rsidR="008B09F7">
        <w:rPr>
          <w:lang w:bidi="fa-IR"/>
        </w:rPr>
        <w:t xml:space="preserve">In total, 82.3% of </w:t>
      </w:r>
      <w:r w:rsidR="00EE53EB" w:rsidRPr="002A7627">
        <w:rPr>
          <w:lang w:bidi="fa-IR"/>
        </w:rPr>
        <w:t>participants (570 respondents) were military police officer</w:t>
      </w:r>
      <w:r w:rsidR="008B09F7">
        <w:rPr>
          <w:lang w:bidi="fa-IR"/>
        </w:rPr>
        <w:t>s</w:t>
      </w:r>
      <w:r w:rsidR="00EE53EB" w:rsidRPr="002A7627">
        <w:rPr>
          <w:lang w:bidi="fa-IR"/>
        </w:rPr>
        <w:t xml:space="preserve">, </w:t>
      </w:r>
      <w:r w:rsidR="008B09F7">
        <w:rPr>
          <w:lang w:bidi="fa-IR"/>
        </w:rPr>
        <w:t xml:space="preserve">and </w:t>
      </w:r>
      <w:r w:rsidR="00EE53EB" w:rsidRPr="002A7627">
        <w:rPr>
          <w:lang w:bidi="fa-IR"/>
        </w:rPr>
        <w:t xml:space="preserve">123 </w:t>
      </w:r>
      <w:r w:rsidR="008B09F7">
        <w:rPr>
          <w:lang w:bidi="fa-IR"/>
        </w:rPr>
        <w:t xml:space="preserve">(17.7%) </w:t>
      </w:r>
      <w:r w:rsidR="00EE53EB" w:rsidRPr="002A7627">
        <w:rPr>
          <w:lang w:bidi="fa-IR"/>
        </w:rPr>
        <w:t>were civilian police officer</w:t>
      </w:r>
      <w:r w:rsidR="008B09F7">
        <w:rPr>
          <w:lang w:bidi="fa-IR"/>
        </w:rPr>
        <w:t>s (see Table 13)</w:t>
      </w:r>
      <w:r w:rsidR="00EE53EB" w:rsidRPr="002A7627">
        <w:rPr>
          <w:lang w:bidi="fa-IR"/>
        </w:rPr>
        <w:t xml:space="preserve">. </w:t>
      </w:r>
    </w:p>
    <w:p w14:paraId="102D77DF" w14:textId="77777777" w:rsidR="00031AF8" w:rsidRPr="002A7627" w:rsidRDefault="00031AF8" w:rsidP="008B09F7">
      <w:pPr>
        <w:pStyle w:val="AAAAAAA"/>
        <w:rPr>
          <w:lang w:bidi="fa-IR"/>
        </w:rPr>
      </w:pPr>
    </w:p>
    <w:p w14:paraId="30FB2D9A" w14:textId="62612F73" w:rsidR="00C52840" w:rsidRDefault="00C52840" w:rsidP="0089702C">
      <w:pPr>
        <w:pStyle w:val="Caption"/>
        <w:jc w:val="lowKashida"/>
        <w:rPr>
          <w:b w:val="0"/>
          <w:bCs w:val="0"/>
          <w:color w:val="000000"/>
        </w:rPr>
      </w:pPr>
      <w:bookmarkStart w:id="217" w:name="_Toc19478591"/>
      <w:bookmarkStart w:id="218" w:name="_Toc21074081"/>
      <w:bookmarkStart w:id="219" w:name="_Toc14144625"/>
      <w:r w:rsidRPr="004D08C5">
        <w:rPr>
          <w:bCs w:val="0"/>
        </w:rPr>
        <w:t xml:space="preserve">Table </w:t>
      </w:r>
      <w:r w:rsidR="006D32F8" w:rsidRPr="004D08C5">
        <w:rPr>
          <w:bCs w:val="0"/>
          <w:noProof/>
        </w:rPr>
        <w:fldChar w:fldCharType="begin"/>
      </w:r>
      <w:r w:rsidR="006D32F8" w:rsidRPr="004D08C5">
        <w:rPr>
          <w:bCs w:val="0"/>
          <w:noProof/>
        </w:rPr>
        <w:instrText xml:space="preserve"> SEQ Table \* ARABIC </w:instrText>
      </w:r>
      <w:r w:rsidR="006D32F8" w:rsidRPr="004D08C5">
        <w:rPr>
          <w:bCs w:val="0"/>
          <w:noProof/>
        </w:rPr>
        <w:fldChar w:fldCharType="separate"/>
      </w:r>
      <w:r w:rsidR="00972C3F">
        <w:rPr>
          <w:bCs w:val="0"/>
          <w:noProof/>
        </w:rPr>
        <w:t>13</w:t>
      </w:r>
      <w:r w:rsidR="006D32F8" w:rsidRPr="004D08C5">
        <w:rPr>
          <w:bCs w:val="0"/>
          <w:noProof/>
        </w:rPr>
        <w:fldChar w:fldCharType="end"/>
      </w:r>
      <w:r w:rsidRPr="004D08C5">
        <w:rPr>
          <w:bCs w:val="0"/>
        </w:rPr>
        <w:t>.</w:t>
      </w:r>
      <w:r>
        <w:t xml:space="preserve"> </w:t>
      </w:r>
      <w:r w:rsidRPr="009450A6">
        <w:t xml:space="preserve">The frequency and percentage of participants </w:t>
      </w:r>
      <w:r w:rsidR="008B09F7">
        <w:t>by</w:t>
      </w:r>
      <w:r w:rsidRPr="009450A6">
        <w:t xml:space="preserve"> position</w:t>
      </w:r>
      <w:bookmarkEnd w:id="217"/>
      <w:bookmarkEnd w:id="218"/>
    </w:p>
    <w:bookmarkEnd w:id="219"/>
    <w:tbl>
      <w:tblPr>
        <w:tblW w:w="7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803"/>
        <w:gridCol w:w="1415"/>
        <w:gridCol w:w="1009"/>
        <w:gridCol w:w="1392"/>
        <w:gridCol w:w="1469"/>
      </w:tblGrid>
      <w:tr w:rsidR="00EE53EB" w:rsidRPr="002A7627" w14:paraId="0A1048C8" w14:textId="77777777" w:rsidTr="00507D55">
        <w:trPr>
          <w:cantSplit/>
        </w:trPr>
        <w:tc>
          <w:tcPr>
            <w:tcW w:w="1843" w:type="dxa"/>
            <w:gridSpan w:val="2"/>
            <w:tcBorders>
              <w:top w:val="single" w:sz="4" w:space="0" w:color="auto"/>
              <w:left w:val="nil"/>
              <w:bottom w:val="single" w:sz="4" w:space="0" w:color="auto"/>
              <w:right w:val="nil"/>
            </w:tcBorders>
            <w:shd w:val="clear" w:color="auto" w:fill="FFFFFF"/>
            <w:vAlign w:val="center"/>
          </w:tcPr>
          <w:p w14:paraId="0C55F317" w14:textId="77777777" w:rsidR="00EE53EB" w:rsidRPr="002A7627" w:rsidRDefault="00EE53EB" w:rsidP="00B05733">
            <w:pPr>
              <w:jc w:val="center"/>
              <w:rPr>
                <w:rFonts w:asciiTheme="majorBidi" w:hAnsiTheme="majorBidi" w:cstheme="majorBidi"/>
              </w:rPr>
            </w:pPr>
          </w:p>
        </w:tc>
        <w:tc>
          <w:tcPr>
            <w:tcW w:w="1415" w:type="dxa"/>
            <w:tcBorders>
              <w:top w:val="single" w:sz="4" w:space="0" w:color="auto"/>
              <w:left w:val="nil"/>
              <w:bottom w:val="single" w:sz="4" w:space="0" w:color="auto"/>
              <w:right w:val="nil"/>
            </w:tcBorders>
            <w:shd w:val="clear" w:color="auto" w:fill="FFFFFF"/>
            <w:vAlign w:val="center"/>
          </w:tcPr>
          <w:p w14:paraId="585B62B7"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Frequency</w:t>
            </w:r>
          </w:p>
        </w:tc>
        <w:tc>
          <w:tcPr>
            <w:tcW w:w="1009" w:type="dxa"/>
            <w:tcBorders>
              <w:top w:val="single" w:sz="4" w:space="0" w:color="auto"/>
              <w:left w:val="nil"/>
              <w:bottom w:val="single" w:sz="4" w:space="0" w:color="auto"/>
              <w:right w:val="nil"/>
            </w:tcBorders>
            <w:shd w:val="clear" w:color="auto" w:fill="FFFFFF"/>
            <w:vAlign w:val="center"/>
          </w:tcPr>
          <w:p w14:paraId="44E6EA82"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Percent</w:t>
            </w:r>
          </w:p>
        </w:tc>
        <w:tc>
          <w:tcPr>
            <w:tcW w:w="1392" w:type="dxa"/>
            <w:tcBorders>
              <w:top w:val="single" w:sz="4" w:space="0" w:color="auto"/>
              <w:left w:val="nil"/>
              <w:bottom w:val="single" w:sz="4" w:space="0" w:color="auto"/>
              <w:right w:val="nil"/>
            </w:tcBorders>
            <w:shd w:val="clear" w:color="auto" w:fill="FFFFFF"/>
            <w:vAlign w:val="center"/>
          </w:tcPr>
          <w:p w14:paraId="69BF69DF"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Valid Percent</w:t>
            </w:r>
          </w:p>
        </w:tc>
        <w:tc>
          <w:tcPr>
            <w:tcW w:w="1469" w:type="dxa"/>
            <w:tcBorders>
              <w:top w:val="single" w:sz="4" w:space="0" w:color="auto"/>
              <w:left w:val="nil"/>
              <w:bottom w:val="single" w:sz="4" w:space="0" w:color="auto"/>
              <w:right w:val="nil"/>
            </w:tcBorders>
            <w:shd w:val="clear" w:color="auto" w:fill="FFFFFF"/>
            <w:vAlign w:val="center"/>
          </w:tcPr>
          <w:p w14:paraId="6F4D7862"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Cumulative Percent</w:t>
            </w:r>
          </w:p>
        </w:tc>
      </w:tr>
      <w:tr w:rsidR="00EE53EB" w:rsidRPr="002A7627" w14:paraId="6B86BB94" w14:textId="77777777" w:rsidTr="00507D55">
        <w:trPr>
          <w:cantSplit/>
        </w:trPr>
        <w:tc>
          <w:tcPr>
            <w:tcW w:w="40" w:type="dxa"/>
            <w:vMerge w:val="restart"/>
            <w:tcBorders>
              <w:top w:val="single" w:sz="4" w:space="0" w:color="auto"/>
              <w:left w:val="nil"/>
              <w:bottom w:val="nil"/>
              <w:right w:val="nil"/>
            </w:tcBorders>
            <w:shd w:val="clear" w:color="auto" w:fill="FFFFFF"/>
            <w:vAlign w:val="center"/>
          </w:tcPr>
          <w:p w14:paraId="2DC4D9D4" w14:textId="77777777" w:rsidR="00EE53EB" w:rsidRPr="002A7627" w:rsidRDefault="00EE53EB" w:rsidP="00B05733">
            <w:pPr>
              <w:ind w:left="60" w:right="60"/>
              <w:jc w:val="center"/>
              <w:rPr>
                <w:rFonts w:asciiTheme="majorBidi" w:hAnsiTheme="majorBidi" w:cstheme="majorBidi"/>
              </w:rPr>
            </w:pPr>
          </w:p>
        </w:tc>
        <w:tc>
          <w:tcPr>
            <w:tcW w:w="1803" w:type="dxa"/>
            <w:tcBorders>
              <w:top w:val="single" w:sz="4" w:space="0" w:color="auto"/>
              <w:left w:val="nil"/>
              <w:bottom w:val="nil"/>
              <w:right w:val="nil"/>
            </w:tcBorders>
            <w:shd w:val="clear" w:color="auto" w:fill="FFFFFF"/>
            <w:vAlign w:val="center"/>
          </w:tcPr>
          <w:p w14:paraId="73E56431"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Military Police officer</w:t>
            </w:r>
          </w:p>
        </w:tc>
        <w:tc>
          <w:tcPr>
            <w:tcW w:w="1415" w:type="dxa"/>
            <w:tcBorders>
              <w:top w:val="single" w:sz="4" w:space="0" w:color="auto"/>
              <w:left w:val="nil"/>
              <w:bottom w:val="nil"/>
              <w:right w:val="nil"/>
            </w:tcBorders>
            <w:shd w:val="clear" w:color="auto" w:fill="FFFFFF"/>
            <w:vAlign w:val="center"/>
          </w:tcPr>
          <w:p w14:paraId="4241A542"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570</w:t>
            </w:r>
          </w:p>
        </w:tc>
        <w:tc>
          <w:tcPr>
            <w:tcW w:w="1009" w:type="dxa"/>
            <w:tcBorders>
              <w:top w:val="single" w:sz="4" w:space="0" w:color="auto"/>
              <w:left w:val="nil"/>
              <w:bottom w:val="nil"/>
              <w:right w:val="nil"/>
            </w:tcBorders>
            <w:shd w:val="clear" w:color="auto" w:fill="FFFFFF"/>
            <w:vAlign w:val="center"/>
          </w:tcPr>
          <w:p w14:paraId="6B6DBFBF"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82.3</w:t>
            </w:r>
          </w:p>
        </w:tc>
        <w:tc>
          <w:tcPr>
            <w:tcW w:w="1392" w:type="dxa"/>
            <w:tcBorders>
              <w:top w:val="single" w:sz="4" w:space="0" w:color="auto"/>
              <w:left w:val="nil"/>
              <w:bottom w:val="nil"/>
              <w:right w:val="nil"/>
            </w:tcBorders>
            <w:shd w:val="clear" w:color="auto" w:fill="FFFFFF"/>
            <w:vAlign w:val="center"/>
          </w:tcPr>
          <w:p w14:paraId="6C61FC5E"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82.3</w:t>
            </w:r>
          </w:p>
        </w:tc>
        <w:tc>
          <w:tcPr>
            <w:tcW w:w="1469" w:type="dxa"/>
            <w:tcBorders>
              <w:top w:val="single" w:sz="4" w:space="0" w:color="auto"/>
              <w:left w:val="nil"/>
              <w:bottom w:val="nil"/>
              <w:right w:val="nil"/>
            </w:tcBorders>
            <w:shd w:val="clear" w:color="auto" w:fill="FFFFFF"/>
            <w:vAlign w:val="center"/>
          </w:tcPr>
          <w:p w14:paraId="061B9744"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82.3</w:t>
            </w:r>
          </w:p>
        </w:tc>
      </w:tr>
      <w:tr w:rsidR="00EE53EB" w:rsidRPr="002A7627" w14:paraId="33D927C2" w14:textId="77777777" w:rsidTr="00507D55">
        <w:trPr>
          <w:cantSplit/>
        </w:trPr>
        <w:tc>
          <w:tcPr>
            <w:tcW w:w="40" w:type="dxa"/>
            <w:vMerge/>
            <w:tcBorders>
              <w:top w:val="nil"/>
              <w:left w:val="nil"/>
              <w:bottom w:val="nil"/>
              <w:right w:val="nil"/>
            </w:tcBorders>
            <w:shd w:val="clear" w:color="auto" w:fill="FFFFFF"/>
            <w:vAlign w:val="center"/>
          </w:tcPr>
          <w:p w14:paraId="2AD71F98" w14:textId="77777777" w:rsidR="00EE53EB" w:rsidRPr="002A7627" w:rsidRDefault="00EE53EB" w:rsidP="00B05733">
            <w:pPr>
              <w:jc w:val="center"/>
              <w:rPr>
                <w:rFonts w:asciiTheme="majorBidi" w:hAnsiTheme="majorBidi" w:cstheme="majorBidi"/>
              </w:rPr>
            </w:pPr>
          </w:p>
        </w:tc>
        <w:tc>
          <w:tcPr>
            <w:tcW w:w="1803" w:type="dxa"/>
            <w:tcBorders>
              <w:top w:val="nil"/>
              <w:left w:val="nil"/>
              <w:bottom w:val="nil"/>
              <w:right w:val="nil"/>
            </w:tcBorders>
            <w:shd w:val="clear" w:color="auto" w:fill="FFFFFF"/>
            <w:vAlign w:val="center"/>
          </w:tcPr>
          <w:p w14:paraId="19E3C364"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Civilian Police Officers</w:t>
            </w:r>
          </w:p>
        </w:tc>
        <w:tc>
          <w:tcPr>
            <w:tcW w:w="1415" w:type="dxa"/>
            <w:tcBorders>
              <w:top w:val="nil"/>
              <w:left w:val="nil"/>
              <w:bottom w:val="nil"/>
              <w:right w:val="nil"/>
            </w:tcBorders>
            <w:shd w:val="clear" w:color="auto" w:fill="FFFFFF"/>
            <w:vAlign w:val="center"/>
          </w:tcPr>
          <w:p w14:paraId="51CB9D82"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123</w:t>
            </w:r>
          </w:p>
        </w:tc>
        <w:tc>
          <w:tcPr>
            <w:tcW w:w="1009" w:type="dxa"/>
            <w:tcBorders>
              <w:top w:val="nil"/>
              <w:left w:val="nil"/>
              <w:bottom w:val="nil"/>
              <w:right w:val="nil"/>
            </w:tcBorders>
            <w:shd w:val="clear" w:color="auto" w:fill="FFFFFF"/>
            <w:vAlign w:val="center"/>
          </w:tcPr>
          <w:p w14:paraId="0B665753"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17.7</w:t>
            </w:r>
          </w:p>
        </w:tc>
        <w:tc>
          <w:tcPr>
            <w:tcW w:w="1392" w:type="dxa"/>
            <w:tcBorders>
              <w:top w:val="nil"/>
              <w:left w:val="nil"/>
              <w:bottom w:val="nil"/>
              <w:right w:val="nil"/>
            </w:tcBorders>
            <w:shd w:val="clear" w:color="auto" w:fill="FFFFFF"/>
            <w:vAlign w:val="center"/>
          </w:tcPr>
          <w:p w14:paraId="7030CF7C"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17.7</w:t>
            </w:r>
          </w:p>
        </w:tc>
        <w:tc>
          <w:tcPr>
            <w:tcW w:w="1469" w:type="dxa"/>
            <w:tcBorders>
              <w:top w:val="nil"/>
              <w:left w:val="nil"/>
              <w:bottom w:val="nil"/>
              <w:right w:val="nil"/>
            </w:tcBorders>
            <w:shd w:val="clear" w:color="auto" w:fill="FFFFFF"/>
            <w:vAlign w:val="center"/>
          </w:tcPr>
          <w:p w14:paraId="1B94BB10"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100.0</w:t>
            </w:r>
          </w:p>
        </w:tc>
      </w:tr>
      <w:tr w:rsidR="00EE53EB" w:rsidRPr="002A7627" w14:paraId="39046541" w14:textId="77777777" w:rsidTr="00507D55">
        <w:trPr>
          <w:cantSplit/>
        </w:trPr>
        <w:tc>
          <w:tcPr>
            <w:tcW w:w="40" w:type="dxa"/>
            <w:vMerge/>
            <w:tcBorders>
              <w:top w:val="nil"/>
              <w:left w:val="nil"/>
              <w:bottom w:val="nil"/>
              <w:right w:val="nil"/>
            </w:tcBorders>
            <w:shd w:val="clear" w:color="auto" w:fill="FFFFFF"/>
            <w:vAlign w:val="center"/>
          </w:tcPr>
          <w:p w14:paraId="2CD71A3D" w14:textId="77777777" w:rsidR="00EE53EB" w:rsidRPr="002A7627" w:rsidRDefault="00EE53EB" w:rsidP="00B05733">
            <w:pPr>
              <w:jc w:val="center"/>
              <w:rPr>
                <w:rFonts w:asciiTheme="majorBidi" w:hAnsiTheme="majorBidi" w:cstheme="majorBidi"/>
              </w:rPr>
            </w:pPr>
          </w:p>
        </w:tc>
        <w:tc>
          <w:tcPr>
            <w:tcW w:w="1803" w:type="dxa"/>
            <w:tcBorders>
              <w:top w:val="nil"/>
              <w:left w:val="nil"/>
              <w:bottom w:val="single" w:sz="4" w:space="0" w:color="auto"/>
              <w:right w:val="nil"/>
            </w:tcBorders>
            <w:shd w:val="clear" w:color="auto" w:fill="FFFFFF"/>
            <w:vAlign w:val="center"/>
          </w:tcPr>
          <w:p w14:paraId="53166B0E"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Total</w:t>
            </w:r>
          </w:p>
        </w:tc>
        <w:tc>
          <w:tcPr>
            <w:tcW w:w="1415" w:type="dxa"/>
            <w:tcBorders>
              <w:top w:val="nil"/>
              <w:left w:val="nil"/>
              <w:bottom w:val="single" w:sz="4" w:space="0" w:color="auto"/>
              <w:right w:val="nil"/>
            </w:tcBorders>
            <w:shd w:val="clear" w:color="auto" w:fill="FFFFFF"/>
            <w:vAlign w:val="center"/>
          </w:tcPr>
          <w:p w14:paraId="1E15CA36"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693</w:t>
            </w:r>
          </w:p>
        </w:tc>
        <w:tc>
          <w:tcPr>
            <w:tcW w:w="1009" w:type="dxa"/>
            <w:tcBorders>
              <w:top w:val="nil"/>
              <w:left w:val="nil"/>
              <w:bottom w:val="single" w:sz="4" w:space="0" w:color="auto"/>
              <w:right w:val="nil"/>
            </w:tcBorders>
            <w:shd w:val="clear" w:color="auto" w:fill="FFFFFF"/>
            <w:vAlign w:val="center"/>
          </w:tcPr>
          <w:p w14:paraId="44FB3017"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100.0</w:t>
            </w:r>
          </w:p>
        </w:tc>
        <w:tc>
          <w:tcPr>
            <w:tcW w:w="1392" w:type="dxa"/>
            <w:tcBorders>
              <w:top w:val="nil"/>
              <w:left w:val="nil"/>
              <w:bottom w:val="single" w:sz="4" w:space="0" w:color="auto"/>
              <w:right w:val="nil"/>
            </w:tcBorders>
            <w:shd w:val="clear" w:color="auto" w:fill="FFFFFF"/>
            <w:vAlign w:val="center"/>
          </w:tcPr>
          <w:p w14:paraId="7370BE37"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100.0</w:t>
            </w:r>
          </w:p>
        </w:tc>
        <w:tc>
          <w:tcPr>
            <w:tcW w:w="1469" w:type="dxa"/>
            <w:tcBorders>
              <w:top w:val="nil"/>
              <w:left w:val="nil"/>
              <w:bottom w:val="single" w:sz="4" w:space="0" w:color="auto"/>
              <w:right w:val="nil"/>
            </w:tcBorders>
            <w:shd w:val="clear" w:color="auto" w:fill="FFFFFF"/>
            <w:vAlign w:val="center"/>
          </w:tcPr>
          <w:p w14:paraId="473E3858" w14:textId="77777777" w:rsidR="00EE53EB" w:rsidRPr="002A7627" w:rsidRDefault="00EE53EB" w:rsidP="00B05733">
            <w:pPr>
              <w:jc w:val="center"/>
              <w:rPr>
                <w:rFonts w:asciiTheme="majorBidi" w:hAnsiTheme="majorBidi" w:cstheme="majorBidi"/>
              </w:rPr>
            </w:pPr>
          </w:p>
        </w:tc>
      </w:tr>
    </w:tbl>
    <w:p w14:paraId="5896F53A" w14:textId="639ED311" w:rsidR="00EE53EB" w:rsidRPr="002A7627" w:rsidRDefault="00EE53EB" w:rsidP="001D5F54">
      <w:pPr>
        <w:keepNext/>
      </w:pPr>
    </w:p>
    <w:p w14:paraId="39CBFE39" w14:textId="350FC44C" w:rsidR="00B27CEE" w:rsidRDefault="005A7B1D" w:rsidP="00C52840">
      <w:pPr>
        <w:pStyle w:val="AAAAAAA"/>
        <w:rPr>
          <w:lang w:bidi="fa-IR"/>
        </w:rPr>
      </w:pPr>
      <w:bookmarkStart w:id="220" w:name="_Toc22331700"/>
      <w:r>
        <w:rPr>
          <w:rStyle w:val="Heading2Char"/>
          <w:color w:val="000000"/>
          <w:u w:val="none"/>
        </w:rPr>
        <w:t xml:space="preserve">5.2.6. </w:t>
      </w:r>
      <w:r w:rsidR="00EE53EB" w:rsidRPr="002A7627">
        <w:rPr>
          <w:rStyle w:val="Heading2Char"/>
          <w:color w:val="000000"/>
          <w:u w:val="none"/>
        </w:rPr>
        <w:t>Years of Experience</w:t>
      </w:r>
      <w:bookmarkEnd w:id="220"/>
      <w:r w:rsidR="0010785C" w:rsidRPr="002A7627">
        <w:rPr>
          <w:b/>
          <w:bCs/>
        </w:rPr>
        <w:t xml:space="preserve">. </w:t>
      </w:r>
      <w:r w:rsidR="008B09F7">
        <w:rPr>
          <w:lang w:bidi="fa-IR"/>
        </w:rPr>
        <w:t>Over half the study</w:t>
      </w:r>
      <w:r w:rsidR="00EE53EB" w:rsidRPr="002A7627">
        <w:rPr>
          <w:lang w:bidi="fa-IR"/>
        </w:rPr>
        <w:t xml:space="preserve"> participants </w:t>
      </w:r>
      <w:r w:rsidR="008B09F7">
        <w:rPr>
          <w:lang w:bidi="fa-IR"/>
        </w:rPr>
        <w:t xml:space="preserve">(404 respondents, 58.3%) </w:t>
      </w:r>
      <w:r w:rsidR="00EE53EB" w:rsidRPr="002A7627">
        <w:rPr>
          <w:lang w:bidi="fa-IR"/>
        </w:rPr>
        <w:t xml:space="preserve">had 10 to 20 years of experience at work. The second </w:t>
      </w:r>
      <w:r w:rsidR="008B09F7">
        <w:rPr>
          <w:lang w:bidi="fa-IR"/>
        </w:rPr>
        <w:t xml:space="preserve">largest group was those with </w:t>
      </w:r>
      <w:r w:rsidR="00EE53EB" w:rsidRPr="002A7627">
        <w:rPr>
          <w:lang w:bidi="fa-IR"/>
        </w:rPr>
        <w:t xml:space="preserve">more than 20 years of experience </w:t>
      </w:r>
      <w:r w:rsidR="008B09F7">
        <w:rPr>
          <w:lang w:bidi="fa-IR"/>
        </w:rPr>
        <w:t>(</w:t>
      </w:r>
      <w:r w:rsidR="00EE53EB" w:rsidRPr="002A7627">
        <w:rPr>
          <w:lang w:bidi="fa-IR"/>
        </w:rPr>
        <w:t>191, 27.6%</w:t>
      </w:r>
      <w:r w:rsidR="008B09F7">
        <w:rPr>
          <w:lang w:bidi="fa-IR"/>
        </w:rPr>
        <w:t>)</w:t>
      </w:r>
      <w:r w:rsidR="00EE53EB" w:rsidRPr="002A7627">
        <w:rPr>
          <w:lang w:bidi="fa-IR"/>
        </w:rPr>
        <w:t xml:space="preserve">. </w:t>
      </w:r>
      <w:r w:rsidR="008B09F7">
        <w:rPr>
          <w:lang w:bidi="fa-IR"/>
        </w:rPr>
        <w:t>This</w:t>
      </w:r>
      <w:r w:rsidR="008B09F7" w:rsidRPr="002A7627">
        <w:rPr>
          <w:lang w:bidi="fa-IR"/>
        </w:rPr>
        <w:t xml:space="preserve"> </w:t>
      </w:r>
      <w:r w:rsidR="00EE53EB" w:rsidRPr="002A7627">
        <w:rPr>
          <w:lang w:bidi="fa-IR"/>
        </w:rPr>
        <w:t xml:space="preserve">means that 85.9% of the participants </w:t>
      </w:r>
      <w:r w:rsidR="008B09F7">
        <w:rPr>
          <w:lang w:bidi="fa-IR"/>
        </w:rPr>
        <w:t>had</w:t>
      </w:r>
      <w:r w:rsidR="008B09F7" w:rsidRPr="002A7627">
        <w:rPr>
          <w:lang w:bidi="fa-IR"/>
        </w:rPr>
        <w:t xml:space="preserve"> </w:t>
      </w:r>
      <w:r w:rsidR="00EE53EB" w:rsidRPr="002A7627">
        <w:rPr>
          <w:lang w:bidi="fa-IR"/>
        </w:rPr>
        <w:t xml:space="preserve">high </w:t>
      </w:r>
      <w:r w:rsidR="008B09F7">
        <w:rPr>
          <w:lang w:bidi="fa-IR"/>
        </w:rPr>
        <w:t xml:space="preserve">levels of </w:t>
      </w:r>
      <w:r w:rsidR="00EE53EB" w:rsidRPr="002A7627">
        <w:rPr>
          <w:lang w:bidi="fa-IR"/>
        </w:rPr>
        <w:t>experience</w:t>
      </w:r>
      <w:r w:rsidR="008B09F7">
        <w:rPr>
          <w:lang w:bidi="fa-IR"/>
        </w:rPr>
        <w:t xml:space="preserve"> (see Table 14)</w:t>
      </w:r>
      <w:r w:rsidR="00EE53EB" w:rsidRPr="002A7627">
        <w:rPr>
          <w:lang w:bidi="fa-IR"/>
        </w:rPr>
        <w:t xml:space="preserve">. </w:t>
      </w:r>
    </w:p>
    <w:p w14:paraId="455AEB22" w14:textId="670F67C3" w:rsidR="00EA4132" w:rsidRPr="001D5F54" w:rsidRDefault="00C52840" w:rsidP="0089702C">
      <w:pPr>
        <w:pStyle w:val="Caption"/>
        <w:keepNext/>
        <w:jc w:val="lowKashida"/>
        <w:rPr>
          <w:color w:val="000000"/>
          <w:szCs w:val="24"/>
        </w:rPr>
      </w:pPr>
      <w:bookmarkStart w:id="221" w:name="_Toc14144626"/>
      <w:bookmarkStart w:id="222" w:name="_Toc19478592"/>
      <w:bookmarkStart w:id="223" w:name="_Toc21074082"/>
      <w:r w:rsidRPr="004D08C5">
        <w:rPr>
          <w:bCs w:val="0"/>
        </w:rPr>
        <w:t xml:space="preserve">Table </w:t>
      </w:r>
      <w:r w:rsidR="006D32F8" w:rsidRPr="004D08C5">
        <w:rPr>
          <w:bCs w:val="0"/>
          <w:noProof/>
        </w:rPr>
        <w:fldChar w:fldCharType="begin"/>
      </w:r>
      <w:r w:rsidR="006D32F8" w:rsidRPr="004D08C5">
        <w:rPr>
          <w:bCs w:val="0"/>
          <w:noProof/>
        </w:rPr>
        <w:instrText xml:space="preserve"> SEQ Table \* ARABIC </w:instrText>
      </w:r>
      <w:r w:rsidR="006D32F8" w:rsidRPr="004D08C5">
        <w:rPr>
          <w:bCs w:val="0"/>
          <w:noProof/>
        </w:rPr>
        <w:fldChar w:fldCharType="separate"/>
      </w:r>
      <w:r w:rsidR="00972C3F">
        <w:rPr>
          <w:bCs w:val="0"/>
          <w:noProof/>
        </w:rPr>
        <w:t>14</w:t>
      </w:r>
      <w:r w:rsidR="006D32F8" w:rsidRPr="004D08C5">
        <w:rPr>
          <w:bCs w:val="0"/>
          <w:noProof/>
        </w:rPr>
        <w:fldChar w:fldCharType="end"/>
      </w:r>
      <w:r>
        <w:t xml:space="preserve">. </w:t>
      </w:r>
      <w:r w:rsidRPr="00BD026F">
        <w:t xml:space="preserve">The frequency and percentage of participants </w:t>
      </w:r>
      <w:r w:rsidR="008B09F7">
        <w:t>by</w:t>
      </w:r>
      <w:r w:rsidRPr="00BD026F">
        <w:t xml:space="preserve"> years of experience</w:t>
      </w:r>
      <w:bookmarkEnd w:id="221"/>
      <w:bookmarkEnd w:id="222"/>
      <w:bookmarkEnd w:id="223"/>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071"/>
        <w:gridCol w:w="1276"/>
        <w:gridCol w:w="992"/>
        <w:gridCol w:w="1134"/>
        <w:gridCol w:w="1418"/>
      </w:tblGrid>
      <w:tr w:rsidR="00EE53EB" w:rsidRPr="002A7627" w14:paraId="6B9D6CA1" w14:textId="77777777" w:rsidTr="0010785C">
        <w:trPr>
          <w:cantSplit/>
        </w:trPr>
        <w:tc>
          <w:tcPr>
            <w:tcW w:w="4111" w:type="dxa"/>
            <w:gridSpan w:val="2"/>
            <w:tcBorders>
              <w:top w:val="single" w:sz="4" w:space="0" w:color="auto"/>
              <w:left w:val="nil"/>
              <w:bottom w:val="single" w:sz="4" w:space="0" w:color="auto"/>
              <w:right w:val="nil"/>
            </w:tcBorders>
            <w:shd w:val="clear" w:color="auto" w:fill="FFFFFF"/>
            <w:vAlign w:val="center"/>
          </w:tcPr>
          <w:p w14:paraId="6AEA3971" w14:textId="77777777" w:rsidR="00EE53EB" w:rsidRPr="002A7627" w:rsidRDefault="00EE53EB" w:rsidP="00B05733">
            <w:pPr>
              <w:jc w:val="center"/>
              <w:rPr>
                <w:rFonts w:asciiTheme="majorBidi" w:hAnsiTheme="majorBidi" w:cstheme="majorBidi"/>
              </w:rPr>
            </w:pPr>
          </w:p>
        </w:tc>
        <w:tc>
          <w:tcPr>
            <w:tcW w:w="1276" w:type="dxa"/>
            <w:tcBorders>
              <w:top w:val="single" w:sz="4" w:space="0" w:color="auto"/>
              <w:left w:val="nil"/>
              <w:bottom w:val="single" w:sz="4" w:space="0" w:color="auto"/>
              <w:right w:val="nil"/>
            </w:tcBorders>
            <w:shd w:val="clear" w:color="auto" w:fill="FFFFFF"/>
            <w:vAlign w:val="center"/>
          </w:tcPr>
          <w:p w14:paraId="36AA8529"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Frequency</w:t>
            </w:r>
          </w:p>
        </w:tc>
        <w:tc>
          <w:tcPr>
            <w:tcW w:w="992" w:type="dxa"/>
            <w:tcBorders>
              <w:top w:val="single" w:sz="4" w:space="0" w:color="auto"/>
              <w:left w:val="nil"/>
              <w:bottom w:val="single" w:sz="4" w:space="0" w:color="auto"/>
              <w:right w:val="nil"/>
            </w:tcBorders>
            <w:shd w:val="clear" w:color="auto" w:fill="FFFFFF"/>
            <w:vAlign w:val="center"/>
          </w:tcPr>
          <w:p w14:paraId="46C338F5"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Percent</w:t>
            </w:r>
          </w:p>
        </w:tc>
        <w:tc>
          <w:tcPr>
            <w:tcW w:w="1134" w:type="dxa"/>
            <w:tcBorders>
              <w:top w:val="single" w:sz="4" w:space="0" w:color="auto"/>
              <w:left w:val="nil"/>
              <w:bottom w:val="single" w:sz="4" w:space="0" w:color="auto"/>
              <w:right w:val="nil"/>
            </w:tcBorders>
            <w:shd w:val="clear" w:color="auto" w:fill="FFFFFF"/>
            <w:vAlign w:val="center"/>
          </w:tcPr>
          <w:p w14:paraId="4A6CD849"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Valid Percent</w:t>
            </w:r>
          </w:p>
        </w:tc>
        <w:tc>
          <w:tcPr>
            <w:tcW w:w="1418" w:type="dxa"/>
            <w:tcBorders>
              <w:top w:val="single" w:sz="4" w:space="0" w:color="auto"/>
              <w:left w:val="nil"/>
              <w:bottom w:val="single" w:sz="4" w:space="0" w:color="auto"/>
              <w:right w:val="nil"/>
            </w:tcBorders>
            <w:shd w:val="clear" w:color="auto" w:fill="FFFFFF"/>
            <w:vAlign w:val="center"/>
          </w:tcPr>
          <w:p w14:paraId="4CB234B9"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Cumulative Percent</w:t>
            </w:r>
          </w:p>
        </w:tc>
      </w:tr>
      <w:tr w:rsidR="00EE53EB" w:rsidRPr="002A7627" w14:paraId="3E7B03FC" w14:textId="77777777" w:rsidTr="0010785C">
        <w:trPr>
          <w:cantSplit/>
        </w:trPr>
        <w:tc>
          <w:tcPr>
            <w:tcW w:w="40" w:type="dxa"/>
            <w:vMerge w:val="restart"/>
            <w:tcBorders>
              <w:top w:val="single" w:sz="4" w:space="0" w:color="auto"/>
              <w:left w:val="nil"/>
              <w:bottom w:val="nil"/>
              <w:right w:val="nil"/>
            </w:tcBorders>
            <w:shd w:val="clear" w:color="auto" w:fill="FFFFFF"/>
          </w:tcPr>
          <w:p w14:paraId="115D4B03" w14:textId="77777777" w:rsidR="00EE53EB" w:rsidRPr="002A7627" w:rsidRDefault="00EE53EB" w:rsidP="00B05733">
            <w:pPr>
              <w:spacing w:line="320" w:lineRule="atLeast"/>
              <w:ind w:left="60" w:right="60"/>
              <w:rPr>
                <w:rFonts w:asciiTheme="majorBidi" w:hAnsiTheme="majorBidi" w:cstheme="majorBidi"/>
              </w:rPr>
            </w:pPr>
          </w:p>
        </w:tc>
        <w:tc>
          <w:tcPr>
            <w:tcW w:w="4071" w:type="dxa"/>
            <w:tcBorders>
              <w:top w:val="single" w:sz="4" w:space="0" w:color="auto"/>
              <w:left w:val="nil"/>
              <w:bottom w:val="nil"/>
              <w:right w:val="nil"/>
            </w:tcBorders>
            <w:shd w:val="clear" w:color="auto" w:fill="FFFFFF"/>
            <w:vAlign w:val="center"/>
          </w:tcPr>
          <w:p w14:paraId="43136292" w14:textId="58DBE4BA" w:rsidR="00EE53EB" w:rsidRPr="002A7627" w:rsidRDefault="008B09F7" w:rsidP="00B05733">
            <w:pPr>
              <w:ind w:left="60" w:right="60"/>
              <w:rPr>
                <w:rFonts w:asciiTheme="majorBidi" w:hAnsiTheme="majorBidi" w:cstheme="majorBidi"/>
                <w:b/>
                <w:bCs/>
              </w:rPr>
            </w:pPr>
            <w:r>
              <w:rPr>
                <w:rFonts w:asciiTheme="majorBidi" w:hAnsiTheme="majorBidi" w:cstheme="majorBidi"/>
                <w:b/>
                <w:bCs/>
              </w:rPr>
              <w:t>L</w:t>
            </w:r>
            <w:r w:rsidR="00EE53EB" w:rsidRPr="002A7627">
              <w:rPr>
                <w:rFonts w:asciiTheme="majorBidi" w:hAnsiTheme="majorBidi" w:cstheme="majorBidi"/>
                <w:b/>
                <w:bCs/>
              </w:rPr>
              <w:t>ess than 5 years</w:t>
            </w:r>
          </w:p>
        </w:tc>
        <w:tc>
          <w:tcPr>
            <w:tcW w:w="1276" w:type="dxa"/>
            <w:tcBorders>
              <w:top w:val="single" w:sz="4" w:space="0" w:color="auto"/>
              <w:left w:val="nil"/>
              <w:bottom w:val="nil"/>
              <w:right w:val="nil"/>
            </w:tcBorders>
            <w:shd w:val="clear" w:color="auto" w:fill="FFFFFF"/>
            <w:vAlign w:val="center"/>
          </w:tcPr>
          <w:p w14:paraId="59B94285"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19</w:t>
            </w:r>
          </w:p>
        </w:tc>
        <w:tc>
          <w:tcPr>
            <w:tcW w:w="992" w:type="dxa"/>
            <w:tcBorders>
              <w:top w:val="single" w:sz="4" w:space="0" w:color="auto"/>
              <w:left w:val="nil"/>
              <w:bottom w:val="nil"/>
              <w:right w:val="nil"/>
            </w:tcBorders>
            <w:shd w:val="clear" w:color="auto" w:fill="FFFFFF"/>
            <w:vAlign w:val="center"/>
          </w:tcPr>
          <w:p w14:paraId="3339CD19"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2.7</w:t>
            </w:r>
          </w:p>
        </w:tc>
        <w:tc>
          <w:tcPr>
            <w:tcW w:w="1134" w:type="dxa"/>
            <w:tcBorders>
              <w:top w:val="single" w:sz="4" w:space="0" w:color="auto"/>
              <w:left w:val="nil"/>
              <w:bottom w:val="nil"/>
              <w:right w:val="nil"/>
            </w:tcBorders>
            <w:shd w:val="clear" w:color="auto" w:fill="FFFFFF"/>
            <w:vAlign w:val="center"/>
          </w:tcPr>
          <w:p w14:paraId="4B7DF752"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2.7</w:t>
            </w:r>
          </w:p>
        </w:tc>
        <w:tc>
          <w:tcPr>
            <w:tcW w:w="1418" w:type="dxa"/>
            <w:tcBorders>
              <w:top w:val="single" w:sz="4" w:space="0" w:color="auto"/>
              <w:left w:val="nil"/>
              <w:bottom w:val="nil"/>
              <w:right w:val="nil"/>
            </w:tcBorders>
            <w:shd w:val="clear" w:color="auto" w:fill="FFFFFF"/>
            <w:vAlign w:val="center"/>
          </w:tcPr>
          <w:p w14:paraId="3A85EA51"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2.7</w:t>
            </w:r>
          </w:p>
        </w:tc>
      </w:tr>
      <w:tr w:rsidR="00EE53EB" w:rsidRPr="002A7627" w14:paraId="6DA8A823" w14:textId="77777777" w:rsidTr="0010785C">
        <w:trPr>
          <w:cantSplit/>
        </w:trPr>
        <w:tc>
          <w:tcPr>
            <w:tcW w:w="40" w:type="dxa"/>
            <w:vMerge/>
            <w:tcBorders>
              <w:top w:val="nil"/>
              <w:left w:val="nil"/>
              <w:bottom w:val="nil"/>
              <w:right w:val="nil"/>
            </w:tcBorders>
            <w:shd w:val="clear" w:color="auto" w:fill="FFFFFF"/>
          </w:tcPr>
          <w:p w14:paraId="1054BD3B" w14:textId="77777777" w:rsidR="00EE53EB" w:rsidRPr="002A7627" w:rsidRDefault="00EE53EB" w:rsidP="00B05733">
            <w:pPr>
              <w:rPr>
                <w:rFonts w:asciiTheme="majorBidi" w:hAnsiTheme="majorBidi" w:cstheme="majorBidi"/>
              </w:rPr>
            </w:pPr>
          </w:p>
        </w:tc>
        <w:tc>
          <w:tcPr>
            <w:tcW w:w="4071" w:type="dxa"/>
            <w:tcBorders>
              <w:top w:val="nil"/>
              <w:left w:val="nil"/>
              <w:bottom w:val="nil"/>
              <w:right w:val="nil"/>
            </w:tcBorders>
            <w:shd w:val="clear" w:color="auto" w:fill="FFFFFF"/>
            <w:vAlign w:val="center"/>
          </w:tcPr>
          <w:p w14:paraId="1DEC3C61" w14:textId="06E292A8" w:rsidR="00EE53EB" w:rsidRPr="002A7627" w:rsidRDefault="008B09F7" w:rsidP="008B09F7">
            <w:pPr>
              <w:ind w:left="60" w:right="60"/>
              <w:rPr>
                <w:rFonts w:asciiTheme="majorBidi" w:hAnsiTheme="majorBidi" w:cstheme="majorBidi"/>
                <w:b/>
                <w:bCs/>
              </w:rPr>
            </w:pPr>
            <w:r>
              <w:rPr>
                <w:rFonts w:asciiTheme="majorBidi" w:hAnsiTheme="majorBidi" w:cstheme="majorBidi"/>
                <w:b/>
                <w:bCs/>
              </w:rPr>
              <w:t xml:space="preserve">More than </w:t>
            </w:r>
            <w:r w:rsidR="00EE53EB" w:rsidRPr="002A7627">
              <w:rPr>
                <w:rFonts w:asciiTheme="majorBidi" w:hAnsiTheme="majorBidi" w:cstheme="majorBidi"/>
                <w:b/>
                <w:bCs/>
              </w:rPr>
              <w:t>5 years but less than 10 years</w:t>
            </w:r>
          </w:p>
        </w:tc>
        <w:tc>
          <w:tcPr>
            <w:tcW w:w="1276" w:type="dxa"/>
            <w:tcBorders>
              <w:top w:val="nil"/>
              <w:left w:val="nil"/>
              <w:bottom w:val="nil"/>
              <w:right w:val="nil"/>
            </w:tcBorders>
            <w:shd w:val="clear" w:color="auto" w:fill="FFFFFF"/>
            <w:vAlign w:val="center"/>
          </w:tcPr>
          <w:p w14:paraId="0AD514B5"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79</w:t>
            </w:r>
          </w:p>
        </w:tc>
        <w:tc>
          <w:tcPr>
            <w:tcW w:w="992" w:type="dxa"/>
            <w:tcBorders>
              <w:top w:val="nil"/>
              <w:left w:val="nil"/>
              <w:bottom w:val="nil"/>
              <w:right w:val="nil"/>
            </w:tcBorders>
            <w:shd w:val="clear" w:color="auto" w:fill="FFFFFF"/>
            <w:vAlign w:val="center"/>
          </w:tcPr>
          <w:p w14:paraId="2B881176"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11.4</w:t>
            </w:r>
          </w:p>
        </w:tc>
        <w:tc>
          <w:tcPr>
            <w:tcW w:w="1134" w:type="dxa"/>
            <w:tcBorders>
              <w:top w:val="nil"/>
              <w:left w:val="nil"/>
              <w:bottom w:val="nil"/>
              <w:right w:val="nil"/>
            </w:tcBorders>
            <w:shd w:val="clear" w:color="auto" w:fill="FFFFFF"/>
            <w:vAlign w:val="center"/>
          </w:tcPr>
          <w:p w14:paraId="1E12AE11"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11.4</w:t>
            </w:r>
          </w:p>
        </w:tc>
        <w:tc>
          <w:tcPr>
            <w:tcW w:w="1418" w:type="dxa"/>
            <w:tcBorders>
              <w:top w:val="nil"/>
              <w:left w:val="nil"/>
              <w:bottom w:val="nil"/>
              <w:right w:val="nil"/>
            </w:tcBorders>
            <w:shd w:val="clear" w:color="auto" w:fill="FFFFFF"/>
            <w:vAlign w:val="center"/>
          </w:tcPr>
          <w:p w14:paraId="4DAC7F9E"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14.1</w:t>
            </w:r>
          </w:p>
        </w:tc>
      </w:tr>
      <w:tr w:rsidR="00EE53EB" w:rsidRPr="002A7627" w14:paraId="2A856ABF" w14:textId="77777777" w:rsidTr="0010785C">
        <w:trPr>
          <w:cantSplit/>
        </w:trPr>
        <w:tc>
          <w:tcPr>
            <w:tcW w:w="40" w:type="dxa"/>
            <w:vMerge/>
            <w:tcBorders>
              <w:top w:val="nil"/>
              <w:left w:val="nil"/>
              <w:bottom w:val="nil"/>
              <w:right w:val="nil"/>
            </w:tcBorders>
            <w:shd w:val="clear" w:color="auto" w:fill="FFFFFF"/>
          </w:tcPr>
          <w:p w14:paraId="7A473B73" w14:textId="77777777" w:rsidR="00EE53EB" w:rsidRPr="002A7627" w:rsidRDefault="00EE53EB" w:rsidP="00B05733">
            <w:pPr>
              <w:rPr>
                <w:rFonts w:asciiTheme="majorBidi" w:hAnsiTheme="majorBidi" w:cstheme="majorBidi"/>
              </w:rPr>
            </w:pPr>
          </w:p>
        </w:tc>
        <w:tc>
          <w:tcPr>
            <w:tcW w:w="4071" w:type="dxa"/>
            <w:tcBorders>
              <w:top w:val="nil"/>
              <w:left w:val="nil"/>
              <w:bottom w:val="nil"/>
              <w:right w:val="nil"/>
            </w:tcBorders>
            <w:shd w:val="clear" w:color="auto" w:fill="FFFFFF"/>
            <w:vAlign w:val="center"/>
          </w:tcPr>
          <w:p w14:paraId="19C0AAFB" w14:textId="3D20FDC4" w:rsidR="00EE53EB" w:rsidRPr="002A7627" w:rsidRDefault="008B09F7" w:rsidP="008B09F7">
            <w:pPr>
              <w:ind w:left="60" w:right="60"/>
              <w:rPr>
                <w:rFonts w:asciiTheme="majorBidi" w:hAnsiTheme="majorBidi" w:cstheme="majorBidi"/>
                <w:b/>
                <w:bCs/>
              </w:rPr>
            </w:pPr>
            <w:r>
              <w:rPr>
                <w:rFonts w:asciiTheme="majorBidi" w:hAnsiTheme="majorBidi" w:cstheme="majorBidi"/>
                <w:b/>
                <w:bCs/>
              </w:rPr>
              <w:t xml:space="preserve">More than </w:t>
            </w:r>
            <w:r w:rsidR="00EE53EB" w:rsidRPr="002A7627">
              <w:rPr>
                <w:rFonts w:asciiTheme="majorBidi" w:hAnsiTheme="majorBidi" w:cstheme="majorBidi"/>
                <w:b/>
                <w:bCs/>
              </w:rPr>
              <w:t>10 years but less than 20 years</w:t>
            </w:r>
          </w:p>
        </w:tc>
        <w:tc>
          <w:tcPr>
            <w:tcW w:w="1276" w:type="dxa"/>
            <w:tcBorders>
              <w:top w:val="nil"/>
              <w:left w:val="nil"/>
              <w:bottom w:val="nil"/>
              <w:right w:val="nil"/>
            </w:tcBorders>
            <w:shd w:val="clear" w:color="auto" w:fill="FFFFFF"/>
            <w:vAlign w:val="center"/>
          </w:tcPr>
          <w:p w14:paraId="0F6C30EF"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404</w:t>
            </w:r>
          </w:p>
        </w:tc>
        <w:tc>
          <w:tcPr>
            <w:tcW w:w="992" w:type="dxa"/>
            <w:tcBorders>
              <w:top w:val="nil"/>
              <w:left w:val="nil"/>
              <w:bottom w:val="nil"/>
              <w:right w:val="nil"/>
            </w:tcBorders>
            <w:shd w:val="clear" w:color="auto" w:fill="FFFFFF"/>
            <w:vAlign w:val="center"/>
          </w:tcPr>
          <w:p w14:paraId="449DFAD2"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58.3</w:t>
            </w:r>
          </w:p>
        </w:tc>
        <w:tc>
          <w:tcPr>
            <w:tcW w:w="1134" w:type="dxa"/>
            <w:tcBorders>
              <w:top w:val="nil"/>
              <w:left w:val="nil"/>
              <w:bottom w:val="nil"/>
              <w:right w:val="nil"/>
            </w:tcBorders>
            <w:shd w:val="clear" w:color="auto" w:fill="FFFFFF"/>
            <w:vAlign w:val="center"/>
          </w:tcPr>
          <w:p w14:paraId="7BAC1464"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58.3</w:t>
            </w:r>
          </w:p>
        </w:tc>
        <w:tc>
          <w:tcPr>
            <w:tcW w:w="1418" w:type="dxa"/>
            <w:tcBorders>
              <w:top w:val="nil"/>
              <w:left w:val="nil"/>
              <w:bottom w:val="nil"/>
              <w:right w:val="nil"/>
            </w:tcBorders>
            <w:shd w:val="clear" w:color="auto" w:fill="FFFFFF"/>
            <w:vAlign w:val="center"/>
          </w:tcPr>
          <w:p w14:paraId="139732D2"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72.4</w:t>
            </w:r>
          </w:p>
        </w:tc>
      </w:tr>
      <w:tr w:rsidR="00EE53EB" w:rsidRPr="002A7627" w14:paraId="5B7CD4F4" w14:textId="77777777" w:rsidTr="0010785C">
        <w:trPr>
          <w:cantSplit/>
        </w:trPr>
        <w:tc>
          <w:tcPr>
            <w:tcW w:w="40" w:type="dxa"/>
            <w:vMerge/>
            <w:tcBorders>
              <w:top w:val="nil"/>
              <w:left w:val="nil"/>
              <w:bottom w:val="nil"/>
              <w:right w:val="nil"/>
            </w:tcBorders>
            <w:shd w:val="clear" w:color="auto" w:fill="FFFFFF"/>
          </w:tcPr>
          <w:p w14:paraId="5B5CEDAA" w14:textId="77777777" w:rsidR="00EE53EB" w:rsidRPr="002A7627" w:rsidRDefault="00EE53EB" w:rsidP="00B05733">
            <w:pPr>
              <w:rPr>
                <w:rFonts w:asciiTheme="majorBidi" w:hAnsiTheme="majorBidi" w:cstheme="majorBidi"/>
              </w:rPr>
            </w:pPr>
          </w:p>
        </w:tc>
        <w:tc>
          <w:tcPr>
            <w:tcW w:w="4071" w:type="dxa"/>
            <w:tcBorders>
              <w:top w:val="nil"/>
              <w:left w:val="nil"/>
              <w:bottom w:val="nil"/>
              <w:right w:val="nil"/>
            </w:tcBorders>
            <w:shd w:val="clear" w:color="auto" w:fill="FFFFFF"/>
            <w:vAlign w:val="center"/>
          </w:tcPr>
          <w:p w14:paraId="17166927"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20 years or more</w:t>
            </w:r>
          </w:p>
        </w:tc>
        <w:tc>
          <w:tcPr>
            <w:tcW w:w="1276" w:type="dxa"/>
            <w:tcBorders>
              <w:top w:val="nil"/>
              <w:left w:val="nil"/>
              <w:bottom w:val="nil"/>
              <w:right w:val="nil"/>
            </w:tcBorders>
            <w:shd w:val="clear" w:color="auto" w:fill="FFFFFF"/>
            <w:vAlign w:val="center"/>
          </w:tcPr>
          <w:p w14:paraId="51CCC134"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191</w:t>
            </w:r>
          </w:p>
        </w:tc>
        <w:tc>
          <w:tcPr>
            <w:tcW w:w="992" w:type="dxa"/>
            <w:tcBorders>
              <w:top w:val="nil"/>
              <w:left w:val="nil"/>
              <w:bottom w:val="nil"/>
              <w:right w:val="nil"/>
            </w:tcBorders>
            <w:shd w:val="clear" w:color="auto" w:fill="FFFFFF"/>
            <w:vAlign w:val="center"/>
          </w:tcPr>
          <w:p w14:paraId="371CBF08"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27.6</w:t>
            </w:r>
          </w:p>
        </w:tc>
        <w:tc>
          <w:tcPr>
            <w:tcW w:w="1134" w:type="dxa"/>
            <w:tcBorders>
              <w:top w:val="nil"/>
              <w:left w:val="nil"/>
              <w:bottom w:val="nil"/>
              <w:right w:val="nil"/>
            </w:tcBorders>
            <w:shd w:val="clear" w:color="auto" w:fill="FFFFFF"/>
            <w:vAlign w:val="center"/>
          </w:tcPr>
          <w:p w14:paraId="64D97942"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27.6</w:t>
            </w:r>
          </w:p>
        </w:tc>
        <w:tc>
          <w:tcPr>
            <w:tcW w:w="1418" w:type="dxa"/>
            <w:tcBorders>
              <w:top w:val="nil"/>
              <w:left w:val="nil"/>
              <w:bottom w:val="nil"/>
              <w:right w:val="nil"/>
            </w:tcBorders>
            <w:shd w:val="clear" w:color="auto" w:fill="FFFFFF"/>
            <w:vAlign w:val="center"/>
          </w:tcPr>
          <w:p w14:paraId="060DD3A3"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100.0</w:t>
            </w:r>
          </w:p>
        </w:tc>
      </w:tr>
      <w:tr w:rsidR="00EE53EB" w:rsidRPr="002A7627" w14:paraId="776F1921" w14:textId="77777777" w:rsidTr="0010785C">
        <w:trPr>
          <w:cantSplit/>
        </w:trPr>
        <w:tc>
          <w:tcPr>
            <w:tcW w:w="40" w:type="dxa"/>
            <w:vMerge/>
            <w:tcBorders>
              <w:top w:val="nil"/>
              <w:left w:val="nil"/>
              <w:bottom w:val="nil"/>
              <w:right w:val="nil"/>
            </w:tcBorders>
            <w:shd w:val="clear" w:color="auto" w:fill="FFFFFF"/>
          </w:tcPr>
          <w:p w14:paraId="5F026C15" w14:textId="77777777" w:rsidR="00EE53EB" w:rsidRPr="002A7627" w:rsidRDefault="00EE53EB" w:rsidP="00B05733">
            <w:pPr>
              <w:rPr>
                <w:rFonts w:asciiTheme="majorBidi" w:hAnsiTheme="majorBidi" w:cstheme="majorBidi"/>
              </w:rPr>
            </w:pPr>
          </w:p>
        </w:tc>
        <w:tc>
          <w:tcPr>
            <w:tcW w:w="4071" w:type="dxa"/>
            <w:tcBorders>
              <w:top w:val="nil"/>
              <w:left w:val="nil"/>
              <w:bottom w:val="single" w:sz="4" w:space="0" w:color="auto"/>
              <w:right w:val="nil"/>
            </w:tcBorders>
            <w:shd w:val="clear" w:color="auto" w:fill="FFFFFF"/>
            <w:vAlign w:val="center"/>
          </w:tcPr>
          <w:p w14:paraId="7AF93A7E"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Total</w:t>
            </w:r>
          </w:p>
        </w:tc>
        <w:tc>
          <w:tcPr>
            <w:tcW w:w="1276" w:type="dxa"/>
            <w:tcBorders>
              <w:top w:val="nil"/>
              <w:left w:val="nil"/>
              <w:bottom w:val="single" w:sz="4" w:space="0" w:color="auto"/>
              <w:right w:val="nil"/>
            </w:tcBorders>
            <w:shd w:val="clear" w:color="auto" w:fill="FFFFFF"/>
            <w:vAlign w:val="center"/>
          </w:tcPr>
          <w:p w14:paraId="4645DDF2"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693</w:t>
            </w:r>
          </w:p>
        </w:tc>
        <w:tc>
          <w:tcPr>
            <w:tcW w:w="992" w:type="dxa"/>
            <w:tcBorders>
              <w:top w:val="nil"/>
              <w:left w:val="nil"/>
              <w:bottom w:val="single" w:sz="4" w:space="0" w:color="auto"/>
              <w:right w:val="nil"/>
            </w:tcBorders>
            <w:shd w:val="clear" w:color="auto" w:fill="FFFFFF"/>
            <w:vAlign w:val="center"/>
          </w:tcPr>
          <w:p w14:paraId="01607598"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100.0</w:t>
            </w:r>
          </w:p>
        </w:tc>
        <w:tc>
          <w:tcPr>
            <w:tcW w:w="1134" w:type="dxa"/>
            <w:tcBorders>
              <w:top w:val="nil"/>
              <w:left w:val="nil"/>
              <w:bottom w:val="single" w:sz="4" w:space="0" w:color="auto"/>
              <w:right w:val="nil"/>
            </w:tcBorders>
            <w:shd w:val="clear" w:color="auto" w:fill="FFFFFF"/>
            <w:vAlign w:val="center"/>
          </w:tcPr>
          <w:p w14:paraId="6C8BF22D"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100.0</w:t>
            </w:r>
          </w:p>
        </w:tc>
        <w:tc>
          <w:tcPr>
            <w:tcW w:w="1418" w:type="dxa"/>
            <w:tcBorders>
              <w:top w:val="nil"/>
              <w:left w:val="nil"/>
              <w:bottom w:val="single" w:sz="4" w:space="0" w:color="auto"/>
              <w:right w:val="nil"/>
            </w:tcBorders>
            <w:shd w:val="clear" w:color="auto" w:fill="FFFFFF"/>
            <w:vAlign w:val="center"/>
          </w:tcPr>
          <w:p w14:paraId="4FD69DC3" w14:textId="77777777" w:rsidR="00EE53EB" w:rsidRPr="002A7627" w:rsidRDefault="00EE53EB" w:rsidP="00B05733">
            <w:pPr>
              <w:jc w:val="center"/>
              <w:rPr>
                <w:rFonts w:asciiTheme="majorBidi" w:hAnsiTheme="majorBidi" w:cstheme="majorBidi"/>
              </w:rPr>
            </w:pPr>
          </w:p>
        </w:tc>
      </w:tr>
    </w:tbl>
    <w:p w14:paraId="270AC8EB" w14:textId="53EB8CEA" w:rsidR="00EE53EB" w:rsidRPr="002A7627" w:rsidRDefault="0079574F" w:rsidP="00677985">
      <w:pPr>
        <w:pStyle w:val="AAAAAAA"/>
        <w:rPr>
          <w:lang w:bidi="fa-IR"/>
        </w:rPr>
      </w:pPr>
      <w:bookmarkStart w:id="224" w:name="_Toc22331701"/>
      <w:r>
        <w:rPr>
          <w:rStyle w:val="Heading2Char"/>
          <w:color w:val="000000"/>
          <w:u w:val="none"/>
        </w:rPr>
        <w:t>5.2.7. Sector</w:t>
      </w:r>
      <w:bookmarkEnd w:id="224"/>
      <w:r w:rsidR="0010785C" w:rsidRPr="002A7627">
        <w:rPr>
          <w:b/>
          <w:bCs/>
        </w:rPr>
        <w:t xml:space="preserve">. </w:t>
      </w:r>
      <w:r w:rsidR="001C4338" w:rsidRPr="002A7627">
        <w:rPr>
          <w:lang w:bidi="fa-IR"/>
        </w:rPr>
        <w:t>Table</w:t>
      </w:r>
      <w:r w:rsidR="00EE53EB" w:rsidRPr="002A7627">
        <w:rPr>
          <w:lang w:bidi="fa-IR"/>
        </w:rPr>
        <w:t xml:space="preserve"> </w:t>
      </w:r>
      <w:r w:rsidR="001B475A" w:rsidRPr="002A7627">
        <w:rPr>
          <w:lang w:bidi="fa-IR"/>
        </w:rPr>
        <w:t>15</w:t>
      </w:r>
      <w:r w:rsidR="006507E7">
        <w:rPr>
          <w:lang w:bidi="fa-IR"/>
        </w:rPr>
        <w:t xml:space="preserve"> shows that</w:t>
      </w:r>
      <w:r w:rsidR="00EE53EB" w:rsidRPr="002A7627">
        <w:rPr>
          <w:lang w:bidi="fa-IR"/>
        </w:rPr>
        <w:t xml:space="preserve"> </w:t>
      </w:r>
      <w:r w:rsidR="006507E7">
        <w:rPr>
          <w:lang w:bidi="fa-IR"/>
        </w:rPr>
        <w:t>the biggest group of</w:t>
      </w:r>
      <w:r w:rsidR="006507E7" w:rsidRPr="002A7627">
        <w:rPr>
          <w:lang w:bidi="fa-IR"/>
        </w:rPr>
        <w:t xml:space="preserve"> </w:t>
      </w:r>
      <w:r w:rsidR="00EE53EB" w:rsidRPr="002A7627">
        <w:rPr>
          <w:lang w:bidi="fa-IR"/>
        </w:rPr>
        <w:t>participants were in the criminal security sector</w:t>
      </w:r>
      <w:r w:rsidR="006507E7">
        <w:rPr>
          <w:lang w:bidi="fa-IR"/>
        </w:rPr>
        <w:t xml:space="preserve"> (</w:t>
      </w:r>
      <w:r w:rsidR="00EE53EB" w:rsidRPr="002A7627">
        <w:rPr>
          <w:lang w:bidi="fa-IR"/>
        </w:rPr>
        <w:t>178 respondents</w:t>
      </w:r>
      <w:r w:rsidR="006507E7">
        <w:rPr>
          <w:lang w:bidi="fa-IR"/>
        </w:rPr>
        <w:t>,</w:t>
      </w:r>
      <w:r w:rsidR="00EE53EB" w:rsidRPr="002A7627">
        <w:rPr>
          <w:lang w:bidi="fa-IR"/>
        </w:rPr>
        <w:t xml:space="preserve"> 25.4%</w:t>
      </w:r>
      <w:r w:rsidR="006507E7">
        <w:rPr>
          <w:lang w:bidi="fa-IR"/>
        </w:rPr>
        <w:t xml:space="preserve">), followed by those working at </w:t>
      </w:r>
      <w:r w:rsidR="00EE53EB" w:rsidRPr="002A7627">
        <w:rPr>
          <w:lang w:bidi="fa-IR"/>
        </w:rPr>
        <w:t xml:space="preserve">general headquarters </w:t>
      </w:r>
      <w:r w:rsidR="006507E7">
        <w:rPr>
          <w:lang w:bidi="fa-IR"/>
        </w:rPr>
        <w:t>(</w:t>
      </w:r>
      <w:r w:rsidR="00EE53EB" w:rsidRPr="002A7627">
        <w:rPr>
          <w:lang w:bidi="fa-IR"/>
        </w:rPr>
        <w:t>93, 13.4%</w:t>
      </w:r>
      <w:r w:rsidR="006507E7">
        <w:rPr>
          <w:lang w:bidi="fa-IR"/>
        </w:rPr>
        <w:t>)</w:t>
      </w:r>
      <w:r w:rsidR="00EE53EB" w:rsidRPr="002A7627">
        <w:rPr>
          <w:lang w:bidi="fa-IR"/>
        </w:rPr>
        <w:t xml:space="preserve">. </w:t>
      </w:r>
      <w:r w:rsidR="006507E7">
        <w:rPr>
          <w:lang w:bidi="fa-IR"/>
        </w:rPr>
        <w:t xml:space="preserve">Nearly as many (90, 13%) were in </w:t>
      </w:r>
      <w:r w:rsidR="00EE53EB" w:rsidRPr="002A7627">
        <w:rPr>
          <w:lang w:bidi="fa-IR"/>
        </w:rPr>
        <w:t>central operation</w:t>
      </w:r>
      <w:r w:rsidR="006507E7">
        <w:rPr>
          <w:lang w:bidi="fa-IR"/>
        </w:rPr>
        <w:t xml:space="preserve">s. The smallest group was those working in </w:t>
      </w:r>
      <w:r w:rsidR="00EE53EB" w:rsidRPr="002A7627">
        <w:rPr>
          <w:lang w:bidi="fa-IR"/>
        </w:rPr>
        <w:t xml:space="preserve">special tasks </w:t>
      </w:r>
      <w:r w:rsidR="006507E7">
        <w:rPr>
          <w:lang w:bidi="fa-IR"/>
        </w:rPr>
        <w:t xml:space="preserve">(20 participants, </w:t>
      </w:r>
      <w:r w:rsidR="00EE53EB" w:rsidRPr="002A7627">
        <w:rPr>
          <w:lang w:bidi="fa-IR"/>
        </w:rPr>
        <w:t>2.9%</w:t>
      </w:r>
      <w:r w:rsidR="006507E7">
        <w:rPr>
          <w:lang w:bidi="fa-IR"/>
        </w:rPr>
        <w:t>)</w:t>
      </w:r>
      <w:r w:rsidR="00EE53EB" w:rsidRPr="002A7627">
        <w:rPr>
          <w:lang w:bidi="fa-IR"/>
        </w:rPr>
        <w:t>.</w:t>
      </w:r>
    </w:p>
    <w:p w14:paraId="3980E4B6" w14:textId="63E23987" w:rsidR="0089702C" w:rsidRDefault="0089702C" w:rsidP="001D5F54">
      <w:bookmarkStart w:id="225" w:name="_Toc14144627"/>
    </w:p>
    <w:p w14:paraId="78C5DD6F" w14:textId="11D961CF" w:rsidR="00031AF8" w:rsidRDefault="00031AF8" w:rsidP="001D5F54"/>
    <w:p w14:paraId="5B8A0B67" w14:textId="77777777" w:rsidR="00031AF8" w:rsidRDefault="00031AF8" w:rsidP="001D5F54"/>
    <w:p w14:paraId="489A9D33" w14:textId="1A6EEB82" w:rsidR="00EA4132" w:rsidRPr="001D5F54" w:rsidRDefault="00C52840" w:rsidP="0089702C">
      <w:pPr>
        <w:pStyle w:val="Caption"/>
        <w:jc w:val="lowKashida"/>
        <w:rPr>
          <w:color w:val="000000"/>
          <w:szCs w:val="24"/>
        </w:rPr>
      </w:pPr>
      <w:bookmarkStart w:id="226" w:name="_Toc19478593"/>
      <w:bookmarkStart w:id="227" w:name="_Toc21074083"/>
      <w:r w:rsidRPr="004D08C5">
        <w:rPr>
          <w:bCs w:val="0"/>
        </w:rPr>
        <w:t xml:space="preserve">Table </w:t>
      </w:r>
      <w:r w:rsidR="006D32F8" w:rsidRPr="004D08C5">
        <w:rPr>
          <w:bCs w:val="0"/>
          <w:noProof/>
        </w:rPr>
        <w:fldChar w:fldCharType="begin"/>
      </w:r>
      <w:r w:rsidR="006D32F8" w:rsidRPr="004D08C5">
        <w:rPr>
          <w:bCs w:val="0"/>
          <w:noProof/>
        </w:rPr>
        <w:instrText xml:space="preserve"> SEQ Table \* ARABIC </w:instrText>
      </w:r>
      <w:r w:rsidR="006D32F8" w:rsidRPr="004D08C5">
        <w:rPr>
          <w:bCs w:val="0"/>
          <w:noProof/>
        </w:rPr>
        <w:fldChar w:fldCharType="separate"/>
      </w:r>
      <w:r w:rsidR="00972C3F">
        <w:rPr>
          <w:bCs w:val="0"/>
          <w:noProof/>
        </w:rPr>
        <w:t>15</w:t>
      </w:r>
      <w:r w:rsidR="006D32F8" w:rsidRPr="004D08C5">
        <w:rPr>
          <w:bCs w:val="0"/>
          <w:noProof/>
        </w:rPr>
        <w:fldChar w:fldCharType="end"/>
      </w:r>
      <w:r w:rsidRPr="004D08C5">
        <w:rPr>
          <w:bCs w:val="0"/>
        </w:rPr>
        <w:t>.</w:t>
      </w:r>
      <w:r>
        <w:t xml:space="preserve"> </w:t>
      </w:r>
      <w:r w:rsidRPr="009E088A">
        <w:t xml:space="preserve">The frequency and percentage of participants </w:t>
      </w:r>
      <w:r w:rsidR="006507E7">
        <w:t>by</w:t>
      </w:r>
      <w:r w:rsidRPr="009E088A">
        <w:t xml:space="preserve"> </w:t>
      </w:r>
      <w:r w:rsidR="006507E7">
        <w:t>s</w:t>
      </w:r>
      <w:r w:rsidRPr="009E088A">
        <w:t>ector</w:t>
      </w:r>
      <w:bookmarkEnd w:id="225"/>
      <w:bookmarkEnd w:id="226"/>
      <w:bookmarkEnd w:id="227"/>
    </w:p>
    <w:tbl>
      <w:tblPr>
        <w:tblW w:w="85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3646"/>
        <w:gridCol w:w="1276"/>
        <w:gridCol w:w="992"/>
        <w:gridCol w:w="992"/>
        <w:gridCol w:w="1559"/>
      </w:tblGrid>
      <w:tr w:rsidR="00EE53EB" w:rsidRPr="002A7627" w14:paraId="4D79900D" w14:textId="77777777" w:rsidTr="0010785C">
        <w:trPr>
          <w:cantSplit/>
          <w:jc w:val="center"/>
        </w:trPr>
        <w:tc>
          <w:tcPr>
            <w:tcW w:w="3686" w:type="dxa"/>
            <w:gridSpan w:val="2"/>
            <w:tcBorders>
              <w:top w:val="single" w:sz="4" w:space="0" w:color="auto"/>
              <w:left w:val="nil"/>
              <w:bottom w:val="single" w:sz="4" w:space="0" w:color="auto"/>
              <w:right w:val="nil"/>
            </w:tcBorders>
            <w:shd w:val="clear" w:color="auto" w:fill="FFFFFF"/>
            <w:vAlign w:val="center"/>
          </w:tcPr>
          <w:p w14:paraId="7F355D2D" w14:textId="77777777" w:rsidR="00EE53EB" w:rsidRPr="002A7627" w:rsidRDefault="00EE53EB" w:rsidP="00B05733">
            <w:pPr>
              <w:jc w:val="center"/>
              <w:rPr>
                <w:rFonts w:asciiTheme="majorBidi" w:hAnsiTheme="majorBidi" w:cstheme="majorBidi"/>
                <w:b/>
                <w:bCs/>
              </w:rPr>
            </w:pPr>
          </w:p>
        </w:tc>
        <w:tc>
          <w:tcPr>
            <w:tcW w:w="1276" w:type="dxa"/>
            <w:tcBorders>
              <w:top w:val="single" w:sz="4" w:space="0" w:color="auto"/>
              <w:left w:val="nil"/>
              <w:bottom w:val="single" w:sz="4" w:space="0" w:color="auto"/>
              <w:right w:val="nil"/>
            </w:tcBorders>
            <w:shd w:val="clear" w:color="auto" w:fill="FFFFFF"/>
            <w:vAlign w:val="center"/>
          </w:tcPr>
          <w:p w14:paraId="3D447232"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Frequency</w:t>
            </w:r>
          </w:p>
        </w:tc>
        <w:tc>
          <w:tcPr>
            <w:tcW w:w="992" w:type="dxa"/>
            <w:tcBorders>
              <w:top w:val="single" w:sz="4" w:space="0" w:color="auto"/>
              <w:left w:val="nil"/>
              <w:bottom w:val="single" w:sz="4" w:space="0" w:color="auto"/>
              <w:right w:val="nil"/>
            </w:tcBorders>
            <w:shd w:val="clear" w:color="auto" w:fill="FFFFFF"/>
            <w:vAlign w:val="center"/>
          </w:tcPr>
          <w:p w14:paraId="05DDC2E8"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Percent</w:t>
            </w:r>
          </w:p>
        </w:tc>
        <w:tc>
          <w:tcPr>
            <w:tcW w:w="992" w:type="dxa"/>
            <w:tcBorders>
              <w:top w:val="single" w:sz="4" w:space="0" w:color="auto"/>
              <w:left w:val="nil"/>
              <w:bottom w:val="single" w:sz="4" w:space="0" w:color="auto"/>
              <w:right w:val="nil"/>
            </w:tcBorders>
            <w:shd w:val="clear" w:color="auto" w:fill="FFFFFF"/>
            <w:vAlign w:val="center"/>
          </w:tcPr>
          <w:p w14:paraId="278AF07C"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Valid Percent</w:t>
            </w:r>
          </w:p>
        </w:tc>
        <w:tc>
          <w:tcPr>
            <w:tcW w:w="1559" w:type="dxa"/>
            <w:tcBorders>
              <w:top w:val="single" w:sz="4" w:space="0" w:color="auto"/>
              <w:left w:val="nil"/>
              <w:bottom w:val="single" w:sz="4" w:space="0" w:color="auto"/>
              <w:right w:val="nil"/>
            </w:tcBorders>
            <w:shd w:val="clear" w:color="auto" w:fill="FFFFFF"/>
            <w:vAlign w:val="center"/>
          </w:tcPr>
          <w:p w14:paraId="1838935A"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Cumulative Percent</w:t>
            </w:r>
          </w:p>
        </w:tc>
      </w:tr>
      <w:tr w:rsidR="00EE53EB" w:rsidRPr="002A7627" w14:paraId="01C1DC45" w14:textId="77777777" w:rsidTr="0010785C">
        <w:trPr>
          <w:cantSplit/>
          <w:jc w:val="center"/>
        </w:trPr>
        <w:tc>
          <w:tcPr>
            <w:tcW w:w="40" w:type="dxa"/>
            <w:vMerge w:val="restart"/>
            <w:tcBorders>
              <w:top w:val="single" w:sz="4" w:space="0" w:color="auto"/>
              <w:left w:val="nil"/>
              <w:bottom w:val="nil"/>
              <w:right w:val="nil"/>
            </w:tcBorders>
            <w:shd w:val="clear" w:color="auto" w:fill="FFFFFF"/>
            <w:vAlign w:val="center"/>
          </w:tcPr>
          <w:p w14:paraId="4B9830F1" w14:textId="77777777" w:rsidR="00EE53EB" w:rsidRPr="002A7627" w:rsidRDefault="00EE53EB" w:rsidP="00B05733">
            <w:pPr>
              <w:ind w:left="60" w:right="60"/>
              <w:jc w:val="center"/>
              <w:rPr>
                <w:rFonts w:asciiTheme="majorBidi" w:hAnsiTheme="majorBidi" w:cstheme="majorBidi"/>
              </w:rPr>
            </w:pPr>
          </w:p>
        </w:tc>
        <w:tc>
          <w:tcPr>
            <w:tcW w:w="3646" w:type="dxa"/>
            <w:tcBorders>
              <w:top w:val="single" w:sz="4" w:space="0" w:color="auto"/>
              <w:left w:val="nil"/>
              <w:bottom w:val="nil"/>
              <w:right w:val="nil"/>
            </w:tcBorders>
            <w:shd w:val="clear" w:color="auto" w:fill="FFFFFF"/>
            <w:vAlign w:val="center"/>
          </w:tcPr>
          <w:p w14:paraId="289A6ECF" w14:textId="16E34440" w:rsidR="00EE53EB" w:rsidRPr="002A7627" w:rsidRDefault="00EE53EB" w:rsidP="006507E7">
            <w:pPr>
              <w:spacing w:line="276" w:lineRule="auto"/>
              <w:ind w:left="60" w:right="60"/>
              <w:rPr>
                <w:rFonts w:asciiTheme="majorBidi" w:hAnsiTheme="majorBidi" w:cstheme="majorBidi"/>
                <w:b/>
                <w:bCs/>
              </w:rPr>
            </w:pPr>
            <w:r w:rsidRPr="002A7627">
              <w:rPr>
                <w:rFonts w:asciiTheme="majorBidi" w:hAnsiTheme="majorBidi" w:cstheme="majorBidi"/>
                <w:b/>
                <w:bCs/>
              </w:rPr>
              <w:t>Commander</w:t>
            </w:r>
            <w:r w:rsidR="00480D89" w:rsidRPr="002A7627">
              <w:rPr>
                <w:rFonts w:asciiTheme="majorBidi" w:hAnsiTheme="majorBidi" w:cstheme="majorBidi"/>
                <w:b/>
                <w:bCs/>
              </w:rPr>
              <w:t>-</w:t>
            </w:r>
            <w:r w:rsidRPr="002A7627">
              <w:rPr>
                <w:rFonts w:asciiTheme="majorBidi" w:hAnsiTheme="majorBidi" w:cstheme="majorBidi"/>
                <w:b/>
                <w:bCs/>
              </w:rPr>
              <w:t>in</w:t>
            </w:r>
            <w:r w:rsidR="00480D89" w:rsidRPr="002A7627">
              <w:rPr>
                <w:rFonts w:asciiTheme="majorBidi" w:hAnsiTheme="majorBidi" w:cstheme="majorBidi"/>
                <w:b/>
                <w:bCs/>
              </w:rPr>
              <w:t>-</w:t>
            </w:r>
            <w:r w:rsidRPr="002A7627">
              <w:rPr>
                <w:rFonts w:asciiTheme="majorBidi" w:hAnsiTheme="majorBidi" w:cstheme="majorBidi"/>
                <w:b/>
                <w:bCs/>
              </w:rPr>
              <w:t xml:space="preserve">Chief of </w:t>
            </w:r>
            <w:r w:rsidR="006507E7">
              <w:rPr>
                <w:rFonts w:asciiTheme="majorBidi" w:hAnsiTheme="majorBidi" w:cstheme="majorBidi"/>
                <w:b/>
                <w:bCs/>
              </w:rPr>
              <w:t>ADP</w:t>
            </w:r>
          </w:p>
        </w:tc>
        <w:tc>
          <w:tcPr>
            <w:tcW w:w="1276" w:type="dxa"/>
            <w:tcBorders>
              <w:top w:val="single" w:sz="4" w:space="0" w:color="auto"/>
              <w:left w:val="nil"/>
              <w:bottom w:val="nil"/>
              <w:right w:val="nil"/>
            </w:tcBorders>
            <w:shd w:val="clear" w:color="auto" w:fill="FFFFFF"/>
            <w:vAlign w:val="center"/>
          </w:tcPr>
          <w:p w14:paraId="4799CC32"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49</w:t>
            </w:r>
          </w:p>
        </w:tc>
        <w:tc>
          <w:tcPr>
            <w:tcW w:w="992" w:type="dxa"/>
            <w:tcBorders>
              <w:top w:val="single" w:sz="4" w:space="0" w:color="auto"/>
              <w:left w:val="nil"/>
              <w:bottom w:val="nil"/>
              <w:right w:val="nil"/>
            </w:tcBorders>
            <w:shd w:val="clear" w:color="auto" w:fill="FFFFFF"/>
            <w:vAlign w:val="center"/>
          </w:tcPr>
          <w:p w14:paraId="723B8190"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7.1</w:t>
            </w:r>
          </w:p>
        </w:tc>
        <w:tc>
          <w:tcPr>
            <w:tcW w:w="992" w:type="dxa"/>
            <w:tcBorders>
              <w:top w:val="single" w:sz="4" w:space="0" w:color="auto"/>
              <w:left w:val="nil"/>
              <w:bottom w:val="nil"/>
              <w:right w:val="nil"/>
            </w:tcBorders>
            <w:shd w:val="clear" w:color="auto" w:fill="FFFFFF"/>
            <w:vAlign w:val="center"/>
          </w:tcPr>
          <w:p w14:paraId="6FE664A0"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7.1</w:t>
            </w:r>
          </w:p>
        </w:tc>
        <w:tc>
          <w:tcPr>
            <w:tcW w:w="1559" w:type="dxa"/>
            <w:tcBorders>
              <w:top w:val="single" w:sz="4" w:space="0" w:color="auto"/>
              <w:left w:val="nil"/>
              <w:bottom w:val="nil"/>
              <w:right w:val="nil"/>
            </w:tcBorders>
            <w:shd w:val="clear" w:color="auto" w:fill="FFFFFF"/>
            <w:vAlign w:val="center"/>
          </w:tcPr>
          <w:p w14:paraId="74AF3CF1"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7.1</w:t>
            </w:r>
          </w:p>
        </w:tc>
      </w:tr>
      <w:tr w:rsidR="00EE53EB" w:rsidRPr="002A7627" w14:paraId="31D20844" w14:textId="77777777" w:rsidTr="0010785C">
        <w:trPr>
          <w:cantSplit/>
          <w:jc w:val="center"/>
        </w:trPr>
        <w:tc>
          <w:tcPr>
            <w:tcW w:w="40" w:type="dxa"/>
            <w:vMerge/>
            <w:tcBorders>
              <w:top w:val="nil"/>
              <w:left w:val="nil"/>
              <w:bottom w:val="nil"/>
              <w:right w:val="nil"/>
            </w:tcBorders>
            <w:shd w:val="clear" w:color="auto" w:fill="FFFFFF"/>
            <w:vAlign w:val="center"/>
          </w:tcPr>
          <w:p w14:paraId="052BFA25" w14:textId="77777777" w:rsidR="00EE53EB" w:rsidRPr="002A7627" w:rsidRDefault="00EE53EB" w:rsidP="00B05733">
            <w:pPr>
              <w:jc w:val="center"/>
              <w:rPr>
                <w:rFonts w:asciiTheme="majorBidi" w:hAnsiTheme="majorBidi" w:cstheme="majorBidi"/>
              </w:rPr>
            </w:pPr>
          </w:p>
        </w:tc>
        <w:tc>
          <w:tcPr>
            <w:tcW w:w="3646" w:type="dxa"/>
            <w:tcBorders>
              <w:top w:val="nil"/>
              <w:left w:val="nil"/>
              <w:bottom w:val="nil"/>
              <w:right w:val="nil"/>
            </w:tcBorders>
            <w:shd w:val="clear" w:color="auto" w:fill="FFFFFF"/>
            <w:vAlign w:val="center"/>
          </w:tcPr>
          <w:p w14:paraId="0327FDF7" w14:textId="77777777" w:rsidR="00EE53EB" w:rsidRPr="002A7627" w:rsidRDefault="00EE53EB" w:rsidP="00B05733">
            <w:pPr>
              <w:spacing w:line="276" w:lineRule="auto"/>
              <w:ind w:left="60" w:right="60"/>
              <w:rPr>
                <w:rFonts w:asciiTheme="majorBidi" w:hAnsiTheme="majorBidi" w:cstheme="majorBidi"/>
                <w:b/>
                <w:bCs/>
              </w:rPr>
            </w:pPr>
            <w:r w:rsidRPr="002A7627">
              <w:rPr>
                <w:rFonts w:asciiTheme="majorBidi" w:hAnsiTheme="majorBidi" w:cstheme="majorBidi"/>
                <w:b/>
                <w:bCs/>
              </w:rPr>
              <w:t>General Headquarters</w:t>
            </w:r>
          </w:p>
        </w:tc>
        <w:tc>
          <w:tcPr>
            <w:tcW w:w="1276" w:type="dxa"/>
            <w:tcBorders>
              <w:top w:val="nil"/>
              <w:left w:val="nil"/>
              <w:bottom w:val="nil"/>
              <w:right w:val="nil"/>
            </w:tcBorders>
            <w:shd w:val="clear" w:color="auto" w:fill="FFFFFF"/>
            <w:vAlign w:val="center"/>
          </w:tcPr>
          <w:p w14:paraId="3046B0C2"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93</w:t>
            </w:r>
          </w:p>
        </w:tc>
        <w:tc>
          <w:tcPr>
            <w:tcW w:w="992" w:type="dxa"/>
            <w:tcBorders>
              <w:top w:val="nil"/>
              <w:left w:val="nil"/>
              <w:bottom w:val="nil"/>
              <w:right w:val="nil"/>
            </w:tcBorders>
            <w:shd w:val="clear" w:color="auto" w:fill="FFFFFF"/>
            <w:vAlign w:val="center"/>
          </w:tcPr>
          <w:p w14:paraId="22F7CA5E"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13.4</w:t>
            </w:r>
          </w:p>
        </w:tc>
        <w:tc>
          <w:tcPr>
            <w:tcW w:w="992" w:type="dxa"/>
            <w:tcBorders>
              <w:top w:val="nil"/>
              <w:left w:val="nil"/>
              <w:bottom w:val="nil"/>
              <w:right w:val="nil"/>
            </w:tcBorders>
            <w:shd w:val="clear" w:color="auto" w:fill="FFFFFF"/>
            <w:vAlign w:val="center"/>
          </w:tcPr>
          <w:p w14:paraId="171B2B1A"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13.4</w:t>
            </w:r>
          </w:p>
        </w:tc>
        <w:tc>
          <w:tcPr>
            <w:tcW w:w="1559" w:type="dxa"/>
            <w:tcBorders>
              <w:top w:val="nil"/>
              <w:left w:val="nil"/>
              <w:bottom w:val="nil"/>
              <w:right w:val="nil"/>
            </w:tcBorders>
            <w:shd w:val="clear" w:color="auto" w:fill="FFFFFF"/>
            <w:vAlign w:val="center"/>
          </w:tcPr>
          <w:p w14:paraId="08514BB5"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20.5</w:t>
            </w:r>
          </w:p>
        </w:tc>
      </w:tr>
      <w:tr w:rsidR="00EE53EB" w:rsidRPr="002A7627" w14:paraId="0AFB4A1A" w14:textId="77777777" w:rsidTr="0010785C">
        <w:trPr>
          <w:cantSplit/>
          <w:jc w:val="center"/>
        </w:trPr>
        <w:tc>
          <w:tcPr>
            <w:tcW w:w="40" w:type="dxa"/>
            <w:vMerge/>
            <w:tcBorders>
              <w:top w:val="nil"/>
              <w:left w:val="nil"/>
              <w:bottom w:val="nil"/>
              <w:right w:val="nil"/>
            </w:tcBorders>
            <w:shd w:val="clear" w:color="auto" w:fill="FFFFFF"/>
            <w:vAlign w:val="center"/>
          </w:tcPr>
          <w:p w14:paraId="6193E44E" w14:textId="77777777" w:rsidR="00EE53EB" w:rsidRPr="002A7627" w:rsidRDefault="00EE53EB" w:rsidP="00B05733">
            <w:pPr>
              <w:jc w:val="center"/>
              <w:rPr>
                <w:rFonts w:asciiTheme="majorBidi" w:hAnsiTheme="majorBidi" w:cstheme="majorBidi"/>
              </w:rPr>
            </w:pPr>
          </w:p>
        </w:tc>
        <w:tc>
          <w:tcPr>
            <w:tcW w:w="3646" w:type="dxa"/>
            <w:tcBorders>
              <w:top w:val="nil"/>
              <w:left w:val="nil"/>
              <w:bottom w:val="nil"/>
              <w:right w:val="nil"/>
            </w:tcBorders>
            <w:shd w:val="clear" w:color="auto" w:fill="FFFFFF"/>
            <w:vAlign w:val="center"/>
          </w:tcPr>
          <w:p w14:paraId="01AA68BE" w14:textId="77777777" w:rsidR="00EE53EB" w:rsidRPr="002A7627" w:rsidRDefault="00EE53EB" w:rsidP="00B05733">
            <w:pPr>
              <w:spacing w:line="276" w:lineRule="auto"/>
              <w:ind w:left="60" w:right="60"/>
              <w:rPr>
                <w:rFonts w:asciiTheme="majorBidi" w:hAnsiTheme="majorBidi" w:cstheme="majorBidi"/>
                <w:b/>
                <w:bCs/>
              </w:rPr>
            </w:pPr>
            <w:r w:rsidRPr="002A7627">
              <w:rPr>
                <w:rFonts w:asciiTheme="majorBidi" w:hAnsiTheme="majorBidi" w:cstheme="majorBidi"/>
                <w:b/>
                <w:bCs/>
              </w:rPr>
              <w:t>Criminal Security Sector</w:t>
            </w:r>
          </w:p>
        </w:tc>
        <w:tc>
          <w:tcPr>
            <w:tcW w:w="1276" w:type="dxa"/>
            <w:tcBorders>
              <w:top w:val="nil"/>
              <w:left w:val="nil"/>
              <w:bottom w:val="nil"/>
              <w:right w:val="nil"/>
            </w:tcBorders>
            <w:shd w:val="clear" w:color="auto" w:fill="FFFFFF"/>
            <w:vAlign w:val="center"/>
          </w:tcPr>
          <w:p w14:paraId="018103CA"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176</w:t>
            </w:r>
          </w:p>
        </w:tc>
        <w:tc>
          <w:tcPr>
            <w:tcW w:w="992" w:type="dxa"/>
            <w:tcBorders>
              <w:top w:val="nil"/>
              <w:left w:val="nil"/>
              <w:bottom w:val="nil"/>
              <w:right w:val="nil"/>
            </w:tcBorders>
            <w:shd w:val="clear" w:color="auto" w:fill="FFFFFF"/>
            <w:vAlign w:val="center"/>
          </w:tcPr>
          <w:p w14:paraId="4D7B09CB"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25.4</w:t>
            </w:r>
          </w:p>
        </w:tc>
        <w:tc>
          <w:tcPr>
            <w:tcW w:w="992" w:type="dxa"/>
            <w:tcBorders>
              <w:top w:val="nil"/>
              <w:left w:val="nil"/>
              <w:bottom w:val="nil"/>
              <w:right w:val="nil"/>
            </w:tcBorders>
            <w:shd w:val="clear" w:color="auto" w:fill="FFFFFF"/>
            <w:vAlign w:val="center"/>
          </w:tcPr>
          <w:p w14:paraId="04337E12"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25.4</w:t>
            </w:r>
          </w:p>
        </w:tc>
        <w:tc>
          <w:tcPr>
            <w:tcW w:w="1559" w:type="dxa"/>
            <w:tcBorders>
              <w:top w:val="nil"/>
              <w:left w:val="nil"/>
              <w:bottom w:val="nil"/>
              <w:right w:val="nil"/>
            </w:tcBorders>
            <w:shd w:val="clear" w:color="auto" w:fill="FFFFFF"/>
            <w:vAlign w:val="center"/>
          </w:tcPr>
          <w:p w14:paraId="46782A4B"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45.9</w:t>
            </w:r>
          </w:p>
        </w:tc>
      </w:tr>
      <w:tr w:rsidR="00EE53EB" w:rsidRPr="002A7627" w14:paraId="3DCD2D97" w14:textId="77777777" w:rsidTr="0010785C">
        <w:trPr>
          <w:cantSplit/>
          <w:jc w:val="center"/>
        </w:trPr>
        <w:tc>
          <w:tcPr>
            <w:tcW w:w="40" w:type="dxa"/>
            <w:vMerge/>
            <w:tcBorders>
              <w:top w:val="nil"/>
              <w:left w:val="nil"/>
              <w:bottom w:val="nil"/>
              <w:right w:val="nil"/>
            </w:tcBorders>
            <w:shd w:val="clear" w:color="auto" w:fill="FFFFFF"/>
            <w:vAlign w:val="center"/>
          </w:tcPr>
          <w:p w14:paraId="65568C87" w14:textId="77777777" w:rsidR="00EE53EB" w:rsidRPr="002A7627" w:rsidRDefault="00EE53EB" w:rsidP="00B05733">
            <w:pPr>
              <w:jc w:val="center"/>
              <w:rPr>
                <w:rFonts w:asciiTheme="majorBidi" w:hAnsiTheme="majorBidi" w:cstheme="majorBidi"/>
              </w:rPr>
            </w:pPr>
          </w:p>
        </w:tc>
        <w:tc>
          <w:tcPr>
            <w:tcW w:w="3646" w:type="dxa"/>
            <w:tcBorders>
              <w:top w:val="nil"/>
              <w:left w:val="nil"/>
              <w:bottom w:val="nil"/>
              <w:right w:val="nil"/>
            </w:tcBorders>
            <w:shd w:val="clear" w:color="auto" w:fill="FFFFFF"/>
            <w:vAlign w:val="center"/>
          </w:tcPr>
          <w:p w14:paraId="445A0304" w14:textId="77777777" w:rsidR="00EE53EB" w:rsidRPr="002A7627" w:rsidRDefault="00EE53EB" w:rsidP="00B05733">
            <w:pPr>
              <w:spacing w:line="276" w:lineRule="auto"/>
              <w:ind w:left="60" w:right="60"/>
              <w:rPr>
                <w:rFonts w:asciiTheme="majorBidi" w:hAnsiTheme="majorBidi" w:cstheme="majorBidi"/>
                <w:b/>
                <w:bCs/>
              </w:rPr>
            </w:pPr>
            <w:r w:rsidRPr="002A7627">
              <w:rPr>
                <w:rFonts w:asciiTheme="majorBidi" w:hAnsiTheme="majorBidi" w:cstheme="majorBidi"/>
                <w:b/>
                <w:bCs/>
              </w:rPr>
              <w:t>Security and Ports Sector</w:t>
            </w:r>
          </w:p>
        </w:tc>
        <w:tc>
          <w:tcPr>
            <w:tcW w:w="1276" w:type="dxa"/>
            <w:tcBorders>
              <w:top w:val="nil"/>
              <w:left w:val="nil"/>
              <w:bottom w:val="nil"/>
              <w:right w:val="nil"/>
            </w:tcBorders>
            <w:shd w:val="clear" w:color="auto" w:fill="FFFFFF"/>
            <w:vAlign w:val="center"/>
          </w:tcPr>
          <w:p w14:paraId="4C32807A"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83</w:t>
            </w:r>
          </w:p>
        </w:tc>
        <w:tc>
          <w:tcPr>
            <w:tcW w:w="992" w:type="dxa"/>
            <w:tcBorders>
              <w:top w:val="nil"/>
              <w:left w:val="nil"/>
              <w:bottom w:val="nil"/>
              <w:right w:val="nil"/>
            </w:tcBorders>
            <w:shd w:val="clear" w:color="auto" w:fill="FFFFFF"/>
            <w:vAlign w:val="center"/>
          </w:tcPr>
          <w:p w14:paraId="4877A1DC"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12.0</w:t>
            </w:r>
          </w:p>
        </w:tc>
        <w:tc>
          <w:tcPr>
            <w:tcW w:w="992" w:type="dxa"/>
            <w:tcBorders>
              <w:top w:val="nil"/>
              <w:left w:val="nil"/>
              <w:bottom w:val="nil"/>
              <w:right w:val="nil"/>
            </w:tcBorders>
            <w:shd w:val="clear" w:color="auto" w:fill="FFFFFF"/>
            <w:vAlign w:val="center"/>
          </w:tcPr>
          <w:p w14:paraId="30895116"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12.0</w:t>
            </w:r>
          </w:p>
        </w:tc>
        <w:tc>
          <w:tcPr>
            <w:tcW w:w="1559" w:type="dxa"/>
            <w:tcBorders>
              <w:top w:val="nil"/>
              <w:left w:val="nil"/>
              <w:bottom w:val="nil"/>
              <w:right w:val="nil"/>
            </w:tcBorders>
            <w:shd w:val="clear" w:color="auto" w:fill="FFFFFF"/>
            <w:vAlign w:val="center"/>
          </w:tcPr>
          <w:p w14:paraId="1EF87C81"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57.9</w:t>
            </w:r>
          </w:p>
        </w:tc>
      </w:tr>
      <w:tr w:rsidR="00EE53EB" w:rsidRPr="002A7627" w14:paraId="1F2C54A1" w14:textId="77777777" w:rsidTr="0010785C">
        <w:trPr>
          <w:cantSplit/>
          <w:jc w:val="center"/>
        </w:trPr>
        <w:tc>
          <w:tcPr>
            <w:tcW w:w="40" w:type="dxa"/>
            <w:vMerge/>
            <w:tcBorders>
              <w:top w:val="nil"/>
              <w:left w:val="nil"/>
              <w:bottom w:val="nil"/>
              <w:right w:val="nil"/>
            </w:tcBorders>
            <w:shd w:val="clear" w:color="auto" w:fill="FFFFFF"/>
            <w:vAlign w:val="center"/>
          </w:tcPr>
          <w:p w14:paraId="035AD3B3" w14:textId="77777777" w:rsidR="00EE53EB" w:rsidRPr="002A7627" w:rsidRDefault="00EE53EB" w:rsidP="00B05733">
            <w:pPr>
              <w:jc w:val="center"/>
              <w:rPr>
                <w:rFonts w:asciiTheme="majorBidi" w:hAnsiTheme="majorBidi" w:cstheme="majorBidi"/>
              </w:rPr>
            </w:pPr>
          </w:p>
        </w:tc>
        <w:tc>
          <w:tcPr>
            <w:tcW w:w="3646" w:type="dxa"/>
            <w:tcBorders>
              <w:top w:val="nil"/>
              <w:left w:val="nil"/>
              <w:bottom w:val="nil"/>
              <w:right w:val="nil"/>
            </w:tcBorders>
            <w:shd w:val="clear" w:color="auto" w:fill="FFFFFF"/>
            <w:vAlign w:val="center"/>
          </w:tcPr>
          <w:p w14:paraId="4E782556" w14:textId="77777777" w:rsidR="00EE53EB" w:rsidRPr="002A7627" w:rsidRDefault="00EE53EB" w:rsidP="00B05733">
            <w:pPr>
              <w:spacing w:line="276" w:lineRule="auto"/>
              <w:ind w:left="60" w:right="60"/>
              <w:rPr>
                <w:rFonts w:asciiTheme="majorBidi" w:hAnsiTheme="majorBidi" w:cstheme="majorBidi"/>
                <w:b/>
                <w:bCs/>
              </w:rPr>
            </w:pPr>
            <w:r w:rsidRPr="002A7627">
              <w:rPr>
                <w:rFonts w:asciiTheme="majorBidi" w:hAnsiTheme="majorBidi" w:cstheme="majorBidi"/>
                <w:b/>
                <w:bCs/>
              </w:rPr>
              <w:t>Special Tasks Sector</w:t>
            </w:r>
          </w:p>
        </w:tc>
        <w:tc>
          <w:tcPr>
            <w:tcW w:w="1276" w:type="dxa"/>
            <w:tcBorders>
              <w:top w:val="nil"/>
              <w:left w:val="nil"/>
              <w:bottom w:val="nil"/>
              <w:right w:val="nil"/>
            </w:tcBorders>
            <w:shd w:val="clear" w:color="auto" w:fill="FFFFFF"/>
            <w:vAlign w:val="center"/>
          </w:tcPr>
          <w:p w14:paraId="723D2DA1"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20</w:t>
            </w:r>
          </w:p>
        </w:tc>
        <w:tc>
          <w:tcPr>
            <w:tcW w:w="992" w:type="dxa"/>
            <w:tcBorders>
              <w:top w:val="nil"/>
              <w:left w:val="nil"/>
              <w:bottom w:val="nil"/>
              <w:right w:val="nil"/>
            </w:tcBorders>
            <w:shd w:val="clear" w:color="auto" w:fill="FFFFFF"/>
            <w:vAlign w:val="center"/>
          </w:tcPr>
          <w:p w14:paraId="300C6E14"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2.9</w:t>
            </w:r>
          </w:p>
        </w:tc>
        <w:tc>
          <w:tcPr>
            <w:tcW w:w="992" w:type="dxa"/>
            <w:tcBorders>
              <w:top w:val="nil"/>
              <w:left w:val="nil"/>
              <w:bottom w:val="nil"/>
              <w:right w:val="nil"/>
            </w:tcBorders>
            <w:shd w:val="clear" w:color="auto" w:fill="FFFFFF"/>
            <w:vAlign w:val="center"/>
          </w:tcPr>
          <w:p w14:paraId="67E7C104"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2.9</w:t>
            </w:r>
          </w:p>
        </w:tc>
        <w:tc>
          <w:tcPr>
            <w:tcW w:w="1559" w:type="dxa"/>
            <w:tcBorders>
              <w:top w:val="nil"/>
              <w:left w:val="nil"/>
              <w:bottom w:val="nil"/>
              <w:right w:val="nil"/>
            </w:tcBorders>
            <w:shd w:val="clear" w:color="auto" w:fill="FFFFFF"/>
            <w:vAlign w:val="center"/>
          </w:tcPr>
          <w:p w14:paraId="40E4A8CB"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60.8</w:t>
            </w:r>
          </w:p>
        </w:tc>
      </w:tr>
      <w:tr w:rsidR="00EE53EB" w:rsidRPr="002A7627" w14:paraId="69C981BB" w14:textId="77777777" w:rsidTr="0010785C">
        <w:trPr>
          <w:cantSplit/>
          <w:jc w:val="center"/>
        </w:trPr>
        <w:tc>
          <w:tcPr>
            <w:tcW w:w="40" w:type="dxa"/>
            <w:vMerge/>
            <w:tcBorders>
              <w:top w:val="nil"/>
              <w:left w:val="nil"/>
              <w:bottom w:val="nil"/>
              <w:right w:val="nil"/>
            </w:tcBorders>
            <w:shd w:val="clear" w:color="auto" w:fill="FFFFFF"/>
            <w:vAlign w:val="center"/>
          </w:tcPr>
          <w:p w14:paraId="02B77903" w14:textId="77777777" w:rsidR="00EE53EB" w:rsidRPr="002A7627" w:rsidRDefault="00EE53EB" w:rsidP="00B05733">
            <w:pPr>
              <w:jc w:val="center"/>
              <w:rPr>
                <w:rFonts w:asciiTheme="majorBidi" w:hAnsiTheme="majorBidi" w:cstheme="majorBidi"/>
              </w:rPr>
            </w:pPr>
          </w:p>
        </w:tc>
        <w:tc>
          <w:tcPr>
            <w:tcW w:w="3646" w:type="dxa"/>
            <w:tcBorders>
              <w:top w:val="nil"/>
              <w:left w:val="nil"/>
              <w:bottom w:val="nil"/>
              <w:right w:val="nil"/>
            </w:tcBorders>
            <w:shd w:val="clear" w:color="auto" w:fill="FFFFFF"/>
            <w:vAlign w:val="center"/>
          </w:tcPr>
          <w:p w14:paraId="53AA175E" w14:textId="77777777" w:rsidR="00EE53EB" w:rsidRPr="002A7627" w:rsidRDefault="00EE53EB" w:rsidP="00B05733">
            <w:pPr>
              <w:spacing w:line="276" w:lineRule="auto"/>
              <w:ind w:left="60" w:right="60"/>
              <w:rPr>
                <w:rFonts w:asciiTheme="majorBidi" w:hAnsiTheme="majorBidi" w:cstheme="majorBidi"/>
                <w:b/>
                <w:bCs/>
              </w:rPr>
            </w:pPr>
            <w:r w:rsidRPr="002A7627">
              <w:rPr>
                <w:rFonts w:asciiTheme="majorBidi" w:hAnsiTheme="majorBidi" w:cstheme="majorBidi"/>
                <w:b/>
                <w:bCs/>
              </w:rPr>
              <w:t>Finance and Service Sector</w:t>
            </w:r>
          </w:p>
        </w:tc>
        <w:tc>
          <w:tcPr>
            <w:tcW w:w="1276" w:type="dxa"/>
            <w:tcBorders>
              <w:top w:val="nil"/>
              <w:left w:val="nil"/>
              <w:bottom w:val="nil"/>
              <w:right w:val="nil"/>
            </w:tcBorders>
            <w:shd w:val="clear" w:color="auto" w:fill="FFFFFF"/>
            <w:vAlign w:val="center"/>
          </w:tcPr>
          <w:p w14:paraId="3F4F6298"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68</w:t>
            </w:r>
          </w:p>
        </w:tc>
        <w:tc>
          <w:tcPr>
            <w:tcW w:w="992" w:type="dxa"/>
            <w:tcBorders>
              <w:top w:val="nil"/>
              <w:left w:val="nil"/>
              <w:bottom w:val="nil"/>
              <w:right w:val="nil"/>
            </w:tcBorders>
            <w:shd w:val="clear" w:color="auto" w:fill="FFFFFF"/>
            <w:vAlign w:val="center"/>
          </w:tcPr>
          <w:p w14:paraId="63862BD8"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9.8</w:t>
            </w:r>
          </w:p>
        </w:tc>
        <w:tc>
          <w:tcPr>
            <w:tcW w:w="992" w:type="dxa"/>
            <w:tcBorders>
              <w:top w:val="nil"/>
              <w:left w:val="nil"/>
              <w:bottom w:val="nil"/>
              <w:right w:val="nil"/>
            </w:tcBorders>
            <w:shd w:val="clear" w:color="auto" w:fill="FFFFFF"/>
            <w:vAlign w:val="center"/>
          </w:tcPr>
          <w:p w14:paraId="2D4CFA60"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9.8</w:t>
            </w:r>
          </w:p>
        </w:tc>
        <w:tc>
          <w:tcPr>
            <w:tcW w:w="1559" w:type="dxa"/>
            <w:tcBorders>
              <w:top w:val="nil"/>
              <w:left w:val="nil"/>
              <w:bottom w:val="nil"/>
              <w:right w:val="nil"/>
            </w:tcBorders>
            <w:shd w:val="clear" w:color="auto" w:fill="FFFFFF"/>
            <w:vAlign w:val="center"/>
          </w:tcPr>
          <w:p w14:paraId="7D2E06D8"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70.6</w:t>
            </w:r>
          </w:p>
        </w:tc>
      </w:tr>
      <w:tr w:rsidR="00EE53EB" w:rsidRPr="002A7627" w14:paraId="2492C0AE" w14:textId="77777777" w:rsidTr="0010785C">
        <w:trPr>
          <w:cantSplit/>
          <w:jc w:val="center"/>
        </w:trPr>
        <w:tc>
          <w:tcPr>
            <w:tcW w:w="40" w:type="dxa"/>
            <w:vMerge/>
            <w:tcBorders>
              <w:top w:val="nil"/>
              <w:left w:val="nil"/>
              <w:bottom w:val="nil"/>
              <w:right w:val="nil"/>
            </w:tcBorders>
            <w:shd w:val="clear" w:color="auto" w:fill="FFFFFF"/>
            <w:vAlign w:val="center"/>
          </w:tcPr>
          <w:p w14:paraId="7282C71C" w14:textId="77777777" w:rsidR="00EE53EB" w:rsidRPr="002A7627" w:rsidRDefault="00EE53EB" w:rsidP="00B05733">
            <w:pPr>
              <w:jc w:val="center"/>
              <w:rPr>
                <w:rFonts w:asciiTheme="majorBidi" w:hAnsiTheme="majorBidi" w:cstheme="majorBidi"/>
              </w:rPr>
            </w:pPr>
          </w:p>
        </w:tc>
        <w:tc>
          <w:tcPr>
            <w:tcW w:w="3646" w:type="dxa"/>
            <w:tcBorders>
              <w:top w:val="nil"/>
              <w:left w:val="nil"/>
              <w:bottom w:val="nil"/>
              <w:right w:val="nil"/>
            </w:tcBorders>
            <w:shd w:val="clear" w:color="auto" w:fill="FFFFFF"/>
            <w:vAlign w:val="center"/>
          </w:tcPr>
          <w:p w14:paraId="1E1D77C2" w14:textId="77777777" w:rsidR="00EE53EB" w:rsidRPr="002A7627" w:rsidRDefault="00EE53EB" w:rsidP="00B05733">
            <w:pPr>
              <w:spacing w:line="276" w:lineRule="auto"/>
              <w:ind w:left="60" w:right="60"/>
              <w:rPr>
                <w:rFonts w:asciiTheme="majorBidi" w:hAnsiTheme="majorBidi" w:cstheme="majorBidi"/>
                <w:b/>
                <w:bCs/>
              </w:rPr>
            </w:pPr>
            <w:r w:rsidRPr="002A7627">
              <w:rPr>
                <w:rFonts w:asciiTheme="majorBidi" w:hAnsiTheme="majorBidi" w:cstheme="majorBidi"/>
                <w:b/>
                <w:bCs/>
              </w:rPr>
              <w:t>Central Operation Sector</w:t>
            </w:r>
          </w:p>
        </w:tc>
        <w:tc>
          <w:tcPr>
            <w:tcW w:w="1276" w:type="dxa"/>
            <w:tcBorders>
              <w:top w:val="nil"/>
              <w:left w:val="nil"/>
              <w:bottom w:val="nil"/>
              <w:right w:val="nil"/>
            </w:tcBorders>
            <w:shd w:val="clear" w:color="auto" w:fill="FFFFFF"/>
            <w:vAlign w:val="center"/>
          </w:tcPr>
          <w:p w14:paraId="6B88073E"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90</w:t>
            </w:r>
          </w:p>
        </w:tc>
        <w:tc>
          <w:tcPr>
            <w:tcW w:w="992" w:type="dxa"/>
            <w:tcBorders>
              <w:top w:val="nil"/>
              <w:left w:val="nil"/>
              <w:bottom w:val="nil"/>
              <w:right w:val="nil"/>
            </w:tcBorders>
            <w:shd w:val="clear" w:color="auto" w:fill="FFFFFF"/>
            <w:vAlign w:val="center"/>
          </w:tcPr>
          <w:p w14:paraId="5C8AD773"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13.0</w:t>
            </w:r>
          </w:p>
        </w:tc>
        <w:tc>
          <w:tcPr>
            <w:tcW w:w="992" w:type="dxa"/>
            <w:tcBorders>
              <w:top w:val="nil"/>
              <w:left w:val="nil"/>
              <w:bottom w:val="nil"/>
              <w:right w:val="nil"/>
            </w:tcBorders>
            <w:shd w:val="clear" w:color="auto" w:fill="FFFFFF"/>
            <w:vAlign w:val="center"/>
          </w:tcPr>
          <w:p w14:paraId="55782F6B"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13.0</w:t>
            </w:r>
          </w:p>
        </w:tc>
        <w:tc>
          <w:tcPr>
            <w:tcW w:w="1559" w:type="dxa"/>
            <w:tcBorders>
              <w:top w:val="nil"/>
              <w:left w:val="nil"/>
              <w:bottom w:val="nil"/>
              <w:right w:val="nil"/>
            </w:tcBorders>
            <w:shd w:val="clear" w:color="auto" w:fill="FFFFFF"/>
            <w:vAlign w:val="center"/>
          </w:tcPr>
          <w:p w14:paraId="7EBFF123"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83.5</w:t>
            </w:r>
          </w:p>
        </w:tc>
      </w:tr>
      <w:tr w:rsidR="00EE53EB" w:rsidRPr="002A7627" w14:paraId="3F4DDA5F" w14:textId="77777777" w:rsidTr="0010785C">
        <w:trPr>
          <w:cantSplit/>
          <w:jc w:val="center"/>
        </w:trPr>
        <w:tc>
          <w:tcPr>
            <w:tcW w:w="40" w:type="dxa"/>
            <w:vMerge/>
            <w:tcBorders>
              <w:top w:val="nil"/>
              <w:left w:val="nil"/>
              <w:bottom w:val="nil"/>
              <w:right w:val="nil"/>
            </w:tcBorders>
            <w:shd w:val="clear" w:color="auto" w:fill="FFFFFF"/>
            <w:vAlign w:val="center"/>
          </w:tcPr>
          <w:p w14:paraId="2CF69B85" w14:textId="77777777" w:rsidR="00EE53EB" w:rsidRPr="002A7627" w:rsidRDefault="00EE53EB" w:rsidP="00B05733">
            <w:pPr>
              <w:jc w:val="center"/>
              <w:rPr>
                <w:rFonts w:asciiTheme="majorBidi" w:hAnsiTheme="majorBidi" w:cstheme="majorBidi"/>
              </w:rPr>
            </w:pPr>
          </w:p>
        </w:tc>
        <w:tc>
          <w:tcPr>
            <w:tcW w:w="3646" w:type="dxa"/>
            <w:tcBorders>
              <w:top w:val="nil"/>
              <w:left w:val="nil"/>
              <w:bottom w:val="nil"/>
              <w:right w:val="nil"/>
            </w:tcBorders>
            <w:shd w:val="clear" w:color="auto" w:fill="FFFFFF"/>
            <w:vAlign w:val="center"/>
          </w:tcPr>
          <w:p w14:paraId="0BB8FBA9" w14:textId="77777777" w:rsidR="00EE53EB" w:rsidRPr="002A7627" w:rsidRDefault="00EE53EB" w:rsidP="00B05733">
            <w:pPr>
              <w:spacing w:line="276" w:lineRule="auto"/>
              <w:ind w:left="60" w:right="60"/>
              <w:rPr>
                <w:rFonts w:asciiTheme="majorBidi" w:hAnsiTheme="majorBidi" w:cstheme="majorBidi"/>
                <w:b/>
                <w:bCs/>
              </w:rPr>
            </w:pPr>
            <w:r w:rsidRPr="002A7627">
              <w:rPr>
                <w:rFonts w:asciiTheme="majorBidi" w:hAnsiTheme="majorBidi" w:cstheme="majorBidi"/>
                <w:b/>
                <w:bCs/>
              </w:rPr>
              <w:t>Community Security Sector</w:t>
            </w:r>
          </w:p>
        </w:tc>
        <w:tc>
          <w:tcPr>
            <w:tcW w:w="1276" w:type="dxa"/>
            <w:tcBorders>
              <w:top w:val="nil"/>
              <w:left w:val="nil"/>
              <w:bottom w:val="nil"/>
              <w:right w:val="nil"/>
            </w:tcBorders>
            <w:shd w:val="clear" w:color="auto" w:fill="FFFFFF"/>
            <w:vAlign w:val="center"/>
          </w:tcPr>
          <w:p w14:paraId="529B3AAA"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50</w:t>
            </w:r>
          </w:p>
        </w:tc>
        <w:tc>
          <w:tcPr>
            <w:tcW w:w="992" w:type="dxa"/>
            <w:tcBorders>
              <w:top w:val="nil"/>
              <w:left w:val="nil"/>
              <w:bottom w:val="nil"/>
              <w:right w:val="nil"/>
            </w:tcBorders>
            <w:shd w:val="clear" w:color="auto" w:fill="FFFFFF"/>
            <w:vAlign w:val="center"/>
          </w:tcPr>
          <w:p w14:paraId="28267569"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7.2</w:t>
            </w:r>
          </w:p>
        </w:tc>
        <w:tc>
          <w:tcPr>
            <w:tcW w:w="992" w:type="dxa"/>
            <w:tcBorders>
              <w:top w:val="nil"/>
              <w:left w:val="nil"/>
              <w:bottom w:val="nil"/>
              <w:right w:val="nil"/>
            </w:tcBorders>
            <w:shd w:val="clear" w:color="auto" w:fill="FFFFFF"/>
            <w:vAlign w:val="center"/>
          </w:tcPr>
          <w:p w14:paraId="6672F4F7"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7.2</w:t>
            </w:r>
          </w:p>
        </w:tc>
        <w:tc>
          <w:tcPr>
            <w:tcW w:w="1559" w:type="dxa"/>
            <w:tcBorders>
              <w:top w:val="nil"/>
              <w:left w:val="nil"/>
              <w:bottom w:val="nil"/>
              <w:right w:val="nil"/>
            </w:tcBorders>
            <w:shd w:val="clear" w:color="auto" w:fill="FFFFFF"/>
            <w:vAlign w:val="center"/>
          </w:tcPr>
          <w:p w14:paraId="632C8DEE"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90.8</w:t>
            </w:r>
          </w:p>
        </w:tc>
      </w:tr>
      <w:tr w:rsidR="00EE53EB" w:rsidRPr="002A7627" w14:paraId="3643F7C8" w14:textId="77777777" w:rsidTr="0010785C">
        <w:trPr>
          <w:cantSplit/>
          <w:jc w:val="center"/>
        </w:trPr>
        <w:tc>
          <w:tcPr>
            <w:tcW w:w="40" w:type="dxa"/>
            <w:vMerge/>
            <w:tcBorders>
              <w:top w:val="nil"/>
              <w:left w:val="nil"/>
              <w:bottom w:val="nil"/>
              <w:right w:val="nil"/>
            </w:tcBorders>
            <w:shd w:val="clear" w:color="auto" w:fill="FFFFFF"/>
            <w:vAlign w:val="center"/>
          </w:tcPr>
          <w:p w14:paraId="28BF5278" w14:textId="77777777" w:rsidR="00EE53EB" w:rsidRPr="002A7627" w:rsidRDefault="00EE53EB" w:rsidP="00B05733">
            <w:pPr>
              <w:jc w:val="center"/>
              <w:rPr>
                <w:rFonts w:asciiTheme="majorBidi" w:hAnsiTheme="majorBidi" w:cstheme="majorBidi"/>
              </w:rPr>
            </w:pPr>
          </w:p>
        </w:tc>
        <w:tc>
          <w:tcPr>
            <w:tcW w:w="3646" w:type="dxa"/>
            <w:tcBorders>
              <w:top w:val="nil"/>
              <w:left w:val="nil"/>
              <w:bottom w:val="nil"/>
              <w:right w:val="nil"/>
            </w:tcBorders>
            <w:shd w:val="clear" w:color="auto" w:fill="FFFFFF"/>
            <w:vAlign w:val="center"/>
          </w:tcPr>
          <w:p w14:paraId="4ECB84E8" w14:textId="77777777" w:rsidR="00EE53EB" w:rsidRPr="002A7627" w:rsidRDefault="00EE53EB" w:rsidP="00B05733">
            <w:pPr>
              <w:spacing w:line="276" w:lineRule="auto"/>
              <w:ind w:left="60" w:right="60"/>
              <w:rPr>
                <w:rFonts w:asciiTheme="majorBidi" w:hAnsiTheme="majorBidi" w:cstheme="majorBidi"/>
                <w:b/>
                <w:bCs/>
              </w:rPr>
            </w:pPr>
            <w:r w:rsidRPr="002A7627">
              <w:rPr>
                <w:rFonts w:asciiTheme="majorBidi" w:hAnsiTheme="majorBidi" w:cstheme="majorBidi"/>
                <w:b/>
                <w:bCs/>
              </w:rPr>
              <w:t>HR Sector</w:t>
            </w:r>
          </w:p>
        </w:tc>
        <w:tc>
          <w:tcPr>
            <w:tcW w:w="1276" w:type="dxa"/>
            <w:tcBorders>
              <w:top w:val="nil"/>
              <w:left w:val="nil"/>
              <w:bottom w:val="nil"/>
              <w:right w:val="nil"/>
            </w:tcBorders>
            <w:shd w:val="clear" w:color="auto" w:fill="FFFFFF"/>
            <w:vAlign w:val="center"/>
          </w:tcPr>
          <w:p w14:paraId="70B6A4C6"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64</w:t>
            </w:r>
          </w:p>
        </w:tc>
        <w:tc>
          <w:tcPr>
            <w:tcW w:w="992" w:type="dxa"/>
            <w:tcBorders>
              <w:top w:val="nil"/>
              <w:left w:val="nil"/>
              <w:bottom w:val="nil"/>
              <w:right w:val="nil"/>
            </w:tcBorders>
            <w:shd w:val="clear" w:color="auto" w:fill="FFFFFF"/>
            <w:vAlign w:val="center"/>
          </w:tcPr>
          <w:p w14:paraId="29DC40BC"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9.2</w:t>
            </w:r>
          </w:p>
        </w:tc>
        <w:tc>
          <w:tcPr>
            <w:tcW w:w="992" w:type="dxa"/>
            <w:tcBorders>
              <w:top w:val="nil"/>
              <w:left w:val="nil"/>
              <w:bottom w:val="nil"/>
              <w:right w:val="nil"/>
            </w:tcBorders>
            <w:shd w:val="clear" w:color="auto" w:fill="FFFFFF"/>
            <w:vAlign w:val="center"/>
          </w:tcPr>
          <w:p w14:paraId="01AC2911"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9.2</w:t>
            </w:r>
          </w:p>
        </w:tc>
        <w:tc>
          <w:tcPr>
            <w:tcW w:w="1559" w:type="dxa"/>
            <w:tcBorders>
              <w:top w:val="nil"/>
              <w:left w:val="nil"/>
              <w:bottom w:val="nil"/>
              <w:right w:val="nil"/>
            </w:tcBorders>
            <w:shd w:val="clear" w:color="auto" w:fill="FFFFFF"/>
            <w:vAlign w:val="center"/>
          </w:tcPr>
          <w:p w14:paraId="44B03091" w14:textId="77777777" w:rsidR="00EE53EB" w:rsidRPr="002A7627" w:rsidRDefault="00EE53EB" w:rsidP="00B05733">
            <w:pPr>
              <w:spacing w:line="276" w:lineRule="auto"/>
              <w:ind w:left="60" w:right="60"/>
              <w:jc w:val="center"/>
              <w:rPr>
                <w:rFonts w:asciiTheme="majorBidi" w:hAnsiTheme="majorBidi" w:cstheme="majorBidi"/>
              </w:rPr>
            </w:pPr>
            <w:r w:rsidRPr="002A7627">
              <w:rPr>
                <w:rFonts w:asciiTheme="majorBidi" w:hAnsiTheme="majorBidi" w:cstheme="majorBidi"/>
              </w:rPr>
              <w:t>100.0</w:t>
            </w:r>
          </w:p>
        </w:tc>
      </w:tr>
      <w:tr w:rsidR="00EE53EB" w:rsidRPr="002A7627" w14:paraId="7262E2B9" w14:textId="77777777" w:rsidTr="0010785C">
        <w:trPr>
          <w:cantSplit/>
          <w:jc w:val="center"/>
        </w:trPr>
        <w:tc>
          <w:tcPr>
            <w:tcW w:w="40" w:type="dxa"/>
            <w:vMerge/>
            <w:tcBorders>
              <w:top w:val="nil"/>
              <w:left w:val="nil"/>
              <w:bottom w:val="nil"/>
              <w:right w:val="nil"/>
            </w:tcBorders>
            <w:shd w:val="clear" w:color="auto" w:fill="FFFFFF"/>
            <w:vAlign w:val="center"/>
          </w:tcPr>
          <w:p w14:paraId="68857A9C" w14:textId="77777777" w:rsidR="00EE53EB" w:rsidRPr="002A7627" w:rsidRDefault="00EE53EB" w:rsidP="00B05733">
            <w:pPr>
              <w:jc w:val="center"/>
              <w:rPr>
                <w:rFonts w:asciiTheme="majorBidi" w:hAnsiTheme="majorBidi" w:cstheme="majorBidi"/>
              </w:rPr>
            </w:pPr>
          </w:p>
        </w:tc>
        <w:tc>
          <w:tcPr>
            <w:tcW w:w="3646" w:type="dxa"/>
            <w:tcBorders>
              <w:top w:val="nil"/>
              <w:left w:val="nil"/>
              <w:bottom w:val="single" w:sz="4" w:space="0" w:color="auto"/>
              <w:right w:val="nil"/>
            </w:tcBorders>
            <w:shd w:val="clear" w:color="auto" w:fill="FFFFFF"/>
            <w:vAlign w:val="center"/>
          </w:tcPr>
          <w:p w14:paraId="63BDB366" w14:textId="77777777" w:rsidR="00EE53EB" w:rsidRPr="002A7627" w:rsidRDefault="00EE53EB" w:rsidP="00B05733">
            <w:pPr>
              <w:spacing w:line="276" w:lineRule="auto"/>
              <w:ind w:left="60" w:right="60"/>
              <w:rPr>
                <w:rFonts w:asciiTheme="majorBidi" w:hAnsiTheme="majorBidi" w:cstheme="majorBidi"/>
                <w:b/>
                <w:bCs/>
              </w:rPr>
            </w:pPr>
            <w:r w:rsidRPr="002A7627">
              <w:rPr>
                <w:rFonts w:asciiTheme="majorBidi" w:hAnsiTheme="majorBidi" w:cstheme="majorBidi"/>
                <w:b/>
                <w:bCs/>
              </w:rPr>
              <w:t>Total</w:t>
            </w:r>
          </w:p>
        </w:tc>
        <w:tc>
          <w:tcPr>
            <w:tcW w:w="1276" w:type="dxa"/>
            <w:tcBorders>
              <w:top w:val="nil"/>
              <w:left w:val="nil"/>
              <w:bottom w:val="single" w:sz="4" w:space="0" w:color="auto"/>
              <w:right w:val="nil"/>
            </w:tcBorders>
            <w:shd w:val="clear" w:color="auto" w:fill="FFFFFF"/>
            <w:vAlign w:val="center"/>
          </w:tcPr>
          <w:p w14:paraId="7F982C23" w14:textId="77777777" w:rsidR="00EE53EB" w:rsidRPr="002A7627" w:rsidRDefault="00EE53EB" w:rsidP="00B05733">
            <w:pPr>
              <w:spacing w:line="276" w:lineRule="auto"/>
              <w:ind w:left="60" w:right="60"/>
              <w:jc w:val="center"/>
              <w:rPr>
                <w:rFonts w:asciiTheme="majorBidi" w:hAnsiTheme="majorBidi" w:cstheme="majorBidi"/>
                <w:b/>
                <w:bCs/>
              </w:rPr>
            </w:pPr>
            <w:r w:rsidRPr="002A7627">
              <w:rPr>
                <w:rFonts w:asciiTheme="majorBidi" w:hAnsiTheme="majorBidi" w:cstheme="majorBidi"/>
                <w:b/>
                <w:bCs/>
              </w:rPr>
              <w:t>693</w:t>
            </w:r>
          </w:p>
        </w:tc>
        <w:tc>
          <w:tcPr>
            <w:tcW w:w="992" w:type="dxa"/>
            <w:tcBorders>
              <w:top w:val="nil"/>
              <w:left w:val="nil"/>
              <w:bottom w:val="single" w:sz="4" w:space="0" w:color="auto"/>
              <w:right w:val="nil"/>
            </w:tcBorders>
            <w:shd w:val="clear" w:color="auto" w:fill="FFFFFF"/>
            <w:vAlign w:val="center"/>
          </w:tcPr>
          <w:p w14:paraId="0BE243FD" w14:textId="77777777" w:rsidR="00EE53EB" w:rsidRPr="002A7627" w:rsidRDefault="00EE53EB" w:rsidP="00B05733">
            <w:pPr>
              <w:spacing w:line="276" w:lineRule="auto"/>
              <w:ind w:left="60" w:right="60"/>
              <w:jc w:val="center"/>
              <w:rPr>
                <w:rFonts w:asciiTheme="majorBidi" w:hAnsiTheme="majorBidi" w:cstheme="majorBidi"/>
                <w:b/>
                <w:bCs/>
              </w:rPr>
            </w:pPr>
            <w:r w:rsidRPr="002A7627">
              <w:rPr>
                <w:rFonts w:asciiTheme="majorBidi" w:hAnsiTheme="majorBidi" w:cstheme="majorBidi"/>
                <w:b/>
                <w:bCs/>
              </w:rPr>
              <w:t>100.0</w:t>
            </w:r>
          </w:p>
        </w:tc>
        <w:tc>
          <w:tcPr>
            <w:tcW w:w="992" w:type="dxa"/>
            <w:tcBorders>
              <w:top w:val="nil"/>
              <w:left w:val="nil"/>
              <w:bottom w:val="single" w:sz="4" w:space="0" w:color="auto"/>
              <w:right w:val="nil"/>
            </w:tcBorders>
            <w:shd w:val="clear" w:color="auto" w:fill="FFFFFF"/>
            <w:vAlign w:val="center"/>
          </w:tcPr>
          <w:p w14:paraId="0256EB66" w14:textId="77777777" w:rsidR="00EE53EB" w:rsidRPr="002A7627" w:rsidRDefault="00EE53EB" w:rsidP="00B05733">
            <w:pPr>
              <w:spacing w:line="276" w:lineRule="auto"/>
              <w:ind w:left="60" w:right="60"/>
              <w:jc w:val="center"/>
              <w:rPr>
                <w:rFonts w:asciiTheme="majorBidi" w:hAnsiTheme="majorBidi" w:cstheme="majorBidi"/>
                <w:b/>
                <w:bCs/>
              </w:rPr>
            </w:pPr>
            <w:r w:rsidRPr="002A7627">
              <w:rPr>
                <w:rFonts w:asciiTheme="majorBidi" w:hAnsiTheme="majorBidi" w:cstheme="majorBidi"/>
                <w:b/>
                <w:bCs/>
              </w:rPr>
              <w:t>100.0</w:t>
            </w:r>
          </w:p>
        </w:tc>
        <w:tc>
          <w:tcPr>
            <w:tcW w:w="1559" w:type="dxa"/>
            <w:tcBorders>
              <w:top w:val="nil"/>
              <w:left w:val="nil"/>
              <w:bottom w:val="single" w:sz="4" w:space="0" w:color="auto"/>
              <w:right w:val="nil"/>
            </w:tcBorders>
            <w:shd w:val="clear" w:color="auto" w:fill="FFFFFF"/>
            <w:vAlign w:val="center"/>
          </w:tcPr>
          <w:p w14:paraId="5B915B28" w14:textId="77777777" w:rsidR="00EE53EB" w:rsidRPr="002A7627" w:rsidRDefault="00EE53EB" w:rsidP="00B05733">
            <w:pPr>
              <w:spacing w:line="276" w:lineRule="auto"/>
              <w:jc w:val="center"/>
              <w:rPr>
                <w:rFonts w:asciiTheme="majorBidi" w:hAnsiTheme="majorBidi" w:cstheme="majorBidi"/>
              </w:rPr>
            </w:pPr>
          </w:p>
        </w:tc>
      </w:tr>
    </w:tbl>
    <w:p w14:paraId="33D80E0E" w14:textId="77777777" w:rsidR="00EE53EB" w:rsidRPr="002A7627" w:rsidRDefault="00EE53EB" w:rsidP="001D5F54">
      <w:pPr>
        <w:keepNext/>
        <w:rPr>
          <w:rFonts w:asciiTheme="majorBidi" w:hAnsiTheme="majorBidi" w:cstheme="majorBidi"/>
        </w:rPr>
      </w:pPr>
    </w:p>
    <w:p w14:paraId="5A4C1C1E" w14:textId="26F0FE90" w:rsidR="008218F5" w:rsidRDefault="005A7B1D" w:rsidP="00677985">
      <w:pPr>
        <w:pStyle w:val="AAAAAAA"/>
      </w:pPr>
      <w:bookmarkStart w:id="228" w:name="_Toc22331702"/>
      <w:r>
        <w:rPr>
          <w:rStyle w:val="Heading2Char"/>
          <w:color w:val="000000"/>
          <w:u w:val="none"/>
        </w:rPr>
        <w:t xml:space="preserve">5.2.8. </w:t>
      </w:r>
      <w:r w:rsidR="00EE53EB" w:rsidRPr="002A7627">
        <w:rPr>
          <w:rStyle w:val="Heading2Char"/>
          <w:color w:val="000000"/>
          <w:u w:val="none"/>
        </w:rPr>
        <w:t xml:space="preserve">Police </w:t>
      </w:r>
      <w:r w:rsidR="0010785C" w:rsidRPr="002A7627">
        <w:rPr>
          <w:rStyle w:val="Heading2Char"/>
          <w:color w:val="000000"/>
          <w:u w:val="none"/>
        </w:rPr>
        <w:t>station</w:t>
      </w:r>
      <w:bookmarkEnd w:id="228"/>
      <w:r w:rsidR="0010785C" w:rsidRPr="002A7627">
        <w:rPr>
          <w:b/>
          <w:bCs/>
        </w:rPr>
        <w:t xml:space="preserve">. </w:t>
      </w:r>
      <w:r w:rsidR="006507E7">
        <w:t>In total</w:t>
      </w:r>
      <w:r w:rsidR="00EE53EB" w:rsidRPr="002A7627">
        <w:t xml:space="preserve">, 556 participants, 80.2% of the total </w:t>
      </w:r>
      <w:r w:rsidR="006507E7">
        <w:t>were not working in police stations. Just</w:t>
      </w:r>
      <w:r w:rsidR="00EE53EB" w:rsidRPr="002A7627">
        <w:t xml:space="preserve"> 137 participants</w:t>
      </w:r>
      <w:r w:rsidR="006507E7">
        <w:t>,</w:t>
      </w:r>
      <w:r w:rsidR="00EE53EB" w:rsidRPr="002A7627">
        <w:t xml:space="preserve"> 19.8% of </w:t>
      </w:r>
      <w:r w:rsidR="006507E7">
        <w:t xml:space="preserve">the </w:t>
      </w:r>
      <w:r w:rsidR="00EE53EB" w:rsidRPr="002A7627">
        <w:t>total</w:t>
      </w:r>
      <w:r w:rsidR="006507E7">
        <w:t>, were working in police stations (see Table 16)</w:t>
      </w:r>
      <w:r w:rsidR="00EE53EB" w:rsidRPr="002A7627">
        <w:t xml:space="preserve">. </w:t>
      </w:r>
    </w:p>
    <w:p w14:paraId="343B9ADC" w14:textId="6DB0C40F" w:rsidR="00DE2ECA" w:rsidRDefault="00DE2ECA" w:rsidP="00677985">
      <w:pPr>
        <w:pStyle w:val="AAAAAAA"/>
      </w:pPr>
    </w:p>
    <w:p w14:paraId="4EC126D5" w14:textId="77777777" w:rsidR="00EE53EB" w:rsidRPr="002A7627" w:rsidRDefault="00EE53EB" w:rsidP="00EE53EB">
      <w:pPr>
        <w:rPr>
          <w:rFonts w:cs="Times New Roman"/>
          <w:b/>
          <w:bCs/>
          <w:szCs w:val="24"/>
        </w:rPr>
      </w:pPr>
    </w:p>
    <w:p w14:paraId="3816BC51" w14:textId="48122B0F" w:rsidR="00EA4132" w:rsidRPr="001D5F54" w:rsidRDefault="00C52840" w:rsidP="00263B9C">
      <w:pPr>
        <w:pStyle w:val="Caption"/>
        <w:keepNext/>
        <w:rPr>
          <w:color w:val="000000"/>
          <w:szCs w:val="24"/>
        </w:rPr>
      </w:pPr>
      <w:bookmarkStart w:id="229" w:name="_Toc14144628"/>
      <w:bookmarkStart w:id="230" w:name="_Toc19478594"/>
      <w:bookmarkStart w:id="231" w:name="_Toc21074084"/>
      <w:r w:rsidRPr="004D08C5">
        <w:rPr>
          <w:bCs w:val="0"/>
        </w:rPr>
        <w:t xml:space="preserve">Table </w:t>
      </w:r>
      <w:r w:rsidR="006D32F8" w:rsidRPr="004D08C5">
        <w:rPr>
          <w:bCs w:val="0"/>
          <w:noProof/>
        </w:rPr>
        <w:fldChar w:fldCharType="begin"/>
      </w:r>
      <w:r w:rsidR="006D32F8" w:rsidRPr="004D08C5">
        <w:rPr>
          <w:bCs w:val="0"/>
          <w:noProof/>
        </w:rPr>
        <w:instrText xml:space="preserve"> SEQ Table \* ARABIC </w:instrText>
      </w:r>
      <w:r w:rsidR="006D32F8" w:rsidRPr="004D08C5">
        <w:rPr>
          <w:bCs w:val="0"/>
          <w:noProof/>
        </w:rPr>
        <w:fldChar w:fldCharType="separate"/>
      </w:r>
      <w:r w:rsidR="00972C3F">
        <w:rPr>
          <w:bCs w:val="0"/>
          <w:noProof/>
        </w:rPr>
        <w:t>16</w:t>
      </w:r>
      <w:r w:rsidR="006D32F8" w:rsidRPr="004D08C5">
        <w:rPr>
          <w:bCs w:val="0"/>
          <w:noProof/>
        </w:rPr>
        <w:fldChar w:fldCharType="end"/>
      </w:r>
      <w:r w:rsidRPr="004D08C5">
        <w:rPr>
          <w:bCs w:val="0"/>
        </w:rPr>
        <w:t>.</w:t>
      </w:r>
      <w:r>
        <w:t xml:space="preserve"> </w:t>
      </w:r>
      <w:r w:rsidRPr="003A3C9E">
        <w:t xml:space="preserve">The frequency and percentage of participants </w:t>
      </w:r>
      <w:r w:rsidR="006507E7">
        <w:t>by whether they were working in a</w:t>
      </w:r>
      <w:r w:rsidRPr="003A3C9E">
        <w:t xml:space="preserve"> police station</w:t>
      </w:r>
      <w:bookmarkEnd w:id="229"/>
      <w:bookmarkEnd w:id="230"/>
      <w:bookmarkEnd w:id="231"/>
    </w:p>
    <w:tbl>
      <w:tblPr>
        <w:tblW w:w="65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236"/>
        <w:gridCol w:w="1355"/>
        <w:gridCol w:w="1009"/>
        <w:gridCol w:w="1392"/>
        <w:gridCol w:w="1469"/>
      </w:tblGrid>
      <w:tr w:rsidR="00EE53EB" w:rsidRPr="002A7627" w14:paraId="6A88DA0E" w14:textId="77777777" w:rsidTr="004E20E0">
        <w:trPr>
          <w:cantSplit/>
        </w:trPr>
        <w:tc>
          <w:tcPr>
            <w:tcW w:w="1276" w:type="dxa"/>
            <w:gridSpan w:val="2"/>
            <w:tcBorders>
              <w:top w:val="single" w:sz="4" w:space="0" w:color="auto"/>
              <w:left w:val="nil"/>
              <w:bottom w:val="single" w:sz="4" w:space="0" w:color="auto"/>
              <w:right w:val="nil"/>
            </w:tcBorders>
            <w:shd w:val="clear" w:color="auto" w:fill="FFFFFF"/>
            <w:vAlign w:val="center"/>
          </w:tcPr>
          <w:p w14:paraId="0B450024" w14:textId="77777777" w:rsidR="00EE53EB" w:rsidRPr="002A7627" w:rsidRDefault="00EE53EB" w:rsidP="00B05733">
            <w:pPr>
              <w:jc w:val="center"/>
              <w:rPr>
                <w:rFonts w:asciiTheme="majorBidi" w:hAnsiTheme="majorBidi" w:cstheme="majorBidi"/>
              </w:rPr>
            </w:pPr>
          </w:p>
        </w:tc>
        <w:tc>
          <w:tcPr>
            <w:tcW w:w="1355" w:type="dxa"/>
            <w:tcBorders>
              <w:top w:val="single" w:sz="4" w:space="0" w:color="auto"/>
              <w:left w:val="nil"/>
              <w:bottom w:val="single" w:sz="4" w:space="0" w:color="auto"/>
              <w:right w:val="nil"/>
            </w:tcBorders>
            <w:shd w:val="clear" w:color="auto" w:fill="FFFFFF"/>
            <w:vAlign w:val="center"/>
          </w:tcPr>
          <w:p w14:paraId="71231362"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Frequency</w:t>
            </w:r>
          </w:p>
        </w:tc>
        <w:tc>
          <w:tcPr>
            <w:tcW w:w="1009" w:type="dxa"/>
            <w:tcBorders>
              <w:top w:val="single" w:sz="4" w:space="0" w:color="auto"/>
              <w:left w:val="nil"/>
              <w:bottom w:val="single" w:sz="4" w:space="0" w:color="auto"/>
              <w:right w:val="nil"/>
            </w:tcBorders>
            <w:shd w:val="clear" w:color="auto" w:fill="FFFFFF"/>
            <w:vAlign w:val="center"/>
          </w:tcPr>
          <w:p w14:paraId="69AB7A2E"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Percent</w:t>
            </w:r>
          </w:p>
        </w:tc>
        <w:tc>
          <w:tcPr>
            <w:tcW w:w="1392" w:type="dxa"/>
            <w:tcBorders>
              <w:top w:val="single" w:sz="4" w:space="0" w:color="auto"/>
              <w:left w:val="nil"/>
              <w:bottom w:val="single" w:sz="4" w:space="0" w:color="auto"/>
              <w:right w:val="nil"/>
            </w:tcBorders>
            <w:shd w:val="clear" w:color="auto" w:fill="FFFFFF"/>
            <w:vAlign w:val="center"/>
          </w:tcPr>
          <w:p w14:paraId="727B1FFC"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Valid Percent</w:t>
            </w:r>
          </w:p>
        </w:tc>
        <w:tc>
          <w:tcPr>
            <w:tcW w:w="1469" w:type="dxa"/>
            <w:tcBorders>
              <w:top w:val="single" w:sz="4" w:space="0" w:color="auto"/>
              <w:left w:val="nil"/>
              <w:bottom w:val="single" w:sz="4" w:space="0" w:color="auto"/>
              <w:right w:val="nil"/>
            </w:tcBorders>
            <w:shd w:val="clear" w:color="auto" w:fill="FFFFFF"/>
            <w:vAlign w:val="center"/>
          </w:tcPr>
          <w:p w14:paraId="7886E840"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Cumulative Percent</w:t>
            </w:r>
          </w:p>
        </w:tc>
      </w:tr>
      <w:tr w:rsidR="00EE53EB" w:rsidRPr="002A7627" w14:paraId="1FF45B47" w14:textId="77777777" w:rsidTr="004E20E0">
        <w:trPr>
          <w:cantSplit/>
        </w:trPr>
        <w:tc>
          <w:tcPr>
            <w:tcW w:w="40" w:type="dxa"/>
            <w:vMerge w:val="restart"/>
            <w:tcBorders>
              <w:top w:val="single" w:sz="4" w:space="0" w:color="auto"/>
              <w:left w:val="nil"/>
              <w:bottom w:val="nil"/>
              <w:right w:val="nil"/>
            </w:tcBorders>
            <w:shd w:val="clear" w:color="auto" w:fill="FFFFFF"/>
            <w:vAlign w:val="center"/>
          </w:tcPr>
          <w:p w14:paraId="1F224034" w14:textId="77777777" w:rsidR="00EE53EB" w:rsidRPr="002A7627" w:rsidRDefault="00EE53EB" w:rsidP="00B05733">
            <w:pPr>
              <w:ind w:left="60" w:right="60"/>
              <w:jc w:val="center"/>
              <w:rPr>
                <w:rFonts w:asciiTheme="majorBidi" w:hAnsiTheme="majorBidi" w:cstheme="majorBidi"/>
              </w:rPr>
            </w:pPr>
          </w:p>
        </w:tc>
        <w:tc>
          <w:tcPr>
            <w:tcW w:w="1236" w:type="dxa"/>
            <w:tcBorders>
              <w:top w:val="single" w:sz="4" w:space="0" w:color="auto"/>
              <w:left w:val="nil"/>
              <w:bottom w:val="nil"/>
              <w:right w:val="nil"/>
            </w:tcBorders>
            <w:shd w:val="clear" w:color="auto" w:fill="FFFFFF"/>
            <w:vAlign w:val="center"/>
          </w:tcPr>
          <w:p w14:paraId="0005BAB3"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Yes</w:t>
            </w:r>
          </w:p>
        </w:tc>
        <w:tc>
          <w:tcPr>
            <w:tcW w:w="1355" w:type="dxa"/>
            <w:tcBorders>
              <w:top w:val="single" w:sz="4" w:space="0" w:color="auto"/>
              <w:left w:val="nil"/>
              <w:bottom w:val="nil"/>
              <w:right w:val="nil"/>
            </w:tcBorders>
            <w:shd w:val="clear" w:color="auto" w:fill="FFFFFF"/>
            <w:vAlign w:val="center"/>
          </w:tcPr>
          <w:p w14:paraId="76D81427"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137</w:t>
            </w:r>
          </w:p>
        </w:tc>
        <w:tc>
          <w:tcPr>
            <w:tcW w:w="1009" w:type="dxa"/>
            <w:tcBorders>
              <w:top w:val="single" w:sz="4" w:space="0" w:color="auto"/>
              <w:left w:val="nil"/>
              <w:bottom w:val="nil"/>
              <w:right w:val="nil"/>
            </w:tcBorders>
            <w:shd w:val="clear" w:color="auto" w:fill="FFFFFF"/>
            <w:vAlign w:val="center"/>
          </w:tcPr>
          <w:p w14:paraId="5A8A2609"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19.8</w:t>
            </w:r>
          </w:p>
        </w:tc>
        <w:tc>
          <w:tcPr>
            <w:tcW w:w="1392" w:type="dxa"/>
            <w:tcBorders>
              <w:top w:val="single" w:sz="4" w:space="0" w:color="auto"/>
              <w:left w:val="nil"/>
              <w:bottom w:val="nil"/>
              <w:right w:val="nil"/>
            </w:tcBorders>
            <w:shd w:val="clear" w:color="auto" w:fill="FFFFFF"/>
            <w:vAlign w:val="center"/>
          </w:tcPr>
          <w:p w14:paraId="00E21771"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19.8</w:t>
            </w:r>
          </w:p>
        </w:tc>
        <w:tc>
          <w:tcPr>
            <w:tcW w:w="1469" w:type="dxa"/>
            <w:tcBorders>
              <w:top w:val="single" w:sz="4" w:space="0" w:color="auto"/>
              <w:left w:val="nil"/>
              <w:bottom w:val="nil"/>
              <w:right w:val="nil"/>
            </w:tcBorders>
            <w:shd w:val="clear" w:color="auto" w:fill="FFFFFF"/>
            <w:vAlign w:val="center"/>
          </w:tcPr>
          <w:p w14:paraId="7CA9FA4D"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19.8</w:t>
            </w:r>
          </w:p>
        </w:tc>
      </w:tr>
      <w:tr w:rsidR="00EE53EB" w:rsidRPr="002A7627" w14:paraId="2DC1DCF6" w14:textId="77777777" w:rsidTr="004E20E0">
        <w:trPr>
          <w:cantSplit/>
        </w:trPr>
        <w:tc>
          <w:tcPr>
            <w:tcW w:w="40" w:type="dxa"/>
            <w:vMerge/>
            <w:tcBorders>
              <w:top w:val="nil"/>
              <w:left w:val="nil"/>
              <w:bottom w:val="nil"/>
              <w:right w:val="nil"/>
            </w:tcBorders>
            <w:shd w:val="clear" w:color="auto" w:fill="FFFFFF"/>
            <w:vAlign w:val="center"/>
          </w:tcPr>
          <w:p w14:paraId="7C5E892F" w14:textId="77777777" w:rsidR="00EE53EB" w:rsidRPr="002A7627" w:rsidRDefault="00EE53EB" w:rsidP="00B05733">
            <w:pPr>
              <w:jc w:val="center"/>
              <w:rPr>
                <w:rFonts w:asciiTheme="majorBidi" w:hAnsiTheme="majorBidi" w:cstheme="majorBidi"/>
              </w:rPr>
            </w:pPr>
          </w:p>
        </w:tc>
        <w:tc>
          <w:tcPr>
            <w:tcW w:w="1236" w:type="dxa"/>
            <w:tcBorders>
              <w:top w:val="nil"/>
              <w:left w:val="nil"/>
              <w:bottom w:val="nil"/>
              <w:right w:val="nil"/>
            </w:tcBorders>
            <w:shd w:val="clear" w:color="auto" w:fill="FFFFFF"/>
            <w:vAlign w:val="center"/>
          </w:tcPr>
          <w:p w14:paraId="51C1BA79"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No</w:t>
            </w:r>
          </w:p>
        </w:tc>
        <w:tc>
          <w:tcPr>
            <w:tcW w:w="1355" w:type="dxa"/>
            <w:tcBorders>
              <w:top w:val="nil"/>
              <w:left w:val="nil"/>
              <w:bottom w:val="nil"/>
              <w:right w:val="nil"/>
            </w:tcBorders>
            <w:shd w:val="clear" w:color="auto" w:fill="FFFFFF"/>
            <w:vAlign w:val="center"/>
          </w:tcPr>
          <w:p w14:paraId="101B8B1A"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556</w:t>
            </w:r>
          </w:p>
        </w:tc>
        <w:tc>
          <w:tcPr>
            <w:tcW w:w="1009" w:type="dxa"/>
            <w:tcBorders>
              <w:top w:val="nil"/>
              <w:left w:val="nil"/>
              <w:bottom w:val="nil"/>
              <w:right w:val="nil"/>
            </w:tcBorders>
            <w:shd w:val="clear" w:color="auto" w:fill="FFFFFF"/>
            <w:vAlign w:val="center"/>
          </w:tcPr>
          <w:p w14:paraId="0BB42171"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80.2</w:t>
            </w:r>
          </w:p>
        </w:tc>
        <w:tc>
          <w:tcPr>
            <w:tcW w:w="1392" w:type="dxa"/>
            <w:tcBorders>
              <w:top w:val="nil"/>
              <w:left w:val="nil"/>
              <w:bottom w:val="nil"/>
              <w:right w:val="nil"/>
            </w:tcBorders>
            <w:shd w:val="clear" w:color="auto" w:fill="FFFFFF"/>
            <w:vAlign w:val="center"/>
          </w:tcPr>
          <w:p w14:paraId="187399FC"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80.2</w:t>
            </w:r>
          </w:p>
        </w:tc>
        <w:tc>
          <w:tcPr>
            <w:tcW w:w="1469" w:type="dxa"/>
            <w:tcBorders>
              <w:top w:val="nil"/>
              <w:left w:val="nil"/>
              <w:bottom w:val="nil"/>
              <w:right w:val="nil"/>
            </w:tcBorders>
            <w:shd w:val="clear" w:color="auto" w:fill="FFFFFF"/>
            <w:vAlign w:val="center"/>
          </w:tcPr>
          <w:p w14:paraId="25E71949" w14:textId="77777777" w:rsidR="00EE53EB" w:rsidRPr="002A7627" w:rsidRDefault="00EE53EB" w:rsidP="00B05733">
            <w:pPr>
              <w:ind w:left="60" w:right="60"/>
              <w:jc w:val="center"/>
              <w:rPr>
                <w:rFonts w:asciiTheme="majorBidi" w:hAnsiTheme="majorBidi" w:cstheme="majorBidi"/>
              </w:rPr>
            </w:pPr>
            <w:r w:rsidRPr="002A7627">
              <w:rPr>
                <w:rFonts w:asciiTheme="majorBidi" w:hAnsiTheme="majorBidi" w:cstheme="majorBidi"/>
              </w:rPr>
              <w:t>100.0</w:t>
            </w:r>
          </w:p>
        </w:tc>
      </w:tr>
      <w:tr w:rsidR="00EE53EB" w:rsidRPr="002A7627" w14:paraId="310FED9B" w14:textId="77777777" w:rsidTr="004E20E0">
        <w:trPr>
          <w:cantSplit/>
        </w:trPr>
        <w:tc>
          <w:tcPr>
            <w:tcW w:w="40" w:type="dxa"/>
            <w:vMerge/>
            <w:tcBorders>
              <w:top w:val="nil"/>
              <w:left w:val="nil"/>
              <w:bottom w:val="nil"/>
              <w:right w:val="nil"/>
            </w:tcBorders>
            <w:shd w:val="clear" w:color="auto" w:fill="FFFFFF"/>
            <w:vAlign w:val="center"/>
          </w:tcPr>
          <w:p w14:paraId="0146A23C" w14:textId="77777777" w:rsidR="00EE53EB" w:rsidRPr="002A7627" w:rsidRDefault="00EE53EB" w:rsidP="00B05733">
            <w:pPr>
              <w:jc w:val="center"/>
              <w:rPr>
                <w:rFonts w:asciiTheme="majorBidi" w:hAnsiTheme="majorBidi" w:cstheme="majorBidi"/>
              </w:rPr>
            </w:pPr>
          </w:p>
        </w:tc>
        <w:tc>
          <w:tcPr>
            <w:tcW w:w="1236" w:type="dxa"/>
            <w:tcBorders>
              <w:top w:val="nil"/>
              <w:left w:val="nil"/>
              <w:bottom w:val="single" w:sz="4" w:space="0" w:color="auto"/>
              <w:right w:val="nil"/>
            </w:tcBorders>
            <w:shd w:val="clear" w:color="auto" w:fill="FFFFFF"/>
            <w:vAlign w:val="center"/>
          </w:tcPr>
          <w:p w14:paraId="0DCA9B9C" w14:textId="77777777" w:rsidR="00EE53EB" w:rsidRPr="002A7627" w:rsidRDefault="00EE53EB" w:rsidP="00B05733">
            <w:pPr>
              <w:ind w:left="60" w:right="60"/>
              <w:rPr>
                <w:rFonts w:asciiTheme="majorBidi" w:hAnsiTheme="majorBidi" w:cstheme="majorBidi"/>
                <w:b/>
                <w:bCs/>
              </w:rPr>
            </w:pPr>
            <w:r w:rsidRPr="002A7627">
              <w:rPr>
                <w:rFonts w:asciiTheme="majorBidi" w:hAnsiTheme="majorBidi" w:cstheme="majorBidi"/>
                <w:b/>
                <w:bCs/>
              </w:rPr>
              <w:t>Total</w:t>
            </w:r>
          </w:p>
        </w:tc>
        <w:tc>
          <w:tcPr>
            <w:tcW w:w="1355" w:type="dxa"/>
            <w:tcBorders>
              <w:top w:val="nil"/>
              <w:left w:val="nil"/>
              <w:bottom w:val="single" w:sz="4" w:space="0" w:color="auto"/>
              <w:right w:val="nil"/>
            </w:tcBorders>
            <w:shd w:val="clear" w:color="auto" w:fill="FFFFFF"/>
            <w:vAlign w:val="center"/>
          </w:tcPr>
          <w:p w14:paraId="30C071E9"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693</w:t>
            </w:r>
          </w:p>
        </w:tc>
        <w:tc>
          <w:tcPr>
            <w:tcW w:w="1009" w:type="dxa"/>
            <w:tcBorders>
              <w:top w:val="nil"/>
              <w:left w:val="nil"/>
              <w:bottom w:val="single" w:sz="4" w:space="0" w:color="auto"/>
              <w:right w:val="nil"/>
            </w:tcBorders>
            <w:shd w:val="clear" w:color="auto" w:fill="FFFFFF"/>
            <w:vAlign w:val="center"/>
          </w:tcPr>
          <w:p w14:paraId="61DECC80"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100.0</w:t>
            </w:r>
          </w:p>
        </w:tc>
        <w:tc>
          <w:tcPr>
            <w:tcW w:w="1392" w:type="dxa"/>
            <w:tcBorders>
              <w:top w:val="nil"/>
              <w:left w:val="nil"/>
              <w:bottom w:val="single" w:sz="4" w:space="0" w:color="auto"/>
              <w:right w:val="nil"/>
            </w:tcBorders>
            <w:shd w:val="clear" w:color="auto" w:fill="FFFFFF"/>
            <w:vAlign w:val="center"/>
          </w:tcPr>
          <w:p w14:paraId="3B582C52" w14:textId="77777777" w:rsidR="00EE53EB" w:rsidRPr="002A7627" w:rsidRDefault="00EE53EB" w:rsidP="00B05733">
            <w:pPr>
              <w:ind w:left="60" w:right="60"/>
              <w:jc w:val="center"/>
              <w:rPr>
                <w:rFonts w:asciiTheme="majorBidi" w:hAnsiTheme="majorBidi" w:cstheme="majorBidi"/>
                <w:b/>
                <w:bCs/>
              </w:rPr>
            </w:pPr>
            <w:r w:rsidRPr="002A7627">
              <w:rPr>
                <w:rFonts w:asciiTheme="majorBidi" w:hAnsiTheme="majorBidi" w:cstheme="majorBidi"/>
                <w:b/>
                <w:bCs/>
              </w:rPr>
              <w:t>100.0</w:t>
            </w:r>
          </w:p>
        </w:tc>
        <w:tc>
          <w:tcPr>
            <w:tcW w:w="1469" w:type="dxa"/>
            <w:tcBorders>
              <w:top w:val="nil"/>
              <w:left w:val="nil"/>
              <w:bottom w:val="single" w:sz="4" w:space="0" w:color="auto"/>
              <w:right w:val="nil"/>
            </w:tcBorders>
            <w:shd w:val="clear" w:color="auto" w:fill="FFFFFF"/>
            <w:vAlign w:val="center"/>
          </w:tcPr>
          <w:p w14:paraId="40A91178" w14:textId="77777777" w:rsidR="00EE53EB" w:rsidRPr="002A7627" w:rsidRDefault="00EE53EB" w:rsidP="00B05733">
            <w:pPr>
              <w:jc w:val="center"/>
              <w:rPr>
                <w:rFonts w:asciiTheme="majorBidi" w:hAnsiTheme="majorBidi" w:cstheme="majorBidi"/>
              </w:rPr>
            </w:pPr>
          </w:p>
        </w:tc>
      </w:tr>
    </w:tbl>
    <w:p w14:paraId="4B1B11F3" w14:textId="77777777" w:rsidR="00EE53EB" w:rsidRPr="002A7627" w:rsidRDefault="00EE53EB" w:rsidP="00EE53EB">
      <w:pPr>
        <w:spacing w:line="400" w:lineRule="atLeast"/>
        <w:rPr>
          <w:rFonts w:cs="Times New Roman"/>
          <w:szCs w:val="24"/>
        </w:rPr>
      </w:pPr>
    </w:p>
    <w:p w14:paraId="5A1713BD" w14:textId="2C416964" w:rsidR="00EE53EB" w:rsidRDefault="00EE53EB" w:rsidP="001D5F54">
      <w:pPr>
        <w:keepNext/>
        <w:jc w:val="center"/>
      </w:pPr>
    </w:p>
    <w:p w14:paraId="345B4BAD" w14:textId="77777777" w:rsidR="007C0420" w:rsidRPr="002A7627" w:rsidRDefault="007C0420" w:rsidP="007C0420">
      <w:pPr>
        <w:pStyle w:val="Heading1"/>
        <w:rPr>
          <w:rFonts w:cs="Times New Roman"/>
          <w:color w:val="000000"/>
        </w:rPr>
      </w:pPr>
      <w:bookmarkStart w:id="232" w:name="_Toc22331703"/>
      <w:r>
        <w:rPr>
          <w:color w:val="000000"/>
        </w:rPr>
        <w:t xml:space="preserve">5.3. </w:t>
      </w:r>
      <w:r w:rsidRPr="002A7627">
        <w:rPr>
          <w:color w:val="000000"/>
        </w:rPr>
        <w:t>Structural Equation Modeling (SEM</w:t>
      </w:r>
      <w:r w:rsidRPr="002A7627">
        <w:rPr>
          <w:rFonts w:cs="Times New Roman"/>
          <w:color w:val="000000"/>
        </w:rPr>
        <w:t>)</w:t>
      </w:r>
      <w:bookmarkEnd w:id="232"/>
    </w:p>
    <w:p w14:paraId="2D72F7E7" w14:textId="4DA03F8E" w:rsidR="007C0420" w:rsidRPr="002A7627" w:rsidRDefault="007C0420" w:rsidP="007C0420">
      <w:pPr>
        <w:pStyle w:val="AAAAAAA"/>
        <w:rPr>
          <w:rStyle w:val="fontstyle01"/>
          <w:rFonts w:asciiTheme="majorBidi" w:hAnsiTheme="majorBidi" w:cstheme="majorBidi"/>
        </w:rPr>
      </w:pPr>
      <w:r w:rsidRPr="002A7627">
        <w:rPr>
          <w:rStyle w:val="fontstyle01"/>
          <w:rFonts w:asciiTheme="majorBidi" w:hAnsiTheme="majorBidi" w:cstheme="majorBidi"/>
        </w:rPr>
        <w:t xml:space="preserve">After </w:t>
      </w:r>
      <w:r w:rsidR="006507E7">
        <w:rPr>
          <w:rStyle w:val="fontstyle01"/>
          <w:rFonts w:asciiTheme="majorBidi" w:hAnsiTheme="majorBidi" w:cstheme="majorBidi"/>
        </w:rPr>
        <w:t>analyzing</w:t>
      </w:r>
      <w:r w:rsidR="006507E7" w:rsidRPr="002A7627">
        <w:rPr>
          <w:rStyle w:val="fontstyle01"/>
          <w:rFonts w:asciiTheme="majorBidi" w:hAnsiTheme="majorBidi" w:cstheme="majorBidi"/>
        </w:rPr>
        <w:t xml:space="preserve"> </w:t>
      </w:r>
      <w:r w:rsidRPr="002A7627">
        <w:rPr>
          <w:rStyle w:val="fontstyle01"/>
          <w:rFonts w:asciiTheme="majorBidi" w:hAnsiTheme="majorBidi" w:cstheme="majorBidi"/>
        </w:rPr>
        <w:t xml:space="preserve">the demographic variables, the next step was to test the research hypotheses through SEM using CFA. </w:t>
      </w:r>
      <w:r w:rsidR="00C177A3" w:rsidRPr="00024F6D">
        <w:rPr>
          <w:rStyle w:val="fontstyle01"/>
          <w:rFonts w:asciiTheme="majorBidi" w:hAnsiTheme="majorBidi" w:cstheme="majorBidi"/>
        </w:rPr>
        <w:t xml:space="preserve">The research model was analyzed </w:t>
      </w:r>
      <w:r w:rsidR="006507E7">
        <w:rPr>
          <w:rStyle w:val="fontstyle01"/>
          <w:rFonts w:asciiTheme="majorBidi" w:hAnsiTheme="majorBidi" w:cstheme="majorBidi"/>
        </w:rPr>
        <w:t>using the</w:t>
      </w:r>
      <w:r w:rsidR="00C177A3" w:rsidRPr="00024F6D">
        <w:rPr>
          <w:rStyle w:val="fontstyle01"/>
          <w:rFonts w:asciiTheme="majorBidi" w:hAnsiTheme="majorBidi" w:cstheme="majorBidi"/>
        </w:rPr>
        <w:t xml:space="preserve"> PLS method </w:t>
      </w:r>
      <w:r w:rsidR="006507E7">
        <w:rPr>
          <w:rStyle w:val="fontstyle01"/>
          <w:rFonts w:asciiTheme="majorBidi" w:hAnsiTheme="majorBidi" w:cstheme="majorBidi"/>
        </w:rPr>
        <w:t>with</w:t>
      </w:r>
      <w:r w:rsidR="00C177A3" w:rsidRPr="00024F6D">
        <w:rPr>
          <w:rStyle w:val="fontstyle01"/>
          <w:rFonts w:asciiTheme="majorBidi" w:hAnsiTheme="majorBidi" w:cstheme="majorBidi"/>
        </w:rPr>
        <w:t xml:space="preserve"> SmartPLS 3.2.8 software</w:t>
      </w:r>
      <w:r w:rsidR="00C177A3" w:rsidRPr="002A7627" w:rsidDel="00C177A3">
        <w:rPr>
          <w:rStyle w:val="fontstyle01"/>
          <w:rFonts w:asciiTheme="majorBidi" w:hAnsiTheme="majorBidi" w:cstheme="majorBidi"/>
        </w:rPr>
        <w:t xml:space="preserve"> </w:t>
      </w:r>
      <w:r w:rsidRPr="002A7627">
        <w:rPr>
          <w:rStyle w:val="FootnoteReference"/>
          <w:rFonts w:asciiTheme="majorBidi" w:hAnsiTheme="majorBidi" w:cstheme="majorBidi"/>
        </w:rPr>
        <w:fldChar w:fldCharType="begin" w:fldLock="1"/>
      </w:r>
      <w:r w:rsidRPr="002A7627">
        <w:instrText>ADDIN CSL_CITATION {"citationItems":[{"id":"ITEM-1","itemData":{"author":[{"dropping-particle":"","family":"Ringle","given":"C.M.","non-dropping-particle":"","parse-names":false,"suffix":""},{"dropping-particle":"","family":"Wende","given":"S.","non-dropping-particle":"","parse-names":false,"suffix":""},{"dropping-particle":"","family":"Becker","given":"J. M.","non-dropping-particle":"","parse-names":false,"suffix":""}],"id":"ITEM-1","issued":{"date-parts":[["2015"]]},"title":"SmartPLS 3","type":"article"},"uris":["http://www.mendeley.com/documents/?uuid=b65b7913-1df4-4696-8583-45ef23f6b3c0"]}],"mendeley":{"formattedCitation":"(Ringle, Wende, &amp; Becker, 2015)","plainTextFormattedCitation":"(Ringle, Wende, &amp; Becker, 2015)","previouslyFormattedCitation":"(Ringle, Wende, &amp; Becker, 2015)"},"properties":{"noteIndex":0},"schema":"https://github.com/citation-style-language/schema/raw/master/csl-citation.json"}</w:instrText>
      </w:r>
      <w:r w:rsidRPr="002A7627">
        <w:rPr>
          <w:rStyle w:val="FootnoteReference"/>
          <w:rFonts w:asciiTheme="majorBidi" w:hAnsiTheme="majorBidi" w:cstheme="majorBidi"/>
        </w:rPr>
        <w:fldChar w:fldCharType="separate"/>
      </w:r>
      <w:r w:rsidRPr="002A7627">
        <w:rPr>
          <w:noProof/>
        </w:rPr>
        <w:t>(Ringle, Wende, &amp; Becker, 2015)</w:t>
      </w:r>
      <w:r w:rsidRPr="002A7627">
        <w:rPr>
          <w:rStyle w:val="FootnoteReference"/>
          <w:rFonts w:asciiTheme="majorBidi" w:hAnsiTheme="majorBidi" w:cstheme="majorBidi"/>
        </w:rPr>
        <w:fldChar w:fldCharType="end"/>
      </w:r>
      <w:r w:rsidRPr="002A7627">
        <w:rPr>
          <w:rStyle w:val="fontstyle01"/>
          <w:rFonts w:asciiTheme="majorBidi" w:hAnsiTheme="majorBidi" w:cstheme="majorBidi"/>
        </w:rPr>
        <w:t>.</w:t>
      </w:r>
    </w:p>
    <w:p w14:paraId="2E9D1A68" w14:textId="68B87922" w:rsidR="007C0420" w:rsidRPr="002A7627" w:rsidRDefault="00C177A3" w:rsidP="007C0420">
      <w:pPr>
        <w:pStyle w:val="AAAAAAA"/>
        <w:rPr>
          <w:rStyle w:val="fontstyle01"/>
          <w:rFonts w:asciiTheme="majorBidi" w:hAnsiTheme="majorBidi" w:cstheme="majorBidi"/>
        </w:rPr>
      </w:pPr>
      <w:r w:rsidRPr="00024F6D">
        <w:rPr>
          <w:rStyle w:val="fontstyle01"/>
          <w:rFonts w:asciiTheme="majorBidi" w:hAnsiTheme="majorBidi" w:cstheme="majorBidi"/>
        </w:rPr>
        <w:t>The analytical method followed in this study was based on the two-stage analytical process recommended by</w:t>
      </w:r>
      <w:r>
        <w:rPr>
          <w:rStyle w:val="fontstyle01"/>
          <w:rFonts w:asciiTheme="majorBidi" w:hAnsiTheme="majorBidi" w:cstheme="majorBidi"/>
        </w:rPr>
        <w:t xml:space="preserve"> </w:t>
      </w:r>
      <w:r w:rsidR="007C0420" w:rsidRPr="002A7627">
        <w:rPr>
          <w:rStyle w:val="fontstyle01"/>
          <w:rFonts w:asciiTheme="majorBidi" w:hAnsiTheme="majorBidi" w:cstheme="majorBidi"/>
        </w:rPr>
        <w:fldChar w:fldCharType="begin" w:fldLock="1"/>
      </w:r>
      <w:r w:rsidR="007C0420" w:rsidRPr="002A7627">
        <w:rPr>
          <w:rStyle w:val="fontstyle01"/>
          <w:rFonts w:asciiTheme="majorBidi" w:hAnsiTheme="majorBidi" w:cstheme="majorBidi"/>
        </w:rPr>
        <w:instrText>ADDIN CSL_CITATION {"citationItems":[{"id":"ITEM-1","itemData":{"DOI":"10.1037/0033-2909.103.3.411","ISBN":"0033-2909\\r1939-1455","ISSN":"1939-1455","PMID":"3802905","abstract":"In this article, we provide guidance for substantive researchers on the use of structural equation modeling in practice for theory testing and development. We present a comprehensive, two-step modeling approach that employs a series of nested models and sequential chi-square difference tests. We discuss the comparative advantages of this approach over a one-step approach. Considerations in specification, assessment of fit, and respecification of measurement models using confirmatory factor analysis are reviewed. As background to the two-step approach, the distinction between exploratory and confirmatory analysis, the distinction between complementary approaches for theory testing versus predictive application, and some developments in estimation methods also are discussed. (PsycINFO Database Record (c) 2010 APA, all rights reserved)","author":[{"dropping-particle":"","family":"Anderson","given":"James C.","non-dropping-particle":"","parse-names":false,"suffix":""},{"dropping-particle":"","family":"Gerbing","given":"David W.","non-dropping-particle":"","parse-names":false,"suffix":""}],"container-title":"Psychological Bulletin","id":"ITEM-1","issue":"3","issued":{"date-parts":[["1988","5"]]},"page":"411-423","title":"Structural equation modeling in practice: A review and recommended two-step approach.","type":"article-journal","volume":"103"},"uris":["http://www.mendeley.com/documents/?uuid=a512331f-4b36-43b2-8897-6afbadc71313"]}],"mendeley":{"formattedCitation":"(Anderson &amp; Gerbing, 1988)","manualFormatting":"Anderson and Gerbing (1988)","plainTextFormattedCitation":"(Anderson &amp; Gerbing, 1988)","previouslyFormattedCitation":"(Anderson &amp; Gerbing, 1988)"},"properties":{"noteIndex":0},"schema":"https://github.com/citation-style-language/schema/raw/master/csl-citation.json"}</w:instrText>
      </w:r>
      <w:r w:rsidR="007C0420" w:rsidRPr="002A7627">
        <w:rPr>
          <w:rStyle w:val="fontstyle01"/>
          <w:rFonts w:asciiTheme="majorBidi" w:hAnsiTheme="majorBidi" w:cstheme="majorBidi"/>
        </w:rPr>
        <w:fldChar w:fldCharType="separate"/>
      </w:r>
      <w:r w:rsidR="007C0420" w:rsidRPr="002A7627">
        <w:rPr>
          <w:rStyle w:val="fontstyle01"/>
          <w:rFonts w:asciiTheme="majorBidi" w:hAnsiTheme="majorBidi" w:cstheme="majorBidi"/>
          <w:noProof/>
        </w:rPr>
        <w:t>Anderson and Gerbing (1988)</w:t>
      </w:r>
      <w:r w:rsidR="007C0420" w:rsidRPr="002A7627">
        <w:rPr>
          <w:rStyle w:val="fontstyle01"/>
          <w:rFonts w:asciiTheme="majorBidi" w:hAnsiTheme="majorBidi" w:cstheme="majorBidi"/>
        </w:rPr>
        <w:fldChar w:fldCharType="end"/>
      </w:r>
      <w:r w:rsidR="009C09E9">
        <w:rPr>
          <w:rStyle w:val="fontstyle01"/>
          <w:rFonts w:asciiTheme="majorBidi" w:hAnsiTheme="majorBidi" w:cstheme="majorBidi"/>
        </w:rPr>
        <w:t>.</w:t>
      </w:r>
      <w:r w:rsidR="007C0420" w:rsidRPr="002A7627">
        <w:rPr>
          <w:rStyle w:val="fontstyle01"/>
          <w:rFonts w:asciiTheme="majorBidi" w:hAnsiTheme="majorBidi" w:cstheme="majorBidi"/>
        </w:rPr>
        <w:t xml:space="preserve"> </w:t>
      </w:r>
      <w:r w:rsidR="009C09E9">
        <w:rPr>
          <w:rStyle w:val="fontstyle01"/>
          <w:rFonts w:asciiTheme="majorBidi" w:hAnsiTheme="majorBidi" w:cstheme="majorBidi"/>
        </w:rPr>
        <w:t>T</w:t>
      </w:r>
      <w:r w:rsidR="008C2BD2" w:rsidRPr="00024F6D">
        <w:rPr>
          <w:rStyle w:val="fontstyle01"/>
          <w:rFonts w:asciiTheme="majorBidi" w:hAnsiTheme="majorBidi" w:cstheme="majorBidi"/>
        </w:rPr>
        <w:t xml:space="preserve">o test the model fit, this procedure includes examination of the measurement model </w:t>
      </w:r>
      <w:r w:rsidR="009C09E9">
        <w:rPr>
          <w:rStyle w:val="fontstyle01"/>
          <w:rFonts w:asciiTheme="majorBidi" w:hAnsiTheme="majorBidi" w:cstheme="majorBidi"/>
        </w:rPr>
        <w:t>that</w:t>
      </w:r>
      <w:r w:rsidR="008C2BD2" w:rsidRPr="00024F6D">
        <w:rPr>
          <w:rStyle w:val="fontstyle01"/>
          <w:rFonts w:asciiTheme="majorBidi" w:hAnsiTheme="majorBidi" w:cstheme="majorBidi"/>
        </w:rPr>
        <w:t xml:space="preserve"> tests the reliability and validity of the constructs and evaluation of the structural model </w:t>
      </w:r>
      <w:r w:rsidR="009C09E9">
        <w:rPr>
          <w:rStyle w:val="fontstyle01"/>
          <w:rFonts w:asciiTheme="majorBidi" w:hAnsiTheme="majorBidi" w:cstheme="majorBidi"/>
        </w:rPr>
        <w:t>that</w:t>
      </w:r>
      <w:r w:rsidR="008C2BD2" w:rsidRPr="00024F6D">
        <w:rPr>
          <w:rStyle w:val="fontstyle01"/>
          <w:rFonts w:asciiTheme="majorBidi" w:hAnsiTheme="majorBidi" w:cstheme="majorBidi"/>
        </w:rPr>
        <w:t xml:space="preserve"> tests the hypothesized relationships </w:t>
      </w:r>
      <w:r w:rsidR="007C0420" w:rsidRPr="002A7627">
        <w:rPr>
          <w:rStyle w:val="fontstyle01"/>
          <w:rFonts w:asciiTheme="majorBidi" w:hAnsiTheme="majorBidi" w:cstheme="majorBidi"/>
        </w:rPr>
        <w:fldChar w:fldCharType="begin" w:fldLock="1"/>
      </w:r>
      <w:r w:rsidR="007C0420" w:rsidRPr="002A7627">
        <w:rPr>
          <w:rStyle w:val="fontstyle01"/>
          <w:rFonts w:asciiTheme="majorBidi" w:hAnsiTheme="majorBidi" w:cstheme="majorBidi"/>
        </w:rPr>
        <w:instrText>ADDIN CSL_CITATION {"citationItems":[{"id":"ITEM-1","itemData":{"author":[{"dropping-particle":"","family":"Hair","given":"Joseph F.","non-dropping-particle":"","parse-names":false,"suffix":""},{"dropping-particle":"","family":"Hult","given":"G. T. M.","non-dropping-particle":"","parse-names":false,"suffix":""},{"dropping-particle":"","family":"Ringle","given":"C. M.","non-dropping-particle":"","parse-names":false,"suffix":""},{"dropping-particle":"","family":"Sarstedt","given":"M.","non-dropping-particle":"","parse-names":false,"suffix":""}],"edition":"2nd","id":"ITEM-1","issued":{"date-parts":[["2017"]]},"number-of-pages":"384","publisher":"Sage","publisher-place":"Thousand Oaks, CA","title":"A Primer on partial least squares structural equation modeling (PLS-SEM)","type":"book"},"uris":["http://www.mendeley.com/documents/?uuid=7cc894e8-367a-4792-aa57-286cbf607049"]}],"mendeley":{"formattedCitation":"(Hair et al., 2017)","plainTextFormattedCitation":"(Hair et al., 2017)","previouslyFormattedCitation":"(Hair et al., 2017)"},"properties":{"noteIndex":0},"schema":"https://github.com/citation-style-language/schema/raw/master/csl-citation.json"}</w:instrText>
      </w:r>
      <w:r w:rsidR="007C0420" w:rsidRPr="002A7627">
        <w:rPr>
          <w:rStyle w:val="fontstyle01"/>
          <w:rFonts w:asciiTheme="majorBidi" w:hAnsiTheme="majorBidi" w:cstheme="majorBidi"/>
        </w:rPr>
        <w:fldChar w:fldCharType="separate"/>
      </w:r>
      <w:r w:rsidR="007C0420" w:rsidRPr="002A7627">
        <w:rPr>
          <w:rStyle w:val="fontstyle01"/>
          <w:rFonts w:asciiTheme="majorBidi" w:hAnsiTheme="majorBidi" w:cstheme="majorBidi"/>
          <w:noProof/>
        </w:rPr>
        <w:t>(Hair et al., 2017)</w:t>
      </w:r>
      <w:r w:rsidR="007C0420" w:rsidRPr="002A7627">
        <w:rPr>
          <w:rStyle w:val="fontstyle01"/>
          <w:rFonts w:asciiTheme="majorBidi" w:hAnsiTheme="majorBidi" w:cstheme="majorBidi"/>
        </w:rPr>
        <w:fldChar w:fldCharType="end"/>
      </w:r>
      <w:r w:rsidR="007C0420" w:rsidRPr="002A7627">
        <w:rPr>
          <w:rStyle w:val="fontstyle01"/>
          <w:rFonts w:asciiTheme="majorBidi" w:hAnsiTheme="majorBidi" w:cstheme="majorBidi"/>
        </w:rPr>
        <w:t xml:space="preserve">. </w:t>
      </w:r>
      <w:r w:rsidR="009C09E9">
        <w:rPr>
          <w:rStyle w:val="fontstyle01"/>
          <w:rFonts w:asciiTheme="majorBidi" w:hAnsiTheme="majorBidi" w:cstheme="majorBidi"/>
        </w:rPr>
        <w:t>As well as</w:t>
      </w:r>
      <w:r w:rsidR="007C0420">
        <w:rPr>
          <w:rStyle w:val="fontstyle01"/>
          <w:rFonts w:asciiTheme="majorBidi" w:hAnsiTheme="majorBidi" w:cstheme="majorBidi"/>
        </w:rPr>
        <w:t xml:space="preserve"> examining the</w:t>
      </w:r>
      <w:r w:rsidR="007C0420" w:rsidRPr="002A7627">
        <w:rPr>
          <w:rStyle w:val="fontstyle01"/>
          <w:rFonts w:asciiTheme="majorBidi" w:hAnsiTheme="majorBidi" w:cstheme="majorBidi"/>
        </w:rPr>
        <w:t xml:space="preserve"> model fit</w:t>
      </w:r>
      <w:r w:rsidR="007C0420">
        <w:rPr>
          <w:rStyle w:val="fontstyle01"/>
          <w:rFonts w:asciiTheme="majorBidi" w:hAnsiTheme="majorBidi" w:cstheme="majorBidi"/>
        </w:rPr>
        <w:t xml:space="preserve">, </w:t>
      </w:r>
      <w:r w:rsidR="007C0420" w:rsidRPr="002A7627">
        <w:rPr>
          <w:rStyle w:val="fontstyle01"/>
          <w:rFonts w:asciiTheme="majorBidi" w:hAnsiTheme="majorBidi" w:cstheme="majorBidi"/>
        </w:rPr>
        <w:t>the significance of the path coefficients and loadings</w:t>
      </w:r>
      <w:r w:rsidR="007C0420">
        <w:rPr>
          <w:rStyle w:val="fontstyle01"/>
          <w:rFonts w:asciiTheme="majorBidi" w:hAnsiTheme="majorBidi" w:cstheme="majorBidi"/>
        </w:rPr>
        <w:t xml:space="preserve"> was tested using </w:t>
      </w:r>
      <w:r w:rsidR="007C0420" w:rsidRPr="002A7627">
        <w:rPr>
          <w:rStyle w:val="fontstyle01"/>
          <w:rFonts w:asciiTheme="majorBidi" w:hAnsiTheme="majorBidi" w:cstheme="majorBidi"/>
        </w:rPr>
        <w:t xml:space="preserve">the bootstrapping method (5000 resamples) </w:t>
      </w:r>
      <w:r w:rsidR="007C0420" w:rsidRPr="002A7627">
        <w:rPr>
          <w:rStyle w:val="fontstyle01"/>
          <w:rFonts w:asciiTheme="majorBidi" w:hAnsiTheme="majorBidi" w:cstheme="majorBidi"/>
        </w:rPr>
        <w:fldChar w:fldCharType="begin" w:fldLock="1"/>
      </w:r>
      <w:r w:rsidR="007C0420" w:rsidRPr="002A7627">
        <w:rPr>
          <w:rStyle w:val="fontstyle01"/>
          <w:rFonts w:asciiTheme="majorBidi" w:hAnsiTheme="majorBidi" w:cstheme="majorBidi"/>
        </w:rPr>
        <w:instrText>ADDIN CSL_CITATION {"citationItems":[{"id":"ITEM-1","itemData":{"author":[{"dropping-particle":"","family":"Hair","given":"Joseph F.","non-dropping-particle":"","parse-names":false,"suffix":""},{"dropping-particle":"","family":"Hult","given":"G. T. M.","non-dropping-particle":"","parse-names":false,"suffix":""},{"dropping-particle":"","family":"Ringle","given":"C. M.","non-dropping-particle":"","parse-names":false,"suffix":""},{"dropping-particle":"","family":"Sarstedt","given":"M.","non-dropping-particle":"","parse-names":false,"suffix":""}],"edition":"2nd","id":"ITEM-1","issued":{"date-parts":[["2017"]]},"number-of-pages":"384","publisher":"Sage","publisher-place":"Thousand Oaks, CA","title":"A Primer on partial least squares structural equation modeling (PLS-SEM)","type":"book"},"uris":["http://www.mendeley.com/documents/?uuid=7cc894e8-367a-4792-aa57-286cbf607049"]}],"mendeley":{"formattedCitation":"(Hair et al., 2017)","plainTextFormattedCitation":"(Hair et al., 2017)","previouslyFormattedCitation":"(Hair et al., 2017)"},"properties":{"noteIndex":0},"schema":"https://github.com/citation-style-language/schema/raw/master/csl-citation.json"}</w:instrText>
      </w:r>
      <w:r w:rsidR="007C0420" w:rsidRPr="002A7627">
        <w:rPr>
          <w:rStyle w:val="fontstyle01"/>
          <w:rFonts w:asciiTheme="majorBidi" w:hAnsiTheme="majorBidi" w:cstheme="majorBidi"/>
        </w:rPr>
        <w:fldChar w:fldCharType="separate"/>
      </w:r>
      <w:r w:rsidR="007C0420" w:rsidRPr="002A7627">
        <w:rPr>
          <w:rStyle w:val="fontstyle01"/>
          <w:rFonts w:asciiTheme="majorBidi" w:hAnsiTheme="majorBidi" w:cstheme="majorBidi"/>
          <w:noProof/>
        </w:rPr>
        <w:t>(Hair et al., 2017)</w:t>
      </w:r>
      <w:r w:rsidR="007C0420" w:rsidRPr="002A7627">
        <w:rPr>
          <w:rStyle w:val="fontstyle01"/>
          <w:rFonts w:asciiTheme="majorBidi" w:hAnsiTheme="majorBidi" w:cstheme="majorBidi"/>
        </w:rPr>
        <w:fldChar w:fldCharType="end"/>
      </w:r>
      <w:r w:rsidR="007C0420" w:rsidRPr="002A7627">
        <w:rPr>
          <w:rStyle w:val="fontstyle01"/>
          <w:rFonts w:asciiTheme="majorBidi" w:hAnsiTheme="majorBidi" w:cstheme="majorBidi"/>
        </w:rPr>
        <w:t xml:space="preserve">. </w:t>
      </w:r>
    </w:p>
    <w:p w14:paraId="5C0AD82E" w14:textId="664051F9" w:rsidR="007C0420" w:rsidRPr="002A7627" w:rsidRDefault="007C0420" w:rsidP="007C0420">
      <w:pPr>
        <w:pStyle w:val="AAAAAAA"/>
        <w:rPr>
          <w:rStyle w:val="fontstyle01"/>
          <w:rFonts w:asciiTheme="majorBidi" w:hAnsiTheme="majorBidi" w:cstheme="majorBidi"/>
        </w:rPr>
      </w:pPr>
      <w:bookmarkStart w:id="233" w:name="_Toc22331704"/>
      <w:r w:rsidRPr="001A25B4">
        <w:rPr>
          <w:rStyle w:val="Heading2Char"/>
          <w:u w:val="none"/>
        </w:rPr>
        <w:t>5.3.1. Model Fit</w:t>
      </w:r>
      <w:bookmarkEnd w:id="233"/>
      <w:r w:rsidRPr="002A7627">
        <w:rPr>
          <w:rStyle w:val="fontstyle01"/>
          <w:rFonts w:asciiTheme="majorBidi" w:hAnsiTheme="majorBidi"/>
          <w:bCs/>
        </w:rPr>
        <w:t xml:space="preserve">. </w:t>
      </w:r>
      <w:r w:rsidR="008C2BD2" w:rsidRPr="00024F6D">
        <w:rPr>
          <w:rStyle w:val="fontstyle01"/>
          <w:rFonts w:asciiTheme="majorBidi" w:hAnsiTheme="majorBidi" w:cstheme="majorBidi"/>
        </w:rPr>
        <w:t xml:space="preserve">The starting point </w:t>
      </w:r>
      <w:r w:rsidR="009C09E9">
        <w:rPr>
          <w:rStyle w:val="fontstyle01"/>
          <w:rFonts w:asciiTheme="majorBidi" w:hAnsiTheme="majorBidi" w:cstheme="majorBidi"/>
        </w:rPr>
        <w:t>in</w:t>
      </w:r>
      <w:r w:rsidR="008C2BD2" w:rsidRPr="00024F6D">
        <w:rPr>
          <w:rStyle w:val="fontstyle01"/>
          <w:rFonts w:asciiTheme="majorBidi" w:hAnsiTheme="majorBidi" w:cstheme="majorBidi"/>
        </w:rPr>
        <w:t xml:space="preserve"> analyzing the model </w:t>
      </w:r>
      <w:r w:rsidR="009C09E9">
        <w:rPr>
          <w:rStyle w:val="fontstyle01"/>
          <w:rFonts w:asciiTheme="majorBidi" w:hAnsiTheme="majorBidi" w:cstheme="majorBidi"/>
        </w:rPr>
        <w:t>was</w:t>
      </w:r>
      <w:r w:rsidR="008C2BD2" w:rsidRPr="00024F6D">
        <w:rPr>
          <w:rStyle w:val="fontstyle01"/>
          <w:rFonts w:asciiTheme="majorBidi" w:hAnsiTheme="majorBidi" w:cstheme="majorBidi"/>
        </w:rPr>
        <w:t xml:space="preserve"> to test </w:t>
      </w:r>
      <w:r w:rsidR="009C09E9">
        <w:rPr>
          <w:rStyle w:val="fontstyle01"/>
          <w:rFonts w:asciiTheme="majorBidi" w:hAnsiTheme="majorBidi" w:cstheme="majorBidi"/>
        </w:rPr>
        <w:t>its</w:t>
      </w:r>
      <w:r w:rsidR="008C2BD2" w:rsidRPr="00024F6D">
        <w:rPr>
          <w:rStyle w:val="fontstyle01"/>
          <w:rFonts w:asciiTheme="majorBidi" w:hAnsiTheme="majorBidi" w:cstheme="majorBidi"/>
        </w:rPr>
        <w:t xml:space="preserve"> overall goodness-of-fit. A model must fit the data</w:t>
      </w:r>
      <w:r w:rsidR="009C09E9">
        <w:rPr>
          <w:rStyle w:val="fontstyle01"/>
          <w:rFonts w:asciiTheme="majorBidi" w:hAnsiTheme="majorBidi" w:cstheme="majorBidi"/>
        </w:rPr>
        <w:t>.</w:t>
      </w:r>
      <w:r w:rsidR="008C2BD2" w:rsidRPr="00024F6D">
        <w:rPr>
          <w:rStyle w:val="fontstyle01"/>
          <w:rFonts w:asciiTheme="majorBidi" w:hAnsiTheme="majorBidi" w:cstheme="majorBidi"/>
        </w:rPr>
        <w:t xml:space="preserve"> </w:t>
      </w:r>
      <w:r w:rsidR="009C09E9">
        <w:rPr>
          <w:rStyle w:val="fontstyle01"/>
          <w:rFonts w:asciiTheme="majorBidi" w:hAnsiTheme="majorBidi" w:cstheme="majorBidi"/>
        </w:rPr>
        <w:t>I</w:t>
      </w:r>
      <w:r w:rsidR="008C2BD2" w:rsidRPr="00024F6D">
        <w:rPr>
          <w:rStyle w:val="fontstyle01"/>
          <w:rFonts w:asciiTheme="majorBidi" w:hAnsiTheme="majorBidi" w:cstheme="majorBidi"/>
        </w:rPr>
        <w:t xml:space="preserve">f </w:t>
      </w:r>
      <w:r w:rsidR="009C09E9">
        <w:rPr>
          <w:rStyle w:val="fontstyle01"/>
          <w:rFonts w:asciiTheme="majorBidi" w:hAnsiTheme="majorBidi" w:cstheme="majorBidi"/>
        </w:rPr>
        <w:t xml:space="preserve">it does </w:t>
      </w:r>
      <w:r w:rsidR="008C2BD2" w:rsidRPr="00024F6D">
        <w:rPr>
          <w:rStyle w:val="fontstyle01"/>
          <w:rFonts w:asciiTheme="majorBidi" w:hAnsiTheme="majorBidi" w:cstheme="majorBidi"/>
        </w:rPr>
        <w:t xml:space="preserve">not, </w:t>
      </w:r>
      <w:r w:rsidR="009C09E9">
        <w:rPr>
          <w:rStyle w:val="fontstyle01"/>
          <w:rFonts w:asciiTheme="majorBidi" w:hAnsiTheme="majorBidi" w:cstheme="majorBidi"/>
        </w:rPr>
        <w:t>the data</w:t>
      </w:r>
      <w:r w:rsidR="008C2BD2" w:rsidRPr="00024F6D">
        <w:rPr>
          <w:rStyle w:val="fontstyle01"/>
          <w:rFonts w:asciiTheme="majorBidi" w:hAnsiTheme="majorBidi" w:cstheme="majorBidi"/>
        </w:rPr>
        <w:t xml:space="preserve"> include more information than the model conveys. </w:t>
      </w:r>
      <w:r w:rsidR="009C09E9">
        <w:rPr>
          <w:rStyle w:val="fontstyle01"/>
          <w:rFonts w:asciiTheme="majorBidi" w:hAnsiTheme="majorBidi" w:cstheme="majorBidi"/>
        </w:rPr>
        <w:t>T</w:t>
      </w:r>
      <w:r w:rsidR="008C2BD2" w:rsidRPr="00024F6D">
        <w:rPr>
          <w:rStyle w:val="fontstyle01"/>
          <w:rFonts w:asciiTheme="majorBidi" w:hAnsiTheme="majorBidi" w:cstheme="majorBidi"/>
        </w:rPr>
        <w:t xml:space="preserve">he estimates </w:t>
      </w:r>
      <w:r w:rsidR="009C09E9">
        <w:rPr>
          <w:rStyle w:val="fontstyle01"/>
          <w:rFonts w:asciiTheme="majorBidi" w:hAnsiTheme="majorBidi" w:cstheme="majorBidi"/>
        </w:rPr>
        <w:t xml:space="preserve">can only be considered </w:t>
      </w:r>
      <w:r w:rsidR="008C2BD2" w:rsidRPr="00024F6D">
        <w:rPr>
          <w:rStyle w:val="fontstyle01"/>
          <w:rFonts w:asciiTheme="majorBidi" w:hAnsiTheme="majorBidi" w:cstheme="majorBidi"/>
        </w:rPr>
        <w:t>meaningful and the results reliable</w:t>
      </w:r>
      <w:r w:rsidR="009C09E9">
        <w:rPr>
          <w:rStyle w:val="fontstyle01"/>
          <w:rFonts w:asciiTheme="majorBidi" w:hAnsiTheme="majorBidi" w:cstheme="majorBidi"/>
        </w:rPr>
        <w:t xml:space="preserve"> if the model fits the data</w:t>
      </w:r>
      <w:r w:rsidR="008C2BD2" w:rsidRPr="00024F6D">
        <w:rPr>
          <w:rStyle w:val="fontstyle01"/>
          <w:rFonts w:asciiTheme="majorBidi" w:hAnsiTheme="majorBidi" w:cstheme="majorBidi"/>
        </w:rPr>
        <w:t xml:space="preserve">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{"citationItems":[{"id":"ITEM-1","itemData":{"DOI":"10.1108/IMDS-09-2015-0382","ISBN":"0263557111","ISSN":"0263-5577","PMID":"21409434","abstract":"Purpose – Partial least squares (PLS) path modeling is a variance-based structural equation modeling (SEM) technique that is widely applied in business and social sciences. Its ability to model composites and factors makes it a formidable statistical tool for new technology research. Recent reviews, discussions, and developments have led to substantial changes in the understanding and use of PLS. The paper aims to discuss these issues. Design/methodology/approach – This paper aggregates new insights and offers a fresh look at PLS path modeling. It presents new developments, such as consistent PLS, confirmatory composite analysis, and the heterotrait-monotrait ratio of correlations. Findings – PLS path modeling is the method of choice if a SEM contains both factors and composites. Novel tests of exact fit make a confirmatory use of PLS path modeling possible. Originality/value – This paper provides updated guidelines of how to use PLS and how to report and interpret its results.","author":[{"dropping-particle":"","family":"Henseler","given":"Jörg","non-dropping-particle":"","parse-names":false,"suffix":""},{"dropping-particle":"","family":"Hubona","given":"Geoffrey","non-dropping-particle":"","parse-names":false,"suffix":""},{"dropping-particle":"","family":"Ray","given":"Pauline Ash","non-dropping-particle":"","parse-names":false,"suffix":""}],"container-title":"Industrial Management and Data Systems","id":"ITEM-1","issue":"1","issued":{"date-parts":[["2016","2"]]},"page":"2-20","title":"Using PLS path modeling in new technology research: Updated guidelines","type":"article-journal","volume":"116"},"uris":["http://www.mendeley.com/documents/?uuid=09b5e4c5-6228-4008-ba38-cd2bf7202710"]}],"mendeley":{"formattedCitation":"(Henseler et al., 2016)","plainTextFormattedCitation":"(Henseler et al., 2016)","previouslyFormattedCitation":"(Henseler et al., 2016)"},"properties":{"noteIndex":0},"schema":"https://github.com/citation-style-language/schema/raw/master/csl-citation.json"}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(Henseler et al., 2016)</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 xml:space="preserve">. </w:t>
      </w:r>
      <w:r w:rsidR="009C09E9">
        <w:rPr>
          <w:rStyle w:val="fontstyle01"/>
          <w:rFonts w:asciiTheme="majorBidi" w:hAnsiTheme="majorBidi" w:cstheme="majorBidi"/>
        </w:rPr>
        <w:t>T</w:t>
      </w:r>
      <w:r w:rsidR="009E18A7" w:rsidRPr="00024F6D">
        <w:rPr>
          <w:rStyle w:val="fontstyle01"/>
          <w:rFonts w:asciiTheme="majorBidi" w:hAnsiTheme="majorBidi" w:cstheme="majorBidi"/>
        </w:rPr>
        <w:t xml:space="preserve">wo non-exclusive ways are </w:t>
      </w:r>
      <w:r w:rsidR="009C09E9">
        <w:rPr>
          <w:rStyle w:val="fontstyle01"/>
          <w:rFonts w:asciiTheme="majorBidi" w:hAnsiTheme="majorBidi" w:cstheme="majorBidi"/>
        </w:rPr>
        <w:t xml:space="preserve">commonly used to test </w:t>
      </w:r>
      <w:r w:rsidR="009E18A7" w:rsidRPr="00024F6D">
        <w:rPr>
          <w:rStyle w:val="fontstyle01"/>
          <w:rFonts w:asciiTheme="majorBidi" w:hAnsiTheme="majorBidi" w:cstheme="majorBidi"/>
        </w:rPr>
        <w:t xml:space="preserve">global model fit: 1) inference statistics </w:t>
      </w:r>
      <w:r w:rsidR="009C09E9">
        <w:rPr>
          <w:rStyle w:val="fontstyle01"/>
          <w:rFonts w:asciiTheme="majorBidi" w:hAnsiTheme="majorBidi" w:cstheme="majorBidi"/>
        </w:rPr>
        <w:t>or</w:t>
      </w:r>
      <w:r w:rsidR="009E18A7" w:rsidRPr="00024F6D">
        <w:rPr>
          <w:rStyle w:val="fontstyle01"/>
          <w:rFonts w:asciiTheme="majorBidi" w:hAnsiTheme="majorBidi" w:cstheme="majorBidi"/>
        </w:rPr>
        <w:t xml:space="preserve"> tests of model fit, or 2) fit indices</w:t>
      </w:r>
      <w:r w:rsidR="009C09E9">
        <w:rPr>
          <w:rStyle w:val="fontstyle01"/>
          <w:rFonts w:asciiTheme="majorBidi" w:hAnsiTheme="majorBidi" w:cstheme="majorBidi"/>
        </w:rPr>
        <w:t>, or</w:t>
      </w:r>
      <w:r w:rsidR="009E18A7" w:rsidRPr="00024F6D">
        <w:rPr>
          <w:rStyle w:val="fontstyle01"/>
          <w:rFonts w:asciiTheme="majorBidi" w:hAnsiTheme="majorBidi" w:cstheme="majorBidi"/>
        </w:rPr>
        <w:t xml:space="preserve"> assessment of approximate model fit. </w:t>
      </w:r>
      <w:r w:rsidR="009C09E9">
        <w:rPr>
          <w:rStyle w:val="fontstyle01"/>
          <w:rFonts w:asciiTheme="majorBidi" w:hAnsiTheme="majorBidi" w:cstheme="majorBidi"/>
        </w:rPr>
        <w:t>For</w:t>
      </w:r>
      <w:r w:rsidR="009E18A7" w:rsidRPr="00024F6D">
        <w:rPr>
          <w:rStyle w:val="fontstyle01"/>
          <w:rFonts w:asciiTheme="majorBidi" w:hAnsiTheme="majorBidi" w:cstheme="majorBidi"/>
        </w:rPr>
        <w:t xml:space="preserve"> a more reliable analysis, the model fit can be assessed for the estimated model and the saturated model</w:t>
      </w:r>
      <w:r w:rsidR="009C09E9">
        <w:rPr>
          <w:rStyle w:val="fontstyle01"/>
          <w:rFonts w:asciiTheme="majorBidi" w:hAnsiTheme="majorBidi" w:cstheme="majorBidi"/>
        </w:rPr>
        <w:t>.</w:t>
      </w:r>
      <w:r w:rsidR="009E18A7" w:rsidRPr="00024F6D">
        <w:rPr>
          <w:rStyle w:val="fontstyle01"/>
          <w:rFonts w:asciiTheme="majorBidi" w:hAnsiTheme="majorBidi" w:cstheme="majorBidi"/>
        </w:rPr>
        <w:t xml:space="preserve"> </w:t>
      </w:r>
      <w:r w:rsidR="009C09E9">
        <w:rPr>
          <w:rStyle w:val="fontstyle01"/>
          <w:rFonts w:asciiTheme="majorBidi" w:hAnsiTheme="majorBidi" w:cstheme="majorBidi"/>
        </w:rPr>
        <w:t>I</w:t>
      </w:r>
      <w:r w:rsidR="009E18A7" w:rsidRPr="00024F6D">
        <w:rPr>
          <w:rStyle w:val="fontstyle01"/>
          <w:rFonts w:asciiTheme="majorBidi" w:hAnsiTheme="majorBidi" w:cstheme="majorBidi"/>
        </w:rPr>
        <w:t>n the saturated model</w:t>
      </w:r>
      <w:r w:rsidR="009C09E9">
        <w:rPr>
          <w:rStyle w:val="fontstyle01"/>
          <w:rFonts w:asciiTheme="majorBidi" w:hAnsiTheme="majorBidi" w:cstheme="majorBidi"/>
        </w:rPr>
        <w:t>,</w:t>
      </w:r>
      <w:r w:rsidR="009E18A7" w:rsidRPr="00024F6D">
        <w:rPr>
          <w:rStyle w:val="fontstyle01"/>
          <w:rFonts w:asciiTheme="majorBidi" w:hAnsiTheme="majorBidi" w:cstheme="majorBidi"/>
        </w:rPr>
        <w:t xml:space="preserve"> all constructs correlate freely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{"citationItems":[{"id":"ITEM-1","itemData":{"DOI":"10.1108/IMDS-09-2015-0382","ISBN":"0263557111","ISSN":"0263-5577","PMID":"21409434","abstract":"Purpose – Partial least squares (PLS) path modeling is a variance-based structural equation modeling (SEM) technique that is widely applied in business and social sciences. Its ability to model composites and factors makes it a formidable statistical tool for new technology research. Recent reviews, discussions, and developments have led to substantial changes in the understanding and use of PLS. The paper aims to discuss these issues. Design/methodology/approach – This paper aggregates new insights and offers a fresh look at PLS path modeling. It presents new developments, such as consistent PLS, confirmatory composite analysis, and the heterotrait-monotrait ratio of correlations. Findings – PLS path modeling is the method of choice if a SEM contains both factors and composites. Novel tests of exact fit make a confirmatory use of PLS path modeling possible. Originality/value – This paper provides updated guidelines of how to use PLS and how to report and interpret its results.","author":[{"dropping-particle":"","family":"Henseler","given":"Jörg","non-dropping-particle":"","parse-names":false,"suffix":""},{"dropping-particle":"","family":"Hubona","given":"Geoffrey","non-dropping-particle":"","parse-names":false,"suffix":""},{"dropping-particle":"","family":"Ray","given":"Pauline Ash","non-dropping-particle":"","parse-names":false,"suffix":""}],"container-title":"Industrial Management and Data Systems","id":"ITEM-1","issue":"1","issued":{"date-parts":[["2016","2"]]},"page":"2-20","title":"Using PLS path modeling in new technology research: Updated guidelines","type":"article-journal","volume":"116"},"uris":["http://www.mendeley.com/documents/?uuid=09b5e4c5-6228-4008-ba38-cd2bf7202710"]}],"mendeley":{"formattedCitation":"(Henseler et al., 2016)","plainTextFormattedCitation":"(Henseler et al., 2016)","previouslyFormattedCitation":"(Henseler et al., 2016)"},"properties":{"noteIndex":0},"schema":"https://github.com/citation-style-language/schema/raw/master/csl-citation.json"}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(Henseler et al., 2016)</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w:t>
      </w:r>
    </w:p>
    <w:p w14:paraId="271432BB" w14:textId="1D7F9FF9" w:rsidR="007C0420" w:rsidRPr="002A7627" w:rsidRDefault="009E18A7" w:rsidP="007C0420">
      <w:pPr>
        <w:pStyle w:val="AAAAAAA"/>
        <w:rPr>
          <w:rStyle w:val="fontstyle01"/>
          <w:rFonts w:asciiTheme="majorBidi" w:hAnsiTheme="majorBidi" w:cstheme="majorBidi"/>
        </w:rPr>
      </w:pPr>
      <w:r w:rsidRPr="00024F6D">
        <w:rPr>
          <w:rStyle w:val="fontstyle01"/>
          <w:rFonts w:asciiTheme="majorBidi" w:hAnsiTheme="majorBidi" w:cstheme="majorBidi"/>
        </w:rPr>
        <w:t xml:space="preserve">The model fit in </w:t>
      </w:r>
      <w:r w:rsidR="009C09E9">
        <w:rPr>
          <w:rStyle w:val="fontstyle01"/>
          <w:rFonts w:asciiTheme="majorBidi" w:hAnsiTheme="majorBidi" w:cstheme="majorBidi"/>
        </w:rPr>
        <w:t xml:space="preserve">the </w:t>
      </w:r>
      <w:r w:rsidRPr="00024F6D">
        <w:rPr>
          <w:rStyle w:val="fontstyle01"/>
          <w:rFonts w:asciiTheme="majorBidi" w:hAnsiTheme="majorBidi" w:cstheme="majorBidi"/>
        </w:rPr>
        <w:t>PLS path modeling</w:t>
      </w:r>
      <w:r w:rsidRPr="00024F6D">
        <w:rPr>
          <w:rStyle w:val="fontstyle21"/>
          <w:rFonts w:asciiTheme="majorBidi" w:hAnsiTheme="majorBidi" w:cstheme="majorBidi"/>
        </w:rPr>
        <w:t xml:space="preserve"> test</w:t>
      </w:r>
      <w:r w:rsidRPr="00024F6D">
        <w:rPr>
          <w:rStyle w:val="fontstyle01"/>
          <w:rFonts w:asciiTheme="majorBidi" w:hAnsiTheme="majorBidi" w:cstheme="majorBidi"/>
        </w:rPr>
        <w:t xml:space="preserve"> relies on bootstrapping to evaluate the likelihood of a discrepancy between the empirical and model-implied correlation</w:t>
      </w:r>
      <w:r>
        <w:rPr>
          <w:rStyle w:val="fontstyle01"/>
          <w:rFonts w:asciiTheme="majorBidi" w:hAnsiTheme="majorBidi" w:cstheme="majorBidi"/>
        </w:rPr>
        <w:t xml:space="preserve"> </w:t>
      </w:r>
      <w:r w:rsidRPr="00024F6D">
        <w:rPr>
          <w:rStyle w:val="fontstyle01"/>
          <w:rFonts w:asciiTheme="majorBidi" w:hAnsiTheme="majorBidi" w:cstheme="majorBidi"/>
        </w:rPr>
        <w:t>matrix that is as high as the discrepancy found for the sample if the hypothesized</w:t>
      </w:r>
      <w:r>
        <w:rPr>
          <w:rStyle w:val="fontstyle01"/>
          <w:rFonts w:asciiTheme="majorBidi" w:hAnsiTheme="majorBidi" w:cstheme="majorBidi"/>
        </w:rPr>
        <w:t xml:space="preserve"> </w:t>
      </w:r>
      <w:r w:rsidRPr="00024F6D">
        <w:rPr>
          <w:rStyle w:val="fontstyle01"/>
          <w:rFonts w:asciiTheme="majorBidi" w:hAnsiTheme="majorBidi" w:cstheme="majorBidi"/>
        </w:rPr>
        <w:t>model was indeed correct</w:t>
      </w:r>
      <w:r w:rsidR="007C0420" w:rsidRPr="002A7627">
        <w:rPr>
          <w:rStyle w:val="fontstyle01"/>
          <w:rFonts w:asciiTheme="majorBidi" w:hAnsiTheme="majorBidi" w:cstheme="majorBidi"/>
        </w:rPr>
        <w:t xml:space="preserve"> </w:t>
      </w:r>
      <w:r w:rsidR="007C0420" w:rsidRPr="002A7627">
        <w:rPr>
          <w:rStyle w:val="fontstyle01"/>
          <w:rFonts w:asciiTheme="majorBidi" w:hAnsiTheme="majorBidi" w:cstheme="majorBidi"/>
        </w:rPr>
        <w:fldChar w:fldCharType="begin" w:fldLock="1"/>
      </w:r>
      <w:r w:rsidR="007C0420" w:rsidRPr="002A7627">
        <w:rPr>
          <w:rStyle w:val="fontstyle01"/>
          <w:rFonts w:asciiTheme="majorBidi" w:hAnsiTheme="majorBidi" w:cstheme="majorBidi"/>
        </w:rPr>
        <w:instrText>ADDIN CSL_CITATION {"citationItems":[{"id":"ITEM-1","itemData":{"DOI":"10.1016/j.csda.2014.07.008","ISBN":"0167-9473","ISSN":"01679473","PMID":"15677790","abstract":"• Consistent PLS estimates path coefficients and indicator loadings consistently. • Consistent PLS can estimate parameters of nonrecursive structural equation models. • A family of goodness-of-fit measures makes PLS suitable for confirmatory research. • Consistent PLS performs comparably to covariance-based structural equation modeling. a b s t r a c t A vital extension to partial least squares (PLS) path modeling is introduced: consistency. While maintaining all the strengths of PLS, the consistent version provides two key im-provements. Path coefficients, parameters of simultaneous equations, construct correla-tions, and indicator loadings are estimated consistently. The global goodness-of-fit of the structural model can also now be assessed, which makes PLS suitable for confirmatory research. A Monte Carlo simulation illustrates the new approach and compares it with covariance-based structural equation modeling.","author":[{"dropping-particle":"","family":"Dijkstra","given":"Theo K","non-dropping-particle":"","parse-names":false,"suffix":""},{"dropping-particle":"","family":"Henseler","given":"Jörg","non-dropping-particle":"","parse-names":false,"suffix":""}],"container-title":"Computational Statistics and Data Analysis","id":"ITEM-1","issued":{"date-parts":[["2015"]]},"page":"10-23","title":"Computational Statistics and Data Analysis Consistent and asymptotically normal PLS estimators for linear structural equations","type":"article-journal","volume":"81"},"uris":["http://www.mendeley.com/documents/?uuid=d2ae2393-dcad-45c9-a227-39192ad2e516"]}],"mendeley":{"formattedCitation":"(Dijkstra &amp; Henseler, 2015)","plainTextFormattedCitation":"(Dijkstra &amp; Henseler, 2015)","previouslyFormattedCitation":"(Dijkstra &amp; Henseler, 2015)"},"properties":{"noteIndex":0},"schema":"https://github.com/citation-style-language/schema/raw/master/csl-citation.json"}</w:instrText>
      </w:r>
      <w:r w:rsidR="007C0420" w:rsidRPr="002A7627">
        <w:rPr>
          <w:rStyle w:val="fontstyle01"/>
          <w:rFonts w:asciiTheme="majorBidi" w:hAnsiTheme="majorBidi" w:cstheme="majorBidi"/>
        </w:rPr>
        <w:fldChar w:fldCharType="separate"/>
      </w:r>
      <w:r w:rsidR="007C0420" w:rsidRPr="002A7627">
        <w:rPr>
          <w:rStyle w:val="fontstyle01"/>
          <w:rFonts w:asciiTheme="majorBidi" w:hAnsiTheme="majorBidi" w:cstheme="majorBidi"/>
          <w:noProof/>
        </w:rPr>
        <w:t>(Dijkstra &amp; Henseler, 2015)</w:t>
      </w:r>
      <w:r w:rsidR="007C0420" w:rsidRPr="002A7627">
        <w:rPr>
          <w:rStyle w:val="fontstyle01"/>
          <w:rFonts w:asciiTheme="majorBidi" w:hAnsiTheme="majorBidi" w:cstheme="majorBidi"/>
        </w:rPr>
        <w:fldChar w:fldCharType="end"/>
      </w:r>
      <w:r w:rsidR="007C0420" w:rsidRPr="002A7627">
        <w:rPr>
          <w:rStyle w:val="fontstyle01"/>
          <w:rFonts w:asciiTheme="majorBidi" w:hAnsiTheme="majorBidi" w:cstheme="majorBidi"/>
        </w:rPr>
        <w:t xml:space="preserve">. Bootstrap samples are </w:t>
      </w:r>
      <w:r>
        <w:rPr>
          <w:rStyle w:val="fontstyle01"/>
          <w:rFonts w:asciiTheme="majorBidi" w:hAnsiTheme="majorBidi" w:cstheme="majorBidi"/>
        </w:rPr>
        <w:t>generated</w:t>
      </w:r>
      <w:r w:rsidRPr="002A7627">
        <w:rPr>
          <w:rStyle w:val="fontstyle01"/>
          <w:rFonts w:asciiTheme="majorBidi" w:hAnsiTheme="majorBidi" w:cstheme="majorBidi"/>
        </w:rPr>
        <w:t xml:space="preserve"> </w:t>
      </w:r>
      <w:r>
        <w:rPr>
          <w:rStyle w:val="fontstyle01"/>
          <w:rFonts w:asciiTheme="majorBidi" w:hAnsiTheme="majorBidi" w:cstheme="majorBidi"/>
        </w:rPr>
        <w:t>by modified</w:t>
      </w:r>
      <w:r w:rsidRPr="002A7627">
        <w:rPr>
          <w:rStyle w:val="fontstyle01"/>
          <w:rFonts w:asciiTheme="majorBidi" w:hAnsiTheme="majorBidi" w:cstheme="majorBidi"/>
        </w:rPr>
        <w:t xml:space="preserve"> </w:t>
      </w:r>
      <w:r w:rsidR="007C0420" w:rsidRPr="002A7627">
        <w:rPr>
          <w:rStyle w:val="fontstyle01"/>
          <w:rFonts w:asciiTheme="majorBidi" w:hAnsiTheme="majorBidi" w:cstheme="majorBidi"/>
        </w:rPr>
        <w:t>sample data</w:t>
      </w:r>
      <w:r>
        <w:rPr>
          <w:rStyle w:val="fontstyle01"/>
          <w:rFonts w:asciiTheme="majorBidi" w:hAnsiTheme="majorBidi" w:cstheme="majorBidi"/>
        </w:rPr>
        <w:t xml:space="preserve">. This modification </w:t>
      </w:r>
      <w:r w:rsidR="003A0710">
        <w:rPr>
          <w:rStyle w:val="fontstyle01"/>
          <w:rFonts w:asciiTheme="majorBidi" w:hAnsiTheme="majorBidi" w:cstheme="majorBidi"/>
        </w:rPr>
        <w:t>uses</w:t>
      </w:r>
      <w:r w:rsidR="007C0420" w:rsidRPr="002A7627">
        <w:rPr>
          <w:rStyle w:val="fontstyle01"/>
          <w:rFonts w:asciiTheme="majorBidi" w:hAnsiTheme="majorBidi" w:cstheme="majorBidi"/>
        </w:rPr>
        <w:t xml:space="preserve"> an orthogonalization of </w:t>
      </w:r>
      <w:r w:rsidR="009E23B0">
        <w:rPr>
          <w:rStyle w:val="fontstyle01"/>
          <w:rFonts w:asciiTheme="majorBidi" w:hAnsiTheme="majorBidi" w:cstheme="majorBidi"/>
        </w:rPr>
        <w:t xml:space="preserve">all </w:t>
      </w:r>
      <w:r>
        <w:rPr>
          <w:rStyle w:val="fontstyle01"/>
          <w:rFonts w:asciiTheme="majorBidi" w:hAnsiTheme="majorBidi" w:cstheme="majorBidi"/>
        </w:rPr>
        <w:t xml:space="preserve">the </w:t>
      </w:r>
      <w:r w:rsidR="007C0420" w:rsidRPr="002A7627">
        <w:rPr>
          <w:rStyle w:val="fontstyle01"/>
          <w:rFonts w:asciiTheme="majorBidi" w:hAnsiTheme="majorBidi" w:cstheme="majorBidi"/>
        </w:rPr>
        <w:t xml:space="preserve">variables and </w:t>
      </w:r>
      <w:r w:rsidR="0090072C">
        <w:rPr>
          <w:rStyle w:val="fontstyle01"/>
          <w:rFonts w:asciiTheme="majorBidi" w:hAnsiTheme="majorBidi" w:cstheme="majorBidi"/>
        </w:rPr>
        <w:t>a</w:t>
      </w:r>
      <w:r w:rsidR="007C0420" w:rsidRPr="002A7627">
        <w:rPr>
          <w:rStyle w:val="fontstyle01"/>
          <w:rFonts w:asciiTheme="majorBidi" w:hAnsiTheme="majorBidi" w:cstheme="majorBidi"/>
        </w:rPr>
        <w:t xml:space="preserve"> subsequent imposition of the model-implied correlation matrix. In covariance-based SEM, this approach is known as </w:t>
      </w:r>
      <w:r w:rsidR="007C0420">
        <w:rPr>
          <w:rStyle w:val="fontstyle01"/>
          <w:rFonts w:asciiTheme="majorBidi" w:hAnsiTheme="majorBidi" w:cstheme="majorBidi"/>
        </w:rPr>
        <w:t xml:space="preserve">the </w:t>
      </w:r>
      <w:r w:rsidR="007C0420" w:rsidRPr="002A7627">
        <w:rPr>
          <w:rStyle w:val="fontstyle01"/>
          <w:rFonts w:asciiTheme="majorBidi" w:hAnsiTheme="majorBidi" w:cstheme="majorBidi"/>
        </w:rPr>
        <w:t>Bollen</w:t>
      </w:r>
      <w:r w:rsidR="003A0710">
        <w:rPr>
          <w:rStyle w:val="fontstyle01"/>
          <w:rFonts w:asciiTheme="majorBidi" w:hAnsiTheme="majorBidi" w:cstheme="majorBidi"/>
        </w:rPr>
        <w:t>–</w:t>
      </w:r>
      <w:r w:rsidR="007C0420" w:rsidRPr="002A7627">
        <w:rPr>
          <w:rStyle w:val="fontstyle01"/>
          <w:rFonts w:asciiTheme="majorBidi" w:hAnsiTheme="majorBidi" w:cstheme="majorBidi"/>
        </w:rPr>
        <w:t xml:space="preserve">Stine bootstrap </w:t>
      </w:r>
      <w:r w:rsidR="007C0420" w:rsidRPr="002A7627">
        <w:rPr>
          <w:rStyle w:val="fontstyle01"/>
          <w:rFonts w:asciiTheme="majorBidi" w:hAnsiTheme="majorBidi" w:cstheme="majorBidi"/>
        </w:rPr>
        <w:fldChar w:fldCharType="begin" w:fldLock="1"/>
      </w:r>
      <w:r w:rsidR="007C0420" w:rsidRPr="002A7627">
        <w:rPr>
          <w:rStyle w:val="fontstyle01"/>
          <w:rFonts w:asciiTheme="majorBidi" w:hAnsiTheme="majorBidi" w:cstheme="majorBidi"/>
        </w:rPr>
        <w:instrText>ADDIN CSL_CITATION {"citationItems":[{"id":"ITEM-1","itemData":{"DOI":"10.1177/0049124192021002004","ISSN":"15528294","abstract":"Abstract Assessing overall fit is a topic of keen interest to structural equation modelers, yet measuring goodness of fit has been hampered by several factors. First, the assumptions that underlie the chi-square tests of model fit often are violated. Second, many fit measures (eg ... \\n","author":[{"dropping-particle":"","family":"Bollen","given":"Kenneth A.","non-dropping-particle":"","parse-names":false,"suffix":""},{"dropping-particle":"","family":"Stine","given":"Robert A.","non-dropping-particle":"","parse-names":false,"suffix":""}],"container-title":"Sociological Methods and Research","id":"ITEM-1","issue":"2","issued":{"date-parts":[["1992"]]},"page":"205-229","title":"Bootstrapping goodness-of-fit measures in structural equation models","type":"article-journal","volume":"21"},"uris":["http://www.mendeley.com/documents/?uuid=71467b07-6934-44e1-ae73-38a3127a4d07"]}],"mendeley":{"formattedCitation":"(Bollen &amp; Stine, 1992)","plainTextFormattedCitation":"(Bollen &amp; Stine, 1992)","previouslyFormattedCitation":"(Bollen &amp; Stine, 1992)"},"properties":{"noteIndex":0},"schema":"https://github.com/citation-style-language/schema/raw/master/csl-citation.json"}</w:instrText>
      </w:r>
      <w:r w:rsidR="007C0420" w:rsidRPr="002A7627">
        <w:rPr>
          <w:rStyle w:val="fontstyle01"/>
          <w:rFonts w:asciiTheme="majorBidi" w:hAnsiTheme="majorBidi" w:cstheme="majorBidi"/>
        </w:rPr>
        <w:fldChar w:fldCharType="separate"/>
      </w:r>
      <w:r w:rsidR="007C0420" w:rsidRPr="002A7627">
        <w:rPr>
          <w:rStyle w:val="fontstyle01"/>
          <w:rFonts w:asciiTheme="majorBidi" w:hAnsiTheme="majorBidi" w:cstheme="majorBidi"/>
          <w:noProof/>
        </w:rPr>
        <w:t>(Bollen &amp; Stine, 1992)</w:t>
      </w:r>
      <w:r w:rsidR="007C0420" w:rsidRPr="002A7627">
        <w:rPr>
          <w:rStyle w:val="fontstyle01"/>
          <w:rFonts w:asciiTheme="majorBidi" w:hAnsiTheme="majorBidi" w:cstheme="majorBidi"/>
        </w:rPr>
        <w:fldChar w:fldCharType="end"/>
      </w:r>
      <w:r w:rsidR="007C0420" w:rsidRPr="002A7627">
        <w:rPr>
          <w:rStyle w:val="fontstyle01"/>
          <w:rFonts w:asciiTheme="majorBidi" w:hAnsiTheme="majorBidi" w:cstheme="majorBidi"/>
        </w:rPr>
        <w:t xml:space="preserve">. </w:t>
      </w:r>
    </w:p>
    <w:p w14:paraId="4CEAF77D" w14:textId="0FA8ED73" w:rsidR="007C0420" w:rsidRPr="002A7627" w:rsidRDefault="007C0420" w:rsidP="007C0420">
      <w:pPr>
        <w:pStyle w:val="AAAAAAA"/>
        <w:rPr>
          <w:rStyle w:val="fontstyle01"/>
          <w:rFonts w:asciiTheme="majorBidi" w:hAnsiTheme="majorBidi" w:cstheme="majorBidi"/>
        </w:rPr>
      </w:pPr>
      <w:r w:rsidRPr="002A7627">
        <w:rPr>
          <w:rStyle w:val="fontstyle01"/>
          <w:rFonts w:asciiTheme="majorBidi" w:hAnsiTheme="majorBidi" w:cstheme="majorBidi"/>
        </w:rPr>
        <w:t xml:space="preserve">Bootstrap-based tests of model fit over the unweighted least squares (dULS) and the geodesic discrepancy (dG) between the empirical and the model-implied correlation matrix </w:t>
      </w:r>
      <w:r w:rsidR="00790F99">
        <w:rPr>
          <w:rStyle w:val="fontstyle01"/>
          <w:rFonts w:asciiTheme="majorBidi" w:hAnsiTheme="majorBidi" w:cstheme="majorBidi"/>
        </w:rPr>
        <w:t>provide</w:t>
      </w:r>
      <w:r w:rsidR="00790F99" w:rsidRPr="002A7627">
        <w:rPr>
          <w:rStyle w:val="fontstyle01"/>
          <w:rFonts w:asciiTheme="majorBidi" w:hAnsiTheme="majorBidi" w:cstheme="majorBidi"/>
        </w:rPr>
        <w:t xml:space="preserve"> </w:t>
      </w:r>
      <w:r w:rsidRPr="002A7627">
        <w:rPr>
          <w:rStyle w:val="fontstyle01"/>
          <w:rFonts w:asciiTheme="majorBidi" w:hAnsiTheme="majorBidi" w:cstheme="majorBidi"/>
        </w:rPr>
        <w:t>the global goodness</w:t>
      </w:r>
      <w:r w:rsidR="003A0710">
        <w:rPr>
          <w:rStyle w:val="fontstyle01"/>
          <w:rFonts w:asciiTheme="majorBidi" w:hAnsiTheme="majorBidi" w:cstheme="majorBidi"/>
        </w:rPr>
        <w:t>-</w:t>
      </w:r>
      <w:r w:rsidRPr="002A7627">
        <w:rPr>
          <w:rStyle w:val="fontstyle01"/>
          <w:rFonts w:asciiTheme="majorBidi" w:hAnsiTheme="majorBidi" w:cstheme="majorBidi"/>
        </w:rPr>
        <w:t>of</w:t>
      </w:r>
      <w:r w:rsidR="003A0710">
        <w:rPr>
          <w:rStyle w:val="fontstyle01"/>
          <w:rFonts w:asciiTheme="majorBidi" w:hAnsiTheme="majorBidi" w:cstheme="majorBidi"/>
        </w:rPr>
        <w:t>-</w:t>
      </w:r>
      <w:r w:rsidRPr="002A7627">
        <w:rPr>
          <w:rStyle w:val="fontstyle01"/>
          <w:rFonts w:asciiTheme="majorBidi" w:hAnsiTheme="majorBidi" w:cstheme="majorBidi"/>
        </w:rPr>
        <w:t>model</w:t>
      </w:r>
      <w:r w:rsidR="003A0710">
        <w:rPr>
          <w:rStyle w:val="fontstyle01"/>
          <w:rFonts w:asciiTheme="majorBidi" w:hAnsiTheme="majorBidi" w:cstheme="majorBidi"/>
        </w:rPr>
        <w:t>-</w:t>
      </w:r>
      <w:r w:rsidRPr="002A7627">
        <w:rPr>
          <w:rStyle w:val="fontstyle01"/>
          <w:rFonts w:asciiTheme="majorBidi" w:hAnsiTheme="majorBidi" w:cstheme="majorBidi"/>
        </w:rPr>
        <w:t>fit</w:t>
      </w:r>
      <w:r>
        <w:rPr>
          <w:rStyle w:val="fontstyle01"/>
          <w:rFonts w:asciiTheme="majorBidi" w:hAnsiTheme="majorBidi" w:cstheme="majorBidi"/>
        </w:rPr>
        <w:t xml:space="preserve"> </w:t>
      </w:r>
      <w:r w:rsidR="00790F99">
        <w:rPr>
          <w:rStyle w:val="fontstyle01"/>
          <w:rFonts w:asciiTheme="majorBidi" w:hAnsiTheme="majorBidi" w:cstheme="majorBidi"/>
        </w:rPr>
        <w:t>assessment</w:t>
      </w:r>
      <w:r w:rsidRPr="002A7627">
        <w:rPr>
          <w:rStyle w:val="fontstyle01"/>
          <w:rFonts w:asciiTheme="majorBidi" w:hAnsiTheme="majorBidi" w:cstheme="majorBidi"/>
        </w:rPr>
        <w:t xml:space="preserve">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{"citationItems":[{"id":"ITEM-1","itemData":{"DOI":"10.1016/j.csda.2014.07.008","ISBN":"0167-9473","ISSN":"01679473","PMID":"15677790","abstract":"• Consistent PLS estimates path coefficients and indicator loadings consistently. • Consistent PLS can estimate parameters of nonrecursive structural equation models. • A family of goodness-of-fit measures makes PLS suitable for confirmatory research. • Consistent PLS performs comparably to covariance-based structural equation modeling. a b s t r a c t A vital extension to partial least squares (PLS) path modeling is introduced: consistency. While maintaining all the strengths of PLS, the consistent version provides two key im-provements. Path coefficients, parameters of simultaneous equations, construct correla-tions, and indicator loadings are estimated consistently. The global goodness-of-fit of the structural model can also now be assessed, which makes PLS suitable for confirmatory research. A Monte Carlo simulation illustrates the new approach and compares it with covariance-based structural equation modeling.","author":[{"dropping-particle":"","family":"Dijkstra","given":"Theo K","non-dropping-particle":"","parse-names":false,"suffix":""},{"dropping-particle":"","family":"Henseler","given":"Jörg","non-dropping-particle":"","parse-names":false,"suffix":""}],"container-title":"Computational Statistics and Data Analysis","id":"ITEM-1","issued":{"date-parts":[["2015"]]},"page":"10-23","title":"Computational Statistics and Data Analysis Consistent and asymptotically normal PLS estimators for linear structural equations","type":"article-journal","volume":"81"},"uris":["http://www.mendeley.com/documents/?uuid=d2ae2393-dcad-45c9-a227-39192ad2e516"]}],"mendeley":{"formattedCitation":"(Dijkstra &amp; Henseler, 2015)","plainTextFormattedCitation":"(Dijkstra &amp; Henseler, 2015)","previouslyFormattedCitation":"(Dijkstra &amp; Henseler, 2015)"},"properties":{"noteIndex":0},"schema":"https://github.com/citation-style-language/schema/raw/master/csl-citation.json"}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(Dijkstra &amp; Henseler, 2015)</w:t>
      </w:r>
      <w:r w:rsidRPr="002A7627">
        <w:rPr>
          <w:rStyle w:val="fontstyle01"/>
          <w:rFonts w:asciiTheme="majorBidi" w:hAnsiTheme="majorBidi" w:cstheme="majorBidi"/>
        </w:rPr>
        <w:fldChar w:fldCharType="end"/>
      </w:r>
      <w:r w:rsidR="003A0710">
        <w:rPr>
          <w:rStyle w:val="fontstyle01"/>
          <w:rFonts w:asciiTheme="majorBidi" w:hAnsiTheme="majorBidi" w:cstheme="majorBidi"/>
        </w:rPr>
        <w:t>. The result is considered acceptable</w:t>
      </w:r>
      <w:r w:rsidRPr="002A7627">
        <w:rPr>
          <w:rStyle w:val="fontstyle01"/>
          <w:rFonts w:asciiTheme="majorBidi" w:hAnsiTheme="majorBidi" w:cstheme="majorBidi"/>
        </w:rPr>
        <w:t xml:space="preserve"> if the discrepancy between these two matrices </w:t>
      </w:r>
      <w:r w:rsidR="003A0710">
        <w:rPr>
          <w:rStyle w:val="fontstyle01"/>
          <w:rFonts w:asciiTheme="majorBidi" w:hAnsiTheme="majorBidi" w:cstheme="majorBidi"/>
        </w:rPr>
        <w:t>is</w:t>
      </w:r>
      <w:r w:rsidR="003A0710" w:rsidRPr="002A7627">
        <w:rPr>
          <w:rStyle w:val="fontstyle01"/>
          <w:rFonts w:asciiTheme="majorBidi" w:hAnsiTheme="majorBidi" w:cstheme="majorBidi"/>
        </w:rPr>
        <w:t xml:space="preserve"> </w:t>
      </w:r>
      <w:r w:rsidRPr="002A7627">
        <w:rPr>
          <w:rStyle w:val="fontstyle01"/>
          <w:rFonts w:asciiTheme="majorBidi" w:hAnsiTheme="majorBidi" w:cstheme="majorBidi"/>
        </w:rPr>
        <w:t>insignificant (</w:t>
      </w:r>
      <w:r>
        <w:rPr>
          <w:rStyle w:val="fontstyle01"/>
          <w:rFonts w:asciiTheme="majorBidi" w:hAnsiTheme="majorBidi" w:cstheme="majorBidi"/>
        </w:rPr>
        <w:t xml:space="preserve">i.e., </w:t>
      </w:r>
      <w:r w:rsidRPr="00E87E8C">
        <w:rPr>
          <w:rStyle w:val="fontstyle01"/>
          <w:rFonts w:asciiTheme="majorBidi" w:hAnsiTheme="majorBidi" w:cstheme="majorBidi"/>
          <w:i/>
        </w:rPr>
        <w:t>p</w:t>
      </w:r>
      <w:r w:rsidRPr="002A7627">
        <w:rPr>
          <w:rStyle w:val="fontstyle01"/>
          <w:rFonts w:asciiTheme="majorBidi" w:hAnsiTheme="majorBidi" w:cstheme="majorBidi"/>
        </w:rPr>
        <w:t xml:space="preserve"> &gt; 0.05).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{"citationItems":[{"id":"ITEM-1","itemData":{"DOI":"10.1108/IMDS-09-2015-0382","ISBN":"0263557111","ISSN":"0263-5577","PMID":"21409434","abstract":"Purpose – Partial least squares (PLS) path modeling is a variance-based structural equation modeling (SEM) technique that is widely applied in business and social sciences. Its ability to model composites and factors makes it a formidable statistical tool for new technology research. Recent reviews, discussions, and developments have led to substantial changes in the understanding and use of PLS. The paper aims to discuss these issues. Design/methodology/approach – This paper aggregates new insights and offers a fresh look at PLS path modeling. It presents new developments, such as consistent PLS, confirmatory composite analysis, and the heterotrait-monotrait ratio of correlations. Findings – PLS path modeling is the method of choice if a SEM contains both factors and composites. Novel tests of exact fit make a confirmatory use of PLS path modeling possible. Originality/value – This paper provides updated guidelines of how to use PLS and how to report and interpret its results.","author":[{"dropping-particle":"","family":"Henseler","given":"Jörg","non-dropping-particle":"","parse-names":false,"suffix":""},{"dropping-particle":"","family":"Hubona","given":"Geoffrey","non-dropping-particle":"","parse-names":false,"suffix":""},{"dropping-particle":"","family":"Ray","given":"Pauline Ash","non-dropping-particle":"","parse-names":false,"suffix":""}],"container-title":"Industrial Management and Data Systems","id":"ITEM-1","issue":"1","issued":{"date-parts":[["2016","2"]]},"page":"2-20","title":"Using PLS path modeling in new technology research: Updated guidelines","type":"article-journal","volume":"116"},"uris":["http://www.mendeley.com/documents/?uuid=09b5e4c5-6228-4008-ba38-cd2bf7202710"]}],"mendeley":{"formattedCitation":"(Henseler et al., 2016)","manualFormatting":"Henseler et al. (2016)","plainTextFormattedCitation":"(Henseler et al., 2016)","previouslyFormattedCitation":"(Henseler et al., 2016)"},"properties":{"noteIndex":0},"schema":"https://github.com/citation-style-language/schema/raw/master/csl-citation.json"}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Henseler et al. (2016)</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 xml:space="preserve"> argue</w:t>
      </w:r>
      <w:r w:rsidR="003A0710">
        <w:rPr>
          <w:rStyle w:val="fontstyle01"/>
          <w:rFonts w:asciiTheme="majorBidi" w:hAnsiTheme="majorBidi" w:cstheme="majorBidi"/>
        </w:rPr>
        <w:t>d</w:t>
      </w:r>
      <w:r w:rsidRPr="002A7627">
        <w:rPr>
          <w:rStyle w:val="fontstyle01"/>
          <w:rFonts w:asciiTheme="majorBidi" w:hAnsiTheme="majorBidi" w:cstheme="majorBidi"/>
        </w:rPr>
        <w:t xml:space="preserve"> that if </w:t>
      </w:r>
      <w:r w:rsidRPr="002A7627">
        <w:rPr>
          <w:rStyle w:val="fontstyle21"/>
          <w:rFonts w:asciiTheme="majorBidi" w:hAnsiTheme="majorBidi" w:cstheme="majorBidi"/>
        </w:rPr>
        <w:t>d</w:t>
      </w:r>
      <w:r w:rsidRPr="002A7627">
        <w:rPr>
          <w:rStyle w:val="fontstyle01"/>
          <w:rFonts w:asciiTheme="majorBidi" w:hAnsiTheme="majorBidi" w:cstheme="majorBidi"/>
        </w:rPr>
        <w:t xml:space="preserve">ULS and </w:t>
      </w:r>
      <w:r w:rsidRPr="002A7627">
        <w:rPr>
          <w:rStyle w:val="fontstyle21"/>
          <w:rFonts w:asciiTheme="majorBidi" w:hAnsiTheme="majorBidi" w:cstheme="majorBidi"/>
        </w:rPr>
        <w:t xml:space="preserve">dG </w:t>
      </w:r>
      <w:r w:rsidR="009E23B0">
        <w:rPr>
          <w:rStyle w:val="fontstyle01"/>
          <w:rFonts w:asciiTheme="majorBidi" w:hAnsiTheme="majorBidi" w:cstheme="majorBidi"/>
        </w:rPr>
        <w:t xml:space="preserve">are </w:t>
      </w:r>
      <w:r>
        <w:rPr>
          <w:rStyle w:val="fontstyle01"/>
          <w:rFonts w:asciiTheme="majorBidi" w:hAnsiTheme="majorBidi" w:cstheme="majorBidi"/>
        </w:rPr>
        <w:t>less</w:t>
      </w:r>
      <w:r w:rsidRPr="002A7627">
        <w:rPr>
          <w:rStyle w:val="fontstyle01"/>
          <w:rFonts w:asciiTheme="majorBidi" w:hAnsiTheme="majorBidi" w:cstheme="majorBidi"/>
        </w:rPr>
        <w:t xml:space="preserve"> than the 95% bootstrapped quantile (HI 95% of </w:t>
      </w:r>
      <w:r w:rsidRPr="002A7627">
        <w:rPr>
          <w:rStyle w:val="fontstyle21"/>
          <w:rFonts w:asciiTheme="majorBidi" w:hAnsiTheme="majorBidi" w:cstheme="majorBidi"/>
        </w:rPr>
        <w:t>d</w:t>
      </w:r>
      <w:r w:rsidRPr="002A7627">
        <w:rPr>
          <w:rStyle w:val="fontstyle01"/>
          <w:rFonts w:asciiTheme="majorBidi" w:hAnsiTheme="majorBidi" w:cstheme="majorBidi"/>
        </w:rPr>
        <w:t xml:space="preserve">ULS and HI 95% of </w:t>
      </w:r>
      <w:r w:rsidRPr="002A7627">
        <w:rPr>
          <w:rStyle w:val="fontstyle21"/>
          <w:rFonts w:asciiTheme="majorBidi" w:hAnsiTheme="majorBidi" w:cstheme="majorBidi"/>
        </w:rPr>
        <w:t>dG</w:t>
      </w:r>
      <w:r w:rsidRPr="002A7627">
        <w:rPr>
          <w:rStyle w:val="fontstyle01"/>
          <w:rFonts w:asciiTheme="majorBidi" w:hAnsiTheme="majorBidi" w:cstheme="majorBidi"/>
        </w:rPr>
        <w:t>), the model</w:t>
      </w:r>
      <w:r>
        <w:rPr>
          <w:rStyle w:val="fontstyle01"/>
          <w:rFonts w:asciiTheme="majorBidi" w:hAnsiTheme="majorBidi" w:cstheme="majorBidi"/>
        </w:rPr>
        <w:t xml:space="preserve"> need not be rejected</w:t>
      </w:r>
      <w:r w:rsidRPr="002A7627">
        <w:rPr>
          <w:rStyle w:val="fontstyle01"/>
          <w:rFonts w:asciiTheme="majorBidi" w:hAnsiTheme="majorBidi" w:cstheme="majorBidi"/>
        </w:rPr>
        <w:t>.</w:t>
      </w:r>
    </w:p>
    <w:p w14:paraId="6D256228" w14:textId="108D0ED0" w:rsidR="007C0420" w:rsidRPr="002A7627" w:rsidRDefault="003A0710" w:rsidP="007C0420">
      <w:pPr>
        <w:pStyle w:val="AAAAAAA"/>
        <w:rPr>
          <w:rStyle w:val="fontstyle01"/>
          <w:rFonts w:asciiTheme="majorBidi" w:hAnsiTheme="majorBidi" w:cstheme="majorBidi"/>
        </w:rPr>
      </w:pPr>
      <w:r>
        <w:rPr>
          <w:rStyle w:val="fontstyle01"/>
          <w:rFonts w:asciiTheme="majorBidi" w:hAnsiTheme="majorBidi" w:cstheme="majorBidi"/>
        </w:rPr>
        <w:t xml:space="preserve">It is possible to </w:t>
      </w:r>
      <w:r w:rsidR="007C0420" w:rsidRPr="002A7627">
        <w:rPr>
          <w:rStyle w:val="fontstyle01"/>
          <w:rFonts w:asciiTheme="majorBidi" w:hAnsiTheme="majorBidi" w:cstheme="majorBidi"/>
        </w:rPr>
        <w:t>determine the approximat</w:t>
      </w:r>
      <w:r w:rsidR="009E23B0">
        <w:rPr>
          <w:rStyle w:val="fontstyle01"/>
          <w:rFonts w:asciiTheme="majorBidi" w:hAnsiTheme="majorBidi" w:cstheme="majorBidi"/>
        </w:rPr>
        <w:t>e</w:t>
      </w:r>
      <w:r w:rsidR="007C0420" w:rsidRPr="002A7627">
        <w:rPr>
          <w:rStyle w:val="fontstyle01"/>
          <w:rFonts w:asciiTheme="majorBidi" w:hAnsiTheme="majorBidi" w:cstheme="majorBidi"/>
        </w:rPr>
        <w:t xml:space="preserve"> model fit</w:t>
      </w:r>
      <w:r w:rsidR="007C0420">
        <w:rPr>
          <w:rStyle w:val="fontstyle01"/>
          <w:rFonts w:asciiTheme="majorBidi" w:hAnsiTheme="majorBidi" w:cstheme="majorBidi"/>
        </w:rPr>
        <w:t xml:space="preserve"> </w:t>
      </w:r>
      <w:r>
        <w:rPr>
          <w:rStyle w:val="fontstyle01"/>
          <w:rFonts w:asciiTheme="majorBidi" w:hAnsiTheme="majorBidi" w:cstheme="majorBidi"/>
        </w:rPr>
        <w:t>as well as using</w:t>
      </w:r>
      <w:r w:rsidR="00902DB0">
        <w:rPr>
          <w:rStyle w:val="fontstyle01"/>
          <w:rFonts w:asciiTheme="majorBidi" w:hAnsiTheme="majorBidi" w:cstheme="majorBidi"/>
        </w:rPr>
        <w:t xml:space="preserve"> </w:t>
      </w:r>
      <w:r w:rsidRPr="002A7627">
        <w:rPr>
          <w:rStyle w:val="fontstyle01"/>
          <w:rFonts w:asciiTheme="majorBidi" w:hAnsiTheme="majorBidi" w:cstheme="majorBidi"/>
        </w:rPr>
        <w:t>tests of model fit</w:t>
      </w:r>
      <w:r w:rsidR="007C0420" w:rsidRPr="002A7627">
        <w:rPr>
          <w:rStyle w:val="fontstyle01"/>
          <w:rFonts w:asciiTheme="majorBidi" w:hAnsiTheme="majorBidi" w:cstheme="majorBidi"/>
        </w:rPr>
        <w:t xml:space="preserve">. Approximate model fit criteria </w:t>
      </w:r>
      <w:r w:rsidR="007C0420">
        <w:rPr>
          <w:rStyle w:val="fontstyle01"/>
          <w:rFonts w:asciiTheme="majorBidi" w:hAnsiTheme="majorBidi" w:cstheme="majorBidi"/>
        </w:rPr>
        <w:t xml:space="preserve">can </w:t>
      </w:r>
      <w:r w:rsidR="007C0420" w:rsidRPr="002A7627">
        <w:rPr>
          <w:rStyle w:val="fontstyle01"/>
          <w:rFonts w:asciiTheme="majorBidi" w:hAnsiTheme="majorBidi" w:cstheme="majorBidi"/>
        </w:rPr>
        <w:t xml:space="preserve">help to </w:t>
      </w:r>
      <w:r w:rsidR="007C0420">
        <w:rPr>
          <w:rStyle w:val="fontstyle01"/>
          <w:rFonts w:asciiTheme="majorBidi" w:hAnsiTheme="majorBidi" w:cstheme="majorBidi"/>
        </w:rPr>
        <w:t>determine the extent of the</w:t>
      </w:r>
      <w:r w:rsidR="007C0420" w:rsidRPr="002A7627">
        <w:rPr>
          <w:rStyle w:val="fontstyle01"/>
          <w:rFonts w:asciiTheme="majorBidi" w:hAnsiTheme="majorBidi" w:cstheme="majorBidi"/>
        </w:rPr>
        <w:t xml:space="preserve"> discrepancy between the model-implied and the empirical correlation matrix</w:t>
      </w:r>
      <w:r w:rsidR="007C0420">
        <w:rPr>
          <w:rStyle w:val="fontstyle01"/>
          <w:rFonts w:asciiTheme="majorBidi" w:hAnsiTheme="majorBidi" w:cstheme="majorBidi"/>
        </w:rPr>
        <w:t xml:space="preserve">, a </w:t>
      </w:r>
      <w:r w:rsidR="007C0420" w:rsidRPr="002A7627">
        <w:rPr>
          <w:rStyle w:val="fontstyle01"/>
          <w:rFonts w:asciiTheme="majorBidi" w:hAnsiTheme="majorBidi" w:cstheme="majorBidi"/>
        </w:rPr>
        <w:t xml:space="preserve">question </w:t>
      </w:r>
      <w:r w:rsidR="007C0420">
        <w:rPr>
          <w:rStyle w:val="fontstyle01"/>
          <w:rFonts w:asciiTheme="majorBidi" w:hAnsiTheme="majorBidi" w:cstheme="majorBidi"/>
        </w:rPr>
        <w:t xml:space="preserve">that </w:t>
      </w:r>
      <w:r w:rsidR="007C0420" w:rsidRPr="002A7627">
        <w:rPr>
          <w:rStyle w:val="fontstyle01"/>
          <w:rFonts w:asciiTheme="majorBidi" w:hAnsiTheme="majorBidi" w:cstheme="majorBidi"/>
        </w:rPr>
        <w:t xml:space="preserve">is particularly relevant if this discrepancy is significant. </w:t>
      </w:r>
      <w:r>
        <w:rPr>
          <w:rStyle w:val="fontstyle01"/>
          <w:rFonts w:asciiTheme="majorBidi" w:hAnsiTheme="majorBidi" w:cstheme="majorBidi"/>
        </w:rPr>
        <w:t>T</w:t>
      </w:r>
      <w:r w:rsidR="00790F99" w:rsidRPr="00024F6D">
        <w:rPr>
          <w:rStyle w:val="fontstyle01"/>
          <w:rFonts w:asciiTheme="majorBidi" w:hAnsiTheme="majorBidi" w:cstheme="majorBidi"/>
        </w:rPr>
        <w:t xml:space="preserve">he standardized root mean square residual (SRMR) is the only approximate model fit criterion applied for PLS path modeling </w:t>
      </w:r>
      <w:r w:rsidR="007C0420" w:rsidRPr="002A7627">
        <w:rPr>
          <w:rStyle w:val="fontstyle01"/>
          <w:rFonts w:asciiTheme="majorBidi" w:hAnsiTheme="majorBidi" w:cstheme="majorBidi"/>
        </w:rPr>
        <w:fldChar w:fldCharType="begin" w:fldLock="1"/>
      </w:r>
      <w:r w:rsidR="007C0420" w:rsidRPr="002A7627">
        <w:rPr>
          <w:rStyle w:val="fontstyle01"/>
          <w:rFonts w:asciiTheme="majorBidi" w:hAnsiTheme="majorBidi" w:cstheme="majorBidi"/>
        </w:rPr>
        <w:instrText>ADDIN CSL_CITATION {"citationItems":[{"id":"ITEM-1","itemData":{"author":[{"dropping-particle":"","family":"Hu","given":"Li Tze","non-dropping-particle":"","parse-names":false,"suffix":""},{"dropping-particle":"","family":"Bentler","given":"Peter M.","non-dropping-particle":"","parse-names":false,"suffix":""}],"container-title":"Psychological Methods","id":"ITEM-1","issue":"4","issued":{"date-parts":[["1998"]]},"page":"424–453","title":"Fit indices in covariance structure modeling: Sensitivity to underparameterized model misspecification","type":"article-journal","volume":"3"},"uris":["http://www.mendeley.com/documents/?uuid=1fe8ef18-06c2-4a00-851c-6f80d3b6d645"]},{"id":"ITEM-2","itemData":{"DOI":"10.1080/10705519909540118","ISSN":"10705511","abstract":"This article examines the adequacy of the \"rules of thumb\" conventional cutoff crite- ria and several new alternatives for various fit indexes used to evaluate model fit in practice. Using a 2-index presentation strategy, which includes using the maximum likelihood (ML)-based standardized root mean squared residual (SRMR) and supple- menting it with either Tucker-Lewis Index (TLI), Bollen's (1989) Fit Index (BL89), Relative Noncentrality Index (RNI), Comparative Fit Index (CFI), Gamma Hat, Mc- Donald's Centrality Index (Mc), or root mean squared error of approximation (RMSEA), various combinations of cutoff values from selected ranges of cutoff crite- ria for the ML-based SRMR and a given supplemental fit index were used to calculate rejection rates for various types of true-population and misspecified models; that is, models with misspecified factor covariance(s) and models with misspecified factor loading(s). The results suggest that, for the ML method, a cutoff value close to .95 for TLI, BL89, CFI, RNI, and Gamma Hat; a cutoff value close to .90 for Mc; a cutoff value close to .08 for SRMR; and a cutoff value close to .06 for RMSEA are needed before we can conclude that there is a relatively good fit between the hypothesized model and the observed data. Furthermore, the 2-index presentation strategy is re- quired to reject reasonable proportions of various types of true-population and misspecified models. Finally, using the proposed cutoff criteria, the ML-based TLI, Mc, and RMSEA tend to overreject true-population models at small sample size and thus are less preferable when sample size is small.","author":[{"dropping-particle":"","family":"Hu","given":"Li Tze","non-dropping-particle":"","parse-names":false,"suffix":""},{"dropping-particle":"","family":"Bentler","given":"Peter M.","non-dropping-particle":"","parse-names":false,"suffix":""}],"container-title":"Structural Equation Modeling","id":"ITEM-2","issue":"1","issued":{"date-parts":[["1999"]]},"page":"1-55","title":"Cutoff criteria for fit indexes in covariance structure analysis: Conventional criteria versus new alternatives","type":"article-journal","volume":"6"},"uris":["http://www.mendeley.com/documents/?uuid=9ea91de2-0277-4683-8370-a87cb173c1b1"]}],"mendeley":{"formattedCitation":"(Hu &amp; Bentler, 1998, 1999)","plainTextFormattedCitation":"(Hu &amp; Bentler, 1998, 1999)","previouslyFormattedCitation":"(Hu &amp; Bentler, 1998, 1999)"},"properties":{"noteIndex":0},"schema":"https://github.com/citation-style-language/schema/raw/master/csl-citation.json"}</w:instrText>
      </w:r>
      <w:r w:rsidR="007C0420" w:rsidRPr="002A7627">
        <w:rPr>
          <w:rStyle w:val="fontstyle01"/>
          <w:rFonts w:asciiTheme="majorBidi" w:hAnsiTheme="majorBidi" w:cstheme="majorBidi"/>
        </w:rPr>
        <w:fldChar w:fldCharType="separate"/>
      </w:r>
      <w:r w:rsidR="007C0420" w:rsidRPr="002A7627">
        <w:rPr>
          <w:rStyle w:val="fontstyle01"/>
          <w:rFonts w:asciiTheme="majorBidi" w:hAnsiTheme="majorBidi" w:cstheme="majorBidi"/>
          <w:noProof/>
        </w:rPr>
        <w:t>(Hu &amp; Bentler, 1998, 1999)</w:t>
      </w:r>
      <w:r w:rsidR="007C0420" w:rsidRPr="002A7627">
        <w:rPr>
          <w:rStyle w:val="fontstyle01"/>
          <w:rFonts w:asciiTheme="majorBidi" w:hAnsiTheme="majorBidi" w:cstheme="majorBidi"/>
        </w:rPr>
        <w:fldChar w:fldCharType="end"/>
      </w:r>
      <w:r>
        <w:rPr>
          <w:rStyle w:val="fontstyle01"/>
          <w:rFonts w:asciiTheme="majorBidi" w:hAnsiTheme="majorBidi" w:cstheme="majorBidi"/>
        </w:rPr>
        <w:t>.</w:t>
      </w:r>
      <w:r w:rsidR="007C0420">
        <w:rPr>
          <w:rStyle w:val="fontstyle01"/>
          <w:rFonts w:asciiTheme="majorBidi" w:hAnsiTheme="majorBidi" w:cstheme="majorBidi"/>
        </w:rPr>
        <w:t xml:space="preserve"> </w:t>
      </w:r>
      <w:r>
        <w:rPr>
          <w:rStyle w:val="fontstyle01"/>
          <w:rFonts w:asciiTheme="majorBidi" w:hAnsiTheme="majorBidi" w:cstheme="majorBidi"/>
        </w:rPr>
        <w:t>A</w:t>
      </w:r>
      <w:r w:rsidR="007C0420">
        <w:rPr>
          <w:rStyle w:val="fontstyle01"/>
          <w:rFonts w:asciiTheme="majorBidi" w:hAnsiTheme="majorBidi" w:cstheme="majorBidi"/>
        </w:rPr>
        <w:t xml:space="preserve">s its name implies, </w:t>
      </w:r>
      <w:r>
        <w:rPr>
          <w:rStyle w:val="fontstyle01"/>
          <w:rFonts w:asciiTheme="majorBidi" w:hAnsiTheme="majorBidi" w:cstheme="majorBidi"/>
        </w:rPr>
        <w:t xml:space="preserve">this </w:t>
      </w:r>
      <w:r w:rsidR="007C0420">
        <w:rPr>
          <w:rStyle w:val="fontstyle01"/>
          <w:rFonts w:asciiTheme="majorBidi" w:hAnsiTheme="majorBidi" w:cstheme="majorBidi"/>
        </w:rPr>
        <w:t xml:space="preserve">is </w:t>
      </w:r>
      <w:r w:rsidR="007C0420" w:rsidRPr="002A7627">
        <w:rPr>
          <w:rStyle w:val="fontstyle01"/>
          <w:rFonts w:asciiTheme="majorBidi" w:hAnsiTheme="majorBidi" w:cstheme="majorBidi"/>
        </w:rPr>
        <w:t xml:space="preserve">the square root of the sum of the squared differences between the </w:t>
      </w:r>
      <w:r w:rsidR="007C0420">
        <w:rPr>
          <w:rStyle w:val="fontstyle01"/>
          <w:rFonts w:asciiTheme="majorBidi" w:hAnsiTheme="majorBidi" w:cstheme="majorBidi"/>
        </w:rPr>
        <w:t xml:space="preserve">elements in the </w:t>
      </w:r>
      <w:r w:rsidR="007C0420" w:rsidRPr="002A7627">
        <w:rPr>
          <w:rStyle w:val="fontstyle01"/>
          <w:rFonts w:asciiTheme="majorBidi" w:hAnsiTheme="majorBidi" w:cstheme="majorBidi"/>
        </w:rPr>
        <w:t>model-implied and the empirical correlation matrix, i.e., the Euclidean distance between the two matrices. A</w:t>
      </w:r>
      <w:r w:rsidR="007C0420">
        <w:rPr>
          <w:rStyle w:val="fontstyle01"/>
          <w:rFonts w:asciiTheme="majorBidi" w:hAnsiTheme="majorBidi" w:cstheme="majorBidi"/>
        </w:rPr>
        <w:t>n SRMR</w:t>
      </w:r>
      <w:r w:rsidR="007C0420" w:rsidRPr="002A7627">
        <w:rPr>
          <w:rStyle w:val="fontstyle01"/>
          <w:rFonts w:asciiTheme="majorBidi" w:hAnsiTheme="majorBidi" w:cstheme="majorBidi"/>
        </w:rPr>
        <w:t xml:space="preserve"> value of 0 indicate</w:t>
      </w:r>
      <w:r w:rsidR="007C0420">
        <w:rPr>
          <w:rStyle w:val="fontstyle01"/>
          <w:rFonts w:asciiTheme="majorBidi" w:hAnsiTheme="majorBidi" w:cstheme="majorBidi"/>
        </w:rPr>
        <w:t>s</w:t>
      </w:r>
      <w:r w:rsidR="007C0420" w:rsidRPr="002A7627">
        <w:rPr>
          <w:rStyle w:val="fontstyle01"/>
          <w:rFonts w:asciiTheme="majorBidi" w:hAnsiTheme="majorBidi" w:cstheme="majorBidi"/>
        </w:rPr>
        <w:t xml:space="preserve"> a perfect fit, and</w:t>
      </w:r>
      <w:r w:rsidR="007C0420">
        <w:rPr>
          <w:rStyle w:val="fontstyle01"/>
          <w:rFonts w:asciiTheme="majorBidi" w:hAnsiTheme="majorBidi" w:cstheme="majorBidi"/>
        </w:rPr>
        <w:t>,</w:t>
      </w:r>
      <w:r w:rsidR="007C0420" w:rsidRPr="002A7627">
        <w:rPr>
          <w:rStyle w:val="fontstyle01"/>
          <w:rFonts w:asciiTheme="majorBidi" w:hAnsiTheme="majorBidi" w:cstheme="majorBidi"/>
        </w:rPr>
        <w:t xml:space="preserve"> </w:t>
      </w:r>
      <w:r w:rsidR="007C0420">
        <w:rPr>
          <w:rStyle w:val="fontstyle01"/>
          <w:rFonts w:asciiTheme="majorBidi" w:hAnsiTheme="majorBidi" w:cstheme="majorBidi"/>
        </w:rPr>
        <w:t xml:space="preserve">in </w:t>
      </w:r>
      <w:r w:rsidR="007C0420" w:rsidRPr="002A7627">
        <w:rPr>
          <w:rStyle w:val="fontstyle01"/>
          <w:rFonts w:asciiTheme="majorBidi" w:hAnsiTheme="majorBidi" w:cstheme="majorBidi"/>
        </w:rPr>
        <w:t xml:space="preserve">general, an SRMR </w:t>
      </w:r>
      <w:r w:rsidR="007C0420">
        <w:rPr>
          <w:rStyle w:val="fontstyle01"/>
          <w:rFonts w:asciiTheme="majorBidi" w:hAnsiTheme="majorBidi" w:cstheme="majorBidi"/>
        </w:rPr>
        <w:t>of</w:t>
      </w:r>
      <w:r w:rsidR="007C0420" w:rsidRPr="002A7627">
        <w:rPr>
          <w:rStyle w:val="fontstyle01"/>
          <w:rFonts w:asciiTheme="majorBidi" w:hAnsiTheme="majorBidi" w:cstheme="majorBidi"/>
        </w:rPr>
        <w:t xml:space="preserve"> less than 0.05 </w:t>
      </w:r>
      <w:r w:rsidR="00790F99" w:rsidRPr="00024F6D">
        <w:rPr>
          <w:rStyle w:val="fontstyle01"/>
          <w:rFonts w:asciiTheme="majorBidi" w:hAnsiTheme="majorBidi" w:cstheme="majorBidi"/>
        </w:rPr>
        <w:t xml:space="preserve">is </w:t>
      </w:r>
      <w:r>
        <w:rPr>
          <w:rStyle w:val="fontstyle01"/>
          <w:rFonts w:asciiTheme="majorBidi" w:hAnsiTheme="majorBidi" w:cstheme="majorBidi"/>
        </w:rPr>
        <w:t>considered to show</w:t>
      </w:r>
      <w:r w:rsidR="007C0420" w:rsidRPr="002A7627">
        <w:rPr>
          <w:rStyle w:val="fontstyle01"/>
          <w:rFonts w:asciiTheme="majorBidi" w:hAnsiTheme="majorBidi" w:cstheme="majorBidi"/>
        </w:rPr>
        <w:t xml:space="preserve"> an acceptable fit </w:t>
      </w:r>
      <w:r w:rsidR="007C0420" w:rsidRPr="002A7627">
        <w:rPr>
          <w:rStyle w:val="fontstyle01"/>
          <w:rFonts w:asciiTheme="majorBidi" w:hAnsiTheme="majorBidi" w:cstheme="majorBidi"/>
        </w:rPr>
        <w:fldChar w:fldCharType="begin" w:fldLock="1"/>
      </w:r>
      <w:r w:rsidR="007C0420" w:rsidRPr="002A7627">
        <w:rPr>
          <w:rStyle w:val="fontstyle01"/>
          <w:rFonts w:asciiTheme="majorBidi" w:hAnsiTheme="majorBidi" w:cstheme="majorBidi"/>
        </w:rPr>
        <w:instrText>ADDIN CSL_CITATION {"citationItems":[{"id":"ITEM-1","itemData":{"author":[{"dropping-particle":"","family":"Byrne","given":"B. M.","non-dropping-particle":"","parse-names":false,"suffix":""}],"id":"ITEM-1","issued":{"date-parts":[["2008"]]},"publisher":"Psychology Press","publisher-place":"New York, NY","title":"Structural equation modeling with EQs: Basic concepts, applications, and programming","type":"book"},"uris":["http://www.mendeley.com/documents/?uuid=328ffd9d-f151-4c06-8c09-1e3b4e963838"]}],"mendeley":{"formattedCitation":"(Byrne, 2008)","plainTextFormattedCitation":"(Byrne, 2008)","previouslyFormattedCitation":"(Byrne, 2008)"},"properties":{"noteIndex":0},"schema":"https://github.com/citation-style-language/schema/raw/master/csl-citation.json"}</w:instrText>
      </w:r>
      <w:r w:rsidR="007C0420" w:rsidRPr="002A7627">
        <w:rPr>
          <w:rStyle w:val="fontstyle01"/>
          <w:rFonts w:asciiTheme="majorBidi" w:hAnsiTheme="majorBidi" w:cstheme="majorBidi"/>
        </w:rPr>
        <w:fldChar w:fldCharType="separate"/>
      </w:r>
      <w:r w:rsidR="007C0420" w:rsidRPr="002A7627">
        <w:rPr>
          <w:rStyle w:val="fontstyle01"/>
          <w:rFonts w:asciiTheme="majorBidi" w:hAnsiTheme="majorBidi" w:cstheme="majorBidi"/>
          <w:noProof/>
        </w:rPr>
        <w:t>(Byrne, 2008)</w:t>
      </w:r>
      <w:r w:rsidR="007C0420" w:rsidRPr="002A7627">
        <w:rPr>
          <w:rStyle w:val="fontstyle01"/>
          <w:rFonts w:asciiTheme="majorBidi" w:hAnsiTheme="majorBidi" w:cstheme="majorBidi"/>
        </w:rPr>
        <w:fldChar w:fldCharType="end"/>
      </w:r>
      <w:r w:rsidR="007C0420" w:rsidRPr="002A7627">
        <w:rPr>
          <w:rStyle w:val="fontstyle01"/>
          <w:rFonts w:asciiTheme="majorBidi" w:hAnsiTheme="majorBidi" w:cstheme="majorBidi"/>
        </w:rPr>
        <w:t xml:space="preserve">. A recent simulation study </w:t>
      </w:r>
      <w:r w:rsidR="007C0420">
        <w:rPr>
          <w:rStyle w:val="fontstyle01"/>
          <w:rFonts w:asciiTheme="majorBidi" w:hAnsiTheme="majorBidi" w:cstheme="majorBidi"/>
        </w:rPr>
        <w:t>demonstrated</w:t>
      </w:r>
      <w:r w:rsidR="007C0420" w:rsidRPr="002A7627">
        <w:rPr>
          <w:rStyle w:val="fontstyle01"/>
          <w:rFonts w:asciiTheme="majorBidi" w:hAnsiTheme="majorBidi" w:cstheme="majorBidi"/>
        </w:rPr>
        <w:t xml:space="preserve"> that even </w:t>
      </w:r>
      <w:r w:rsidR="007C0420">
        <w:rPr>
          <w:rStyle w:val="fontstyle01"/>
          <w:rFonts w:asciiTheme="majorBidi" w:hAnsiTheme="majorBidi" w:cstheme="majorBidi"/>
        </w:rPr>
        <w:t xml:space="preserve">a model that was </w:t>
      </w:r>
      <w:r w:rsidR="007C0420" w:rsidRPr="002A7627">
        <w:rPr>
          <w:rStyle w:val="fontstyle01"/>
          <w:rFonts w:asciiTheme="majorBidi" w:hAnsiTheme="majorBidi" w:cstheme="majorBidi"/>
        </w:rPr>
        <w:t xml:space="preserve">entirely correctly specified can yield </w:t>
      </w:r>
      <w:r w:rsidR="007C0420">
        <w:rPr>
          <w:rStyle w:val="fontstyle01"/>
          <w:rFonts w:asciiTheme="majorBidi" w:hAnsiTheme="majorBidi" w:cstheme="majorBidi"/>
        </w:rPr>
        <w:t xml:space="preserve">an </w:t>
      </w:r>
      <w:r w:rsidR="007C0420" w:rsidRPr="002A7627">
        <w:rPr>
          <w:rStyle w:val="fontstyle01"/>
          <w:rFonts w:asciiTheme="majorBidi" w:hAnsiTheme="majorBidi" w:cstheme="majorBidi"/>
        </w:rPr>
        <w:t xml:space="preserve">SRMR value of 0.06 </w:t>
      </w:r>
      <w:r w:rsidR="007C0420">
        <w:rPr>
          <w:rStyle w:val="fontstyle01"/>
          <w:rFonts w:asciiTheme="majorBidi" w:hAnsiTheme="majorBidi" w:cstheme="majorBidi"/>
        </w:rPr>
        <w:t>or</w:t>
      </w:r>
      <w:r w:rsidR="007C0420" w:rsidRPr="002A7627">
        <w:rPr>
          <w:rStyle w:val="fontstyle01"/>
          <w:rFonts w:asciiTheme="majorBidi" w:hAnsiTheme="majorBidi" w:cstheme="majorBidi"/>
        </w:rPr>
        <w:t xml:space="preserve"> higher </w:t>
      </w:r>
      <w:r w:rsidR="007C0420" w:rsidRPr="002A7627">
        <w:rPr>
          <w:rStyle w:val="fontstyle01"/>
          <w:rFonts w:asciiTheme="majorBidi" w:hAnsiTheme="majorBidi" w:cstheme="majorBidi"/>
        </w:rPr>
        <w:fldChar w:fldCharType="begin" w:fldLock="1"/>
      </w:r>
      <w:r w:rsidR="007C0420" w:rsidRPr="002A7627">
        <w:rPr>
          <w:rStyle w:val="fontstyle01"/>
          <w:rFonts w:asciiTheme="majorBidi" w:hAnsiTheme="majorBidi" w:cstheme="majorBidi"/>
        </w:rPr>
        <w:instrText>ADDIN CSL_CITATION {"citationItems":[{"id":"ITEM-1","itemData":{"DOI":"10.1108/IMDS-09-2015-0382","ISBN":"0263557111","ISSN":"0263-5577","PMID":"21409434","abstract":"Purpose – Partial least squares (PLS) path modeling is a variance-based structural equation modeling (SEM) technique that is widely applied in business and social sciences. Its ability to model composites and factors makes it a formidable statistical tool for new technology research. Recent reviews, discussions, and developments have led to substantial changes in the understanding and use of PLS. The paper aims to discuss these issues. Design/methodology/approach – This paper aggregates new insights and offers a fresh look at PLS path modeling. It presents new developments, such as consistent PLS, confirmatory composite analysis, and the heterotrait-monotrait ratio of correlations. Findings – PLS path modeling is the method of choice if a SEM contains both factors and composites. Novel tests of exact fit make a confirmatory use of PLS path modeling possible. Originality/value – This paper provides updated guidelines of how to use PLS and how to report and interpret its results.","author":[{"dropping-particle":"","family":"Henseler","given":"Jörg","non-dropping-particle":"","parse-names":false,"suffix":""},{"dropping-particle":"","family":"Hubona","given":"Geoffrey","non-dropping-particle":"","parse-names":false,"suffix":""},{"dropping-particle":"","family":"Ray","given":"Pauline Ash","non-dropping-particle":"","parse-names":false,"suffix":""}],"container-title":"Industrial Management and Data Systems","id":"ITEM-1","issue":"1","issued":{"date-parts":[["2016","2"]]},"page":"2-20","title":"Using PLS path modeling in new technology research: Updated guidelines","type":"article-journal","volume":"116"},"uris":["http://www.mendeley.com/documents/?uuid=09b5e4c5-6228-4008-ba38-cd2bf7202710"]}],"mendeley":{"formattedCitation":"(Henseler et al., 2016)","plainTextFormattedCitation":"(Henseler et al., 2016)","previouslyFormattedCitation":"(Henseler et al., 2016)"},"properties":{"noteIndex":0},"schema":"https://github.com/citation-style-language/schema/raw/master/csl-citation.json"}</w:instrText>
      </w:r>
      <w:r w:rsidR="007C0420" w:rsidRPr="002A7627">
        <w:rPr>
          <w:rStyle w:val="fontstyle01"/>
          <w:rFonts w:asciiTheme="majorBidi" w:hAnsiTheme="majorBidi" w:cstheme="majorBidi"/>
        </w:rPr>
        <w:fldChar w:fldCharType="separate"/>
      </w:r>
      <w:r w:rsidR="007C0420" w:rsidRPr="002A7627">
        <w:rPr>
          <w:rStyle w:val="fontstyle01"/>
          <w:rFonts w:asciiTheme="majorBidi" w:hAnsiTheme="majorBidi" w:cstheme="majorBidi"/>
          <w:noProof/>
        </w:rPr>
        <w:t>(Henseler et al., 2016)</w:t>
      </w:r>
      <w:r w:rsidR="007C0420" w:rsidRPr="002A7627">
        <w:rPr>
          <w:rStyle w:val="fontstyle01"/>
          <w:rFonts w:asciiTheme="majorBidi" w:hAnsiTheme="majorBidi" w:cstheme="majorBidi"/>
        </w:rPr>
        <w:fldChar w:fldCharType="end"/>
      </w:r>
      <w:r w:rsidR="007C0420" w:rsidRPr="002A7627">
        <w:rPr>
          <w:rStyle w:val="fontstyle01"/>
          <w:rFonts w:asciiTheme="majorBidi" w:hAnsiTheme="majorBidi" w:cstheme="majorBidi"/>
        </w:rPr>
        <w:t xml:space="preserve">. </w:t>
      </w:r>
      <w:r w:rsidR="007C0420" w:rsidRPr="002A7627">
        <w:rPr>
          <w:rStyle w:val="fontstyle01"/>
          <w:rFonts w:asciiTheme="majorBidi" w:hAnsiTheme="majorBidi" w:cstheme="majorBidi"/>
        </w:rPr>
        <w:fldChar w:fldCharType="begin" w:fldLock="1"/>
      </w:r>
      <w:r w:rsidR="007C0420" w:rsidRPr="002A7627">
        <w:rPr>
          <w:rStyle w:val="fontstyle01"/>
          <w:rFonts w:asciiTheme="majorBidi" w:hAnsiTheme="majorBidi" w:cstheme="majorBidi"/>
        </w:rPr>
        <w:instrText>ADDIN CSL_CITATION {"citationItems":[{"id":"ITEM-1","itemData":{"DOI":"10.1080/10705519909540118","ISSN":"10705511","abstract":"This article examines the adequacy of the \"rules of thumb\" conventional cutoff crite- ria and several new alternatives for various fit indexes used to evaluate model fit in practice. Using a 2-index presentation strategy, which includes using the maximum likelihood (ML)-based standardized root mean squared residual (SRMR) and supple- menting it with either Tucker-Lewis Index (TLI), Bollen's (1989) Fit Index (BL89), Relative Noncentrality Index (RNI), Comparative Fit Index (CFI), Gamma Hat, Mc- Donald's Centrality Index (Mc), or root mean squared error of approximation (RMSEA), various combinations of cutoff values from selected ranges of cutoff crite- ria for the ML-based SRMR and a given supplemental fit index were used to calculate rejection rates for various types of true-population and misspecified models; that is, models with misspecified factor covariance(s) and models with misspecified factor loading(s). The results suggest that, for the ML method, a cutoff value close to .95 for TLI, BL89, CFI, RNI, and Gamma Hat; a cutoff value close to .90 for Mc; a cutoff value close to .08 for SRMR; and a cutoff value close to .06 for RMSEA are needed before we can conclude that there is a relatively good fit between the hypothesized model and the observed data. Furthermore, the 2-index presentation strategy is re- quired to reject reasonable proportions of various types of true-population and misspecified models. Finally, using the proposed cutoff criteria, the ML-based TLI, Mc, and RMSEA tend to overreject true-population models at small sample size and thus are less preferable when sample size is small.","author":[{"dropping-particle":"","family":"Hu","given":"Li Tze","non-dropping-particle":"","parse-names":false,"suffix":""},{"dropping-particle":"","family":"Bentler","given":"Peter M.","non-dropping-particle":"","parse-names":false,"suffix":""}],"container-title":"Structural Equation Modeling","id":"ITEM-1","issue":"1","issued":{"date-parts":[["1999"]]},"page":"1-55","title":"Cutoff criteria for fit indexes in covariance structure analysis: Conventional criteria versus new alternatives","type":"article-journal","volume":"6"},"uris":["http://www.mendeley.com/documents/?uuid=9ea91de2-0277-4683-8370-a87cb173c1b1"]}],"mendeley":{"formattedCitation":"(Hu &amp; Bentler, 1999)","manualFormatting":"Hu and Bentler (1999)","plainTextFormattedCitation":"(Hu &amp; Bentler, 1999)","previouslyFormattedCitation":"(Hu &amp; Bentler, 1999)"},"properties":{"noteIndex":0},"schema":"https://github.com/citation-style-language/schema/raw/master/csl-citation.json"}</w:instrText>
      </w:r>
      <w:r w:rsidR="007C0420" w:rsidRPr="002A7627">
        <w:rPr>
          <w:rStyle w:val="fontstyle01"/>
          <w:rFonts w:asciiTheme="majorBidi" w:hAnsiTheme="majorBidi" w:cstheme="majorBidi"/>
        </w:rPr>
        <w:fldChar w:fldCharType="separate"/>
      </w:r>
      <w:r w:rsidR="007C0420" w:rsidRPr="002A7627">
        <w:rPr>
          <w:rStyle w:val="fontstyle01"/>
          <w:rFonts w:asciiTheme="majorBidi" w:hAnsiTheme="majorBidi" w:cstheme="majorBidi"/>
          <w:noProof/>
        </w:rPr>
        <w:t>Hu and Bentler (1999)</w:t>
      </w:r>
      <w:r w:rsidR="007C0420" w:rsidRPr="002A7627">
        <w:rPr>
          <w:rStyle w:val="fontstyle01"/>
          <w:rFonts w:asciiTheme="majorBidi" w:hAnsiTheme="majorBidi" w:cstheme="majorBidi"/>
        </w:rPr>
        <w:fldChar w:fldCharType="end"/>
      </w:r>
      <w:r w:rsidR="007C0420" w:rsidRPr="002A7627">
        <w:rPr>
          <w:rStyle w:val="fontstyle01"/>
          <w:rFonts w:asciiTheme="majorBidi" w:hAnsiTheme="majorBidi" w:cstheme="majorBidi"/>
        </w:rPr>
        <w:t xml:space="preserve"> </w:t>
      </w:r>
      <w:r>
        <w:rPr>
          <w:rStyle w:val="fontstyle01"/>
          <w:rFonts w:asciiTheme="majorBidi" w:hAnsiTheme="majorBidi" w:cstheme="majorBidi"/>
        </w:rPr>
        <w:t xml:space="preserve">therefore </w:t>
      </w:r>
      <w:r w:rsidR="007C0420">
        <w:rPr>
          <w:rStyle w:val="fontstyle01"/>
          <w:rFonts w:asciiTheme="majorBidi" w:hAnsiTheme="majorBidi" w:cstheme="majorBidi"/>
        </w:rPr>
        <w:t xml:space="preserve">proposed </w:t>
      </w:r>
      <w:r w:rsidR="007C0420" w:rsidRPr="002A7627">
        <w:rPr>
          <w:rStyle w:val="fontstyle01"/>
          <w:rFonts w:asciiTheme="majorBidi" w:hAnsiTheme="majorBidi" w:cstheme="majorBidi"/>
        </w:rPr>
        <w:t>a</w:t>
      </w:r>
      <w:r w:rsidR="007C0420">
        <w:rPr>
          <w:rStyle w:val="fontstyle01"/>
          <w:rFonts w:asciiTheme="majorBidi" w:hAnsiTheme="majorBidi" w:cstheme="majorBidi"/>
        </w:rPr>
        <w:t>n SRMR</w:t>
      </w:r>
      <w:r w:rsidR="007C0420" w:rsidRPr="002A7627">
        <w:rPr>
          <w:rStyle w:val="fontstyle01"/>
          <w:rFonts w:asciiTheme="majorBidi" w:hAnsiTheme="majorBidi" w:cstheme="majorBidi"/>
        </w:rPr>
        <w:t xml:space="preserve"> cut-off value of 0.08</w:t>
      </w:r>
      <w:r w:rsidR="007C0420">
        <w:rPr>
          <w:rStyle w:val="fontstyle01"/>
          <w:rFonts w:asciiTheme="majorBidi" w:hAnsiTheme="majorBidi" w:cstheme="majorBidi"/>
        </w:rPr>
        <w:t xml:space="preserve">, which </w:t>
      </w:r>
      <w:r w:rsidR="007C0420" w:rsidRPr="002A7627">
        <w:rPr>
          <w:rStyle w:val="fontstyle01"/>
          <w:rFonts w:asciiTheme="majorBidi" w:hAnsiTheme="majorBidi" w:cstheme="majorBidi"/>
        </w:rPr>
        <w:t xml:space="preserve">appears to be adequate for PLS path models. </w:t>
      </w:r>
    </w:p>
    <w:p w14:paraId="4E337A03" w14:textId="62E8905D" w:rsidR="007C0420" w:rsidRDefault="007C0420" w:rsidP="007C0420">
      <w:pPr>
        <w:pStyle w:val="AAAAAAA"/>
        <w:rPr>
          <w:rStyle w:val="fontstyle01"/>
          <w:rFonts w:asciiTheme="majorBidi" w:hAnsiTheme="majorBidi" w:cstheme="majorBidi"/>
        </w:rPr>
      </w:pPr>
      <w:r w:rsidRPr="002A7627">
        <w:rPr>
          <w:rStyle w:val="fontstyle01"/>
          <w:rFonts w:asciiTheme="majorBidi" w:hAnsiTheme="majorBidi" w:cstheme="majorBidi"/>
        </w:rPr>
        <w:t xml:space="preserve">Another </w:t>
      </w:r>
      <w:r>
        <w:rPr>
          <w:rStyle w:val="fontstyle01"/>
          <w:rFonts w:asciiTheme="majorBidi" w:hAnsiTheme="majorBidi" w:cstheme="majorBidi"/>
        </w:rPr>
        <w:t xml:space="preserve">potentially </w:t>
      </w:r>
      <w:r w:rsidRPr="002A7627">
        <w:rPr>
          <w:rStyle w:val="fontstyle01"/>
          <w:rFonts w:asciiTheme="majorBidi" w:hAnsiTheme="majorBidi" w:cstheme="majorBidi"/>
        </w:rPr>
        <w:t xml:space="preserve">useful approximate model fit criterion </w:t>
      </w:r>
      <w:r>
        <w:rPr>
          <w:rStyle w:val="fontstyle01"/>
          <w:rFonts w:asciiTheme="majorBidi" w:hAnsiTheme="majorBidi" w:cstheme="majorBidi"/>
        </w:rPr>
        <w:t>is</w:t>
      </w:r>
      <w:r w:rsidRPr="002A7627">
        <w:rPr>
          <w:rStyle w:val="fontstyle01"/>
          <w:rFonts w:asciiTheme="majorBidi" w:hAnsiTheme="majorBidi" w:cstheme="majorBidi"/>
        </w:rPr>
        <w:t xml:space="preserve"> the Bentler</w:t>
      </w:r>
      <w:r w:rsidR="003A0710">
        <w:rPr>
          <w:rStyle w:val="fontstyle01"/>
          <w:rFonts w:asciiTheme="majorBidi" w:hAnsiTheme="majorBidi" w:cstheme="majorBidi"/>
        </w:rPr>
        <w:t>–</w:t>
      </w:r>
      <w:r w:rsidRPr="002A7627">
        <w:rPr>
          <w:rStyle w:val="fontstyle01"/>
          <w:rFonts w:asciiTheme="majorBidi" w:hAnsiTheme="majorBidi" w:cstheme="majorBidi"/>
        </w:rPr>
        <w:t>Bonett Index</w:t>
      </w:r>
      <w:r>
        <w:rPr>
          <w:rStyle w:val="fontstyle01"/>
          <w:rFonts w:asciiTheme="majorBidi" w:hAnsiTheme="majorBidi" w:cstheme="majorBidi"/>
        </w:rPr>
        <w:t>,</w:t>
      </w:r>
      <w:r w:rsidRPr="002A7627">
        <w:rPr>
          <w:rStyle w:val="fontstyle01"/>
          <w:rFonts w:asciiTheme="majorBidi" w:hAnsiTheme="majorBidi" w:cstheme="majorBidi"/>
        </w:rPr>
        <w:t xml:space="preserve"> or NFI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{"citationItems":[{"id":"ITEM-1","itemData":{"author":[{"dropping-particle":"","family":"Bentler","given":"P. M.","non-dropping-particle":"","parse-names":false,"suffix":""},{"dropping-particle":"","family":"Bonett","given":"D. G.","non-dropping-particle":"","parse-names":false,"suffix":""}],"container-title":"Psychological Bulletin","id":"ITEM-1","issue":"3","issued":{"date-parts":[["1980"]]},"page":"588-606","title":"Significance tests and goodness of fit in the analysis of covariance structures","type":"article-journal","volume":"88"},"uris":["http://www.mendeley.com/documents/?uuid=58d01bb1-f2cf-4011-9618-30d216268f2c"]}],"mendeley":{"formattedCitation":"(Bentler &amp; Bonett, 1980)","plainTextFormattedCitation":"(Bentler &amp; Bonett, 1980)","previouslyFormattedCitation":"(Bentler &amp; Bonett, 1980)"},"properties":{"noteIndex":0},"schema":"https://github.com/citation-style-language/schema/raw/master/csl-citation.json"}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(Bentler &amp; Bonett, 1980)</w:t>
      </w:r>
      <w:r w:rsidRPr="002A7627">
        <w:rPr>
          <w:rStyle w:val="fontstyle01"/>
          <w:rFonts w:asciiTheme="majorBidi" w:hAnsiTheme="majorBidi" w:cstheme="majorBidi"/>
        </w:rPr>
        <w:fldChar w:fldCharType="end"/>
      </w:r>
      <w:r>
        <w:rPr>
          <w:rStyle w:val="fontstyle01"/>
          <w:rFonts w:asciiTheme="majorBidi" w:hAnsiTheme="majorBidi" w:cstheme="majorBidi"/>
        </w:rPr>
        <w:t>, which</w:t>
      </w:r>
      <w:r w:rsidRPr="002A7627">
        <w:rPr>
          <w:rStyle w:val="fontstyle01"/>
          <w:rFonts w:asciiTheme="majorBidi" w:hAnsiTheme="majorBidi" w:cstheme="majorBidi"/>
        </w:rPr>
        <w:t xml:space="preserve">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{"citationItems":[{"id":"ITEM-1","itemData":{"author":[{"dropping-particle":"","family":"Lohmöller","given":"J. B.","non-dropping-particle":"","parse-names":false,"suffix":""}],"id":"ITEM-1","issued":{"date-parts":[["1989"]]},"publisher":"Physica","publisher-place":"Heidelberg, Germany","title":"Latent variable path modeling with partial least squares","type":"book"},"uris":["http://www.mendeley.com/documents/?uuid=9bc48fdf-c333-4b53-bbdb-a79abf1a459c"]}],"mendeley":{"formattedCitation":"(Lohmöller, 1989)","manualFormatting":"Lohmöller (1989)","plainTextFormattedCitation":"(Lohmöller, 1989)","previouslyFormattedCitation":"(Lohmöller, 1989)"},"properties":{"noteIndex":0},"schema":"https://github.com/citation-style-language/schema/raw/master/csl-citation.json"}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Lohmöller (1989)</w:t>
      </w:r>
      <w:r w:rsidRPr="002A7627">
        <w:rPr>
          <w:rStyle w:val="fontstyle01"/>
          <w:rFonts w:asciiTheme="majorBidi" w:hAnsiTheme="majorBidi" w:cstheme="majorBidi"/>
        </w:rPr>
        <w:fldChar w:fldCharType="end"/>
      </w:r>
      <w:r>
        <w:rPr>
          <w:rStyle w:val="fontstyle01"/>
          <w:rFonts w:asciiTheme="majorBidi" w:hAnsiTheme="majorBidi" w:cstheme="majorBidi"/>
        </w:rPr>
        <w:t xml:space="preserve"> </w:t>
      </w:r>
      <w:r w:rsidRPr="002A7627">
        <w:rPr>
          <w:rStyle w:val="fontstyle01"/>
          <w:rFonts w:asciiTheme="majorBidi" w:hAnsiTheme="majorBidi" w:cstheme="majorBidi"/>
        </w:rPr>
        <w:t>suggest</w:t>
      </w:r>
      <w:r>
        <w:rPr>
          <w:rStyle w:val="fontstyle01"/>
          <w:rFonts w:asciiTheme="majorBidi" w:hAnsiTheme="majorBidi" w:cstheme="majorBidi"/>
        </w:rPr>
        <w:t>ed</w:t>
      </w:r>
      <w:r w:rsidRPr="002A7627">
        <w:rPr>
          <w:rStyle w:val="fontstyle01"/>
          <w:rFonts w:asciiTheme="majorBidi" w:hAnsiTheme="majorBidi" w:cstheme="majorBidi"/>
        </w:rPr>
        <w:t xml:space="preserve"> </w:t>
      </w:r>
      <w:r w:rsidR="003A0710">
        <w:rPr>
          <w:rStyle w:val="fontstyle01"/>
          <w:rFonts w:asciiTheme="majorBidi" w:hAnsiTheme="majorBidi" w:cstheme="majorBidi"/>
        </w:rPr>
        <w:t>could be used</w:t>
      </w:r>
      <w:r w:rsidRPr="002A7627">
        <w:rPr>
          <w:rStyle w:val="fontstyle01"/>
          <w:rFonts w:asciiTheme="majorBidi" w:hAnsiTheme="majorBidi" w:cstheme="majorBidi"/>
        </w:rPr>
        <w:t xml:space="preserve"> in PLS path modeling</w:t>
      </w:r>
      <w:r>
        <w:rPr>
          <w:rStyle w:val="fontstyle01"/>
          <w:rFonts w:asciiTheme="majorBidi" w:hAnsiTheme="majorBidi" w:cstheme="majorBidi"/>
        </w:rPr>
        <w:t xml:space="preserve">. </w:t>
      </w:r>
      <w:r w:rsidRPr="002A7627">
        <w:rPr>
          <w:rStyle w:val="fontstyle01"/>
          <w:rFonts w:asciiTheme="majorBidi" w:hAnsiTheme="majorBidi" w:cstheme="majorBidi"/>
        </w:rPr>
        <w:t xml:space="preserve">For factor models, NFI values above 0.90 are considered acceptable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{"citationItems":[{"id":"ITEM-1","itemData":{"author":[{"dropping-particle":"","family":"Byrne","given":"B. M.","non-dropping-particle":"","parse-names":false,"suffix":""}],"id":"ITEM-1","issued":{"date-parts":[["2008"]]},"publisher":"Psychology Press","publisher-place":"New York, NY","title":"Structural equation modeling with EQs: Basic concepts, applications, and programming","type":"book"},"uris":["http://www.mendeley.com/documents/?uuid=328ffd9d-f151-4c06-8c09-1e3b4e963838"]}],"mendeley":{"formattedCitation":"(Byrne, 2008)","plainTextFormattedCitation":"(Byrne, 2008)","previouslyFormattedCitation":"(Byrne, 2008)"},"properties":{"noteIndex":0},"schema":"https://github.com/citation-style-language/schema/raw/master/csl-citation.json"}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(Byrne, 2008)</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 xml:space="preserve">. Table 17 </w:t>
      </w:r>
      <w:r w:rsidR="003A0710">
        <w:rPr>
          <w:rStyle w:val="fontstyle01"/>
          <w:rFonts w:asciiTheme="majorBidi" w:hAnsiTheme="majorBidi" w:cstheme="majorBidi"/>
        </w:rPr>
        <w:t>shows</w:t>
      </w:r>
      <w:r w:rsidRPr="002A7627">
        <w:rPr>
          <w:rStyle w:val="fontstyle01"/>
          <w:rFonts w:asciiTheme="majorBidi" w:hAnsiTheme="majorBidi" w:cstheme="majorBidi"/>
        </w:rPr>
        <w:t xml:space="preserve"> the results of testing model fit.</w:t>
      </w:r>
    </w:p>
    <w:p w14:paraId="579B8D2E" w14:textId="273474F2" w:rsidR="007C0420" w:rsidRPr="001D5F54" w:rsidRDefault="007C0420" w:rsidP="007C0420">
      <w:pPr>
        <w:pStyle w:val="Caption"/>
        <w:keepNext/>
        <w:rPr>
          <w:color w:val="000000"/>
          <w:szCs w:val="24"/>
        </w:rPr>
      </w:pPr>
      <w:bookmarkStart w:id="234" w:name="_Toc19478595"/>
      <w:bookmarkStart w:id="235" w:name="_Toc21074085"/>
      <w:r>
        <w:t xml:space="preserve">Table </w:t>
      </w:r>
      <w:r w:rsidR="00606D42">
        <w:rPr>
          <w:noProof/>
        </w:rPr>
        <w:fldChar w:fldCharType="begin"/>
      </w:r>
      <w:r w:rsidR="00606D42">
        <w:rPr>
          <w:noProof/>
        </w:rPr>
        <w:instrText xml:space="preserve"> SEQ Table \* ARABIC </w:instrText>
      </w:r>
      <w:r w:rsidR="00606D42">
        <w:rPr>
          <w:noProof/>
        </w:rPr>
        <w:fldChar w:fldCharType="separate"/>
      </w:r>
      <w:r w:rsidR="00972C3F">
        <w:rPr>
          <w:noProof/>
        </w:rPr>
        <w:t>17</w:t>
      </w:r>
      <w:r w:rsidR="00606D42">
        <w:rPr>
          <w:noProof/>
        </w:rPr>
        <w:fldChar w:fldCharType="end"/>
      </w:r>
      <w:r>
        <w:t xml:space="preserve">. </w:t>
      </w:r>
      <w:r w:rsidRPr="00397EB2">
        <w:t>Global goodness-of-fit and bootstrap</w:t>
      </w:r>
      <w:bookmarkEnd w:id="234"/>
      <w:r w:rsidR="003A0710">
        <w:t xml:space="preserve"> results</w:t>
      </w:r>
      <w:bookmarkEnd w:id="235"/>
    </w:p>
    <w:tbl>
      <w:tblPr>
        <w:tblW w:w="81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1224"/>
        <w:gridCol w:w="1134"/>
        <w:gridCol w:w="1181"/>
        <w:gridCol w:w="1087"/>
        <w:gridCol w:w="1417"/>
        <w:gridCol w:w="1134"/>
      </w:tblGrid>
      <w:tr w:rsidR="007C0420" w:rsidRPr="002A7627" w14:paraId="0DCC3630" w14:textId="77777777" w:rsidTr="00EC1CB8">
        <w:trPr>
          <w:trHeight w:val="300"/>
        </w:trPr>
        <w:tc>
          <w:tcPr>
            <w:tcW w:w="1006" w:type="dxa"/>
            <w:vMerge w:val="restart"/>
            <w:tcBorders>
              <w:top w:val="single" w:sz="4" w:space="0" w:color="auto"/>
              <w:left w:val="nil"/>
              <w:bottom w:val="single" w:sz="4" w:space="0" w:color="auto"/>
              <w:right w:val="nil"/>
            </w:tcBorders>
            <w:shd w:val="clear" w:color="auto" w:fill="auto"/>
            <w:noWrap/>
            <w:vAlign w:val="center"/>
            <w:hideMark/>
          </w:tcPr>
          <w:p w14:paraId="05840E08" w14:textId="77777777" w:rsidR="007C0420" w:rsidRPr="002A7627" w:rsidRDefault="007C0420" w:rsidP="00DC1DF9">
            <w:pPr>
              <w:jc w:val="center"/>
              <w:rPr>
                <w:rFonts w:asciiTheme="majorBidi" w:hAnsiTheme="majorBidi" w:cstheme="majorBidi"/>
                <w:sz w:val="20"/>
                <w:szCs w:val="20"/>
              </w:rPr>
            </w:pPr>
            <w:r w:rsidRPr="002A7627">
              <w:rPr>
                <w:rFonts w:asciiTheme="majorBidi" w:hAnsiTheme="majorBidi" w:cstheme="majorBidi"/>
                <w:b/>
                <w:bCs/>
              </w:rPr>
              <w:t>Indic</w:t>
            </w:r>
          </w:p>
        </w:tc>
        <w:tc>
          <w:tcPr>
            <w:tcW w:w="3539" w:type="dxa"/>
            <w:gridSpan w:val="3"/>
            <w:tcBorders>
              <w:top w:val="single" w:sz="4" w:space="0" w:color="auto"/>
              <w:left w:val="nil"/>
              <w:bottom w:val="single" w:sz="4" w:space="0" w:color="auto"/>
              <w:right w:val="nil"/>
            </w:tcBorders>
            <w:shd w:val="clear" w:color="auto" w:fill="auto"/>
            <w:noWrap/>
            <w:vAlign w:val="center"/>
            <w:hideMark/>
          </w:tcPr>
          <w:p w14:paraId="361B0719" w14:textId="77777777" w:rsidR="007C0420" w:rsidRPr="002A7627" w:rsidRDefault="007C0420" w:rsidP="00DC1DF9">
            <w:pPr>
              <w:spacing w:line="276" w:lineRule="auto"/>
              <w:jc w:val="center"/>
              <w:rPr>
                <w:rFonts w:asciiTheme="majorBidi" w:hAnsiTheme="majorBidi" w:cstheme="majorBidi"/>
                <w:b/>
                <w:bCs/>
                <w:sz w:val="20"/>
                <w:szCs w:val="20"/>
              </w:rPr>
            </w:pPr>
            <w:r w:rsidRPr="002A7627">
              <w:rPr>
                <w:rFonts w:asciiTheme="majorBidi" w:hAnsiTheme="majorBidi" w:cstheme="majorBidi"/>
                <w:b/>
                <w:bCs/>
              </w:rPr>
              <w:t>Saturated Model</w:t>
            </w:r>
          </w:p>
        </w:tc>
        <w:tc>
          <w:tcPr>
            <w:tcW w:w="3638" w:type="dxa"/>
            <w:gridSpan w:val="3"/>
            <w:tcBorders>
              <w:top w:val="single" w:sz="4" w:space="0" w:color="auto"/>
              <w:left w:val="nil"/>
              <w:bottom w:val="single" w:sz="4" w:space="0" w:color="auto"/>
              <w:right w:val="nil"/>
            </w:tcBorders>
            <w:vAlign w:val="center"/>
          </w:tcPr>
          <w:p w14:paraId="45EC1AC8" w14:textId="77777777" w:rsidR="007C0420" w:rsidRPr="002A7627" w:rsidRDefault="007C0420" w:rsidP="00DC1DF9">
            <w:pPr>
              <w:spacing w:line="276" w:lineRule="auto"/>
              <w:jc w:val="center"/>
              <w:rPr>
                <w:rFonts w:asciiTheme="majorBidi" w:hAnsiTheme="majorBidi" w:cstheme="majorBidi"/>
                <w:b/>
                <w:bCs/>
                <w:sz w:val="20"/>
                <w:szCs w:val="20"/>
              </w:rPr>
            </w:pPr>
            <w:r w:rsidRPr="002A7627">
              <w:rPr>
                <w:rFonts w:asciiTheme="majorBidi" w:hAnsiTheme="majorBidi" w:cstheme="majorBidi"/>
                <w:b/>
                <w:bCs/>
              </w:rPr>
              <w:t>Estimated Model</w:t>
            </w:r>
          </w:p>
        </w:tc>
      </w:tr>
      <w:tr w:rsidR="009E23B0" w:rsidRPr="002A7627" w14:paraId="09F112CD" w14:textId="77777777" w:rsidTr="00EC1CB8">
        <w:trPr>
          <w:trHeight w:val="368"/>
        </w:trPr>
        <w:tc>
          <w:tcPr>
            <w:tcW w:w="1006" w:type="dxa"/>
            <w:vMerge/>
            <w:tcBorders>
              <w:top w:val="single" w:sz="4" w:space="0" w:color="auto"/>
              <w:left w:val="nil"/>
              <w:bottom w:val="single" w:sz="4" w:space="0" w:color="auto"/>
              <w:right w:val="nil"/>
            </w:tcBorders>
            <w:shd w:val="clear" w:color="auto" w:fill="auto"/>
            <w:noWrap/>
            <w:vAlign w:val="center"/>
            <w:hideMark/>
          </w:tcPr>
          <w:p w14:paraId="6E478682" w14:textId="77777777" w:rsidR="007C0420" w:rsidRPr="002A7627" w:rsidRDefault="007C0420" w:rsidP="00DC1DF9">
            <w:pPr>
              <w:jc w:val="center"/>
              <w:rPr>
                <w:rFonts w:asciiTheme="majorBidi" w:hAnsiTheme="majorBidi" w:cstheme="majorBidi"/>
                <w:sz w:val="20"/>
                <w:szCs w:val="20"/>
              </w:rPr>
            </w:pPr>
          </w:p>
        </w:tc>
        <w:tc>
          <w:tcPr>
            <w:tcW w:w="1224" w:type="dxa"/>
            <w:tcBorders>
              <w:top w:val="single" w:sz="4" w:space="0" w:color="auto"/>
              <w:left w:val="nil"/>
              <w:bottom w:val="single" w:sz="4" w:space="0" w:color="auto"/>
              <w:right w:val="nil"/>
            </w:tcBorders>
            <w:shd w:val="clear" w:color="auto" w:fill="auto"/>
            <w:noWrap/>
            <w:vAlign w:val="center"/>
            <w:hideMark/>
          </w:tcPr>
          <w:p w14:paraId="49001679"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Value</w:t>
            </w:r>
          </w:p>
        </w:tc>
        <w:tc>
          <w:tcPr>
            <w:tcW w:w="1134" w:type="dxa"/>
            <w:tcBorders>
              <w:top w:val="single" w:sz="4" w:space="0" w:color="auto"/>
              <w:left w:val="nil"/>
              <w:bottom w:val="single" w:sz="4" w:space="0" w:color="auto"/>
              <w:right w:val="nil"/>
            </w:tcBorders>
            <w:shd w:val="clear" w:color="auto" w:fill="auto"/>
            <w:noWrap/>
            <w:vAlign w:val="center"/>
          </w:tcPr>
          <w:p w14:paraId="236AF381"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95%</w:t>
            </w:r>
          </w:p>
        </w:tc>
        <w:tc>
          <w:tcPr>
            <w:tcW w:w="1181" w:type="dxa"/>
            <w:tcBorders>
              <w:top w:val="single" w:sz="4" w:space="0" w:color="auto"/>
              <w:left w:val="nil"/>
              <w:bottom w:val="single" w:sz="4" w:space="0" w:color="auto"/>
              <w:right w:val="nil"/>
            </w:tcBorders>
            <w:shd w:val="clear" w:color="auto" w:fill="auto"/>
            <w:vAlign w:val="center"/>
          </w:tcPr>
          <w:p w14:paraId="590C63A5"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99%</w:t>
            </w:r>
          </w:p>
        </w:tc>
        <w:tc>
          <w:tcPr>
            <w:tcW w:w="1087" w:type="dxa"/>
            <w:tcBorders>
              <w:top w:val="single" w:sz="4" w:space="0" w:color="auto"/>
              <w:left w:val="nil"/>
              <w:bottom w:val="single" w:sz="4" w:space="0" w:color="auto"/>
              <w:right w:val="nil"/>
            </w:tcBorders>
            <w:shd w:val="clear" w:color="auto" w:fill="auto"/>
            <w:vAlign w:val="center"/>
          </w:tcPr>
          <w:p w14:paraId="4B578B3B"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Value</w:t>
            </w:r>
          </w:p>
        </w:tc>
        <w:tc>
          <w:tcPr>
            <w:tcW w:w="1417" w:type="dxa"/>
            <w:tcBorders>
              <w:top w:val="single" w:sz="4" w:space="0" w:color="auto"/>
              <w:left w:val="nil"/>
              <w:bottom w:val="single" w:sz="4" w:space="0" w:color="auto"/>
              <w:right w:val="nil"/>
            </w:tcBorders>
            <w:shd w:val="clear" w:color="auto" w:fill="auto"/>
            <w:vAlign w:val="center"/>
          </w:tcPr>
          <w:p w14:paraId="78852B8D"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95%</w:t>
            </w:r>
          </w:p>
        </w:tc>
        <w:tc>
          <w:tcPr>
            <w:tcW w:w="1134" w:type="dxa"/>
            <w:tcBorders>
              <w:top w:val="single" w:sz="4" w:space="0" w:color="auto"/>
              <w:left w:val="nil"/>
              <w:bottom w:val="single" w:sz="4" w:space="0" w:color="auto"/>
              <w:right w:val="nil"/>
            </w:tcBorders>
            <w:shd w:val="clear" w:color="auto" w:fill="auto"/>
            <w:vAlign w:val="center"/>
          </w:tcPr>
          <w:p w14:paraId="27E4A740"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99%</w:t>
            </w:r>
          </w:p>
        </w:tc>
      </w:tr>
      <w:tr w:rsidR="009E23B0" w:rsidRPr="002A7627" w14:paraId="20AE81C5" w14:textId="77777777" w:rsidTr="00EC1CB8">
        <w:trPr>
          <w:trHeight w:val="300"/>
        </w:trPr>
        <w:tc>
          <w:tcPr>
            <w:tcW w:w="1006" w:type="dxa"/>
            <w:tcBorders>
              <w:top w:val="single" w:sz="4" w:space="0" w:color="auto"/>
              <w:left w:val="nil"/>
              <w:bottom w:val="nil"/>
              <w:right w:val="nil"/>
            </w:tcBorders>
            <w:shd w:val="clear" w:color="auto" w:fill="auto"/>
            <w:noWrap/>
            <w:vAlign w:val="center"/>
            <w:hideMark/>
          </w:tcPr>
          <w:p w14:paraId="006B0011"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SRMR</w:t>
            </w:r>
          </w:p>
        </w:tc>
        <w:tc>
          <w:tcPr>
            <w:tcW w:w="1224" w:type="dxa"/>
            <w:tcBorders>
              <w:top w:val="single" w:sz="4" w:space="0" w:color="auto"/>
              <w:left w:val="nil"/>
              <w:bottom w:val="nil"/>
              <w:right w:val="nil"/>
            </w:tcBorders>
            <w:shd w:val="clear" w:color="auto" w:fill="auto"/>
            <w:noWrap/>
            <w:vAlign w:val="center"/>
            <w:hideMark/>
          </w:tcPr>
          <w:p w14:paraId="23EE4B7E"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0.051</w:t>
            </w:r>
          </w:p>
        </w:tc>
        <w:tc>
          <w:tcPr>
            <w:tcW w:w="1134" w:type="dxa"/>
            <w:tcBorders>
              <w:top w:val="single" w:sz="4" w:space="0" w:color="auto"/>
              <w:left w:val="nil"/>
              <w:bottom w:val="nil"/>
              <w:right w:val="nil"/>
            </w:tcBorders>
            <w:shd w:val="clear" w:color="auto" w:fill="auto"/>
            <w:noWrap/>
            <w:vAlign w:val="center"/>
          </w:tcPr>
          <w:p w14:paraId="07D2E6E9"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0.034</w:t>
            </w:r>
          </w:p>
        </w:tc>
        <w:tc>
          <w:tcPr>
            <w:tcW w:w="1181" w:type="dxa"/>
            <w:tcBorders>
              <w:top w:val="single" w:sz="4" w:space="0" w:color="auto"/>
              <w:left w:val="nil"/>
              <w:bottom w:val="nil"/>
              <w:right w:val="nil"/>
            </w:tcBorders>
            <w:shd w:val="clear" w:color="auto" w:fill="auto"/>
            <w:vAlign w:val="center"/>
          </w:tcPr>
          <w:p w14:paraId="40F13839"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0.035</w:t>
            </w:r>
          </w:p>
        </w:tc>
        <w:tc>
          <w:tcPr>
            <w:tcW w:w="1087" w:type="dxa"/>
            <w:tcBorders>
              <w:top w:val="single" w:sz="4" w:space="0" w:color="auto"/>
              <w:left w:val="nil"/>
              <w:bottom w:val="nil"/>
              <w:right w:val="nil"/>
            </w:tcBorders>
            <w:shd w:val="clear" w:color="auto" w:fill="auto"/>
            <w:vAlign w:val="center"/>
          </w:tcPr>
          <w:p w14:paraId="0106AE0D"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0.051</w:t>
            </w:r>
          </w:p>
        </w:tc>
        <w:tc>
          <w:tcPr>
            <w:tcW w:w="1417" w:type="dxa"/>
            <w:tcBorders>
              <w:top w:val="single" w:sz="4" w:space="0" w:color="auto"/>
              <w:left w:val="nil"/>
              <w:bottom w:val="nil"/>
              <w:right w:val="nil"/>
            </w:tcBorders>
            <w:shd w:val="clear" w:color="auto" w:fill="auto"/>
            <w:vAlign w:val="center"/>
          </w:tcPr>
          <w:p w14:paraId="784FE184"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0.034</w:t>
            </w:r>
          </w:p>
        </w:tc>
        <w:tc>
          <w:tcPr>
            <w:tcW w:w="1134" w:type="dxa"/>
            <w:tcBorders>
              <w:top w:val="single" w:sz="4" w:space="0" w:color="auto"/>
              <w:left w:val="nil"/>
              <w:bottom w:val="nil"/>
              <w:right w:val="nil"/>
            </w:tcBorders>
            <w:shd w:val="clear" w:color="auto" w:fill="auto"/>
            <w:vAlign w:val="center"/>
          </w:tcPr>
          <w:p w14:paraId="2B8B7905"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0.035</w:t>
            </w:r>
          </w:p>
        </w:tc>
      </w:tr>
      <w:tr w:rsidR="009E23B0" w:rsidRPr="002A7627" w14:paraId="32BAAAC9" w14:textId="77777777" w:rsidTr="00EC1CB8">
        <w:trPr>
          <w:trHeight w:val="300"/>
        </w:trPr>
        <w:tc>
          <w:tcPr>
            <w:tcW w:w="1006" w:type="dxa"/>
            <w:tcBorders>
              <w:top w:val="nil"/>
              <w:left w:val="nil"/>
              <w:bottom w:val="nil"/>
              <w:right w:val="nil"/>
            </w:tcBorders>
            <w:shd w:val="clear" w:color="auto" w:fill="auto"/>
            <w:noWrap/>
            <w:vAlign w:val="center"/>
            <w:hideMark/>
          </w:tcPr>
          <w:p w14:paraId="61B52AF2"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d_ULS</w:t>
            </w:r>
          </w:p>
        </w:tc>
        <w:tc>
          <w:tcPr>
            <w:tcW w:w="1224" w:type="dxa"/>
            <w:tcBorders>
              <w:top w:val="nil"/>
              <w:left w:val="nil"/>
              <w:bottom w:val="nil"/>
              <w:right w:val="nil"/>
            </w:tcBorders>
            <w:shd w:val="clear" w:color="auto" w:fill="auto"/>
            <w:noWrap/>
            <w:vAlign w:val="center"/>
            <w:hideMark/>
          </w:tcPr>
          <w:p w14:paraId="7E3D7195"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0.483</w:t>
            </w:r>
          </w:p>
        </w:tc>
        <w:tc>
          <w:tcPr>
            <w:tcW w:w="1134" w:type="dxa"/>
            <w:tcBorders>
              <w:top w:val="nil"/>
              <w:left w:val="nil"/>
              <w:bottom w:val="nil"/>
              <w:right w:val="nil"/>
            </w:tcBorders>
            <w:shd w:val="clear" w:color="auto" w:fill="auto"/>
            <w:noWrap/>
            <w:vAlign w:val="center"/>
          </w:tcPr>
          <w:p w14:paraId="163B6202"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0.637</w:t>
            </w:r>
          </w:p>
        </w:tc>
        <w:tc>
          <w:tcPr>
            <w:tcW w:w="1181" w:type="dxa"/>
            <w:tcBorders>
              <w:top w:val="nil"/>
              <w:left w:val="nil"/>
              <w:bottom w:val="nil"/>
              <w:right w:val="nil"/>
            </w:tcBorders>
            <w:shd w:val="clear" w:color="auto" w:fill="auto"/>
            <w:vAlign w:val="center"/>
          </w:tcPr>
          <w:p w14:paraId="7F2BAA62"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0.697</w:t>
            </w:r>
          </w:p>
        </w:tc>
        <w:tc>
          <w:tcPr>
            <w:tcW w:w="1087" w:type="dxa"/>
            <w:tcBorders>
              <w:top w:val="nil"/>
              <w:left w:val="nil"/>
              <w:bottom w:val="nil"/>
              <w:right w:val="nil"/>
            </w:tcBorders>
            <w:shd w:val="clear" w:color="auto" w:fill="auto"/>
            <w:vAlign w:val="center"/>
          </w:tcPr>
          <w:p w14:paraId="493472A1"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0.483</w:t>
            </w:r>
          </w:p>
        </w:tc>
        <w:tc>
          <w:tcPr>
            <w:tcW w:w="1417" w:type="dxa"/>
            <w:tcBorders>
              <w:top w:val="nil"/>
              <w:left w:val="nil"/>
              <w:bottom w:val="nil"/>
              <w:right w:val="nil"/>
            </w:tcBorders>
            <w:shd w:val="clear" w:color="auto" w:fill="auto"/>
            <w:vAlign w:val="center"/>
          </w:tcPr>
          <w:p w14:paraId="7C1E5C3B"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0.637</w:t>
            </w:r>
          </w:p>
        </w:tc>
        <w:tc>
          <w:tcPr>
            <w:tcW w:w="1134" w:type="dxa"/>
            <w:tcBorders>
              <w:top w:val="nil"/>
              <w:left w:val="nil"/>
              <w:bottom w:val="nil"/>
              <w:right w:val="nil"/>
            </w:tcBorders>
            <w:shd w:val="clear" w:color="auto" w:fill="auto"/>
            <w:vAlign w:val="center"/>
          </w:tcPr>
          <w:p w14:paraId="33C54A28"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0.697</w:t>
            </w:r>
          </w:p>
        </w:tc>
      </w:tr>
      <w:tr w:rsidR="009E23B0" w:rsidRPr="002A7627" w14:paraId="63494C17" w14:textId="77777777" w:rsidTr="00EC1CB8">
        <w:trPr>
          <w:trHeight w:val="300"/>
        </w:trPr>
        <w:tc>
          <w:tcPr>
            <w:tcW w:w="1006" w:type="dxa"/>
            <w:tcBorders>
              <w:top w:val="nil"/>
              <w:left w:val="nil"/>
              <w:bottom w:val="nil"/>
              <w:right w:val="nil"/>
            </w:tcBorders>
            <w:shd w:val="clear" w:color="auto" w:fill="auto"/>
            <w:noWrap/>
            <w:vAlign w:val="center"/>
            <w:hideMark/>
          </w:tcPr>
          <w:p w14:paraId="3E36BB15"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d_G</w:t>
            </w:r>
          </w:p>
        </w:tc>
        <w:tc>
          <w:tcPr>
            <w:tcW w:w="1224" w:type="dxa"/>
            <w:tcBorders>
              <w:top w:val="nil"/>
              <w:left w:val="nil"/>
              <w:bottom w:val="nil"/>
              <w:right w:val="nil"/>
            </w:tcBorders>
            <w:shd w:val="clear" w:color="auto" w:fill="auto"/>
            <w:noWrap/>
            <w:vAlign w:val="center"/>
            <w:hideMark/>
          </w:tcPr>
          <w:p w14:paraId="54B3FB34"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0.28</w:t>
            </w:r>
          </w:p>
        </w:tc>
        <w:tc>
          <w:tcPr>
            <w:tcW w:w="1134" w:type="dxa"/>
            <w:tcBorders>
              <w:top w:val="nil"/>
              <w:left w:val="nil"/>
              <w:bottom w:val="nil"/>
              <w:right w:val="nil"/>
            </w:tcBorders>
            <w:shd w:val="clear" w:color="auto" w:fill="auto"/>
            <w:noWrap/>
            <w:vAlign w:val="center"/>
          </w:tcPr>
          <w:p w14:paraId="17B8ED48"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0.332</w:t>
            </w:r>
          </w:p>
        </w:tc>
        <w:tc>
          <w:tcPr>
            <w:tcW w:w="1181" w:type="dxa"/>
            <w:tcBorders>
              <w:top w:val="nil"/>
              <w:left w:val="nil"/>
              <w:bottom w:val="nil"/>
              <w:right w:val="nil"/>
            </w:tcBorders>
            <w:shd w:val="clear" w:color="auto" w:fill="auto"/>
            <w:vAlign w:val="center"/>
          </w:tcPr>
          <w:p w14:paraId="2C73B282"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0.344</w:t>
            </w:r>
          </w:p>
        </w:tc>
        <w:tc>
          <w:tcPr>
            <w:tcW w:w="1087" w:type="dxa"/>
            <w:tcBorders>
              <w:top w:val="nil"/>
              <w:left w:val="nil"/>
              <w:bottom w:val="nil"/>
              <w:right w:val="nil"/>
            </w:tcBorders>
            <w:shd w:val="clear" w:color="auto" w:fill="auto"/>
            <w:vAlign w:val="center"/>
          </w:tcPr>
          <w:p w14:paraId="6D93E669"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0.28</w:t>
            </w:r>
          </w:p>
        </w:tc>
        <w:tc>
          <w:tcPr>
            <w:tcW w:w="1417" w:type="dxa"/>
            <w:tcBorders>
              <w:top w:val="nil"/>
              <w:left w:val="nil"/>
              <w:bottom w:val="nil"/>
              <w:right w:val="nil"/>
            </w:tcBorders>
            <w:shd w:val="clear" w:color="auto" w:fill="auto"/>
            <w:vAlign w:val="center"/>
          </w:tcPr>
          <w:p w14:paraId="5DFB4B65"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0.332</w:t>
            </w:r>
          </w:p>
        </w:tc>
        <w:tc>
          <w:tcPr>
            <w:tcW w:w="1134" w:type="dxa"/>
            <w:tcBorders>
              <w:top w:val="nil"/>
              <w:left w:val="nil"/>
              <w:bottom w:val="nil"/>
              <w:right w:val="nil"/>
            </w:tcBorders>
            <w:shd w:val="clear" w:color="auto" w:fill="auto"/>
            <w:vAlign w:val="center"/>
          </w:tcPr>
          <w:p w14:paraId="0C884846"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0.344</w:t>
            </w:r>
          </w:p>
        </w:tc>
      </w:tr>
      <w:tr w:rsidR="009E23B0" w:rsidRPr="002A7627" w14:paraId="7CC9EEE6" w14:textId="77777777" w:rsidTr="00EC1CB8">
        <w:trPr>
          <w:trHeight w:val="300"/>
        </w:trPr>
        <w:tc>
          <w:tcPr>
            <w:tcW w:w="1006" w:type="dxa"/>
            <w:tcBorders>
              <w:top w:val="nil"/>
              <w:left w:val="nil"/>
              <w:bottom w:val="single" w:sz="4" w:space="0" w:color="auto"/>
              <w:right w:val="nil"/>
            </w:tcBorders>
            <w:shd w:val="clear" w:color="auto" w:fill="auto"/>
            <w:noWrap/>
            <w:vAlign w:val="center"/>
            <w:hideMark/>
          </w:tcPr>
          <w:p w14:paraId="0DF90412"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NFI</w:t>
            </w:r>
          </w:p>
        </w:tc>
        <w:tc>
          <w:tcPr>
            <w:tcW w:w="1224" w:type="dxa"/>
            <w:tcBorders>
              <w:top w:val="nil"/>
              <w:left w:val="nil"/>
              <w:bottom w:val="single" w:sz="4" w:space="0" w:color="auto"/>
              <w:right w:val="nil"/>
            </w:tcBorders>
            <w:shd w:val="clear" w:color="auto" w:fill="auto"/>
            <w:noWrap/>
            <w:vAlign w:val="center"/>
            <w:hideMark/>
          </w:tcPr>
          <w:p w14:paraId="251DE7BB"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0.923</w:t>
            </w:r>
          </w:p>
        </w:tc>
        <w:tc>
          <w:tcPr>
            <w:tcW w:w="1134" w:type="dxa"/>
            <w:tcBorders>
              <w:top w:val="nil"/>
              <w:left w:val="nil"/>
              <w:bottom w:val="single" w:sz="4" w:space="0" w:color="auto"/>
              <w:right w:val="nil"/>
            </w:tcBorders>
            <w:shd w:val="clear" w:color="auto" w:fill="auto"/>
            <w:noWrap/>
            <w:vAlign w:val="center"/>
          </w:tcPr>
          <w:p w14:paraId="074FA576" w14:textId="77777777" w:rsidR="007C0420" w:rsidRPr="002A7627" w:rsidRDefault="007C0420" w:rsidP="00DC1DF9">
            <w:pPr>
              <w:jc w:val="center"/>
              <w:rPr>
                <w:rFonts w:asciiTheme="majorBidi" w:hAnsiTheme="majorBidi" w:cstheme="majorBidi"/>
              </w:rPr>
            </w:pPr>
          </w:p>
        </w:tc>
        <w:tc>
          <w:tcPr>
            <w:tcW w:w="1181" w:type="dxa"/>
            <w:tcBorders>
              <w:top w:val="nil"/>
              <w:left w:val="nil"/>
              <w:bottom w:val="single" w:sz="4" w:space="0" w:color="auto"/>
              <w:right w:val="nil"/>
            </w:tcBorders>
            <w:vAlign w:val="center"/>
          </w:tcPr>
          <w:p w14:paraId="158B6002" w14:textId="77777777" w:rsidR="007C0420" w:rsidRPr="002A7627" w:rsidRDefault="007C0420" w:rsidP="00DC1DF9">
            <w:pPr>
              <w:jc w:val="center"/>
              <w:rPr>
                <w:rFonts w:asciiTheme="majorBidi" w:hAnsiTheme="majorBidi" w:cstheme="majorBidi"/>
              </w:rPr>
            </w:pPr>
          </w:p>
        </w:tc>
        <w:tc>
          <w:tcPr>
            <w:tcW w:w="1087" w:type="dxa"/>
            <w:tcBorders>
              <w:top w:val="nil"/>
              <w:left w:val="nil"/>
              <w:bottom w:val="single" w:sz="4" w:space="0" w:color="auto"/>
              <w:right w:val="nil"/>
            </w:tcBorders>
            <w:shd w:val="clear" w:color="auto" w:fill="auto"/>
            <w:vAlign w:val="center"/>
          </w:tcPr>
          <w:p w14:paraId="1EEEF2C9"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0.923</w:t>
            </w:r>
          </w:p>
        </w:tc>
        <w:tc>
          <w:tcPr>
            <w:tcW w:w="1417" w:type="dxa"/>
            <w:tcBorders>
              <w:top w:val="nil"/>
              <w:left w:val="nil"/>
              <w:bottom w:val="single" w:sz="4" w:space="0" w:color="auto"/>
              <w:right w:val="nil"/>
            </w:tcBorders>
            <w:vAlign w:val="center"/>
          </w:tcPr>
          <w:p w14:paraId="4FE4DC7D" w14:textId="77777777" w:rsidR="007C0420" w:rsidRPr="002A7627" w:rsidRDefault="007C0420" w:rsidP="00DC1DF9">
            <w:pPr>
              <w:jc w:val="center"/>
              <w:rPr>
                <w:rFonts w:asciiTheme="majorBidi" w:hAnsiTheme="majorBidi" w:cstheme="majorBidi"/>
              </w:rPr>
            </w:pPr>
          </w:p>
        </w:tc>
        <w:tc>
          <w:tcPr>
            <w:tcW w:w="1134" w:type="dxa"/>
            <w:tcBorders>
              <w:top w:val="nil"/>
              <w:left w:val="nil"/>
              <w:bottom w:val="single" w:sz="4" w:space="0" w:color="auto"/>
              <w:right w:val="nil"/>
            </w:tcBorders>
            <w:vAlign w:val="center"/>
          </w:tcPr>
          <w:p w14:paraId="19EB8E97" w14:textId="77777777" w:rsidR="007C0420" w:rsidRPr="002A7627" w:rsidRDefault="007C0420" w:rsidP="00DC1DF9">
            <w:pPr>
              <w:jc w:val="center"/>
              <w:rPr>
                <w:rFonts w:asciiTheme="majorBidi" w:hAnsiTheme="majorBidi" w:cstheme="majorBidi"/>
              </w:rPr>
            </w:pPr>
          </w:p>
        </w:tc>
      </w:tr>
    </w:tbl>
    <w:p w14:paraId="69DEE8A9" w14:textId="77777777" w:rsidR="007C0420" w:rsidRPr="002A7627" w:rsidRDefault="007C0420" w:rsidP="007C0420">
      <w:pPr>
        <w:tabs>
          <w:tab w:val="left" w:pos="2790"/>
        </w:tabs>
        <w:rPr>
          <w:rStyle w:val="fontstyle01"/>
        </w:rPr>
      </w:pPr>
    </w:p>
    <w:p w14:paraId="27908605" w14:textId="66079B2B" w:rsidR="007C0420" w:rsidRPr="002A7627" w:rsidRDefault="003A0710" w:rsidP="007C0420">
      <w:pPr>
        <w:pStyle w:val="AAAAAAA"/>
        <w:rPr>
          <w:rStyle w:val="fontstyle01"/>
          <w:rFonts w:asciiTheme="majorBidi" w:hAnsiTheme="majorBidi" w:cstheme="majorBidi"/>
        </w:rPr>
      </w:pPr>
      <w:r>
        <w:rPr>
          <w:rStyle w:val="fontstyle01"/>
          <w:rFonts w:asciiTheme="majorBidi" w:hAnsiTheme="majorBidi" w:cstheme="majorBidi"/>
        </w:rPr>
        <w:t>This study had</w:t>
      </w:r>
      <w:r w:rsidR="007C0420" w:rsidRPr="002A7627">
        <w:rPr>
          <w:rStyle w:val="fontstyle01"/>
          <w:rFonts w:asciiTheme="majorBidi" w:hAnsiTheme="majorBidi" w:cstheme="majorBidi"/>
        </w:rPr>
        <w:t xml:space="preserve"> a saturated model with no free paths, </w:t>
      </w:r>
      <w:r>
        <w:rPr>
          <w:rStyle w:val="fontstyle01"/>
          <w:rFonts w:asciiTheme="majorBidi" w:hAnsiTheme="majorBidi" w:cstheme="majorBidi"/>
        </w:rPr>
        <w:t xml:space="preserve">so </w:t>
      </w:r>
      <w:r w:rsidR="007C0420" w:rsidRPr="002A7627">
        <w:rPr>
          <w:rStyle w:val="fontstyle01"/>
          <w:rFonts w:asciiTheme="majorBidi" w:hAnsiTheme="majorBidi" w:cstheme="majorBidi"/>
        </w:rPr>
        <w:t xml:space="preserve">the saturated model (measurement) fit values and the estimated model (structural model) fit values </w:t>
      </w:r>
      <w:r w:rsidR="009E23B0">
        <w:rPr>
          <w:rStyle w:val="fontstyle01"/>
          <w:rFonts w:asciiTheme="majorBidi" w:hAnsiTheme="majorBidi" w:cstheme="majorBidi"/>
        </w:rPr>
        <w:t>were</w:t>
      </w:r>
      <w:r w:rsidR="009E23B0" w:rsidRPr="002A7627">
        <w:rPr>
          <w:rStyle w:val="fontstyle01"/>
          <w:rFonts w:asciiTheme="majorBidi" w:hAnsiTheme="majorBidi" w:cstheme="majorBidi"/>
        </w:rPr>
        <w:t xml:space="preserve"> </w:t>
      </w:r>
      <w:r w:rsidR="007C0420" w:rsidRPr="002A7627">
        <w:rPr>
          <w:rStyle w:val="fontstyle01"/>
          <w:rFonts w:asciiTheme="majorBidi" w:hAnsiTheme="majorBidi" w:cstheme="majorBidi"/>
        </w:rPr>
        <w:t xml:space="preserve">exactly the same. </w:t>
      </w:r>
      <w:r>
        <w:rPr>
          <w:rStyle w:val="fontstyle01"/>
          <w:rFonts w:asciiTheme="majorBidi" w:hAnsiTheme="majorBidi" w:cstheme="majorBidi"/>
        </w:rPr>
        <w:t>T</w:t>
      </w:r>
      <w:r w:rsidR="00157357">
        <w:rPr>
          <w:rStyle w:val="fontstyle01"/>
          <w:rFonts w:asciiTheme="majorBidi" w:hAnsiTheme="majorBidi" w:cstheme="majorBidi"/>
        </w:rPr>
        <w:t>able</w:t>
      </w:r>
      <w:r w:rsidR="003F21F8">
        <w:rPr>
          <w:rStyle w:val="fontstyle01"/>
          <w:rFonts w:asciiTheme="majorBidi" w:hAnsiTheme="majorBidi" w:cstheme="majorBidi"/>
        </w:rPr>
        <w:t xml:space="preserve"> 17</w:t>
      </w:r>
      <w:r>
        <w:rPr>
          <w:rStyle w:val="fontstyle01"/>
          <w:rFonts w:asciiTheme="majorBidi" w:hAnsiTheme="majorBidi" w:cstheme="majorBidi"/>
        </w:rPr>
        <w:t xml:space="preserve"> shows that</w:t>
      </w:r>
      <w:r w:rsidR="00157357">
        <w:rPr>
          <w:rStyle w:val="fontstyle01"/>
          <w:rFonts w:asciiTheme="majorBidi" w:hAnsiTheme="majorBidi" w:cstheme="majorBidi"/>
        </w:rPr>
        <w:t xml:space="preserve"> t</w:t>
      </w:r>
      <w:r w:rsidR="007C0420" w:rsidRPr="002A7627">
        <w:rPr>
          <w:rStyle w:val="fontstyle01"/>
          <w:rFonts w:asciiTheme="majorBidi" w:hAnsiTheme="majorBidi" w:cstheme="majorBidi"/>
        </w:rPr>
        <w:t xml:space="preserve">he SRMR value </w:t>
      </w:r>
      <w:r>
        <w:rPr>
          <w:rStyle w:val="fontstyle01"/>
          <w:rFonts w:asciiTheme="majorBidi" w:hAnsiTheme="majorBidi" w:cstheme="majorBidi"/>
        </w:rPr>
        <w:t>was</w:t>
      </w:r>
      <w:r w:rsidRPr="002A7627">
        <w:rPr>
          <w:rStyle w:val="fontstyle01"/>
          <w:rFonts w:asciiTheme="majorBidi" w:hAnsiTheme="majorBidi" w:cstheme="majorBidi"/>
        </w:rPr>
        <w:t xml:space="preserve"> </w:t>
      </w:r>
      <w:r w:rsidR="007C0420" w:rsidRPr="002A7627">
        <w:rPr>
          <w:rStyle w:val="fontstyle01"/>
          <w:rFonts w:asciiTheme="majorBidi" w:hAnsiTheme="majorBidi" w:cstheme="majorBidi"/>
        </w:rPr>
        <w:t xml:space="preserve">0.051 (&lt; 0.08) and the NFI 0.923 (&gt; 0.90). The </w:t>
      </w:r>
      <w:r w:rsidR="007C0420" w:rsidRPr="002A7627">
        <w:rPr>
          <w:rStyle w:val="fontstyle21"/>
          <w:rFonts w:asciiTheme="majorBidi" w:hAnsiTheme="majorBidi" w:cstheme="majorBidi"/>
        </w:rPr>
        <w:t>d</w:t>
      </w:r>
      <w:r w:rsidR="007C0420" w:rsidRPr="002A7627">
        <w:rPr>
          <w:rStyle w:val="fontstyle01"/>
          <w:rFonts w:asciiTheme="majorBidi" w:hAnsiTheme="majorBidi" w:cstheme="majorBidi"/>
        </w:rPr>
        <w:t xml:space="preserve">ULS &lt; bootstrapped HI 95% of </w:t>
      </w:r>
      <w:r w:rsidR="007C0420" w:rsidRPr="002A7627">
        <w:rPr>
          <w:rStyle w:val="fontstyle21"/>
          <w:rFonts w:asciiTheme="majorBidi" w:hAnsiTheme="majorBidi" w:cstheme="majorBidi"/>
        </w:rPr>
        <w:t>d</w:t>
      </w:r>
      <w:r w:rsidR="007C0420" w:rsidRPr="002A7627">
        <w:rPr>
          <w:rStyle w:val="fontstyle01"/>
          <w:rFonts w:asciiTheme="majorBidi" w:hAnsiTheme="majorBidi" w:cstheme="majorBidi"/>
        </w:rPr>
        <w:t>ULS and</w:t>
      </w:r>
      <w:r w:rsidR="007C0420">
        <w:rPr>
          <w:rStyle w:val="fontstyle01"/>
          <w:rFonts w:asciiTheme="majorBidi" w:hAnsiTheme="majorBidi" w:cstheme="majorBidi"/>
        </w:rPr>
        <w:t xml:space="preserve"> the</w:t>
      </w:r>
      <w:r w:rsidR="007C0420" w:rsidRPr="002A7627">
        <w:rPr>
          <w:rStyle w:val="fontstyle01"/>
          <w:rFonts w:asciiTheme="majorBidi" w:hAnsiTheme="majorBidi" w:cstheme="majorBidi"/>
        </w:rPr>
        <w:t xml:space="preserve"> </w:t>
      </w:r>
      <w:r w:rsidR="007C0420" w:rsidRPr="002A7627">
        <w:rPr>
          <w:rStyle w:val="fontstyle21"/>
          <w:rFonts w:asciiTheme="majorBidi" w:hAnsiTheme="majorBidi" w:cstheme="majorBidi"/>
        </w:rPr>
        <w:t xml:space="preserve">dG </w:t>
      </w:r>
      <w:r w:rsidR="007C0420" w:rsidRPr="002A7627">
        <w:rPr>
          <w:rStyle w:val="fontstyle01"/>
          <w:rFonts w:asciiTheme="majorBidi" w:hAnsiTheme="majorBidi" w:cstheme="majorBidi"/>
        </w:rPr>
        <w:t xml:space="preserve">&lt; bootstrapped HI 95% of </w:t>
      </w:r>
      <w:r w:rsidR="007C0420" w:rsidRPr="002A7627">
        <w:rPr>
          <w:rStyle w:val="fontstyle21"/>
          <w:rFonts w:asciiTheme="majorBidi" w:hAnsiTheme="majorBidi" w:cstheme="majorBidi"/>
        </w:rPr>
        <w:t xml:space="preserve">dG </w:t>
      </w:r>
      <w:r w:rsidR="007C0420" w:rsidRPr="002A7627">
        <w:rPr>
          <w:rStyle w:val="fontstyle01"/>
          <w:rFonts w:asciiTheme="majorBidi" w:hAnsiTheme="majorBidi" w:cstheme="majorBidi"/>
        </w:rPr>
        <w:t>indicat</w:t>
      </w:r>
      <w:r w:rsidR="007C0420">
        <w:rPr>
          <w:rStyle w:val="fontstyle01"/>
          <w:rFonts w:asciiTheme="majorBidi" w:hAnsiTheme="majorBidi" w:cstheme="majorBidi"/>
        </w:rPr>
        <w:t>e that</w:t>
      </w:r>
      <w:r w:rsidR="007C0420" w:rsidRPr="002A7627">
        <w:rPr>
          <w:rStyle w:val="fontstyle01"/>
          <w:rFonts w:asciiTheme="majorBidi" w:hAnsiTheme="majorBidi" w:cstheme="majorBidi"/>
        </w:rPr>
        <w:t xml:space="preserve"> the </w:t>
      </w:r>
      <w:r w:rsidR="007C0420">
        <w:rPr>
          <w:rStyle w:val="fontstyle01"/>
          <w:rFonts w:asciiTheme="majorBidi" w:hAnsiTheme="majorBidi" w:cstheme="majorBidi"/>
        </w:rPr>
        <w:t>model</w:t>
      </w:r>
      <w:r w:rsidR="007C0420" w:rsidRPr="002A7627">
        <w:rPr>
          <w:rStyle w:val="fontstyle01"/>
          <w:rFonts w:asciiTheme="majorBidi" w:hAnsiTheme="majorBidi" w:cstheme="majorBidi"/>
        </w:rPr>
        <w:t xml:space="preserve"> fits the </w:t>
      </w:r>
      <w:r w:rsidR="007C0420">
        <w:rPr>
          <w:rStyle w:val="fontstyle01"/>
          <w:rFonts w:asciiTheme="majorBidi" w:hAnsiTheme="majorBidi" w:cstheme="majorBidi"/>
        </w:rPr>
        <w:t>data</w:t>
      </w:r>
      <w:r w:rsidR="007C0420" w:rsidRPr="002A7627">
        <w:rPr>
          <w:rStyle w:val="fontstyle01"/>
          <w:rFonts w:asciiTheme="majorBidi" w:hAnsiTheme="majorBidi" w:cstheme="majorBidi"/>
        </w:rPr>
        <w:t xml:space="preserve"> well.</w:t>
      </w:r>
    </w:p>
    <w:p w14:paraId="6E72337F" w14:textId="59AE8AE3" w:rsidR="007C0420" w:rsidRPr="002A7627" w:rsidRDefault="007C0420" w:rsidP="003F21F8">
      <w:pPr>
        <w:pStyle w:val="AAAAAAA"/>
        <w:rPr>
          <w:rStyle w:val="fontstyle01"/>
          <w:rFonts w:asciiTheme="majorBidi" w:hAnsiTheme="majorBidi" w:cstheme="majorBidi"/>
        </w:rPr>
      </w:pPr>
      <w:bookmarkStart w:id="236" w:name="_Toc22331705"/>
      <w:r w:rsidRPr="001A25B4">
        <w:rPr>
          <w:rStyle w:val="Heading2Char"/>
          <w:u w:val="none"/>
        </w:rPr>
        <w:t>5.3.2. Reliability</w:t>
      </w:r>
      <w:bookmarkEnd w:id="236"/>
      <w:r w:rsidRPr="002A7627">
        <w:rPr>
          <w:lang w:bidi="fa-IR"/>
        </w:rPr>
        <w:t xml:space="preserve">. </w:t>
      </w:r>
      <w:r w:rsidRPr="002A7627">
        <w:rPr>
          <w:rStyle w:val="fontstyle01"/>
          <w:rFonts w:asciiTheme="majorBidi" w:hAnsiTheme="majorBidi" w:cstheme="majorBidi"/>
        </w:rPr>
        <w:t xml:space="preserve">In any quantitative survey, indicators are expected to demonstrate sufficient reliability. </w:t>
      </w:r>
      <w:r w:rsidR="003A0710">
        <w:rPr>
          <w:rStyle w:val="fontstyle01"/>
          <w:rFonts w:asciiTheme="majorBidi" w:hAnsiTheme="majorBidi" w:cstheme="majorBidi"/>
        </w:rPr>
        <w:t>The</w:t>
      </w:r>
      <w:r w:rsidRPr="002A7627">
        <w:rPr>
          <w:rStyle w:val="fontstyle01"/>
          <w:rFonts w:asciiTheme="majorBidi" w:hAnsiTheme="majorBidi" w:cstheme="majorBidi"/>
        </w:rPr>
        <w:t xml:space="preserve"> second step of analysis was</w:t>
      </w:r>
      <w:r w:rsidR="003A0710">
        <w:rPr>
          <w:rStyle w:val="fontstyle01"/>
          <w:rFonts w:asciiTheme="majorBidi" w:hAnsiTheme="majorBidi" w:cstheme="majorBidi"/>
        </w:rPr>
        <w:t xml:space="preserve"> therefore</w:t>
      </w:r>
      <w:r w:rsidRPr="002A7627">
        <w:rPr>
          <w:rStyle w:val="fontstyle01"/>
          <w:rFonts w:asciiTheme="majorBidi" w:hAnsiTheme="majorBidi" w:cstheme="majorBidi"/>
        </w:rPr>
        <w:t xml:space="preserve"> to assess</w:t>
      </w:r>
      <w:bookmarkStart w:id="237" w:name="_Hlk19974296"/>
      <w:r w:rsidR="00902DB0">
        <w:rPr>
          <w:rStyle w:val="fontstyle01"/>
          <w:rFonts w:asciiTheme="majorBidi" w:hAnsiTheme="majorBidi" w:cstheme="majorBidi"/>
        </w:rPr>
        <w:t xml:space="preserve"> </w:t>
      </w:r>
      <w:r w:rsidR="009628C3" w:rsidRPr="00024F6D">
        <w:rPr>
          <w:rStyle w:val="fontstyle01"/>
          <w:rFonts w:asciiTheme="majorBidi" w:hAnsiTheme="majorBidi" w:cstheme="majorBidi"/>
          <w:color w:val="000000" w:themeColor="text1"/>
        </w:rPr>
        <w:t xml:space="preserve">internal consistency </w:t>
      </w:r>
      <w:r w:rsidR="003A0710">
        <w:rPr>
          <w:rStyle w:val="fontstyle01"/>
          <w:rFonts w:asciiTheme="majorBidi" w:hAnsiTheme="majorBidi" w:cstheme="majorBidi"/>
          <w:color w:val="000000" w:themeColor="text1"/>
        </w:rPr>
        <w:t xml:space="preserve">and </w:t>
      </w:r>
      <w:r w:rsidR="009628C3" w:rsidRPr="00024F6D">
        <w:rPr>
          <w:rStyle w:val="fontstyle01"/>
          <w:rFonts w:asciiTheme="majorBidi" w:hAnsiTheme="majorBidi" w:cstheme="majorBidi"/>
          <w:color w:val="000000" w:themeColor="text1"/>
        </w:rPr>
        <w:t>reliability</w:t>
      </w:r>
      <w:bookmarkEnd w:id="237"/>
      <w:r w:rsidR="009628C3" w:rsidRPr="00024F6D">
        <w:rPr>
          <w:rStyle w:val="fontstyle01"/>
          <w:rFonts w:asciiTheme="majorBidi" w:hAnsiTheme="majorBidi" w:cstheme="majorBidi"/>
          <w:color w:val="000000" w:themeColor="text1"/>
        </w:rPr>
        <w:t xml:space="preserve">. </w:t>
      </w:r>
      <w:r w:rsidR="003A0710">
        <w:rPr>
          <w:rStyle w:val="fontstyle01"/>
          <w:rFonts w:asciiTheme="majorBidi" w:hAnsiTheme="majorBidi" w:cstheme="majorBidi"/>
          <w:color w:val="000000" w:themeColor="text1"/>
        </w:rPr>
        <w:t>To</w:t>
      </w:r>
      <w:r w:rsidR="009628C3" w:rsidRPr="00024F6D">
        <w:rPr>
          <w:rStyle w:val="fontstyle01"/>
          <w:rFonts w:asciiTheme="majorBidi" w:hAnsiTheme="majorBidi" w:cstheme="majorBidi"/>
          <w:color w:val="000000" w:themeColor="text1"/>
        </w:rPr>
        <w:t xml:space="preserve"> test the reliability of a model, most studies use composite reliability criterion</w:t>
      </w:r>
      <w:r w:rsidR="003A0710">
        <w:rPr>
          <w:rStyle w:val="fontstyle01"/>
          <w:rFonts w:asciiTheme="majorBidi" w:hAnsiTheme="majorBidi" w:cstheme="majorBidi"/>
          <w:color w:val="000000" w:themeColor="text1"/>
        </w:rPr>
        <w:t>,</w:t>
      </w:r>
      <w:r w:rsidR="009628C3" w:rsidRPr="00024F6D">
        <w:rPr>
          <w:rStyle w:val="fontstyle01"/>
          <w:rFonts w:asciiTheme="majorBidi" w:hAnsiTheme="majorBidi" w:cstheme="majorBidi"/>
          <w:color w:val="000000" w:themeColor="text1"/>
        </w:rPr>
        <w:t xml:space="preserve"> introduced by</w:t>
      </w:r>
      <w:r w:rsidRPr="002A7627">
        <w:rPr>
          <w:rStyle w:val="fontstyle01"/>
          <w:rFonts w:asciiTheme="majorBidi" w:hAnsiTheme="majorBidi" w:cstheme="majorBidi"/>
        </w:rPr>
        <w:t xml:space="preserve"> </w:t>
      </w:r>
      <w:r w:rsidRPr="002A7627">
        <w:rPr>
          <w:rStyle w:val="fontstyle01"/>
          <w:rFonts w:asciiTheme="majorBidi" w:hAnsiTheme="majorBidi" w:cstheme="majorBidi"/>
          <w:noProof/>
        </w:rPr>
        <w:t>Jöreskog (1971)</w:t>
      </w:r>
      <w:r w:rsidRPr="002A7627">
        <w:rPr>
          <w:rStyle w:val="fontstyle01"/>
          <w:rFonts w:asciiTheme="majorBidi" w:hAnsiTheme="majorBidi" w:cstheme="majorBidi"/>
        </w:rPr>
        <w:t xml:space="preserve">.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{"citationItems":[{"id":"ITEM-1","itemData":{"DOI":"10.1037/018882","ISBN":"007047849X 9780070478497","ISSN":"1554-0138","PMID":"3666758","abstract":"About proper cronbach alpha for scales - early stages, moderate reliability 0.70 - basic research 0.80 - applied setting 0.90 to 0.95","author":[{"dropping-particle":"","family":"Nunnally","given":"J.C.","non-dropping-particle":"","parse-names":false,"suffix":""},{"dropping-particle":"","family":"Bernstein","given":"I.H.","non-dropping-particle":"","parse-names":false,"suffix":""}],"container-title":"Psychometric Theory","id":"ITEM-1","issue":"1","issued":{"date-parts":[["1994"]]},"page":"261-263","title":"The assessment of reliability","type":"article-journal","volume":"3"},"uris":["http://www.mendeley.com/documents/?uuid=9cec7f97-1cd6-4957-a789-47a09de2d50c"]}],"mendeley":{"formattedCitation":"(Nunnally &amp; Bernstein, 1994)","manualFormatting":"Nunnally and Bernstein (1994)","plainTextFormattedCitation":"(Nunnally &amp; Bernstein, 1994)","previouslyFormattedCitation":"(Nunnally &amp; Bernstein, 1994)"},"properties":{"noteIndex":0},"schema":"https://github.com/citation-style-language/schema/raw/master/csl-citation.json"}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Nunnally and Bernstein (1994)</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 xml:space="preserve"> recommend</w:t>
      </w:r>
      <w:r w:rsidR="003A0710">
        <w:rPr>
          <w:rStyle w:val="fontstyle01"/>
          <w:rFonts w:asciiTheme="majorBidi" w:hAnsiTheme="majorBidi" w:cstheme="majorBidi"/>
        </w:rPr>
        <w:t>ed</w:t>
      </w:r>
      <w:r w:rsidRPr="002A7627">
        <w:rPr>
          <w:rStyle w:val="fontstyle01"/>
          <w:rFonts w:asciiTheme="majorBidi" w:hAnsiTheme="majorBidi" w:cstheme="majorBidi"/>
        </w:rPr>
        <w:t xml:space="preserve"> a minimum reliability of 0.7</w:t>
      </w:r>
      <w:r>
        <w:rPr>
          <w:rStyle w:val="fontstyle01"/>
          <w:rFonts w:asciiTheme="majorBidi" w:hAnsiTheme="majorBidi" w:cstheme="majorBidi"/>
        </w:rPr>
        <w:t>, with h</w:t>
      </w:r>
      <w:r w:rsidRPr="002A7627">
        <w:rPr>
          <w:rStyle w:val="fontstyle01"/>
          <w:rFonts w:asciiTheme="majorBidi" w:hAnsiTheme="majorBidi" w:cstheme="majorBidi"/>
        </w:rPr>
        <w:t>igher values generally indicat</w:t>
      </w:r>
      <w:r>
        <w:rPr>
          <w:rStyle w:val="fontstyle01"/>
          <w:rFonts w:asciiTheme="majorBidi" w:hAnsiTheme="majorBidi" w:cstheme="majorBidi"/>
        </w:rPr>
        <w:t>ing</w:t>
      </w:r>
      <w:r w:rsidRPr="002A7627">
        <w:rPr>
          <w:rStyle w:val="fontstyle01"/>
          <w:rFonts w:asciiTheme="majorBidi" w:hAnsiTheme="majorBidi" w:cstheme="majorBidi"/>
        </w:rPr>
        <w:t xml:space="preserve"> higher levels of reliability. For example, reliability values between 0.60 and 0.70 are considered </w:t>
      </w:r>
      <w:r w:rsidRPr="002A7627">
        <w:rPr>
          <w:rStyle w:val="fontstyle21"/>
          <w:rFonts w:asciiTheme="majorBidi" w:hAnsiTheme="majorBidi" w:cstheme="majorBidi"/>
        </w:rPr>
        <w:t>“</w:t>
      </w:r>
      <w:r w:rsidRPr="002A7627">
        <w:rPr>
          <w:rStyle w:val="fontstyle01"/>
          <w:rFonts w:asciiTheme="majorBidi" w:hAnsiTheme="majorBidi" w:cstheme="majorBidi"/>
        </w:rPr>
        <w:t>acceptable in exploratory research</w:t>
      </w:r>
      <w:r w:rsidRPr="002A7627">
        <w:rPr>
          <w:rStyle w:val="fontstyle21"/>
          <w:rFonts w:asciiTheme="majorBidi" w:hAnsiTheme="majorBidi" w:cstheme="majorBidi"/>
        </w:rPr>
        <w:t>”</w:t>
      </w:r>
      <w:r w:rsidR="003A0710">
        <w:rPr>
          <w:rStyle w:val="fontstyle21"/>
          <w:rFonts w:asciiTheme="majorBidi" w:hAnsiTheme="majorBidi" w:cstheme="majorBidi"/>
        </w:rPr>
        <w:t>,</w:t>
      </w:r>
      <w:r w:rsidRPr="002A7627">
        <w:rPr>
          <w:rStyle w:val="fontstyle21"/>
          <w:rFonts w:asciiTheme="majorBidi" w:hAnsiTheme="majorBidi" w:cstheme="majorBidi"/>
        </w:rPr>
        <w:t xml:space="preserve"> </w:t>
      </w:r>
      <w:r>
        <w:rPr>
          <w:rStyle w:val="fontstyle21"/>
          <w:rFonts w:asciiTheme="majorBidi" w:hAnsiTheme="majorBidi" w:cstheme="majorBidi"/>
        </w:rPr>
        <w:t xml:space="preserve">and </w:t>
      </w:r>
      <w:r w:rsidRPr="002A7627">
        <w:rPr>
          <w:rStyle w:val="fontstyle01"/>
          <w:rFonts w:asciiTheme="majorBidi" w:hAnsiTheme="majorBidi" w:cstheme="majorBidi"/>
        </w:rPr>
        <w:t xml:space="preserve">values between 0.70 and 0.90 range from </w:t>
      </w:r>
      <w:r w:rsidRPr="002A7627">
        <w:rPr>
          <w:rStyle w:val="fontstyle21"/>
          <w:rFonts w:asciiTheme="majorBidi" w:hAnsiTheme="majorBidi" w:cstheme="majorBidi"/>
        </w:rPr>
        <w:t>“</w:t>
      </w:r>
      <w:r w:rsidRPr="002A7627">
        <w:rPr>
          <w:rStyle w:val="fontstyle01"/>
          <w:rFonts w:asciiTheme="majorBidi" w:hAnsiTheme="majorBidi" w:cstheme="majorBidi"/>
        </w:rPr>
        <w:t>satisfactory to good</w:t>
      </w:r>
      <w:r w:rsidRPr="002A7627">
        <w:rPr>
          <w:rStyle w:val="fontstyle21"/>
          <w:rFonts w:asciiTheme="majorBidi" w:hAnsiTheme="majorBidi" w:cstheme="majorBidi"/>
        </w:rPr>
        <w:t>”</w:t>
      </w:r>
      <w:r w:rsidR="003A0710">
        <w:rPr>
          <w:rStyle w:val="fontstyle21"/>
          <w:rFonts w:asciiTheme="majorBidi" w:hAnsiTheme="majorBidi" w:cstheme="majorBidi"/>
        </w:rPr>
        <w:t>.</w:t>
      </w:r>
      <w:r w:rsidRPr="002A7627">
        <w:rPr>
          <w:rStyle w:val="fontstyle21"/>
          <w:rFonts w:asciiTheme="majorBidi" w:hAnsiTheme="majorBidi" w:cstheme="majorBidi"/>
        </w:rPr>
        <w:t xml:space="preserve"> </w:t>
      </w:r>
      <w:r w:rsidRPr="002A7627">
        <w:rPr>
          <w:rStyle w:val="fontstyle01"/>
          <w:rFonts w:asciiTheme="majorBidi" w:hAnsiTheme="majorBidi" w:cstheme="majorBidi"/>
        </w:rPr>
        <w:t xml:space="preserve">Values of 0.95 and higher are problematic, as they </w:t>
      </w:r>
      <w:r>
        <w:rPr>
          <w:rStyle w:val="fontstyle01"/>
          <w:rFonts w:asciiTheme="majorBidi" w:hAnsiTheme="majorBidi" w:cstheme="majorBidi"/>
        </w:rPr>
        <w:t xml:space="preserve">may </w:t>
      </w:r>
      <w:r w:rsidRPr="002A7627">
        <w:rPr>
          <w:rStyle w:val="fontstyle01"/>
          <w:rFonts w:asciiTheme="majorBidi" w:hAnsiTheme="majorBidi" w:cstheme="majorBidi"/>
        </w:rPr>
        <w:t xml:space="preserve">indicate </w:t>
      </w:r>
      <w:r>
        <w:rPr>
          <w:rStyle w:val="fontstyle01"/>
          <w:rFonts w:asciiTheme="majorBidi" w:hAnsiTheme="majorBidi" w:cstheme="majorBidi"/>
        </w:rPr>
        <w:t>redundancy of</w:t>
      </w:r>
      <w:r w:rsidRPr="002A7627">
        <w:rPr>
          <w:rStyle w:val="fontstyle01"/>
          <w:rFonts w:asciiTheme="majorBidi" w:hAnsiTheme="majorBidi" w:cstheme="majorBidi"/>
        </w:rPr>
        <w:t xml:space="preserve"> items, reducing construct validity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{"citationItems":[{"id":"ITEM-1","itemData":{"DOI":"10.1007/s11747-011-0300-3","ISSN":"00920703","abstract":"El establecimiento de la validez predictiva de las medidas es una preocupación importante en la investigación de mercados. Este trabajo investiga las condiciones que favorecen el uso de los distintos elementos en comparación con las escalas de varios artículos en cuanto a la validez predictiva. Una serie de estudios complementarios revela que la validez predictiva de los distintos elementos varía considerablemente entre los constructos (hormigón) y objetos de estímulos diferentes. En un intento de explicar la inestabilidad observada, un amplio estudio de simulación se llevó a cabo el objetivo de identificar la influencia de diferentes factores sobre la validez predictiva de la única versus medidas de varios artículos. Estos incluyen las correlaciones medias entre tema en las construcciones de predicción y de criterio, el número de ítems que miden estas construcciones, así como los patrones de correlación de múltiples y únicos elementos entre el predictor y el criterio construye. Los resultados de la simulación muestran que, bajo la mayoría de condiciones que se encuentran típicamente en las aplicaciones prácticas, de varios artículos escalas superan claramente los elementos individuales en términos de validez predictiva. Sólo bajo condiciones muy específicas no elementos individuales se desempeñan igual así como de varios artículos escalas. Por lo tanto, el uso de medidas de un solo elemento en la investigación empírica debe abordarse con cautela, y el uso de tales medidas debe limitarse a circunstancias especiales","author":[{"dropping-particle":"","family":"Diamantopoulos","given":"Adamantios","non-dropping-particle":"","parse-names":false,"suffix":""},{"dropping-particle":"","family":"Sarstedt","given":"Marko","non-dropping-particle":"","parse-names":false,"suffix":""},{"dropping-particle":"","family":"Fuchs","given":"Christoph","non-dropping-particle":"","parse-names":false,"suffix":""},{"dropping-particle":"","family":"Wilczynski","given":"Petra","non-dropping-particle":"","parse-names":false,"suffix":""},{"dropping-particle":"","family":"Kaiser","given":"Sebastian","non-dropping-particle":"","parse-names":false,"suffix":""}],"container-title":"Journal of the Academy of Marketing Science","id":"ITEM-1","issue":"3","issued":{"date-parts":[["2012"]]},"page":"434-449","title":"Guidelines for choosing between multi-item and single-item scales for construct measurement: A predictive validity perspective","type":"article-journal","volume":"40"},"uris":["http://www.mendeley.com/documents/?uuid=f4098552-6a26-48ac-88db-eda6fd9684f3"]}],"mendeley":{"formattedCitation":"(Diamantopoulos, Sarstedt, Fuchs, Wilczynski, &amp; Kaiser, 2012)","plainTextFormattedCitation":"(Diamantopoulos, Sarstedt, Fuchs, Wilczynski, &amp; Kaiser, 2012)","previouslyFormattedCitation":"(Diamantopoulos, Sarstedt, Fuchs, Wilczynski, &amp; Kaiser, 2012)"},"properties":{"noteIndex":0},"schema":"https://github.com/citation-style-language/schema/raw/master/csl-citation.json"}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(Diamantopoulos, Sarstedt, Fuchs, Wilczynski, &amp; Kaiser, 2012)</w:t>
      </w:r>
      <w:r w:rsidRPr="002A7627">
        <w:rPr>
          <w:rStyle w:val="fontstyle01"/>
          <w:rFonts w:asciiTheme="majorBidi" w:hAnsiTheme="majorBidi" w:cstheme="majorBidi"/>
        </w:rPr>
        <w:fldChar w:fldCharType="end"/>
      </w:r>
      <w:r w:rsidR="003F21F8">
        <w:rPr>
          <w:rStyle w:val="fontstyle01"/>
          <w:rFonts w:asciiTheme="majorBidi" w:hAnsiTheme="majorBidi" w:cstheme="majorBidi"/>
        </w:rPr>
        <w:t>.</w:t>
      </w:r>
      <w:r w:rsidRPr="002A7627">
        <w:rPr>
          <w:rStyle w:val="fontstyle01"/>
          <w:rFonts w:asciiTheme="majorBidi" w:hAnsiTheme="majorBidi" w:cstheme="majorBidi"/>
        </w:rPr>
        <w:t xml:space="preserve"> </w:t>
      </w:r>
      <w:r w:rsidR="003A0710">
        <w:rPr>
          <w:rStyle w:val="fontstyle01"/>
          <w:rFonts w:asciiTheme="majorBidi" w:hAnsiTheme="majorBidi" w:cstheme="majorBidi"/>
          <w:color w:val="000000" w:themeColor="text1"/>
        </w:rPr>
        <w:t>V</w:t>
      </w:r>
      <w:r w:rsidR="003F21F8" w:rsidRPr="00024F6D">
        <w:rPr>
          <w:rStyle w:val="fontstyle01"/>
          <w:rFonts w:asciiTheme="majorBidi" w:hAnsiTheme="majorBidi" w:cstheme="majorBidi"/>
          <w:color w:val="000000" w:themeColor="text1"/>
        </w:rPr>
        <w:t xml:space="preserve">alues of 0.95 and above also increase the possibility of having </w:t>
      </w:r>
      <w:r w:rsidR="003A0710">
        <w:rPr>
          <w:rStyle w:val="fontstyle01"/>
          <w:rFonts w:asciiTheme="majorBidi" w:hAnsiTheme="majorBidi" w:cstheme="majorBidi"/>
          <w:color w:val="000000" w:themeColor="text1"/>
        </w:rPr>
        <w:t>undesirable</w:t>
      </w:r>
      <w:r w:rsidR="003F21F8" w:rsidRPr="00024F6D">
        <w:rPr>
          <w:rStyle w:val="fontstyle01"/>
          <w:rFonts w:asciiTheme="majorBidi" w:hAnsiTheme="majorBidi" w:cstheme="majorBidi"/>
          <w:color w:val="000000" w:themeColor="text1"/>
        </w:rPr>
        <w:t xml:space="preserve"> response patterns (e.g. straight lining), </w:t>
      </w:r>
      <w:r w:rsidR="003A0710">
        <w:rPr>
          <w:rStyle w:val="fontstyle01"/>
          <w:rFonts w:asciiTheme="majorBidi" w:hAnsiTheme="majorBidi" w:cstheme="majorBidi"/>
          <w:color w:val="000000" w:themeColor="text1"/>
        </w:rPr>
        <w:t>which</w:t>
      </w:r>
      <w:r w:rsidR="003F21F8" w:rsidRPr="00024F6D">
        <w:rPr>
          <w:rStyle w:val="fontstyle01"/>
          <w:rFonts w:asciiTheme="majorBidi" w:hAnsiTheme="majorBidi" w:cstheme="majorBidi"/>
          <w:color w:val="000000" w:themeColor="text1"/>
        </w:rPr>
        <w:t xml:space="preserve"> trigger inflated correlations among the indicators</w:t>
      </w:r>
      <w:r w:rsidR="003F21F8" w:rsidRPr="00024F6D">
        <w:rPr>
          <w:rStyle w:val="fontstyle21"/>
          <w:rFonts w:asciiTheme="majorBidi" w:hAnsiTheme="majorBidi" w:cstheme="majorBidi"/>
          <w:color w:val="000000" w:themeColor="text1"/>
        </w:rPr>
        <w:t xml:space="preserve">’ </w:t>
      </w:r>
      <w:r w:rsidR="003F21F8" w:rsidRPr="00024F6D">
        <w:rPr>
          <w:rStyle w:val="fontstyle01"/>
          <w:rFonts w:asciiTheme="majorBidi" w:hAnsiTheme="majorBidi" w:cstheme="majorBidi"/>
          <w:color w:val="000000" w:themeColor="text1"/>
        </w:rPr>
        <w:t xml:space="preserve">error terms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{"citationItems":[{"id":"ITEM-1","itemData":{"DOI":"10.1108/EBR-11-2018-0203","ISSN":"0955534X","abstract":"Purpose –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 This paper provides an overview of previously and recently proposed metrics as well as rules of thumb for evaluating the research results based on the application of PLS-SEM. Findings –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 Methodological developments associated with PLS-SEM are rapidly emerging. The metrics reported in this paper are useful for current applications, but must always be up to date with the latest developments in the PLS-SEM method. Originality/value –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PLS-SEM","type":"article-journal","volume":"31"},"uris":["http://www.mendeley.com/documents/?uuid=632893ee-4602-4bf3-9c88-ab5a48d4eeca"]}],"mendeley":{"formattedCitation":"(Hair et al., 2019)","plainTextFormattedCitation":"(Hair et al., 2019)","previouslyFormattedCitation":"(Hair et al., 2019)"},"properties":{"noteIndex":0},"schema":"https://github.com/citation-style-language/schema/raw/master/csl-citation.json"}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(Hair et al., 2019)</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w:t>
      </w:r>
    </w:p>
    <w:p w14:paraId="2E2E8C7E" w14:textId="2A8A62CD" w:rsidR="007C0420" w:rsidRPr="002A7627" w:rsidRDefault="007C0420" w:rsidP="007C0420">
      <w:pPr>
        <w:pStyle w:val="AAAAAAA"/>
        <w:rPr>
          <w:rStyle w:val="fontstyle01"/>
          <w:rFonts w:asciiTheme="majorBidi" w:hAnsiTheme="majorBidi" w:cstheme="majorBidi"/>
        </w:rPr>
      </w:pPr>
      <w:r w:rsidRPr="002A7627">
        <w:rPr>
          <w:rStyle w:val="fontstyle01"/>
          <w:rFonts w:asciiTheme="majorBidi" w:hAnsiTheme="majorBidi" w:cstheme="majorBidi"/>
        </w:rPr>
        <w:t>Cronbach</w:t>
      </w:r>
      <w:r w:rsidRPr="002A7627">
        <w:rPr>
          <w:rStyle w:val="fontstyle21"/>
          <w:rFonts w:asciiTheme="majorBidi" w:hAnsiTheme="majorBidi" w:cstheme="majorBidi"/>
        </w:rPr>
        <w:t>’</w:t>
      </w:r>
      <w:r w:rsidRPr="002A7627">
        <w:rPr>
          <w:rStyle w:val="fontstyle01"/>
          <w:rFonts w:asciiTheme="majorBidi" w:hAnsiTheme="majorBidi" w:cstheme="majorBidi"/>
        </w:rPr>
        <w:t xml:space="preserve">s alpha is another measure of </w:t>
      </w:r>
      <w:r>
        <w:rPr>
          <w:rStyle w:val="fontstyle01"/>
          <w:rFonts w:asciiTheme="majorBidi" w:hAnsiTheme="majorBidi" w:cstheme="majorBidi"/>
        </w:rPr>
        <w:t xml:space="preserve">reliability </w:t>
      </w:r>
      <w:r w:rsidR="003A0710">
        <w:rPr>
          <w:rStyle w:val="fontstyle01"/>
          <w:rFonts w:asciiTheme="majorBidi" w:hAnsiTheme="majorBidi" w:cstheme="majorBidi"/>
        </w:rPr>
        <w:t xml:space="preserve">and </w:t>
      </w:r>
      <w:r w:rsidRPr="002A7627">
        <w:rPr>
          <w:rStyle w:val="fontstyle01"/>
          <w:rFonts w:asciiTheme="majorBidi" w:hAnsiTheme="majorBidi" w:cstheme="majorBidi"/>
        </w:rPr>
        <w:t xml:space="preserve">internal consistency that assumes similar thresholds but produces lower values than </w:t>
      </w:r>
      <w:r>
        <w:rPr>
          <w:rStyle w:val="fontstyle01"/>
          <w:rFonts w:asciiTheme="majorBidi" w:hAnsiTheme="majorBidi" w:cstheme="majorBidi"/>
        </w:rPr>
        <w:t xml:space="preserve">those measuring </w:t>
      </w:r>
      <w:r w:rsidRPr="002A7627">
        <w:rPr>
          <w:rStyle w:val="fontstyle01"/>
          <w:rFonts w:asciiTheme="majorBidi" w:hAnsiTheme="majorBidi" w:cstheme="majorBidi"/>
        </w:rPr>
        <w:t>composite reliability. Cronbach</w:t>
      </w:r>
      <w:r w:rsidRPr="002A7627">
        <w:rPr>
          <w:rStyle w:val="fontstyle21"/>
          <w:rFonts w:asciiTheme="majorBidi" w:hAnsiTheme="majorBidi" w:cstheme="majorBidi"/>
        </w:rPr>
        <w:t>’</w:t>
      </w:r>
      <w:r w:rsidRPr="002A7627">
        <w:rPr>
          <w:rStyle w:val="fontstyle01"/>
          <w:rFonts w:asciiTheme="majorBidi" w:hAnsiTheme="majorBidi" w:cstheme="majorBidi"/>
        </w:rPr>
        <w:t xml:space="preserve">s alpha is a less precise measure of reliability, </w:t>
      </w:r>
      <w:r w:rsidR="003A0710">
        <w:rPr>
          <w:rStyle w:val="fontstyle01"/>
          <w:rFonts w:asciiTheme="majorBidi" w:hAnsiTheme="majorBidi" w:cstheme="majorBidi"/>
        </w:rPr>
        <w:t>because</w:t>
      </w:r>
      <w:r w:rsidR="003A0710" w:rsidRPr="002A7627">
        <w:rPr>
          <w:rStyle w:val="fontstyle01"/>
          <w:rFonts w:asciiTheme="majorBidi" w:hAnsiTheme="majorBidi" w:cstheme="majorBidi"/>
        </w:rPr>
        <w:t xml:space="preserve"> </w:t>
      </w:r>
      <w:r w:rsidRPr="002A7627">
        <w:rPr>
          <w:rStyle w:val="fontstyle01"/>
          <w:rFonts w:asciiTheme="majorBidi" w:hAnsiTheme="majorBidi" w:cstheme="majorBidi"/>
        </w:rPr>
        <w:t>the items are unweighted. In composite reliability, items are weighted based on the construct indicators</w:t>
      </w:r>
      <w:r w:rsidRPr="002A7627">
        <w:rPr>
          <w:rStyle w:val="fontstyle21"/>
          <w:rFonts w:asciiTheme="majorBidi" w:hAnsiTheme="majorBidi" w:cstheme="majorBidi"/>
        </w:rPr>
        <w:t xml:space="preserve">’ </w:t>
      </w:r>
      <w:r w:rsidRPr="002A7627">
        <w:rPr>
          <w:rStyle w:val="fontstyle01"/>
          <w:rFonts w:asciiTheme="majorBidi" w:hAnsiTheme="majorBidi" w:cstheme="majorBidi"/>
        </w:rPr>
        <w:t xml:space="preserve">individual loadings and this </w:t>
      </w:r>
      <w:r>
        <w:rPr>
          <w:rStyle w:val="fontstyle01"/>
          <w:rFonts w:asciiTheme="majorBidi" w:hAnsiTheme="majorBidi" w:cstheme="majorBidi"/>
        </w:rPr>
        <w:t xml:space="preserve">measure of </w:t>
      </w:r>
      <w:r w:rsidRPr="002A7627">
        <w:rPr>
          <w:rStyle w:val="fontstyle01"/>
          <w:rFonts w:asciiTheme="majorBidi" w:hAnsiTheme="majorBidi" w:cstheme="majorBidi"/>
        </w:rPr>
        <w:t xml:space="preserve">reliability is </w:t>
      </w:r>
      <w:r w:rsidR="003A0710">
        <w:rPr>
          <w:rStyle w:val="fontstyle01"/>
          <w:rFonts w:asciiTheme="majorBidi" w:hAnsiTheme="majorBidi" w:cstheme="majorBidi"/>
        </w:rPr>
        <w:t>therefore more precise</w:t>
      </w:r>
      <w:r w:rsidRPr="002A7627">
        <w:rPr>
          <w:rStyle w:val="fontstyle01"/>
          <w:rFonts w:asciiTheme="majorBidi" w:hAnsiTheme="majorBidi" w:cstheme="majorBidi"/>
        </w:rPr>
        <w:t>. Cronbach</w:t>
      </w:r>
      <w:r w:rsidRPr="002A7627">
        <w:rPr>
          <w:rStyle w:val="fontstyle21"/>
          <w:rFonts w:asciiTheme="majorBidi" w:hAnsiTheme="majorBidi" w:cstheme="majorBidi"/>
        </w:rPr>
        <w:t>’</w:t>
      </w:r>
      <w:r w:rsidRPr="002A7627">
        <w:rPr>
          <w:rStyle w:val="fontstyle01"/>
          <w:rFonts w:asciiTheme="majorBidi" w:hAnsiTheme="majorBidi" w:cstheme="majorBidi"/>
        </w:rPr>
        <w:t xml:space="preserve">s alpha may be </w:t>
      </w:r>
      <w:r>
        <w:rPr>
          <w:rStyle w:val="fontstyle01"/>
          <w:rFonts w:asciiTheme="majorBidi" w:hAnsiTheme="majorBidi" w:cstheme="majorBidi"/>
        </w:rPr>
        <w:t xml:space="preserve">viewed as </w:t>
      </w:r>
      <w:r w:rsidRPr="002A7627">
        <w:rPr>
          <w:rStyle w:val="fontstyle01"/>
          <w:rFonts w:asciiTheme="majorBidi" w:hAnsiTheme="majorBidi" w:cstheme="majorBidi"/>
        </w:rPr>
        <w:t xml:space="preserve">too conservative, </w:t>
      </w:r>
      <w:r w:rsidR="003A0710">
        <w:rPr>
          <w:rStyle w:val="fontstyle01"/>
          <w:rFonts w:asciiTheme="majorBidi" w:hAnsiTheme="majorBidi" w:cstheme="majorBidi"/>
        </w:rPr>
        <w:t xml:space="preserve">but </w:t>
      </w:r>
      <w:r w:rsidRPr="002A7627">
        <w:rPr>
          <w:rStyle w:val="fontstyle01"/>
          <w:rFonts w:asciiTheme="majorBidi" w:hAnsiTheme="majorBidi" w:cstheme="majorBidi"/>
        </w:rPr>
        <w:t xml:space="preserve">composite reliability may be </w:t>
      </w:r>
      <w:r>
        <w:rPr>
          <w:rStyle w:val="fontstyle01"/>
          <w:rFonts w:asciiTheme="majorBidi" w:hAnsiTheme="majorBidi" w:cstheme="majorBidi"/>
        </w:rPr>
        <w:t xml:space="preserve">considered </w:t>
      </w:r>
      <w:r w:rsidRPr="002A7627">
        <w:rPr>
          <w:rStyle w:val="fontstyle01"/>
          <w:rFonts w:asciiTheme="majorBidi" w:hAnsiTheme="majorBidi" w:cstheme="majorBidi"/>
        </w:rPr>
        <w:t xml:space="preserve">too liberal, and </w:t>
      </w:r>
      <w:r>
        <w:rPr>
          <w:rStyle w:val="fontstyle01"/>
          <w:rFonts w:asciiTheme="majorBidi" w:hAnsiTheme="majorBidi" w:cstheme="majorBidi"/>
        </w:rPr>
        <w:t>so a</w:t>
      </w:r>
      <w:r w:rsidRPr="002A7627">
        <w:rPr>
          <w:rStyle w:val="fontstyle01"/>
          <w:rFonts w:asciiTheme="majorBidi" w:hAnsiTheme="majorBidi" w:cstheme="majorBidi"/>
        </w:rPr>
        <w:t xml:space="preserve"> construct</w:t>
      </w:r>
      <w:r w:rsidRPr="002A7627">
        <w:rPr>
          <w:rStyle w:val="fontstyle21"/>
          <w:rFonts w:asciiTheme="majorBidi" w:hAnsiTheme="majorBidi" w:cstheme="majorBidi"/>
        </w:rPr>
        <w:t>’</w:t>
      </w:r>
      <w:r w:rsidRPr="002A7627">
        <w:rPr>
          <w:rStyle w:val="fontstyle01"/>
          <w:rFonts w:asciiTheme="majorBidi" w:hAnsiTheme="majorBidi" w:cstheme="majorBidi"/>
        </w:rPr>
        <w:t xml:space="preserve">s true reliability is typically </w:t>
      </w:r>
      <w:r>
        <w:rPr>
          <w:rStyle w:val="fontstyle01"/>
          <w:rFonts w:asciiTheme="majorBidi" w:hAnsiTheme="majorBidi" w:cstheme="majorBidi"/>
        </w:rPr>
        <w:t>assumed to lie somewhere between</w:t>
      </w:r>
      <w:r w:rsidRPr="002A7627">
        <w:rPr>
          <w:rStyle w:val="fontstyle01"/>
          <w:rFonts w:asciiTheme="majorBidi" w:hAnsiTheme="majorBidi" w:cstheme="majorBidi"/>
        </w:rPr>
        <w:t xml:space="preserve"> these two extreme values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{"citationItems":[{"id":"ITEM-1","itemData":{"DOI":"10.1108/EBR-11-2018-0203","ISSN":"0955534X","abstract":"Purpose –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 This paper provides an overview of previously and recently proposed metrics as well as rules of thumb for evaluating the research results based on the application of PLS-SEM. Findings –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 Methodological developments associated with PLS-SEM are rapidly emerging. The metrics reported in this paper are useful for current applications, but must always be up to date with the latest developments in the PLS-SEM method. Originality/value –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PLS-SEM","type":"article-journal","volume":"31"},"uris":["http://www.mendeley.com/documents/?uuid=632893ee-4602-4bf3-9c88-ab5a48d4eeca"]}],"mendeley":{"formattedCitation":"(Hair et al., 2019)","plainTextFormattedCitation":"(Hair et al., 2019)","previouslyFormattedCitation":"(Hair et al., 2019)"},"properties":{"noteIndex":0},"schema":"https://github.com/citation-style-language/schema/raw/master/csl-citation.json"}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(Hair et al., 2019)</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w:t>
      </w:r>
    </w:p>
    <w:p w14:paraId="4AD09344" w14:textId="7F427828" w:rsidR="007C0420" w:rsidRDefault="007C0420" w:rsidP="007C0420">
      <w:pPr>
        <w:pStyle w:val="AAAAAAA"/>
      </w:pPr>
      <w:r w:rsidRPr="002A7627">
        <w:rPr>
          <w:rStyle w:val="fontstyle01"/>
          <w:rFonts w:asciiTheme="majorBidi" w:hAnsiTheme="majorBidi" w:cstheme="majorBidi"/>
        </w:rPr>
        <w:t xml:space="preserve">As an alternative measure of construct reliability,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{"citationItems":[{"id":"ITEM-1","itemData":{"DOI":"10.1016/j.csda.2014.07.008","ISBN":"0167-9473","ISSN":"01679473","PMID":"15677790","abstract":"• Consistent PLS estimates path coefficients and indicator loadings consistently. • Consistent PLS can estimate parameters of nonrecursive structural equation models. • A family of goodness-of-fit measures makes PLS suitable for confirmatory research. • Consistent PLS performs comparably to covariance-based structural equation modeling. a b s t r a c t A vital extension to partial least squares (PLS) path modeling is introduced: consistency. While maintaining all the strengths of PLS, the consistent version provides two key im-provements. Path coefficients, parameters of simultaneous equations, construct correla-tions, and indicator loadings are estimated consistently. The global goodness-of-fit of the structural model can also now be assessed, which makes PLS suitable for confirmatory research. A Monte Carlo simulation illustrates the new approach and compares it with covariance-based structural equation modeling.","author":[{"dropping-particle":"","family":"Dijkstra","given":"Theo K","non-dropping-particle":"","parse-names":false,"suffix":""},{"dropping-particle":"","family":"Henseler","given":"Jörg","non-dropping-particle":"","parse-names":false,"suffix":""}],"container-title":"Computational Statistics and Data Analysis","id":"ITEM-1","issued":{"date-parts":[["2015"]]},"page":"10-23","title":"Computational Statistics and Data Analysis Consistent and asymptotically normal PLS estimators for linear structural equations","type":"article-journal","volume":"81"},"uris":["http://www.mendeley.com/documents/?uuid=d2ae2393-dcad-45c9-a227-39192ad2e516"]}],"mendeley":{"formattedCitation":"(Dijkstra &amp; Henseler, 2015)","manualFormatting":"Dijkstra and Henseler (2015)","plainTextFormattedCitation":"(Dijkstra &amp; Henseler, 2015)","previouslyFormattedCitation":"(Dijkstra &amp; Henseler, 2015)"},"properties":{"noteIndex":0},"schema":"https://github.com/citation-style-language/schema/raw/master/csl-citation.json"}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Dijkstra and Henseler (2015)</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 xml:space="preserve"> proposed rho_A, which usually </w:t>
      </w:r>
      <w:r>
        <w:rPr>
          <w:rStyle w:val="fontstyle01"/>
          <w:rFonts w:asciiTheme="majorBidi" w:hAnsiTheme="majorBidi" w:cstheme="majorBidi"/>
        </w:rPr>
        <w:t>falls</w:t>
      </w:r>
      <w:r w:rsidRPr="002A7627">
        <w:rPr>
          <w:rStyle w:val="fontstyle01"/>
          <w:rFonts w:asciiTheme="majorBidi" w:hAnsiTheme="majorBidi" w:cstheme="majorBidi"/>
        </w:rPr>
        <w:t xml:space="preserve"> between Cronbach</w:t>
      </w:r>
      <w:r w:rsidRPr="002A7627">
        <w:rPr>
          <w:rStyle w:val="fontstyle21"/>
          <w:rFonts w:asciiTheme="majorBidi" w:hAnsiTheme="majorBidi" w:cstheme="majorBidi"/>
        </w:rPr>
        <w:t>’</w:t>
      </w:r>
      <w:r w:rsidRPr="002A7627">
        <w:rPr>
          <w:rStyle w:val="fontstyle01"/>
          <w:rFonts w:asciiTheme="majorBidi" w:hAnsiTheme="majorBidi" w:cstheme="majorBidi"/>
        </w:rPr>
        <w:t>s alpha and the composite reliability</w:t>
      </w:r>
      <w:r>
        <w:rPr>
          <w:rStyle w:val="fontstyle01"/>
          <w:rFonts w:asciiTheme="majorBidi" w:hAnsiTheme="majorBidi" w:cstheme="majorBidi"/>
        </w:rPr>
        <w:t xml:space="preserve"> measure</w:t>
      </w:r>
      <w:r w:rsidRPr="002A7627">
        <w:rPr>
          <w:rStyle w:val="fontstyle01"/>
          <w:rFonts w:asciiTheme="majorBidi" w:hAnsiTheme="majorBidi" w:cstheme="majorBidi"/>
        </w:rPr>
        <w:t xml:space="preserve">. </w:t>
      </w:r>
      <w:r w:rsidR="003A0710">
        <w:rPr>
          <w:rStyle w:val="fontstyle01"/>
          <w:rFonts w:asciiTheme="majorBidi" w:hAnsiTheme="majorBidi" w:cstheme="majorBidi"/>
        </w:rPr>
        <w:t>It</w:t>
      </w:r>
      <w:r w:rsidRPr="002A7627">
        <w:rPr>
          <w:rStyle w:val="fontstyle01"/>
          <w:rFonts w:asciiTheme="majorBidi" w:hAnsiTheme="majorBidi" w:cstheme="majorBidi"/>
        </w:rPr>
        <w:t xml:space="preserve"> may </w:t>
      </w:r>
      <w:r w:rsidR="003A0710">
        <w:rPr>
          <w:rStyle w:val="fontstyle01"/>
          <w:rFonts w:asciiTheme="majorBidi" w:hAnsiTheme="majorBidi" w:cstheme="majorBidi"/>
        </w:rPr>
        <w:t>therefore be</w:t>
      </w:r>
      <w:r w:rsidRPr="002A7627">
        <w:rPr>
          <w:rStyle w:val="fontstyle01"/>
          <w:rFonts w:asciiTheme="majorBidi" w:hAnsiTheme="majorBidi" w:cstheme="majorBidi"/>
        </w:rPr>
        <w:t xml:space="preserve"> </w:t>
      </w:r>
      <w:r>
        <w:rPr>
          <w:rStyle w:val="fontstyle01"/>
          <w:rFonts w:asciiTheme="majorBidi" w:hAnsiTheme="majorBidi" w:cstheme="majorBidi"/>
        </w:rPr>
        <w:t>an acceptable</w:t>
      </w:r>
      <w:r w:rsidRPr="002A7627">
        <w:rPr>
          <w:rStyle w:val="fontstyle01"/>
          <w:rFonts w:asciiTheme="majorBidi" w:hAnsiTheme="majorBidi" w:cstheme="majorBidi"/>
        </w:rPr>
        <w:t xml:space="preserve"> compromise if the factor model is </w:t>
      </w:r>
      <w:r>
        <w:rPr>
          <w:rStyle w:val="fontstyle01"/>
          <w:rFonts w:asciiTheme="majorBidi" w:hAnsiTheme="majorBidi" w:cstheme="majorBidi"/>
        </w:rPr>
        <w:t xml:space="preserve">assumed </w:t>
      </w:r>
      <w:r w:rsidRPr="002A7627">
        <w:rPr>
          <w:rStyle w:val="fontstyle01"/>
          <w:rFonts w:asciiTheme="majorBidi" w:hAnsiTheme="majorBidi" w:cstheme="majorBidi"/>
        </w:rPr>
        <w:t xml:space="preserve">correct.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{"citationItems":[{"id":"ITEM-1","itemData":{"DOI":"10.1108/IMDS-09-2015-0382","ISBN":"0263557111","ISSN":"0263-5577","PMID":"21409434","abstract":"Purpose – Partial least squares (PLS) path modeling is a variance-based structural equation modeling (SEM) technique that is widely applied in business and social sciences. Its ability to model composites and factors makes it a formidable statistical tool for new technology research. Recent reviews, discussions, and developments have led to substantial changes in the understanding and use of PLS. The paper aims to discuss these issues. Design/methodology/approach – This paper aggregates new insights and offers a fresh look at PLS path modeling. It presents new developments, such as consistent PLS, confirmatory composite analysis, and the heterotrait-monotrait ratio of correlations. Findings – PLS path modeling is the method of choice if a SEM contains both factors and composites. Novel tests of exact fit make a confirmatory use of PLS path modeling possible. Originality/value – This paper provides updated guidelines of how to use PLS and how to report and interpret its results.","author":[{"dropping-particle":"","family":"Henseler","given":"Jörg","non-dropping-particle":"","parse-names":false,"suffix":""},{"dropping-particle":"","family":"Hubona","given":"Geoffrey","non-dropping-particle":"","parse-names":false,"suffix":""},{"dropping-particle":"","family":"Ray","given":"Pauline Ash","non-dropping-particle":"","parse-names":false,"suffix":""}],"container-title":"Industrial Management and Data Systems","id":"ITEM-1","issue":"1","issued":{"date-parts":[["2016","2"]]},"page":"2-20","title":"Using PLS path modeling in new technology research: Updated guidelines","type":"article-journal","volume":"116"},"uris":["http://www.mendeley.com/documents/?uuid=09b5e4c5-6228-4008-ba38-cd2bf7202710"]}],"mendeley":{"formattedCitation":"(Henseler et al., 2016)","manualFormatting":"Henseler et al. (2016)","plainTextFormattedCitation":"(Henseler et al., 2016)","previouslyFormattedCitation":"(Henseler et al., 2016)"},"properties":{"noteIndex":0},"schema":"https://github.com/citation-style-language/schema/raw/master/csl-citation.json"}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Henseler et al. (2016)</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 xml:space="preserve"> </w:t>
      </w:r>
      <w:r>
        <w:rPr>
          <w:rStyle w:val="fontstyle01"/>
          <w:rFonts w:asciiTheme="majorBidi" w:hAnsiTheme="majorBidi" w:cstheme="majorBidi"/>
        </w:rPr>
        <w:t>viewed</w:t>
      </w:r>
      <w:r w:rsidRPr="002A7627">
        <w:rPr>
          <w:rStyle w:val="fontstyle01"/>
          <w:rFonts w:asciiTheme="majorBidi" w:hAnsiTheme="majorBidi" w:cstheme="majorBidi"/>
        </w:rPr>
        <w:t xml:space="preserve"> rho_A as the most important and consistent measure of internal consistency </w:t>
      </w:r>
      <w:r w:rsidR="003A0710">
        <w:rPr>
          <w:rStyle w:val="fontstyle01"/>
          <w:rFonts w:asciiTheme="majorBidi" w:hAnsiTheme="majorBidi" w:cstheme="majorBidi"/>
        </w:rPr>
        <w:t xml:space="preserve">and </w:t>
      </w:r>
      <w:r w:rsidRPr="002A7627">
        <w:rPr>
          <w:rStyle w:val="fontstyle01"/>
          <w:rFonts w:asciiTheme="majorBidi" w:hAnsiTheme="majorBidi" w:cstheme="majorBidi"/>
        </w:rPr>
        <w:t>reliability.</w:t>
      </w:r>
      <w:r w:rsidRPr="002A7627">
        <w:t xml:space="preserve"> Table 18 shows the results of testing </w:t>
      </w:r>
      <w:r w:rsidR="00000FC6">
        <w:t xml:space="preserve">the </w:t>
      </w:r>
      <w:r w:rsidRPr="002A7627">
        <w:t xml:space="preserve">construct reliability. </w:t>
      </w:r>
    </w:p>
    <w:p w14:paraId="3EAE7B35" w14:textId="5DB5B33C" w:rsidR="007C0420" w:rsidRPr="001D5F54" w:rsidRDefault="007C0420" w:rsidP="007C0420">
      <w:pPr>
        <w:pStyle w:val="Caption"/>
        <w:keepNext/>
        <w:rPr>
          <w:color w:val="000000"/>
          <w:szCs w:val="24"/>
        </w:rPr>
      </w:pPr>
      <w:bookmarkStart w:id="238" w:name="_Toc19478596"/>
      <w:bookmarkStart w:id="239" w:name="_Toc21074086"/>
      <w:r>
        <w:t xml:space="preserve">Table </w:t>
      </w:r>
      <w:r w:rsidR="00606D42">
        <w:rPr>
          <w:noProof/>
        </w:rPr>
        <w:fldChar w:fldCharType="begin"/>
      </w:r>
      <w:r w:rsidR="00606D42">
        <w:rPr>
          <w:noProof/>
        </w:rPr>
        <w:instrText xml:space="preserve"> SEQ Table \* ARABIC </w:instrText>
      </w:r>
      <w:r w:rsidR="00606D42">
        <w:rPr>
          <w:noProof/>
        </w:rPr>
        <w:fldChar w:fldCharType="separate"/>
      </w:r>
      <w:r w:rsidR="00972C3F">
        <w:rPr>
          <w:noProof/>
        </w:rPr>
        <w:t>18</w:t>
      </w:r>
      <w:r w:rsidR="00606D42">
        <w:rPr>
          <w:noProof/>
        </w:rPr>
        <w:fldChar w:fldCharType="end"/>
      </w:r>
      <w:r>
        <w:t xml:space="preserve">. </w:t>
      </w:r>
      <w:r w:rsidRPr="00705455">
        <w:t>Construct reliability</w:t>
      </w:r>
      <w:bookmarkEnd w:id="238"/>
      <w:bookmarkEnd w:id="239"/>
    </w:p>
    <w:tbl>
      <w:tblPr>
        <w:tblW w:w="828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53"/>
        <w:gridCol w:w="1417"/>
        <w:gridCol w:w="1276"/>
        <w:gridCol w:w="1342"/>
      </w:tblGrid>
      <w:tr w:rsidR="007C0420" w:rsidRPr="002A7627" w14:paraId="2EAF860A" w14:textId="77777777" w:rsidTr="001B7185">
        <w:trPr>
          <w:trHeight w:val="340"/>
          <w:jc w:val="center"/>
        </w:trPr>
        <w:tc>
          <w:tcPr>
            <w:tcW w:w="4253" w:type="dxa"/>
            <w:tcBorders>
              <w:top w:val="single" w:sz="4" w:space="0" w:color="auto"/>
              <w:left w:val="nil"/>
              <w:bottom w:val="single" w:sz="4" w:space="0" w:color="auto"/>
              <w:right w:val="nil"/>
            </w:tcBorders>
            <w:shd w:val="clear" w:color="auto" w:fill="auto"/>
            <w:noWrap/>
            <w:vAlign w:val="center"/>
            <w:hideMark/>
          </w:tcPr>
          <w:p w14:paraId="1B4F7579"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Construct</w:t>
            </w:r>
          </w:p>
        </w:tc>
        <w:tc>
          <w:tcPr>
            <w:tcW w:w="1417" w:type="dxa"/>
            <w:tcBorders>
              <w:top w:val="single" w:sz="4" w:space="0" w:color="auto"/>
              <w:left w:val="nil"/>
              <w:bottom w:val="single" w:sz="4" w:space="0" w:color="auto"/>
              <w:right w:val="nil"/>
            </w:tcBorders>
            <w:shd w:val="clear" w:color="auto" w:fill="auto"/>
            <w:noWrap/>
            <w:vAlign w:val="center"/>
            <w:hideMark/>
          </w:tcPr>
          <w:p w14:paraId="525A74C7"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Cronbach's Alpha</w:t>
            </w:r>
          </w:p>
        </w:tc>
        <w:tc>
          <w:tcPr>
            <w:tcW w:w="1276" w:type="dxa"/>
            <w:tcBorders>
              <w:top w:val="single" w:sz="4" w:space="0" w:color="auto"/>
              <w:left w:val="nil"/>
              <w:bottom w:val="single" w:sz="4" w:space="0" w:color="auto"/>
              <w:right w:val="nil"/>
            </w:tcBorders>
            <w:shd w:val="clear" w:color="auto" w:fill="auto"/>
            <w:noWrap/>
            <w:vAlign w:val="center"/>
            <w:hideMark/>
          </w:tcPr>
          <w:p w14:paraId="733EDD9E"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rho_A</w:t>
            </w:r>
          </w:p>
        </w:tc>
        <w:tc>
          <w:tcPr>
            <w:tcW w:w="1342" w:type="dxa"/>
            <w:tcBorders>
              <w:top w:val="single" w:sz="4" w:space="0" w:color="auto"/>
              <w:left w:val="nil"/>
              <w:bottom w:val="single" w:sz="4" w:space="0" w:color="auto"/>
              <w:right w:val="nil"/>
            </w:tcBorders>
            <w:shd w:val="clear" w:color="auto" w:fill="auto"/>
            <w:noWrap/>
            <w:vAlign w:val="center"/>
            <w:hideMark/>
          </w:tcPr>
          <w:p w14:paraId="4DC8E2BF"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Composite Reliability</w:t>
            </w:r>
          </w:p>
        </w:tc>
      </w:tr>
      <w:tr w:rsidR="007C0420" w:rsidRPr="002A7627" w14:paraId="0B23DA2C" w14:textId="77777777" w:rsidTr="001B7185">
        <w:trPr>
          <w:trHeight w:val="340"/>
          <w:jc w:val="center"/>
        </w:trPr>
        <w:tc>
          <w:tcPr>
            <w:tcW w:w="4253" w:type="dxa"/>
            <w:tcBorders>
              <w:top w:val="single" w:sz="4" w:space="0" w:color="auto"/>
              <w:left w:val="nil"/>
              <w:bottom w:val="nil"/>
              <w:right w:val="nil"/>
            </w:tcBorders>
            <w:shd w:val="clear" w:color="auto" w:fill="auto"/>
            <w:noWrap/>
            <w:vAlign w:val="center"/>
          </w:tcPr>
          <w:p w14:paraId="1EB60082" w14:textId="77777777" w:rsidR="007C0420" w:rsidRPr="002A7627" w:rsidRDefault="007C0420" w:rsidP="00DC1DF9">
            <w:pPr>
              <w:rPr>
                <w:rFonts w:asciiTheme="majorBidi" w:hAnsiTheme="majorBidi" w:cstheme="majorBidi"/>
                <w:b/>
                <w:bCs/>
              </w:rPr>
            </w:pPr>
            <w:r w:rsidRPr="002A7627">
              <w:rPr>
                <w:rFonts w:asciiTheme="majorBidi" w:hAnsiTheme="majorBidi" w:cstheme="majorBidi"/>
                <w:b/>
                <w:bCs/>
              </w:rPr>
              <w:t>Knowledge Management Capabilities</w:t>
            </w:r>
          </w:p>
        </w:tc>
        <w:tc>
          <w:tcPr>
            <w:tcW w:w="1417" w:type="dxa"/>
            <w:tcBorders>
              <w:top w:val="single" w:sz="4" w:space="0" w:color="auto"/>
              <w:left w:val="nil"/>
              <w:bottom w:val="nil"/>
              <w:right w:val="nil"/>
            </w:tcBorders>
            <w:shd w:val="clear" w:color="auto" w:fill="auto"/>
            <w:noWrap/>
            <w:vAlign w:val="center"/>
          </w:tcPr>
          <w:p w14:paraId="473E2AA8"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0.872</w:t>
            </w:r>
          </w:p>
        </w:tc>
        <w:tc>
          <w:tcPr>
            <w:tcW w:w="1276" w:type="dxa"/>
            <w:tcBorders>
              <w:top w:val="single" w:sz="4" w:space="0" w:color="auto"/>
              <w:left w:val="nil"/>
              <w:bottom w:val="nil"/>
              <w:right w:val="nil"/>
            </w:tcBorders>
            <w:shd w:val="clear" w:color="auto" w:fill="auto"/>
            <w:noWrap/>
            <w:vAlign w:val="center"/>
          </w:tcPr>
          <w:p w14:paraId="36F7480C"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0.883</w:t>
            </w:r>
          </w:p>
        </w:tc>
        <w:tc>
          <w:tcPr>
            <w:tcW w:w="1342" w:type="dxa"/>
            <w:tcBorders>
              <w:top w:val="single" w:sz="4" w:space="0" w:color="auto"/>
              <w:left w:val="nil"/>
              <w:bottom w:val="nil"/>
              <w:right w:val="nil"/>
            </w:tcBorders>
            <w:shd w:val="clear" w:color="auto" w:fill="auto"/>
            <w:noWrap/>
            <w:vAlign w:val="center"/>
          </w:tcPr>
          <w:p w14:paraId="4793C61B"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0.912</w:t>
            </w:r>
          </w:p>
        </w:tc>
      </w:tr>
      <w:tr w:rsidR="007C0420" w:rsidRPr="002A7627" w14:paraId="18898A8C" w14:textId="77777777" w:rsidTr="001B7185">
        <w:trPr>
          <w:trHeight w:val="340"/>
          <w:jc w:val="center"/>
        </w:trPr>
        <w:tc>
          <w:tcPr>
            <w:tcW w:w="4253" w:type="dxa"/>
            <w:tcBorders>
              <w:top w:val="nil"/>
              <w:left w:val="nil"/>
              <w:bottom w:val="nil"/>
              <w:right w:val="nil"/>
            </w:tcBorders>
            <w:shd w:val="clear" w:color="auto" w:fill="auto"/>
            <w:noWrap/>
            <w:vAlign w:val="center"/>
            <w:hideMark/>
          </w:tcPr>
          <w:p w14:paraId="79756DB9" w14:textId="77777777" w:rsidR="007C0420" w:rsidRPr="002A7627" w:rsidRDefault="007C0420" w:rsidP="00DC1DF9">
            <w:pPr>
              <w:rPr>
                <w:rFonts w:asciiTheme="majorBidi" w:hAnsiTheme="majorBidi" w:cstheme="majorBidi"/>
                <w:b/>
                <w:bCs/>
              </w:rPr>
            </w:pPr>
            <w:r w:rsidRPr="002A7627">
              <w:rPr>
                <w:rFonts w:asciiTheme="majorBidi" w:hAnsiTheme="majorBidi" w:cstheme="majorBidi"/>
                <w:b/>
                <w:bCs/>
              </w:rPr>
              <w:t>Extrinsic Motivation</w:t>
            </w:r>
          </w:p>
        </w:tc>
        <w:tc>
          <w:tcPr>
            <w:tcW w:w="1417" w:type="dxa"/>
            <w:tcBorders>
              <w:top w:val="nil"/>
              <w:left w:val="nil"/>
              <w:bottom w:val="nil"/>
              <w:right w:val="nil"/>
            </w:tcBorders>
            <w:shd w:val="clear" w:color="auto" w:fill="auto"/>
            <w:noWrap/>
            <w:vAlign w:val="center"/>
            <w:hideMark/>
          </w:tcPr>
          <w:p w14:paraId="28FF44B3"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0.792</w:t>
            </w:r>
          </w:p>
        </w:tc>
        <w:tc>
          <w:tcPr>
            <w:tcW w:w="1276" w:type="dxa"/>
            <w:tcBorders>
              <w:top w:val="nil"/>
              <w:left w:val="nil"/>
              <w:bottom w:val="nil"/>
              <w:right w:val="nil"/>
            </w:tcBorders>
            <w:shd w:val="clear" w:color="auto" w:fill="auto"/>
            <w:noWrap/>
            <w:vAlign w:val="center"/>
            <w:hideMark/>
          </w:tcPr>
          <w:p w14:paraId="63FB4F7B"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0.852</w:t>
            </w:r>
          </w:p>
        </w:tc>
        <w:tc>
          <w:tcPr>
            <w:tcW w:w="1342" w:type="dxa"/>
            <w:tcBorders>
              <w:top w:val="nil"/>
              <w:left w:val="nil"/>
              <w:bottom w:val="nil"/>
              <w:right w:val="nil"/>
            </w:tcBorders>
            <w:shd w:val="clear" w:color="auto" w:fill="auto"/>
            <w:noWrap/>
            <w:vAlign w:val="center"/>
            <w:hideMark/>
          </w:tcPr>
          <w:p w14:paraId="3B251453"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0.873</w:t>
            </w:r>
          </w:p>
        </w:tc>
      </w:tr>
      <w:tr w:rsidR="007C0420" w:rsidRPr="002A7627" w14:paraId="0585555A" w14:textId="77777777" w:rsidTr="001B7185">
        <w:trPr>
          <w:trHeight w:val="340"/>
          <w:jc w:val="center"/>
        </w:trPr>
        <w:tc>
          <w:tcPr>
            <w:tcW w:w="4253" w:type="dxa"/>
            <w:tcBorders>
              <w:top w:val="nil"/>
              <w:left w:val="nil"/>
              <w:bottom w:val="nil"/>
              <w:right w:val="nil"/>
            </w:tcBorders>
            <w:shd w:val="clear" w:color="auto" w:fill="auto"/>
            <w:noWrap/>
            <w:vAlign w:val="center"/>
            <w:hideMark/>
          </w:tcPr>
          <w:p w14:paraId="6F94E0E4" w14:textId="77777777" w:rsidR="007C0420" w:rsidRPr="002A7627" w:rsidRDefault="007C0420" w:rsidP="00DC1DF9">
            <w:pPr>
              <w:rPr>
                <w:rFonts w:asciiTheme="majorBidi" w:hAnsiTheme="majorBidi" w:cstheme="majorBidi"/>
                <w:b/>
                <w:bCs/>
              </w:rPr>
            </w:pPr>
            <w:r w:rsidRPr="002A7627">
              <w:rPr>
                <w:rFonts w:asciiTheme="majorBidi" w:hAnsiTheme="majorBidi" w:cstheme="majorBidi"/>
                <w:b/>
                <w:bCs/>
              </w:rPr>
              <w:t>Intrinsic Motivation</w:t>
            </w:r>
          </w:p>
        </w:tc>
        <w:tc>
          <w:tcPr>
            <w:tcW w:w="1417" w:type="dxa"/>
            <w:tcBorders>
              <w:top w:val="nil"/>
              <w:left w:val="nil"/>
              <w:bottom w:val="nil"/>
              <w:right w:val="nil"/>
            </w:tcBorders>
            <w:shd w:val="clear" w:color="auto" w:fill="auto"/>
            <w:noWrap/>
            <w:vAlign w:val="center"/>
            <w:hideMark/>
          </w:tcPr>
          <w:p w14:paraId="3D848855"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0.811</w:t>
            </w:r>
          </w:p>
        </w:tc>
        <w:tc>
          <w:tcPr>
            <w:tcW w:w="1276" w:type="dxa"/>
            <w:tcBorders>
              <w:top w:val="nil"/>
              <w:left w:val="nil"/>
              <w:bottom w:val="nil"/>
              <w:right w:val="nil"/>
            </w:tcBorders>
            <w:shd w:val="clear" w:color="auto" w:fill="auto"/>
            <w:noWrap/>
            <w:vAlign w:val="center"/>
            <w:hideMark/>
          </w:tcPr>
          <w:p w14:paraId="206F0850"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0.829</w:t>
            </w:r>
          </w:p>
        </w:tc>
        <w:tc>
          <w:tcPr>
            <w:tcW w:w="1342" w:type="dxa"/>
            <w:tcBorders>
              <w:top w:val="nil"/>
              <w:left w:val="nil"/>
              <w:bottom w:val="nil"/>
              <w:right w:val="nil"/>
            </w:tcBorders>
            <w:shd w:val="clear" w:color="auto" w:fill="auto"/>
            <w:noWrap/>
            <w:vAlign w:val="center"/>
            <w:hideMark/>
          </w:tcPr>
          <w:p w14:paraId="5E9E99F6"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0.888</w:t>
            </w:r>
          </w:p>
        </w:tc>
      </w:tr>
      <w:tr w:rsidR="007C0420" w:rsidRPr="002A7627" w14:paraId="1F7C50BC" w14:textId="77777777" w:rsidTr="001B7185">
        <w:trPr>
          <w:trHeight w:val="340"/>
          <w:jc w:val="center"/>
        </w:trPr>
        <w:tc>
          <w:tcPr>
            <w:tcW w:w="4253" w:type="dxa"/>
            <w:tcBorders>
              <w:top w:val="nil"/>
              <w:left w:val="nil"/>
              <w:bottom w:val="nil"/>
              <w:right w:val="nil"/>
            </w:tcBorders>
            <w:shd w:val="clear" w:color="auto" w:fill="auto"/>
            <w:noWrap/>
            <w:vAlign w:val="center"/>
            <w:hideMark/>
          </w:tcPr>
          <w:p w14:paraId="67280F25" w14:textId="77777777" w:rsidR="007C0420" w:rsidRPr="002A7627" w:rsidRDefault="007C0420" w:rsidP="00DC1DF9">
            <w:pPr>
              <w:rPr>
                <w:rFonts w:asciiTheme="majorBidi" w:hAnsiTheme="majorBidi" w:cstheme="majorBidi"/>
                <w:b/>
                <w:bCs/>
              </w:rPr>
            </w:pPr>
            <w:r w:rsidRPr="002A7627">
              <w:rPr>
                <w:rFonts w:asciiTheme="majorBidi" w:hAnsiTheme="majorBidi" w:cstheme="majorBidi"/>
                <w:b/>
                <w:bCs/>
              </w:rPr>
              <w:t>Opportunities</w:t>
            </w:r>
          </w:p>
        </w:tc>
        <w:tc>
          <w:tcPr>
            <w:tcW w:w="1417" w:type="dxa"/>
            <w:tcBorders>
              <w:top w:val="nil"/>
              <w:left w:val="nil"/>
              <w:bottom w:val="nil"/>
              <w:right w:val="nil"/>
            </w:tcBorders>
            <w:shd w:val="clear" w:color="auto" w:fill="auto"/>
            <w:noWrap/>
            <w:vAlign w:val="center"/>
            <w:hideMark/>
          </w:tcPr>
          <w:p w14:paraId="06D9FA27"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0.928</w:t>
            </w:r>
          </w:p>
        </w:tc>
        <w:tc>
          <w:tcPr>
            <w:tcW w:w="1276" w:type="dxa"/>
            <w:tcBorders>
              <w:top w:val="nil"/>
              <w:left w:val="nil"/>
              <w:bottom w:val="nil"/>
              <w:right w:val="nil"/>
            </w:tcBorders>
            <w:shd w:val="clear" w:color="auto" w:fill="auto"/>
            <w:noWrap/>
            <w:vAlign w:val="center"/>
            <w:hideMark/>
          </w:tcPr>
          <w:p w14:paraId="735E595F"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0.93</w:t>
            </w:r>
          </w:p>
        </w:tc>
        <w:tc>
          <w:tcPr>
            <w:tcW w:w="1342" w:type="dxa"/>
            <w:tcBorders>
              <w:top w:val="nil"/>
              <w:left w:val="nil"/>
              <w:bottom w:val="nil"/>
              <w:right w:val="nil"/>
            </w:tcBorders>
            <w:shd w:val="clear" w:color="auto" w:fill="auto"/>
            <w:noWrap/>
            <w:vAlign w:val="center"/>
            <w:hideMark/>
          </w:tcPr>
          <w:p w14:paraId="05977BFD"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0.94</w:t>
            </w:r>
          </w:p>
        </w:tc>
      </w:tr>
      <w:tr w:rsidR="007C0420" w:rsidRPr="002A7627" w14:paraId="2F42F31F" w14:textId="77777777" w:rsidTr="001B7185">
        <w:trPr>
          <w:trHeight w:val="340"/>
          <w:jc w:val="center"/>
        </w:trPr>
        <w:tc>
          <w:tcPr>
            <w:tcW w:w="4253" w:type="dxa"/>
            <w:tcBorders>
              <w:top w:val="nil"/>
              <w:left w:val="nil"/>
              <w:bottom w:val="nil"/>
              <w:right w:val="nil"/>
            </w:tcBorders>
            <w:shd w:val="clear" w:color="auto" w:fill="auto"/>
            <w:noWrap/>
            <w:vAlign w:val="center"/>
          </w:tcPr>
          <w:p w14:paraId="7F31FC22" w14:textId="77777777" w:rsidR="007C0420" w:rsidRPr="002A7627" w:rsidRDefault="007C0420" w:rsidP="00DC1DF9">
            <w:pPr>
              <w:rPr>
                <w:rFonts w:asciiTheme="majorBidi" w:hAnsiTheme="majorBidi" w:cstheme="majorBidi"/>
                <w:b/>
                <w:bCs/>
              </w:rPr>
            </w:pPr>
            <w:r w:rsidRPr="002A7627">
              <w:rPr>
                <w:rFonts w:asciiTheme="majorBidi" w:hAnsiTheme="majorBidi" w:cstheme="majorBidi"/>
                <w:b/>
                <w:bCs/>
              </w:rPr>
              <w:t>Abilities</w:t>
            </w:r>
          </w:p>
        </w:tc>
        <w:tc>
          <w:tcPr>
            <w:tcW w:w="1417" w:type="dxa"/>
            <w:tcBorders>
              <w:top w:val="nil"/>
              <w:left w:val="nil"/>
              <w:bottom w:val="nil"/>
              <w:right w:val="nil"/>
            </w:tcBorders>
            <w:shd w:val="clear" w:color="auto" w:fill="auto"/>
            <w:noWrap/>
            <w:vAlign w:val="center"/>
          </w:tcPr>
          <w:p w14:paraId="3BA29B43"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0.859</w:t>
            </w:r>
          </w:p>
        </w:tc>
        <w:tc>
          <w:tcPr>
            <w:tcW w:w="1276" w:type="dxa"/>
            <w:tcBorders>
              <w:top w:val="nil"/>
              <w:left w:val="nil"/>
              <w:bottom w:val="nil"/>
              <w:right w:val="nil"/>
            </w:tcBorders>
            <w:shd w:val="clear" w:color="auto" w:fill="auto"/>
            <w:noWrap/>
            <w:vAlign w:val="center"/>
          </w:tcPr>
          <w:p w14:paraId="682B3D5E"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0.864</w:t>
            </w:r>
          </w:p>
        </w:tc>
        <w:tc>
          <w:tcPr>
            <w:tcW w:w="1342" w:type="dxa"/>
            <w:tcBorders>
              <w:top w:val="nil"/>
              <w:left w:val="nil"/>
              <w:bottom w:val="nil"/>
              <w:right w:val="nil"/>
            </w:tcBorders>
            <w:shd w:val="clear" w:color="auto" w:fill="auto"/>
            <w:noWrap/>
            <w:vAlign w:val="center"/>
          </w:tcPr>
          <w:p w14:paraId="5DDE2BCB"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0.914</w:t>
            </w:r>
          </w:p>
        </w:tc>
      </w:tr>
      <w:tr w:rsidR="007C0420" w:rsidRPr="002A7627" w14:paraId="0F9A6FCD" w14:textId="77777777" w:rsidTr="001B7185">
        <w:trPr>
          <w:trHeight w:val="340"/>
          <w:jc w:val="center"/>
        </w:trPr>
        <w:tc>
          <w:tcPr>
            <w:tcW w:w="4253" w:type="dxa"/>
            <w:tcBorders>
              <w:top w:val="nil"/>
              <w:left w:val="nil"/>
              <w:bottom w:val="nil"/>
              <w:right w:val="nil"/>
            </w:tcBorders>
            <w:shd w:val="clear" w:color="auto" w:fill="auto"/>
            <w:noWrap/>
            <w:vAlign w:val="center"/>
            <w:hideMark/>
          </w:tcPr>
          <w:p w14:paraId="3675C713" w14:textId="77777777" w:rsidR="007C0420" w:rsidRPr="002A7627" w:rsidRDefault="007C0420" w:rsidP="00DC1DF9">
            <w:pPr>
              <w:rPr>
                <w:rFonts w:asciiTheme="majorBidi" w:hAnsiTheme="majorBidi" w:cstheme="majorBidi"/>
                <w:b/>
                <w:bCs/>
              </w:rPr>
            </w:pPr>
            <w:r w:rsidRPr="002A7627">
              <w:rPr>
                <w:rFonts w:asciiTheme="majorBidi" w:hAnsiTheme="majorBidi" w:cstheme="majorBidi"/>
                <w:b/>
                <w:bCs/>
              </w:rPr>
              <w:t>Organizational Learning</w:t>
            </w:r>
          </w:p>
        </w:tc>
        <w:tc>
          <w:tcPr>
            <w:tcW w:w="1417" w:type="dxa"/>
            <w:tcBorders>
              <w:top w:val="nil"/>
              <w:left w:val="nil"/>
              <w:bottom w:val="nil"/>
              <w:right w:val="nil"/>
            </w:tcBorders>
            <w:shd w:val="clear" w:color="auto" w:fill="auto"/>
            <w:noWrap/>
            <w:vAlign w:val="center"/>
            <w:hideMark/>
          </w:tcPr>
          <w:p w14:paraId="5F63036F"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0.927</w:t>
            </w:r>
          </w:p>
        </w:tc>
        <w:tc>
          <w:tcPr>
            <w:tcW w:w="1276" w:type="dxa"/>
            <w:tcBorders>
              <w:top w:val="nil"/>
              <w:left w:val="nil"/>
              <w:bottom w:val="nil"/>
              <w:right w:val="nil"/>
            </w:tcBorders>
            <w:shd w:val="clear" w:color="auto" w:fill="auto"/>
            <w:noWrap/>
            <w:vAlign w:val="center"/>
            <w:hideMark/>
          </w:tcPr>
          <w:p w14:paraId="7487A9DD"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0.93</w:t>
            </w:r>
          </w:p>
        </w:tc>
        <w:tc>
          <w:tcPr>
            <w:tcW w:w="1342" w:type="dxa"/>
            <w:tcBorders>
              <w:top w:val="nil"/>
              <w:left w:val="nil"/>
              <w:bottom w:val="nil"/>
              <w:right w:val="nil"/>
            </w:tcBorders>
            <w:shd w:val="clear" w:color="auto" w:fill="auto"/>
            <w:noWrap/>
            <w:vAlign w:val="center"/>
            <w:hideMark/>
          </w:tcPr>
          <w:p w14:paraId="138C7CBF"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0.949</w:t>
            </w:r>
          </w:p>
        </w:tc>
      </w:tr>
      <w:tr w:rsidR="007C0420" w:rsidRPr="002A7627" w14:paraId="2E6D32D8" w14:textId="77777777" w:rsidTr="001B7185">
        <w:trPr>
          <w:trHeight w:val="340"/>
          <w:jc w:val="center"/>
        </w:trPr>
        <w:tc>
          <w:tcPr>
            <w:tcW w:w="4253" w:type="dxa"/>
            <w:tcBorders>
              <w:top w:val="nil"/>
              <w:left w:val="nil"/>
              <w:bottom w:val="single" w:sz="4" w:space="0" w:color="auto"/>
              <w:right w:val="nil"/>
            </w:tcBorders>
            <w:shd w:val="clear" w:color="auto" w:fill="auto"/>
            <w:noWrap/>
            <w:vAlign w:val="center"/>
          </w:tcPr>
          <w:p w14:paraId="32BFB8BB" w14:textId="77777777" w:rsidR="007C0420" w:rsidRPr="002A7627" w:rsidRDefault="007C0420" w:rsidP="00DC1DF9">
            <w:pPr>
              <w:rPr>
                <w:rFonts w:asciiTheme="majorBidi" w:hAnsiTheme="majorBidi" w:cstheme="majorBidi"/>
                <w:b/>
                <w:bCs/>
              </w:rPr>
            </w:pPr>
            <w:r w:rsidRPr="002A7627">
              <w:rPr>
                <w:rFonts w:asciiTheme="majorBidi" w:hAnsiTheme="majorBidi" w:cstheme="majorBidi"/>
                <w:b/>
                <w:bCs/>
              </w:rPr>
              <w:t>Knowledge Management Benefits</w:t>
            </w:r>
          </w:p>
        </w:tc>
        <w:tc>
          <w:tcPr>
            <w:tcW w:w="1417" w:type="dxa"/>
            <w:tcBorders>
              <w:top w:val="nil"/>
              <w:left w:val="nil"/>
              <w:bottom w:val="single" w:sz="4" w:space="0" w:color="auto"/>
              <w:right w:val="nil"/>
            </w:tcBorders>
            <w:shd w:val="clear" w:color="auto" w:fill="auto"/>
            <w:noWrap/>
            <w:vAlign w:val="center"/>
          </w:tcPr>
          <w:p w14:paraId="001EACB0"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0.906</w:t>
            </w:r>
          </w:p>
        </w:tc>
        <w:tc>
          <w:tcPr>
            <w:tcW w:w="1276" w:type="dxa"/>
            <w:tcBorders>
              <w:top w:val="nil"/>
              <w:left w:val="nil"/>
              <w:bottom w:val="single" w:sz="4" w:space="0" w:color="auto"/>
              <w:right w:val="nil"/>
            </w:tcBorders>
            <w:shd w:val="clear" w:color="auto" w:fill="auto"/>
            <w:noWrap/>
            <w:vAlign w:val="center"/>
          </w:tcPr>
          <w:p w14:paraId="33D38BBE"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0.908</w:t>
            </w:r>
          </w:p>
        </w:tc>
        <w:tc>
          <w:tcPr>
            <w:tcW w:w="1342" w:type="dxa"/>
            <w:tcBorders>
              <w:top w:val="nil"/>
              <w:left w:val="nil"/>
              <w:bottom w:val="single" w:sz="4" w:space="0" w:color="auto"/>
              <w:right w:val="nil"/>
            </w:tcBorders>
            <w:shd w:val="clear" w:color="auto" w:fill="auto"/>
            <w:noWrap/>
            <w:vAlign w:val="center"/>
          </w:tcPr>
          <w:p w14:paraId="55A4CD84"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0.926</w:t>
            </w:r>
          </w:p>
        </w:tc>
      </w:tr>
    </w:tbl>
    <w:p w14:paraId="2E4465E8" w14:textId="77777777" w:rsidR="007C0420" w:rsidRDefault="007C0420" w:rsidP="007C0420">
      <w:pPr>
        <w:pStyle w:val="AAAAAAA"/>
        <w:ind w:firstLine="0"/>
        <w:rPr>
          <w:rStyle w:val="fontstyle01"/>
          <w:rFonts w:asciiTheme="majorBidi" w:hAnsiTheme="majorBidi" w:cstheme="majorBidi"/>
        </w:rPr>
      </w:pPr>
    </w:p>
    <w:p w14:paraId="11063C2B" w14:textId="7C1B66AB" w:rsidR="007C0420" w:rsidRDefault="00000FC6" w:rsidP="007C0420">
      <w:pPr>
        <w:pStyle w:val="AAAAAAA"/>
        <w:ind w:firstLine="0"/>
        <w:rPr>
          <w:rStyle w:val="fontstyle01"/>
          <w:rFonts w:asciiTheme="majorBidi" w:hAnsiTheme="majorBidi" w:cstheme="majorBidi"/>
        </w:rPr>
      </w:pPr>
      <w:r>
        <w:rPr>
          <w:rStyle w:val="fontstyle01"/>
          <w:rFonts w:asciiTheme="majorBidi" w:hAnsiTheme="majorBidi" w:cstheme="majorBidi"/>
        </w:rPr>
        <w:t>A</w:t>
      </w:r>
      <w:r w:rsidR="007C0420">
        <w:rPr>
          <w:rStyle w:val="fontstyle01"/>
          <w:rFonts w:asciiTheme="majorBidi" w:hAnsiTheme="majorBidi" w:cstheme="majorBidi"/>
        </w:rPr>
        <w:t>ll</w:t>
      </w:r>
      <w:r w:rsidR="007C0420" w:rsidRPr="002A7627">
        <w:rPr>
          <w:rStyle w:val="fontstyle01"/>
          <w:rFonts w:asciiTheme="majorBidi" w:hAnsiTheme="majorBidi" w:cstheme="majorBidi"/>
        </w:rPr>
        <w:t xml:space="preserve"> three measures</w:t>
      </w:r>
      <w:r w:rsidR="007C0420">
        <w:rPr>
          <w:rStyle w:val="fontstyle01"/>
          <w:rFonts w:asciiTheme="majorBidi" w:hAnsiTheme="majorBidi" w:cstheme="majorBidi"/>
        </w:rPr>
        <w:t>—</w:t>
      </w:r>
      <w:r w:rsidR="007C0420" w:rsidRPr="002A7627">
        <w:rPr>
          <w:rStyle w:val="fontstyle01"/>
          <w:rFonts w:asciiTheme="majorBidi" w:hAnsiTheme="majorBidi" w:cstheme="majorBidi"/>
        </w:rPr>
        <w:t>Cronbach's alpha, rho_A, and composite reliability</w:t>
      </w:r>
      <w:r w:rsidR="007C0420">
        <w:rPr>
          <w:rStyle w:val="fontstyle01"/>
          <w:rFonts w:asciiTheme="majorBidi" w:hAnsiTheme="majorBidi" w:cstheme="majorBidi"/>
        </w:rPr>
        <w:t>—</w:t>
      </w:r>
      <w:r>
        <w:rPr>
          <w:rStyle w:val="fontstyle01"/>
          <w:rFonts w:asciiTheme="majorBidi" w:hAnsiTheme="majorBidi" w:cstheme="majorBidi"/>
        </w:rPr>
        <w:t>were</w:t>
      </w:r>
      <w:r w:rsidRPr="002A7627">
        <w:rPr>
          <w:rStyle w:val="fontstyle01"/>
          <w:rFonts w:asciiTheme="majorBidi" w:hAnsiTheme="majorBidi" w:cstheme="majorBidi"/>
        </w:rPr>
        <w:t xml:space="preserve"> </w:t>
      </w:r>
      <w:r w:rsidR="007C0420" w:rsidRPr="002A7627">
        <w:rPr>
          <w:rStyle w:val="fontstyle01"/>
          <w:rFonts w:asciiTheme="majorBidi" w:hAnsiTheme="majorBidi" w:cstheme="majorBidi"/>
        </w:rPr>
        <w:t>higher than 0.7, demonstrat</w:t>
      </w:r>
      <w:r w:rsidR="007C0420">
        <w:rPr>
          <w:rStyle w:val="fontstyle01"/>
          <w:rFonts w:asciiTheme="majorBidi" w:hAnsiTheme="majorBidi" w:cstheme="majorBidi"/>
        </w:rPr>
        <w:t>ing</w:t>
      </w:r>
      <w:r w:rsidR="007C0420" w:rsidRPr="002A7627">
        <w:rPr>
          <w:rStyle w:val="fontstyle01"/>
          <w:rFonts w:asciiTheme="majorBidi" w:hAnsiTheme="majorBidi" w:cstheme="majorBidi"/>
        </w:rPr>
        <w:t xml:space="preserve"> the high reliability of the model. </w:t>
      </w:r>
    </w:p>
    <w:p w14:paraId="373EEAA7" w14:textId="49272272" w:rsidR="007C0420" w:rsidRPr="002A7627" w:rsidRDefault="007C0420" w:rsidP="007C0420">
      <w:pPr>
        <w:pStyle w:val="AAAAAAA"/>
        <w:rPr>
          <w:rStyle w:val="fontstyle01"/>
          <w:rFonts w:asciiTheme="majorBidi" w:hAnsiTheme="majorBidi" w:cstheme="majorBidi"/>
        </w:rPr>
      </w:pPr>
      <w:bookmarkStart w:id="240" w:name="_Toc22331706"/>
      <w:r w:rsidRPr="001820D9">
        <w:rPr>
          <w:rStyle w:val="Heading2Char"/>
          <w:u w:val="none"/>
        </w:rPr>
        <w:t>5.3.3. Validity</w:t>
      </w:r>
      <w:bookmarkEnd w:id="240"/>
      <w:r w:rsidRPr="001820D9">
        <w:rPr>
          <w:rStyle w:val="fontstyle01"/>
          <w:rFonts w:asciiTheme="majorBidi" w:hAnsiTheme="majorBidi"/>
          <w:bCs/>
        </w:rPr>
        <w:t>.</w:t>
      </w:r>
      <w:r w:rsidRPr="002A7627">
        <w:rPr>
          <w:rStyle w:val="fontstyle01"/>
          <w:rFonts w:asciiTheme="majorBidi" w:hAnsiTheme="majorBidi"/>
          <w:bCs/>
        </w:rPr>
        <w:t xml:space="preserve"> </w:t>
      </w:r>
      <w:r w:rsidR="00000FC6">
        <w:rPr>
          <w:rStyle w:val="fontstyle01"/>
          <w:rFonts w:asciiTheme="majorBidi" w:hAnsiTheme="majorBidi" w:cstheme="majorBidi"/>
        </w:rPr>
        <w:t>A</w:t>
      </w:r>
      <w:r w:rsidRPr="002A7627">
        <w:rPr>
          <w:rStyle w:val="fontstyle01"/>
          <w:rFonts w:asciiTheme="majorBidi" w:hAnsiTheme="majorBidi" w:cstheme="majorBidi"/>
        </w:rPr>
        <w:t xml:space="preserve">ssessment </w:t>
      </w:r>
      <w:r>
        <w:rPr>
          <w:rStyle w:val="fontstyle01"/>
          <w:rFonts w:asciiTheme="majorBidi" w:hAnsiTheme="majorBidi" w:cstheme="majorBidi"/>
        </w:rPr>
        <w:t xml:space="preserve">of model validity </w:t>
      </w:r>
      <w:r w:rsidRPr="002A7627">
        <w:rPr>
          <w:rStyle w:val="fontstyle01"/>
          <w:rFonts w:asciiTheme="majorBidi" w:hAnsiTheme="majorBidi" w:cstheme="majorBidi"/>
        </w:rPr>
        <w:t xml:space="preserve">is equally important in any research. </w:t>
      </w:r>
      <w:r>
        <w:rPr>
          <w:rStyle w:val="fontstyle01"/>
          <w:rFonts w:asciiTheme="majorBidi" w:hAnsiTheme="majorBidi" w:cstheme="majorBidi"/>
        </w:rPr>
        <w:t>The</w:t>
      </w:r>
      <w:r w:rsidRPr="002A7627">
        <w:rPr>
          <w:rStyle w:val="fontstyle01"/>
          <w:rFonts w:asciiTheme="majorBidi" w:hAnsiTheme="majorBidi" w:cstheme="majorBidi"/>
        </w:rPr>
        <w:t xml:space="preserve"> two types of validity criteria assessment</w:t>
      </w:r>
      <w:r>
        <w:rPr>
          <w:rStyle w:val="fontstyle01"/>
          <w:rFonts w:asciiTheme="majorBidi" w:hAnsiTheme="majorBidi" w:cstheme="majorBidi"/>
        </w:rPr>
        <w:t xml:space="preserve"> are </w:t>
      </w:r>
      <w:r w:rsidRPr="002A7627">
        <w:rPr>
          <w:rStyle w:val="fontstyle01"/>
          <w:rFonts w:asciiTheme="majorBidi" w:hAnsiTheme="majorBidi" w:cstheme="majorBidi"/>
        </w:rPr>
        <w:t>convergent validity and discriminant validity.</w:t>
      </w:r>
    </w:p>
    <w:p w14:paraId="03BCE8E1" w14:textId="5B98BA6C" w:rsidR="007C0420" w:rsidRDefault="007C0420" w:rsidP="007C0420">
      <w:pPr>
        <w:pStyle w:val="AAAAAAA"/>
        <w:rPr>
          <w:rStyle w:val="fontstyle01"/>
          <w:rFonts w:asciiTheme="majorBidi" w:hAnsiTheme="majorBidi" w:cstheme="majorBidi"/>
        </w:rPr>
      </w:pPr>
      <w:bookmarkStart w:id="241" w:name="_Toc22331707"/>
      <w:r>
        <w:rPr>
          <w:rStyle w:val="Heading3Char"/>
        </w:rPr>
        <w:t xml:space="preserve">5.3.3.1. </w:t>
      </w:r>
      <w:r w:rsidRPr="002A7627">
        <w:rPr>
          <w:rStyle w:val="Heading3Char"/>
        </w:rPr>
        <w:t>Convergent validity.</w:t>
      </w:r>
      <w:bookmarkEnd w:id="241"/>
      <w:r w:rsidRPr="002A7627">
        <w:rPr>
          <w:rStyle w:val="fontstyle01"/>
          <w:rFonts w:asciiTheme="majorBidi" w:hAnsiTheme="majorBidi" w:cstheme="majorBidi"/>
          <w:b/>
          <w:bCs/>
        </w:rPr>
        <w:t xml:space="preserve"> </w:t>
      </w:r>
      <w:r w:rsidRPr="002A7627">
        <w:rPr>
          <w:rStyle w:val="fontstyle01"/>
          <w:rFonts w:asciiTheme="majorBidi" w:hAnsiTheme="majorBidi" w:cstheme="majorBidi"/>
        </w:rPr>
        <w:t xml:space="preserve">Convergent validity is the extent to which the construct converges to explain the variance of its items. </w:t>
      </w:r>
      <w:r w:rsidR="00E77AB0">
        <w:rPr>
          <w:rStyle w:val="fontstyle01"/>
          <w:rFonts w:asciiTheme="majorBidi" w:hAnsiTheme="majorBidi" w:cstheme="majorBidi"/>
        </w:rPr>
        <w:t>There may be problems with c</w:t>
      </w:r>
      <w:r w:rsidRPr="002A7627">
        <w:t xml:space="preserve">onvergent validity </w:t>
      </w:r>
      <w:r w:rsidR="00E77AB0">
        <w:t xml:space="preserve">when the </w:t>
      </w:r>
      <w:r w:rsidRPr="002A7627">
        <w:t xml:space="preserve">variables </w:t>
      </w:r>
      <w:r w:rsidR="00E77AB0">
        <w:t xml:space="preserve">fail </w:t>
      </w:r>
      <w:r>
        <w:t>to</w:t>
      </w:r>
      <w:r w:rsidRPr="002A7627">
        <w:t xml:space="preserve"> correlate well with each other within their parent factor</w:t>
      </w:r>
      <w:r>
        <w:t>s</w:t>
      </w:r>
      <w:r w:rsidRPr="002A7627">
        <w:t xml:space="preserve">; i.e., </w:t>
      </w:r>
      <w:r>
        <w:t xml:space="preserve">a </w:t>
      </w:r>
      <w:r w:rsidRPr="002A7627">
        <w:t>latent factor</w:t>
      </w:r>
      <w:r>
        <w:t>’s</w:t>
      </w:r>
      <w:r w:rsidRPr="002A7627">
        <w:t xml:space="preserve"> observed variables </w:t>
      </w:r>
      <w:r>
        <w:t>do</w:t>
      </w:r>
      <w:r w:rsidRPr="002A7627">
        <w:t xml:space="preserve"> not explain </w:t>
      </w:r>
      <w:r>
        <w:t>it well</w:t>
      </w:r>
      <w:r w:rsidRPr="002A7627">
        <w:t xml:space="preserve">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{"citationItems":[{"id":"ITEM-1","itemData":{"DOI":"10.1108/EBR-11-2018-0203","ISSN":"0955534X","abstract":"Purpose –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 This paper provides an overview of previously and recently proposed metrics as well as rules of thumb for evaluating the research results based on the application of PLS-SEM. Findings –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 Methodological developments associated with PLS-SEM are rapidly emerging. The metrics reported in this paper are useful for current applications, but must always be up to date with the latest developments in the PLS-SEM method. Originality/value –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PLS-SEM","type":"article-journal","volume":"31"},"uris":["http://www.mendeley.com/documents/?uuid=632893ee-4602-4bf3-9c88-ab5a48d4eeca"]}],"mendeley":{"formattedCitation":"(Hair et al., 2019)","plainTextFormattedCitation":"(Hair et al., 2019)","previouslyFormattedCitation":"(Hair et al., 2019)"},"properties":{"noteIndex":0},"schema":"https://github.com/citation-style-language/schema/raw/master/csl-citation.json"}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(Hair et al., 2019)</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w:t>
      </w:r>
      <w:r w:rsidRPr="002A7627" w:rsidDel="00A65305">
        <w:t xml:space="preserve"> </w:t>
      </w:r>
      <w:r w:rsidRPr="002A7627">
        <w:rPr>
          <w:rStyle w:val="fontstyle01"/>
          <w:rFonts w:asciiTheme="majorBidi" w:hAnsiTheme="majorBidi" w:cstheme="majorBidi"/>
        </w:rPr>
        <w:t xml:space="preserve">The AVE </w:t>
      </w:r>
      <w:r>
        <w:rPr>
          <w:rStyle w:val="fontstyle01"/>
          <w:rFonts w:asciiTheme="majorBidi" w:hAnsiTheme="majorBidi" w:cstheme="majorBidi"/>
        </w:rPr>
        <w:t xml:space="preserve">is the </w:t>
      </w:r>
      <w:r w:rsidRPr="002A7627">
        <w:rPr>
          <w:rStyle w:val="fontstyle01"/>
          <w:rFonts w:asciiTheme="majorBidi" w:hAnsiTheme="majorBidi" w:cstheme="majorBidi"/>
        </w:rPr>
        <w:t xml:space="preserve">metric used </w:t>
      </w:r>
      <w:r>
        <w:rPr>
          <w:rStyle w:val="fontstyle01"/>
          <w:rFonts w:asciiTheme="majorBidi" w:hAnsiTheme="majorBidi" w:cstheme="majorBidi"/>
        </w:rPr>
        <w:t>to</w:t>
      </w:r>
      <w:r w:rsidRPr="002A7627">
        <w:rPr>
          <w:rStyle w:val="fontstyle01"/>
          <w:rFonts w:asciiTheme="majorBidi" w:hAnsiTheme="majorBidi" w:cstheme="majorBidi"/>
        </w:rPr>
        <w:t xml:space="preserve"> evaluat</w:t>
      </w:r>
      <w:r>
        <w:rPr>
          <w:rStyle w:val="fontstyle01"/>
          <w:rFonts w:asciiTheme="majorBidi" w:hAnsiTheme="majorBidi" w:cstheme="majorBidi"/>
        </w:rPr>
        <w:t>e</w:t>
      </w:r>
      <w:r w:rsidRPr="002A7627">
        <w:rPr>
          <w:rStyle w:val="fontstyle01"/>
          <w:rFonts w:asciiTheme="majorBidi" w:hAnsiTheme="majorBidi" w:cstheme="majorBidi"/>
        </w:rPr>
        <w:t xml:space="preserve"> a </w:t>
      </w:r>
      <w:r w:rsidRPr="00E77AB0">
        <w:rPr>
          <w:rStyle w:val="fontstyle01"/>
          <w:rFonts w:asciiTheme="majorBidi" w:hAnsiTheme="majorBidi" w:cstheme="majorBidi"/>
        </w:rPr>
        <w:t>construct</w:t>
      </w:r>
      <w:r w:rsidR="00E77AB0">
        <w:rPr>
          <w:rStyle w:val="fontstyle31"/>
          <w:rFonts w:asciiTheme="majorBidi" w:hAnsiTheme="majorBidi" w:cstheme="majorBidi"/>
          <w:i w:val="0"/>
        </w:rPr>
        <w:t>’</w:t>
      </w:r>
      <w:r w:rsidRPr="00E77AB0">
        <w:rPr>
          <w:rStyle w:val="fontstyle01"/>
          <w:rFonts w:asciiTheme="majorBidi" w:hAnsiTheme="majorBidi" w:cstheme="majorBidi"/>
        </w:rPr>
        <w:t>s</w:t>
      </w:r>
      <w:r w:rsidRPr="002A7627">
        <w:rPr>
          <w:rStyle w:val="fontstyle01"/>
          <w:rFonts w:asciiTheme="majorBidi" w:hAnsiTheme="majorBidi" w:cstheme="majorBidi"/>
        </w:rPr>
        <w:t xml:space="preserve"> convergent validity</w:t>
      </w:r>
      <w:r>
        <w:rPr>
          <w:rStyle w:val="fontstyle01"/>
          <w:rFonts w:asciiTheme="majorBidi" w:hAnsiTheme="majorBidi" w:cstheme="majorBidi"/>
        </w:rPr>
        <w:t xml:space="preserve">, and </w:t>
      </w:r>
      <w:r w:rsidRPr="002A7627">
        <w:rPr>
          <w:rStyle w:val="fontstyle01"/>
          <w:rFonts w:asciiTheme="majorBidi" w:hAnsiTheme="majorBidi" w:cstheme="majorBidi"/>
        </w:rPr>
        <w:t xml:space="preserve">serves as a measure of unidimensionality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{"citationItems":[{"id":"ITEM-1","itemData":{"DOI":"10.2307/3151312","ISSN":"0022-2437","abstract":"JSTOR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The statistical tests used in the analysis of structural equation models with unobservable variables and measurement error are examined. A drawback of the commonly applied chi square test, in addition to the known problems related to sample size and power, is that it may indicate an increasing correspondence between the hypothesized model and the observed data as both the measurement properties and the relationship between constructs decline. Further, and contrary to common assertion, the risk of making a Type II error can be substantial even when the sample size is large. Moreover, the present testing methods are unable to assess a model's explanatory power. To overcome these problems, the authors develop and apply a testing system based on measures of shared variance within the structural model, measurement model, and overall model.","author":[{"dropping-particle":"","family":"Fornell","given":"Claes","non-dropping-particle":"","parse-names":false,"suffix":""},{"dropping-particle":"","family":"Larcker","given":"David F","non-dropping-particle":"","parse-names":false,"suffix":""}],"container-title":"Source Journal of Marketing Research","id":"ITEM-1","issue":"1","issued":{"date-parts":[["1981"]]},"page":"39-50","title":"Evaluating structural equation models with unobservable variables and measurement error","type":"article-journal","volume":"18"},"uris":["http://www.mendeley.com/documents/?uuid=86ca8206-53fa-4001-bf92-ead78e04ae69"]}],"mendeley":{"formattedCitation":"(Fornell &amp; Larcker, 1981)","plainTextFormattedCitation":"(Fornell &amp; Larcker, 1981)","previouslyFormattedCitation":"(Fornell &amp; Larcker, 1981)"},"properties":{"noteIndex":0},"schema":"https://github.com/citation-style-language/schema/raw/master/csl-citation.json"}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(Fornell &amp; Larcker, 1981)</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 xml:space="preserve">. If the first factor extracted from a set of indicators appears to explain more than half their variance, </w:t>
      </w:r>
      <w:r>
        <w:rPr>
          <w:rStyle w:val="fontstyle01"/>
          <w:rFonts w:asciiTheme="majorBidi" w:hAnsiTheme="majorBidi" w:cstheme="majorBidi"/>
        </w:rPr>
        <w:t xml:space="preserve">no </w:t>
      </w:r>
      <w:r w:rsidRPr="002A7627">
        <w:rPr>
          <w:rStyle w:val="fontstyle01"/>
          <w:rFonts w:asciiTheme="majorBidi" w:hAnsiTheme="majorBidi" w:cstheme="majorBidi"/>
        </w:rPr>
        <w:t>second and equally important factor</w:t>
      </w:r>
      <w:r>
        <w:rPr>
          <w:rStyle w:val="fontstyle01"/>
          <w:rFonts w:asciiTheme="majorBidi" w:hAnsiTheme="majorBidi" w:cstheme="majorBidi"/>
        </w:rPr>
        <w:t xml:space="preserve"> may exist</w:t>
      </w:r>
      <w:r w:rsidRPr="002A7627">
        <w:rPr>
          <w:rStyle w:val="fontstyle01"/>
          <w:rFonts w:asciiTheme="majorBidi" w:hAnsiTheme="majorBidi" w:cstheme="majorBidi"/>
        </w:rPr>
        <w:t xml:space="preserve">. </w:t>
      </w:r>
      <w:r w:rsidR="00E77AB0">
        <w:rPr>
          <w:rStyle w:val="fontstyle01"/>
          <w:rFonts w:asciiTheme="majorBidi" w:hAnsiTheme="majorBidi" w:cstheme="majorBidi"/>
        </w:rPr>
        <w:t>A</w:t>
      </w:r>
      <w:r w:rsidRPr="002A7627">
        <w:rPr>
          <w:rStyle w:val="fontstyle01"/>
          <w:rFonts w:asciiTheme="majorBidi" w:hAnsiTheme="majorBidi" w:cstheme="majorBidi"/>
        </w:rPr>
        <w:t xml:space="preserve">n AVE of 0.5 or higher </w:t>
      </w:r>
      <w:r>
        <w:rPr>
          <w:rStyle w:val="fontstyle01"/>
          <w:rFonts w:asciiTheme="majorBidi" w:hAnsiTheme="majorBidi" w:cstheme="majorBidi"/>
        </w:rPr>
        <w:t xml:space="preserve">is </w:t>
      </w:r>
      <w:r w:rsidR="00E77AB0">
        <w:rPr>
          <w:rStyle w:val="fontstyle01"/>
          <w:rFonts w:asciiTheme="majorBidi" w:hAnsiTheme="majorBidi" w:cstheme="majorBidi"/>
        </w:rPr>
        <w:t xml:space="preserve">therefore </w:t>
      </w:r>
      <w:r w:rsidRPr="002A7627">
        <w:rPr>
          <w:rStyle w:val="fontstyle01"/>
          <w:rFonts w:asciiTheme="majorBidi" w:hAnsiTheme="majorBidi" w:cstheme="majorBidi"/>
        </w:rPr>
        <w:t xml:space="preserve">considered acceptable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{"citationItems":[{"id":"ITEM-1","itemData":{"DOI":"10.2307/3151312","ISSN":"0022-2437","abstract":"JSTOR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The statistical tests used in the analysis of structural equation models with unobservable variables and measurement error are examined. A drawback of the commonly applied chi square test, in addition to the known problems related to sample size and power, is that it may indicate an increasing correspondence between the hypothesized model and the observed data as both the measurement properties and the relationship between constructs decline. Further, and contrary to common assertion, the risk of making a Type II error can be substantial even when the sample size is large. Moreover, the present testing methods are unable to assess a model's explanatory power. To overcome these problems, the authors develop and apply a testing system based on measures of shared variance within the structural model, measurement model, and overall model.","author":[{"dropping-particle":"","family":"Fornell","given":"Claes","non-dropping-particle":"","parse-names":false,"suffix":""},{"dropping-particle":"","family":"Larcker","given":"David F","non-dropping-particle":"","parse-names":false,"suffix":""}],"container-title":"Source Journal of Marketing Research","id":"ITEM-1","issue":"1","issued":{"date-parts":[["1981"]]},"page":"39-50","title":"Evaluating structural equation models with unobservable variables and measurement error","type":"article-journal","volume":"18"},"uris":["http://www.mendeley.com/documents/?uuid=86ca8206-53fa-4001-bf92-ead78e04ae69"]}],"mendeley":{"formattedCitation":"(Fornell &amp; Larcker, 1981)","plainTextFormattedCitation":"(Fornell &amp; Larcker, 1981)","previouslyFormattedCitation":"(Fornell &amp; Larcker, 1981)"},"properties":{"noteIndex":0},"schema":"https://github.com/citation-style-language/schema/raw/master/csl-citation.json"}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(Fornell &amp; Larcker, 1981)</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 xml:space="preserve">. The second metric used to test convergent validity is composite reliability. </w:t>
      </w:r>
      <w:r w:rsidR="00E77AB0">
        <w:rPr>
          <w:rStyle w:val="fontstyle01"/>
          <w:rFonts w:asciiTheme="majorBidi" w:hAnsiTheme="majorBidi" w:cstheme="majorBidi"/>
        </w:rPr>
        <w:t>A</w:t>
      </w:r>
      <w:r w:rsidRPr="002A7627">
        <w:rPr>
          <w:rStyle w:val="fontstyle01"/>
          <w:rFonts w:asciiTheme="majorBidi" w:hAnsiTheme="majorBidi" w:cstheme="majorBidi"/>
        </w:rPr>
        <w:t xml:space="preserve"> model is considered to </w:t>
      </w:r>
      <w:r>
        <w:rPr>
          <w:rStyle w:val="fontstyle01"/>
          <w:rFonts w:asciiTheme="majorBidi" w:hAnsiTheme="majorBidi" w:cstheme="majorBidi"/>
        </w:rPr>
        <w:t>exhibit</w:t>
      </w:r>
      <w:r w:rsidRPr="002A7627">
        <w:rPr>
          <w:rStyle w:val="fontstyle01"/>
          <w:rFonts w:asciiTheme="majorBidi" w:hAnsiTheme="majorBidi" w:cstheme="majorBidi"/>
        </w:rPr>
        <w:t xml:space="preserve"> convergent validity when</w:t>
      </w:r>
      <w:r>
        <w:rPr>
          <w:rStyle w:val="fontstyle01"/>
          <w:rFonts w:asciiTheme="majorBidi" w:hAnsiTheme="majorBidi" w:cstheme="majorBidi"/>
        </w:rPr>
        <w:t>,</w:t>
      </w:r>
      <w:r w:rsidRPr="002A7627">
        <w:rPr>
          <w:rStyle w:val="fontstyle01"/>
          <w:rFonts w:asciiTheme="majorBidi" w:hAnsiTheme="majorBidi" w:cstheme="majorBidi"/>
        </w:rPr>
        <w:t xml:space="preserve"> for every factor</w:t>
      </w:r>
      <w:r>
        <w:rPr>
          <w:rStyle w:val="fontstyle01"/>
          <w:rFonts w:asciiTheme="majorBidi" w:hAnsiTheme="majorBidi" w:cstheme="majorBidi"/>
        </w:rPr>
        <w:t>,</w:t>
      </w:r>
      <w:r w:rsidRPr="002A7627">
        <w:rPr>
          <w:rStyle w:val="fontstyle01"/>
          <w:rFonts w:asciiTheme="majorBidi" w:hAnsiTheme="majorBidi" w:cstheme="majorBidi"/>
        </w:rPr>
        <w:t xml:space="preserve"> CR</w:t>
      </w:r>
      <w:r w:rsidR="00E77AB0">
        <w:rPr>
          <w:rStyle w:val="fontstyle01"/>
          <w:rFonts w:asciiTheme="majorBidi" w:hAnsiTheme="majorBidi" w:cstheme="majorBidi"/>
        </w:rPr>
        <w:t xml:space="preserve"> </w:t>
      </w:r>
      <w:r w:rsidRPr="002A7627">
        <w:rPr>
          <w:rStyle w:val="fontstyle01"/>
          <w:rFonts w:asciiTheme="majorBidi" w:hAnsiTheme="majorBidi" w:cstheme="majorBidi"/>
        </w:rPr>
        <w:t>&gt;</w:t>
      </w:r>
      <w:r w:rsidR="00E77AB0">
        <w:rPr>
          <w:rStyle w:val="fontstyle01"/>
          <w:rFonts w:asciiTheme="majorBidi" w:hAnsiTheme="majorBidi" w:cstheme="majorBidi"/>
        </w:rPr>
        <w:t xml:space="preserve"> </w:t>
      </w:r>
      <w:r w:rsidRPr="002A7627">
        <w:rPr>
          <w:rStyle w:val="fontstyle01"/>
          <w:rFonts w:asciiTheme="majorBidi" w:hAnsiTheme="majorBidi" w:cstheme="majorBidi"/>
        </w:rPr>
        <w:t xml:space="preserve">AVE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{"citationItems":[{"id":"ITEM-1","itemData":{"DOI":"10.1109/RFIC.2004.1320574","ISBN":"0-7803-8333-8","abstract":"The purpose of this paper was to test a theoretical model of Facebook usage among university students in Malaysia using a confirmatory analysis. The theoretical model used to underpin the model was the parsimonius Technology Acceptance Model (Davis et al., 1989). We collected data from 600 undergraduate students of six public universities from Peninsular Malaysia using a structured questionnaire. Data were analyzed using SmartPLS 3.2.6 and instead of using the usual exploratory modeling analysis we used the more recent confirmatory analysis which is now available in SmartPLS called consistent PLS. Consistent PLS gives fit values that can be used to assess the model fit. The Standardized Root Mean Square Residual (SRMR = 0.03) was lower than 0.08 and the Normed Fit Index (NFI = 0.939) was higher than 0.90 thus we can conclude that the data fits the model well. The results show that ease of use influenced enjoyment but did not influence usage directly while usefulness influenced both enjoyment and usage directly and enjoyment also influenced usage directly. The R2 was 0.702 for enjoyment and 0.609 for usage. Implications of the findings are further discussed.","author":[{"dropping-particle":"","family":"Ramayah","given":"T","non-dropping-particle":"","parse-names":false,"suffix":""},{"dropping-particle":"","family":"Yeap","given":"Jasmine A. L. JAL","non-dropping-particle":"","parse-names":false,"suffix":""},{"dropping-particle":"","family":"Ahmad","given":"NH Noor Hazlina","non-dropping-particle":"","parse-names":false,"suffix":""},{"dropping-particle":"","family":"Abdul-Halim","given":"Hasliza","non-dropping-particle":"","parse-names":false,"suffix":""},{"dropping-particle":"","family":"Rahman","given":"S.A.","non-dropping-particle":"","parse-names":false,"suffix":""},{"dropping-particle":"","family":"Halim","given":"HA","non-dropping-particle":"","parse-names":false,"suffix":""}],"container-title":"International Journal of Business and Innovation","id":"ITEM-1","issue":"2","issued":{"date-parts":[["2017"]]},"page":"1-14","title":"Testing a confirmatory model of Facebook Usage in SmartPLS using consistent PLS","type":"article-journal","volume":"3"},"uris":["http://www.mendeley.com/documents/?uuid=d3744bbf-177c-4f34-bda0-2b1a656abcdd"]}],"mendeley":{"formattedCitation":"(Ramayah et al., 2017)","plainTextFormattedCitation":"(Ramayah et al., 2017)","previouslyFormattedCitation":"(Ramayah et al., 2017)"},"properties":{"noteIndex":0},"schema":"https://github.com/citation-style-language/schema/raw/master/csl-citation.json"}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(Ramayah et al., 2017)</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 xml:space="preserve">. Table 19 </w:t>
      </w:r>
      <w:r w:rsidR="00E77AB0">
        <w:rPr>
          <w:rStyle w:val="fontstyle01"/>
          <w:rFonts w:asciiTheme="majorBidi" w:hAnsiTheme="majorBidi" w:cstheme="majorBidi"/>
        </w:rPr>
        <w:t>shows</w:t>
      </w:r>
      <w:r w:rsidR="00E77AB0" w:rsidRPr="002A7627">
        <w:rPr>
          <w:rStyle w:val="fontstyle01"/>
          <w:rFonts w:asciiTheme="majorBidi" w:hAnsiTheme="majorBidi" w:cstheme="majorBidi"/>
        </w:rPr>
        <w:t xml:space="preserve"> </w:t>
      </w:r>
      <w:r w:rsidRPr="002A7627">
        <w:rPr>
          <w:rStyle w:val="fontstyle01"/>
          <w:rFonts w:asciiTheme="majorBidi" w:hAnsiTheme="majorBidi" w:cstheme="majorBidi"/>
        </w:rPr>
        <w:t xml:space="preserve">the results of convergent validity </w:t>
      </w:r>
      <w:r w:rsidR="00E77AB0">
        <w:rPr>
          <w:rStyle w:val="fontstyle01"/>
          <w:rFonts w:asciiTheme="majorBidi" w:hAnsiTheme="majorBidi" w:cstheme="majorBidi"/>
        </w:rPr>
        <w:t xml:space="preserve">testing </w:t>
      </w:r>
      <w:r w:rsidRPr="002A7627">
        <w:rPr>
          <w:rStyle w:val="fontstyle01"/>
          <w:rFonts w:asciiTheme="majorBidi" w:hAnsiTheme="majorBidi" w:cstheme="majorBidi"/>
        </w:rPr>
        <w:t>of the model.</w:t>
      </w:r>
    </w:p>
    <w:p w14:paraId="013EBBE9" w14:textId="65B486F3" w:rsidR="007C0420" w:rsidRPr="001D5F54" w:rsidRDefault="007C0420" w:rsidP="007C0420">
      <w:pPr>
        <w:pStyle w:val="Caption"/>
        <w:keepNext/>
        <w:rPr>
          <w:color w:val="000000"/>
          <w:szCs w:val="24"/>
        </w:rPr>
      </w:pPr>
      <w:bookmarkStart w:id="242" w:name="_Toc19478597"/>
      <w:bookmarkStart w:id="243" w:name="_Toc21074087"/>
      <w:r>
        <w:t xml:space="preserve">Table </w:t>
      </w:r>
      <w:r w:rsidR="00606D42">
        <w:rPr>
          <w:noProof/>
        </w:rPr>
        <w:fldChar w:fldCharType="begin"/>
      </w:r>
      <w:r w:rsidR="00606D42">
        <w:rPr>
          <w:noProof/>
        </w:rPr>
        <w:instrText xml:space="preserve"> SEQ Table \* ARABIC </w:instrText>
      </w:r>
      <w:r w:rsidR="00606D42">
        <w:rPr>
          <w:noProof/>
        </w:rPr>
        <w:fldChar w:fldCharType="separate"/>
      </w:r>
      <w:r w:rsidR="00972C3F">
        <w:rPr>
          <w:noProof/>
        </w:rPr>
        <w:t>19</w:t>
      </w:r>
      <w:r w:rsidR="00606D42">
        <w:rPr>
          <w:noProof/>
        </w:rPr>
        <w:fldChar w:fldCharType="end"/>
      </w:r>
      <w:r>
        <w:t xml:space="preserve">. </w:t>
      </w:r>
      <w:r w:rsidRPr="00371310">
        <w:t>Convergent validity</w:t>
      </w:r>
      <w:bookmarkEnd w:id="242"/>
      <w:bookmarkEnd w:id="243"/>
    </w:p>
    <w:tbl>
      <w:tblPr>
        <w:tblStyle w:val="APAReport"/>
        <w:tblW w:w="8149" w:type="dxa"/>
        <w:tblLook w:val="04A0" w:firstRow="1" w:lastRow="0" w:firstColumn="1" w:lastColumn="0" w:noHBand="0" w:noVBand="1"/>
      </w:tblPr>
      <w:tblGrid>
        <w:gridCol w:w="2920"/>
        <w:gridCol w:w="2036"/>
        <w:gridCol w:w="3193"/>
      </w:tblGrid>
      <w:tr w:rsidR="007C0420" w:rsidRPr="002A7627" w14:paraId="0B99229F" w14:textId="77777777" w:rsidTr="00623230">
        <w:trPr>
          <w:cnfStyle w:val="100000000000" w:firstRow="1" w:lastRow="0" w:firstColumn="0" w:lastColumn="0" w:oddVBand="0" w:evenVBand="0" w:oddHBand="0" w:evenHBand="0" w:firstRowFirstColumn="0" w:firstRowLastColumn="0" w:lastRowFirstColumn="0" w:lastRowLastColumn="0"/>
          <w:trHeight w:val="340"/>
        </w:trPr>
        <w:tc>
          <w:tcPr>
            <w:tcW w:w="0" w:type="dxa"/>
            <w:tcBorders>
              <w:top w:val="single" w:sz="4" w:space="0" w:color="auto"/>
              <w:bottom w:val="single" w:sz="4" w:space="0" w:color="auto"/>
            </w:tcBorders>
          </w:tcPr>
          <w:p w14:paraId="5EBB87A6"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Construct</w:t>
            </w:r>
          </w:p>
        </w:tc>
        <w:tc>
          <w:tcPr>
            <w:tcW w:w="0" w:type="dxa"/>
            <w:tcBorders>
              <w:top w:val="single" w:sz="4" w:space="0" w:color="auto"/>
              <w:bottom w:val="single" w:sz="4" w:space="0" w:color="auto"/>
            </w:tcBorders>
            <w:noWrap/>
            <w:hideMark/>
          </w:tcPr>
          <w:p w14:paraId="5B4FD960"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Average Variance Extracted (AVE)</w:t>
            </w:r>
          </w:p>
        </w:tc>
        <w:tc>
          <w:tcPr>
            <w:tcW w:w="1928" w:type="dxa"/>
            <w:tcBorders>
              <w:top w:val="single" w:sz="4" w:space="0" w:color="auto"/>
              <w:bottom w:val="single" w:sz="4" w:space="0" w:color="auto"/>
            </w:tcBorders>
          </w:tcPr>
          <w:p w14:paraId="215316A9" w14:textId="77777777" w:rsidR="007C0420" w:rsidRPr="002A7627" w:rsidRDefault="007C0420" w:rsidP="00DC1DF9">
            <w:pPr>
              <w:jc w:val="center"/>
              <w:rPr>
                <w:rFonts w:asciiTheme="majorBidi" w:hAnsiTheme="majorBidi" w:cstheme="majorBidi"/>
                <w:b/>
                <w:bCs/>
              </w:rPr>
            </w:pPr>
            <w:r w:rsidRPr="002A7627">
              <w:rPr>
                <w:rFonts w:asciiTheme="majorBidi" w:hAnsiTheme="majorBidi" w:cstheme="majorBidi"/>
                <w:b/>
                <w:bCs/>
              </w:rPr>
              <w:t>Composite Reliability</w:t>
            </w:r>
          </w:p>
        </w:tc>
      </w:tr>
      <w:tr w:rsidR="007C0420" w:rsidRPr="002A7627" w14:paraId="6404FF3F" w14:textId="77777777" w:rsidTr="00623230">
        <w:trPr>
          <w:trHeight w:val="340"/>
        </w:trPr>
        <w:tc>
          <w:tcPr>
            <w:tcW w:w="0" w:type="dxa"/>
            <w:tcBorders>
              <w:top w:val="single" w:sz="4" w:space="0" w:color="auto"/>
            </w:tcBorders>
          </w:tcPr>
          <w:p w14:paraId="0CD1DD58" w14:textId="77777777" w:rsidR="007C0420" w:rsidRPr="002A7627" w:rsidRDefault="007C0420" w:rsidP="00DC1DF9">
            <w:pPr>
              <w:rPr>
                <w:rFonts w:asciiTheme="majorBidi" w:hAnsiTheme="majorBidi" w:cstheme="majorBidi"/>
                <w:b/>
                <w:bCs/>
              </w:rPr>
            </w:pPr>
            <w:r w:rsidRPr="002A7627">
              <w:rPr>
                <w:rFonts w:asciiTheme="majorBidi" w:hAnsiTheme="majorBidi" w:cstheme="majorBidi"/>
                <w:b/>
                <w:bCs/>
              </w:rPr>
              <w:t>Knowledge Management Capabilities</w:t>
            </w:r>
          </w:p>
        </w:tc>
        <w:tc>
          <w:tcPr>
            <w:tcW w:w="0" w:type="dxa"/>
            <w:tcBorders>
              <w:top w:val="single" w:sz="4" w:space="0" w:color="auto"/>
            </w:tcBorders>
            <w:noWrap/>
          </w:tcPr>
          <w:p w14:paraId="6A25398E"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0.722</w:t>
            </w:r>
          </w:p>
        </w:tc>
        <w:tc>
          <w:tcPr>
            <w:tcW w:w="1928" w:type="dxa"/>
            <w:tcBorders>
              <w:top w:val="single" w:sz="4" w:space="0" w:color="auto"/>
            </w:tcBorders>
          </w:tcPr>
          <w:p w14:paraId="311DEC75"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0.912</w:t>
            </w:r>
          </w:p>
        </w:tc>
      </w:tr>
      <w:tr w:rsidR="007C0420" w:rsidRPr="002A7627" w14:paraId="4FFA5A68" w14:textId="77777777" w:rsidTr="00623230">
        <w:trPr>
          <w:trHeight w:val="340"/>
        </w:trPr>
        <w:tc>
          <w:tcPr>
            <w:tcW w:w="0" w:type="dxa"/>
          </w:tcPr>
          <w:p w14:paraId="2EC0FD50" w14:textId="77777777" w:rsidR="007C0420" w:rsidRPr="002A7627" w:rsidRDefault="007C0420" w:rsidP="00DC1DF9">
            <w:pPr>
              <w:rPr>
                <w:rFonts w:asciiTheme="majorBidi" w:hAnsiTheme="majorBidi" w:cstheme="majorBidi"/>
                <w:b/>
                <w:bCs/>
              </w:rPr>
            </w:pPr>
            <w:r w:rsidRPr="002A7627">
              <w:rPr>
                <w:rFonts w:asciiTheme="majorBidi" w:hAnsiTheme="majorBidi" w:cstheme="majorBidi"/>
                <w:b/>
                <w:bCs/>
              </w:rPr>
              <w:t>Extrinsic Motivation</w:t>
            </w:r>
          </w:p>
        </w:tc>
        <w:tc>
          <w:tcPr>
            <w:tcW w:w="0" w:type="dxa"/>
            <w:noWrap/>
            <w:hideMark/>
          </w:tcPr>
          <w:p w14:paraId="3CC2AF58"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0.697</w:t>
            </w:r>
          </w:p>
        </w:tc>
        <w:tc>
          <w:tcPr>
            <w:tcW w:w="1928" w:type="dxa"/>
          </w:tcPr>
          <w:p w14:paraId="13CD8F2D"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0.873</w:t>
            </w:r>
          </w:p>
        </w:tc>
      </w:tr>
      <w:tr w:rsidR="007C0420" w:rsidRPr="002A7627" w14:paraId="5CDC93BE" w14:textId="77777777" w:rsidTr="00623230">
        <w:trPr>
          <w:trHeight w:val="340"/>
        </w:trPr>
        <w:tc>
          <w:tcPr>
            <w:tcW w:w="0" w:type="dxa"/>
          </w:tcPr>
          <w:p w14:paraId="526B364D" w14:textId="77777777" w:rsidR="007C0420" w:rsidRPr="002A7627" w:rsidRDefault="007C0420" w:rsidP="00DC1DF9">
            <w:pPr>
              <w:rPr>
                <w:rFonts w:asciiTheme="majorBidi" w:hAnsiTheme="majorBidi" w:cstheme="majorBidi"/>
                <w:b/>
                <w:bCs/>
              </w:rPr>
            </w:pPr>
            <w:r w:rsidRPr="002A7627">
              <w:rPr>
                <w:rFonts w:asciiTheme="majorBidi" w:hAnsiTheme="majorBidi" w:cstheme="majorBidi"/>
                <w:b/>
                <w:bCs/>
              </w:rPr>
              <w:t>Intrinsic Motivation</w:t>
            </w:r>
          </w:p>
        </w:tc>
        <w:tc>
          <w:tcPr>
            <w:tcW w:w="0" w:type="dxa"/>
            <w:noWrap/>
            <w:hideMark/>
          </w:tcPr>
          <w:p w14:paraId="760EFEBD"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0.726</w:t>
            </w:r>
          </w:p>
        </w:tc>
        <w:tc>
          <w:tcPr>
            <w:tcW w:w="1928" w:type="dxa"/>
          </w:tcPr>
          <w:p w14:paraId="384F7F8A"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0.888</w:t>
            </w:r>
          </w:p>
        </w:tc>
      </w:tr>
      <w:tr w:rsidR="007C0420" w:rsidRPr="002A7627" w14:paraId="66214698" w14:textId="77777777" w:rsidTr="00623230">
        <w:trPr>
          <w:trHeight w:val="340"/>
        </w:trPr>
        <w:tc>
          <w:tcPr>
            <w:tcW w:w="0" w:type="dxa"/>
          </w:tcPr>
          <w:p w14:paraId="151CCC39" w14:textId="77777777" w:rsidR="007C0420" w:rsidRPr="002A7627" w:rsidRDefault="007C0420" w:rsidP="00DC1DF9">
            <w:pPr>
              <w:rPr>
                <w:rFonts w:asciiTheme="majorBidi" w:hAnsiTheme="majorBidi" w:cstheme="majorBidi"/>
                <w:b/>
                <w:bCs/>
              </w:rPr>
            </w:pPr>
            <w:r w:rsidRPr="002A7627">
              <w:rPr>
                <w:rFonts w:asciiTheme="majorBidi" w:hAnsiTheme="majorBidi" w:cstheme="majorBidi"/>
                <w:b/>
                <w:bCs/>
              </w:rPr>
              <w:t>Opportunities</w:t>
            </w:r>
          </w:p>
        </w:tc>
        <w:tc>
          <w:tcPr>
            <w:tcW w:w="0" w:type="dxa"/>
            <w:noWrap/>
            <w:hideMark/>
          </w:tcPr>
          <w:p w14:paraId="0CD36547"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0.638</w:t>
            </w:r>
          </w:p>
        </w:tc>
        <w:tc>
          <w:tcPr>
            <w:tcW w:w="1928" w:type="dxa"/>
          </w:tcPr>
          <w:p w14:paraId="24E0FB9C"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0.94</w:t>
            </w:r>
          </w:p>
        </w:tc>
      </w:tr>
      <w:tr w:rsidR="007C0420" w:rsidRPr="002A7627" w14:paraId="1C271DB3" w14:textId="77777777" w:rsidTr="00623230">
        <w:trPr>
          <w:trHeight w:val="340"/>
        </w:trPr>
        <w:tc>
          <w:tcPr>
            <w:tcW w:w="0" w:type="dxa"/>
          </w:tcPr>
          <w:p w14:paraId="259E1488" w14:textId="77777777" w:rsidR="007C0420" w:rsidRPr="002A7627" w:rsidRDefault="007C0420" w:rsidP="00DC1DF9">
            <w:pPr>
              <w:rPr>
                <w:rFonts w:asciiTheme="majorBidi" w:hAnsiTheme="majorBidi" w:cstheme="majorBidi"/>
                <w:b/>
                <w:bCs/>
              </w:rPr>
            </w:pPr>
            <w:r w:rsidRPr="002A7627">
              <w:rPr>
                <w:rFonts w:asciiTheme="majorBidi" w:hAnsiTheme="majorBidi" w:cstheme="majorBidi"/>
                <w:b/>
                <w:bCs/>
              </w:rPr>
              <w:t>Abilities</w:t>
            </w:r>
          </w:p>
        </w:tc>
        <w:tc>
          <w:tcPr>
            <w:tcW w:w="0" w:type="dxa"/>
            <w:noWrap/>
          </w:tcPr>
          <w:p w14:paraId="3C865AAE"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0.779</w:t>
            </w:r>
          </w:p>
        </w:tc>
        <w:tc>
          <w:tcPr>
            <w:tcW w:w="1928" w:type="dxa"/>
          </w:tcPr>
          <w:p w14:paraId="0951A4AC"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0.914</w:t>
            </w:r>
          </w:p>
        </w:tc>
      </w:tr>
      <w:tr w:rsidR="007C0420" w:rsidRPr="002A7627" w14:paraId="0C855A2D" w14:textId="77777777" w:rsidTr="00623230">
        <w:trPr>
          <w:trHeight w:val="340"/>
        </w:trPr>
        <w:tc>
          <w:tcPr>
            <w:tcW w:w="0" w:type="dxa"/>
          </w:tcPr>
          <w:p w14:paraId="23AB0CE2" w14:textId="77777777" w:rsidR="007C0420" w:rsidRPr="002A7627" w:rsidRDefault="007C0420" w:rsidP="00DC1DF9">
            <w:pPr>
              <w:rPr>
                <w:rFonts w:asciiTheme="majorBidi" w:hAnsiTheme="majorBidi" w:cstheme="majorBidi"/>
                <w:b/>
                <w:bCs/>
              </w:rPr>
            </w:pPr>
            <w:r w:rsidRPr="002A7627">
              <w:rPr>
                <w:rFonts w:asciiTheme="majorBidi" w:hAnsiTheme="majorBidi" w:cstheme="majorBidi"/>
                <w:b/>
                <w:bCs/>
              </w:rPr>
              <w:t>Organizational Learning</w:t>
            </w:r>
          </w:p>
        </w:tc>
        <w:tc>
          <w:tcPr>
            <w:tcW w:w="0" w:type="dxa"/>
            <w:noWrap/>
            <w:hideMark/>
          </w:tcPr>
          <w:p w14:paraId="7419FE0F"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0.822</w:t>
            </w:r>
          </w:p>
        </w:tc>
        <w:tc>
          <w:tcPr>
            <w:tcW w:w="1928" w:type="dxa"/>
          </w:tcPr>
          <w:p w14:paraId="24347BFD"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0.949</w:t>
            </w:r>
          </w:p>
        </w:tc>
      </w:tr>
      <w:tr w:rsidR="007C0420" w:rsidRPr="002A7627" w14:paraId="44612C4A" w14:textId="77777777" w:rsidTr="00623230">
        <w:trPr>
          <w:trHeight w:val="340"/>
        </w:trPr>
        <w:tc>
          <w:tcPr>
            <w:tcW w:w="0" w:type="dxa"/>
          </w:tcPr>
          <w:p w14:paraId="72E12BD7" w14:textId="77777777" w:rsidR="007C0420" w:rsidRPr="002A7627" w:rsidRDefault="007C0420" w:rsidP="00DC1DF9">
            <w:pPr>
              <w:rPr>
                <w:rFonts w:asciiTheme="majorBidi" w:hAnsiTheme="majorBidi" w:cstheme="majorBidi"/>
                <w:b/>
                <w:bCs/>
              </w:rPr>
            </w:pPr>
            <w:r w:rsidRPr="002A7627">
              <w:rPr>
                <w:rFonts w:asciiTheme="majorBidi" w:hAnsiTheme="majorBidi" w:cstheme="majorBidi"/>
                <w:b/>
                <w:bCs/>
              </w:rPr>
              <w:t>Knowledge Management Benefits</w:t>
            </w:r>
          </w:p>
        </w:tc>
        <w:tc>
          <w:tcPr>
            <w:tcW w:w="0" w:type="dxa"/>
            <w:noWrap/>
          </w:tcPr>
          <w:p w14:paraId="435BB97D"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0.64</w:t>
            </w:r>
          </w:p>
        </w:tc>
        <w:tc>
          <w:tcPr>
            <w:tcW w:w="1928" w:type="dxa"/>
          </w:tcPr>
          <w:p w14:paraId="30E7B6EB"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0.926</w:t>
            </w:r>
          </w:p>
        </w:tc>
      </w:tr>
    </w:tbl>
    <w:p w14:paraId="5EECE155" w14:textId="77777777" w:rsidR="007C0420" w:rsidRPr="002A7627" w:rsidRDefault="007C0420" w:rsidP="007C0420">
      <w:pPr>
        <w:tabs>
          <w:tab w:val="left" w:pos="2790"/>
        </w:tabs>
        <w:rPr>
          <w:rStyle w:val="fontstyle21"/>
        </w:rPr>
      </w:pPr>
    </w:p>
    <w:p w14:paraId="408D5A89" w14:textId="4DB6C5E6" w:rsidR="007C0420" w:rsidRPr="002A7627" w:rsidRDefault="00E77AB0" w:rsidP="007C0420">
      <w:pPr>
        <w:tabs>
          <w:tab w:val="left" w:pos="2790"/>
        </w:tabs>
        <w:spacing w:line="480" w:lineRule="auto"/>
        <w:jc w:val="both"/>
        <w:rPr>
          <w:rStyle w:val="fontstyle21"/>
          <w:rFonts w:asciiTheme="majorBidi" w:hAnsiTheme="majorBidi" w:cstheme="majorBidi"/>
        </w:rPr>
      </w:pPr>
      <w:r>
        <w:rPr>
          <w:rStyle w:val="fontstyle21"/>
          <w:rFonts w:asciiTheme="majorBidi" w:hAnsiTheme="majorBidi" w:cstheme="majorBidi"/>
        </w:rPr>
        <w:t>A</w:t>
      </w:r>
      <w:r w:rsidR="007C0420">
        <w:rPr>
          <w:rStyle w:val="fontstyle21"/>
          <w:rFonts w:asciiTheme="majorBidi" w:hAnsiTheme="majorBidi" w:cstheme="majorBidi"/>
        </w:rPr>
        <w:t>ll</w:t>
      </w:r>
      <w:r w:rsidR="007C0420" w:rsidRPr="002A7627">
        <w:rPr>
          <w:rStyle w:val="fontstyle21"/>
          <w:rFonts w:asciiTheme="majorBidi" w:hAnsiTheme="majorBidi" w:cstheme="majorBidi"/>
        </w:rPr>
        <w:t xml:space="preserve"> values of AVE related to the constructs </w:t>
      </w:r>
      <w:r w:rsidR="007C0420">
        <w:rPr>
          <w:rStyle w:val="fontstyle21"/>
          <w:rFonts w:asciiTheme="majorBidi" w:hAnsiTheme="majorBidi" w:cstheme="majorBidi"/>
        </w:rPr>
        <w:t>exceed</w:t>
      </w:r>
      <w:r>
        <w:rPr>
          <w:rStyle w:val="fontstyle21"/>
          <w:rFonts w:asciiTheme="majorBidi" w:hAnsiTheme="majorBidi" w:cstheme="majorBidi"/>
        </w:rPr>
        <w:t>ed</w:t>
      </w:r>
      <w:r w:rsidR="007C0420" w:rsidRPr="002A7627">
        <w:rPr>
          <w:rStyle w:val="fontstyle21"/>
          <w:rFonts w:asciiTheme="majorBidi" w:hAnsiTheme="majorBidi" w:cstheme="majorBidi"/>
        </w:rPr>
        <w:t xml:space="preserve"> 0.5. </w:t>
      </w:r>
      <w:r>
        <w:rPr>
          <w:rStyle w:val="fontstyle21"/>
          <w:rFonts w:asciiTheme="majorBidi" w:hAnsiTheme="majorBidi" w:cstheme="majorBidi"/>
        </w:rPr>
        <w:t>T</w:t>
      </w:r>
      <w:r w:rsidR="007C0420" w:rsidRPr="002A7627">
        <w:rPr>
          <w:rStyle w:val="fontstyle21"/>
          <w:rFonts w:asciiTheme="majorBidi" w:hAnsiTheme="majorBidi" w:cstheme="majorBidi"/>
        </w:rPr>
        <w:t xml:space="preserve">he values of composite reliability for each construct </w:t>
      </w:r>
      <w:r>
        <w:rPr>
          <w:rStyle w:val="fontstyle21"/>
          <w:rFonts w:asciiTheme="majorBidi" w:hAnsiTheme="majorBidi" w:cstheme="majorBidi"/>
        </w:rPr>
        <w:t>were also</w:t>
      </w:r>
      <w:r w:rsidRPr="002A7627">
        <w:rPr>
          <w:rStyle w:val="fontstyle21"/>
          <w:rFonts w:asciiTheme="majorBidi" w:hAnsiTheme="majorBidi" w:cstheme="majorBidi"/>
        </w:rPr>
        <w:t xml:space="preserve"> </w:t>
      </w:r>
      <w:r w:rsidR="007C0420">
        <w:rPr>
          <w:rStyle w:val="fontstyle21"/>
          <w:rFonts w:asciiTheme="majorBidi" w:hAnsiTheme="majorBidi" w:cstheme="majorBidi"/>
        </w:rPr>
        <w:t>larger</w:t>
      </w:r>
      <w:r w:rsidR="007C0420" w:rsidRPr="002A7627">
        <w:rPr>
          <w:rStyle w:val="fontstyle21"/>
          <w:rFonts w:asciiTheme="majorBidi" w:hAnsiTheme="majorBidi" w:cstheme="majorBidi"/>
        </w:rPr>
        <w:t xml:space="preserve"> than the AVE values. </w:t>
      </w:r>
      <w:r w:rsidR="007C0420">
        <w:rPr>
          <w:rStyle w:val="fontstyle21"/>
          <w:rFonts w:asciiTheme="majorBidi" w:hAnsiTheme="majorBidi" w:cstheme="majorBidi"/>
        </w:rPr>
        <w:t>These results</w:t>
      </w:r>
      <w:r w:rsidR="007C0420" w:rsidRPr="002A7627">
        <w:rPr>
          <w:rStyle w:val="fontstyle21"/>
          <w:rFonts w:asciiTheme="majorBidi" w:hAnsiTheme="majorBidi" w:cstheme="majorBidi"/>
        </w:rPr>
        <w:t xml:space="preserve"> indicate</w:t>
      </w:r>
      <w:r w:rsidR="007C0420">
        <w:rPr>
          <w:rStyle w:val="fontstyle21"/>
          <w:rFonts w:asciiTheme="majorBidi" w:hAnsiTheme="majorBidi" w:cstheme="majorBidi"/>
        </w:rPr>
        <w:t xml:space="preserve"> that the model </w:t>
      </w:r>
      <w:r>
        <w:rPr>
          <w:rStyle w:val="fontstyle21"/>
          <w:rFonts w:asciiTheme="majorBidi" w:hAnsiTheme="majorBidi" w:cstheme="majorBidi"/>
        </w:rPr>
        <w:t>shows</w:t>
      </w:r>
      <w:r w:rsidRPr="002A7627">
        <w:rPr>
          <w:rStyle w:val="fontstyle21"/>
          <w:rFonts w:asciiTheme="majorBidi" w:hAnsiTheme="majorBidi" w:cstheme="majorBidi"/>
        </w:rPr>
        <w:t xml:space="preserve"> </w:t>
      </w:r>
      <w:r w:rsidR="007C0420" w:rsidRPr="002A7627">
        <w:rPr>
          <w:rStyle w:val="fontstyle21"/>
          <w:rFonts w:asciiTheme="majorBidi" w:hAnsiTheme="majorBidi" w:cstheme="majorBidi"/>
        </w:rPr>
        <w:t xml:space="preserve">convergent validity. </w:t>
      </w:r>
    </w:p>
    <w:p w14:paraId="09D71FC0" w14:textId="5CC3D1DE" w:rsidR="007C0420" w:rsidRPr="002A7627" w:rsidRDefault="007C0420" w:rsidP="007C0420">
      <w:pPr>
        <w:pStyle w:val="AAAAAAA"/>
        <w:rPr>
          <w:rStyle w:val="fontstyle01"/>
          <w:rFonts w:ascii="Times New Roman" w:hAnsi="Times New Roman" w:cs="Times New Roman"/>
        </w:rPr>
      </w:pPr>
      <w:bookmarkStart w:id="244" w:name="_Toc22331708"/>
      <w:r>
        <w:rPr>
          <w:rStyle w:val="Heading3Char"/>
        </w:rPr>
        <w:t xml:space="preserve">5.3.3.2. </w:t>
      </w:r>
      <w:r w:rsidRPr="002A7627">
        <w:rPr>
          <w:rStyle w:val="Heading3Char"/>
        </w:rPr>
        <w:t>Discriminant validity.</w:t>
      </w:r>
      <w:bookmarkEnd w:id="244"/>
      <w:r w:rsidRPr="002A7627">
        <w:rPr>
          <w:rStyle w:val="fontstyle01"/>
          <w:rFonts w:asciiTheme="majorBidi" w:hAnsiTheme="majorBidi" w:cstheme="majorBidi"/>
          <w:b/>
          <w:bCs/>
        </w:rPr>
        <w:t xml:space="preserve"> </w:t>
      </w:r>
      <w:r w:rsidRPr="002A7627">
        <w:rPr>
          <w:rStyle w:val="fontstyle01"/>
          <w:rFonts w:ascii="Times New Roman" w:hAnsi="Times New Roman" w:cs="Times New Roman"/>
        </w:rPr>
        <w:t xml:space="preserve">The fourth step </w:t>
      </w:r>
      <w:r>
        <w:rPr>
          <w:rStyle w:val="fontstyle01"/>
          <w:rFonts w:ascii="Times New Roman" w:hAnsi="Times New Roman" w:cs="Times New Roman"/>
        </w:rPr>
        <w:t>in the</w:t>
      </w:r>
      <w:r w:rsidRPr="002A7627">
        <w:rPr>
          <w:rStyle w:val="fontstyle01"/>
          <w:rFonts w:ascii="Times New Roman" w:hAnsi="Times New Roman" w:cs="Times New Roman"/>
        </w:rPr>
        <w:t xml:space="preserve"> analysis was to </w:t>
      </w:r>
      <w:r w:rsidR="00FC0140">
        <w:rPr>
          <w:rStyle w:val="fontstyle01"/>
          <w:rFonts w:ascii="Times New Roman" w:hAnsi="Times New Roman" w:cs="Times New Roman"/>
        </w:rPr>
        <w:t>examine</w:t>
      </w:r>
      <w:r w:rsidR="00FC0140" w:rsidRPr="002A7627">
        <w:rPr>
          <w:rStyle w:val="fontstyle01"/>
          <w:rFonts w:ascii="Times New Roman" w:hAnsi="Times New Roman" w:cs="Times New Roman"/>
        </w:rPr>
        <w:t xml:space="preserve"> </w:t>
      </w:r>
      <w:r>
        <w:rPr>
          <w:rStyle w:val="fontstyle01"/>
          <w:rFonts w:ascii="Times New Roman" w:hAnsi="Times New Roman" w:cs="Times New Roman"/>
        </w:rPr>
        <w:t xml:space="preserve">the model’s </w:t>
      </w:r>
      <w:r w:rsidRPr="002A7627">
        <w:rPr>
          <w:rStyle w:val="fontstyle01"/>
          <w:rFonts w:ascii="Times New Roman" w:hAnsi="Times New Roman" w:cs="Times New Roman"/>
        </w:rPr>
        <w:t xml:space="preserve">discriminant validity, the extent to which </w:t>
      </w:r>
      <w:r>
        <w:rPr>
          <w:rStyle w:val="fontstyle01"/>
          <w:rFonts w:ascii="Times New Roman" w:hAnsi="Times New Roman" w:cs="Times New Roman"/>
        </w:rPr>
        <w:t>one</w:t>
      </w:r>
      <w:r w:rsidRPr="002A7627">
        <w:rPr>
          <w:rStyle w:val="fontstyle01"/>
          <w:rFonts w:ascii="Times New Roman" w:hAnsi="Times New Roman" w:cs="Times New Roman"/>
        </w:rPr>
        <w:t xml:space="preserve"> construct is empirically distinct from </w:t>
      </w:r>
      <w:r w:rsidR="00FC0140">
        <w:rPr>
          <w:rStyle w:val="fontstyle01"/>
          <w:rFonts w:ascii="Times New Roman" w:hAnsi="Times New Roman" w:cs="Times New Roman"/>
        </w:rPr>
        <w:t>others</w:t>
      </w:r>
      <w:r w:rsidRPr="002A7627">
        <w:rPr>
          <w:rStyle w:val="fontstyle01"/>
          <w:rFonts w:ascii="Times New Roman" w:hAnsi="Times New Roman" w:cs="Times New Roman"/>
        </w:rPr>
        <w:t xml:space="preserve"> </w:t>
      </w:r>
      <w:r>
        <w:rPr>
          <w:rStyle w:val="fontstyle01"/>
          <w:rFonts w:ascii="Times New Roman" w:hAnsi="Times New Roman" w:cs="Times New Roman"/>
        </w:rPr>
        <w:t>with</w:t>
      </w:r>
      <w:r w:rsidRPr="002A7627">
        <w:rPr>
          <w:rStyle w:val="fontstyle01"/>
          <w:rFonts w:ascii="Times New Roman" w:hAnsi="Times New Roman" w:cs="Times New Roman"/>
        </w:rPr>
        <w:t xml:space="preserve">in the structural model </w:t>
      </w:r>
      <w:r w:rsidRPr="002A7627">
        <w:rPr>
          <w:rStyle w:val="fontstyle01"/>
          <w:rFonts w:ascii="Times New Roman" w:hAnsi="Times New Roman" w:cs="Times New Roman"/>
        </w:rPr>
        <w:fldChar w:fldCharType="begin" w:fldLock="1"/>
      </w:r>
      <w:r w:rsidRPr="002A7627">
        <w:rPr>
          <w:rStyle w:val="fontstyle01"/>
          <w:rFonts w:ascii="Times New Roman" w:hAnsi="Times New Roman" w:cs="Times New Roman"/>
        </w:rPr>
        <w:instrText>ADDIN CSL_CITATION {"citationItems":[{"id":"ITEM-1","itemData":{"DOI":"10.1108/EBR-11-2018-0203","ISSN":"0955534X","abstract":"Purpose –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 This paper provides an overview of previously and recently proposed metrics as well as rules of thumb for evaluating the research results based on the application of PLS-SEM. Findings –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 Methodological developments associated with PLS-SEM are rapidly emerging. The metrics reported in this paper are useful for current applications, but must always be up to date with the latest developments in the PLS-SEM method. Originality/value –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PLS-SEM","type":"article-journal","volume":"31"},"uris":["http://www.mendeley.com/documents/?uuid=632893ee-4602-4bf3-9c88-ab5a48d4eeca"]}],"mendeley":{"formattedCitation":"(Hair et al., 2019)","plainTextFormattedCitation":"(Hair et al., 2019)","previouslyFormattedCitation":"(Hair et al., 2019)"},"properties":{"noteIndex":0},"schema":"https://github.com/citation-style-language/schema/raw/master/csl-citation.json"}</w:instrText>
      </w:r>
      <w:r w:rsidRPr="002A7627">
        <w:rPr>
          <w:rStyle w:val="fontstyle01"/>
          <w:rFonts w:ascii="Times New Roman" w:hAnsi="Times New Roman" w:cs="Times New Roman"/>
        </w:rPr>
        <w:fldChar w:fldCharType="separate"/>
      </w:r>
      <w:r w:rsidRPr="002A7627">
        <w:rPr>
          <w:rStyle w:val="fontstyle01"/>
          <w:rFonts w:ascii="Times New Roman" w:hAnsi="Times New Roman" w:cs="Times New Roman"/>
          <w:noProof/>
        </w:rPr>
        <w:t>(Hair et al., 2019)</w:t>
      </w:r>
      <w:r w:rsidRPr="002A7627">
        <w:rPr>
          <w:rStyle w:val="fontstyle01"/>
          <w:rFonts w:ascii="Times New Roman" w:hAnsi="Times New Roman" w:cs="Times New Roman"/>
        </w:rPr>
        <w:fldChar w:fldCharType="end"/>
      </w:r>
      <w:r w:rsidRPr="002A7627">
        <w:rPr>
          <w:rStyle w:val="fontstyle01"/>
          <w:rFonts w:ascii="Times New Roman" w:hAnsi="Times New Roman" w:cs="Times New Roman"/>
        </w:rPr>
        <w:t>.</w:t>
      </w:r>
      <w:r w:rsidRPr="002A7627" w:rsidDel="00A65305">
        <w:t xml:space="preserve"> </w:t>
      </w:r>
      <w:r w:rsidRPr="002A7627">
        <w:rPr>
          <w:rStyle w:val="fontstyle01"/>
          <w:rFonts w:ascii="Times New Roman" w:hAnsi="Times New Roman" w:cs="Times New Roman"/>
        </w:rPr>
        <w:fldChar w:fldCharType="begin" w:fldLock="1"/>
      </w:r>
      <w:r w:rsidRPr="002A7627">
        <w:rPr>
          <w:rStyle w:val="fontstyle01"/>
          <w:rFonts w:ascii="Times New Roman" w:hAnsi="Times New Roman" w:cs="Times New Roman"/>
        </w:rPr>
        <w:instrText>ADDIN CSL_CITATION {"citationItems":[{"id":"ITEM-1","itemData":{"DOI":"10.2307/3151312","ISSN":"0022-2437","abstract":"JSTOR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The statistical tests used in the analysis of structural equation models with unobservable variables and measurement error are examined. A drawback of the commonly applied chi square test, in addition to the known problems related to sample size and power, is that it may indicate an increasing correspondence between the hypothesized model and the observed data as both the measurement properties and the relationship between constructs decline. Further, and contrary to common assertion, the risk of making a Type II error can be substantial even when the sample size is large. Moreover, the present testing methods are unable to assess a model's explanatory power. To overcome these problems, the authors develop and apply a testing system based on measures of shared variance within the structural model, measurement model, and overall model.","author":[{"dropping-particle":"","family":"Fornell","given":"Claes","non-dropping-particle":"","parse-names":false,"suffix":""},{"dropping-particle":"","family":"Larcker","given":"David F","non-dropping-particle":"","parse-names":false,"suffix":""}],"container-title":"Source Journal of Marketing Research","id":"ITEM-1","issue":"1","issued":{"date-parts":[["1981"]]},"page":"39-50","title":"Evaluating structural equation models with unobservable variables and measurement error","type":"article-journal","volume":"18"},"uris":["http://www.mendeley.com/documents/?uuid=86ca8206-53fa-4001-bf92-ead78e04ae69"]}],"mendeley":{"formattedCitation":"(Fornell &amp; Larcker, 1981)","manualFormatting":"Fornell and Larcker (1981)","plainTextFormattedCitation":"(Fornell &amp; Larcker, 1981)","previouslyFormattedCitation":"(Fornell &amp; Larcker, 1981)"},"properties":{"noteIndex":0},"schema":"https://github.com/citation-style-language/schema/raw/master/csl-citation.json"}</w:instrText>
      </w:r>
      <w:r w:rsidRPr="002A7627">
        <w:rPr>
          <w:rStyle w:val="fontstyle01"/>
          <w:rFonts w:ascii="Times New Roman" w:hAnsi="Times New Roman" w:cs="Times New Roman"/>
        </w:rPr>
        <w:fldChar w:fldCharType="separate"/>
      </w:r>
      <w:r w:rsidRPr="002A7627">
        <w:rPr>
          <w:rStyle w:val="fontstyle01"/>
          <w:rFonts w:ascii="Times New Roman" w:hAnsi="Times New Roman" w:cs="Times New Roman"/>
          <w:noProof/>
        </w:rPr>
        <w:t>Fornell and Larcker (1981)</w:t>
      </w:r>
      <w:r w:rsidRPr="002A7627">
        <w:rPr>
          <w:rStyle w:val="fontstyle01"/>
          <w:rFonts w:ascii="Times New Roman" w:hAnsi="Times New Roman" w:cs="Times New Roman"/>
        </w:rPr>
        <w:fldChar w:fldCharType="end"/>
      </w:r>
      <w:r>
        <w:rPr>
          <w:rStyle w:val="fontstyle01"/>
          <w:rFonts w:ascii="Times New Roman" w:hAnsi="Times New Roman" w:cs="Times New Roman"/>
        </w:rPr>
        <w:t>, who</w:t>
      </w:r>
      <w:r w:rsidRPr="002A7627">
        <w:rPr>
          <w:rStyle w:val="fontstyle01"/>
          <w:rFonts w:ascii="Times New Roman" w:hAnsi="Times New Roman" w:cs="Times New Roman"/>
        </w:rPr>
        <w:t xml:space="preserve"> proposed the traditional metric</w:t>
      </w:r>
      <w:r>
        <w:rPr>
          <w:rStyle w:val="fontstyle01"/>
          <w:rFonts w:ascii="Times New Roman" w:hAnsi="Times New Roman" w:cs="Times New Roman"/>
        </w:rPr>
        <w:t>,</w:t>
      </w:r>
      <w:r w:rsidRPr="002A7627">
        <w:rPr>
          <w:rStyle w:val="fontstyle01"/>
          <w:rFonts w:ascii="Times New Roman" w:hAnsi="Times New Roman" w:cs="Times New Roman"/>
        </w:rPr>
        <w:t xml:space="preserve"> suggested </w:t>
      </w:r>
      <w:r w:rsidR="00137032">
        <w:rPr>
          <w:rStyle w:val="fontstyle01"/>
          <w:rFonts w:ascii="Times New Roman" w:hAnsi="Times New Roman" w:cs="Times New Roman"/>
        </w:rPr>
        <w:t xml:space="preserve">that </w:t>
      </w:r>
      <w:r w:rsidRPr="00623230">
        <w:rPr>
          <w:rStyle w:val="fontstyle01"/>
          <w:rFonts w:ascii="Times New Roman" w:hAnsi="Times New Roman" w:cs="Times New Roman"/>
          <w:color w:val="000000" w:themeColor="text1"/>
        </w:rPr>
        <w:t>each construct</w:t>
      </w:r>
      <w:r w:rsidRPr="00623230">
        <w:rPr>
          <w:rStyle w:val="fontstyle21"/>
          <w:rFonts w:ascii="Times New Roman" w:hAnsi="Times New Roman" w:cs="Times New Roman"/>
          <w:color w:val="000000" w:themeColor="text1"/>
        </w:rPr>
        <w:t>’</w:t>
      </w:r>
      <w:r w:rsidRPr="00623230">
        <w:rPr>
          <w:rStyle w:val="fontstyle01"/>
          <w:rFonts w:ascii="Times New Roman" w:hAnsi="Times New Roman" w:cs="Times New Roman"/>
          <w:color w:val="000000" w:themeColor="text1"/>
        </w:rPr>
        <w:t xml:space="preserve">s AVE </w:t>
      </w:r>
      <w:r w:rsidR="00137032" w:rsidRPr="00623230">
        <w:rPr>
          <w:rStyle w:val="fontstyle01"/>
          <w:rFonts w:ascii="Times New Roman" w:hAnsi="Times New Roman" w:cs="Times New Roman"/>
          <w:color w:val="000000" w:themeColor="text1"/>
        </w:rPr>
        <w:t xml:space="preserve">should be compared </w:t>
      </w:r>
      <w:r w:rsidRPr="00623230">
        <w:rPr>
          <w:rStyle w:val="fontstyle01"/>
          <w:rFonts w:ascii="Times New Roman" w:hAnsi="Times New Roman" w:cs="Times New Roman"/>
          <w:color w:val="000000" w:themeColor="text1"/>
        </w:rPr>
        <w:t xml:space="preserve">to the squared inter-construct correlation </w:t>
      </w:r>
      <w:r w:rsidR="00137032" w:rsidRPr="00623230">
        <w:rPr>
          <w:rStyle w:val="fontstyle01"/>
          <w:rFonts w:ascii="Times New Roman" w:hAnsi="Times New Roman" w:cs="Times New Roman"/>
          <w:color w:val="000000" w:themeColor="text1"/>
        </w:rPr>
        <w:t xml:space="preserve">of that construct </w:t>
      </w:r>
      <w:r w:rsidRPr="00623230">
        <w:rPr>
          <w:rStyle w:val="fontstyle01"/>
          <w:rFonts w:ascii="Times New Roman" w:hAnsi="Times New Roman" w:cs="Times New Roman"/>
          <w:color w:val="000000" w:themeColor="text1"/>
        </w:rPr>
        <w:t xml:space="preserve">(as a measure of shared variance) and </w:t>
      </w:r>
      <w:r w:rsidR="00137032" w:rsidRPr="00623230">
        <w:rPr>
          <w:rStyle w:val="fontstyle01"/>
          <w:rFonts w:ascii="Times New Roman" w:hAnsi="Times New Roman" w:cs="Times New Roman"/>
          <w:color w:val="000000" w:themeColor="text1"/>
        </w:rPr>
        <w:t xml:space="preserve">then </w:t>
      </w:r>
      <w:r w:rsidRPr="00623230">
        <w:rPr>
          <w:rStyle w:val="fontstyle01"/>
          <w:rFonts w:ascii="Times New Roman" w:hAnsi="Times New Roman" w:cs="Times New Roman"/>
          <w:color w:val="000000" w:themeColor="text1"/>
        </w:rPr>
        <w:t xml:space="preserve">to all </w:t>
      </w:r>
      <w:r w:rsidR="00137032" w:rsidRPr="00623230">
        <w:rPr>
          <w:rStyle w:val="fontstyle01"/>
          <w:rFonts w:ascii="Times New Roman" w:hAnsi="Times New Roman" w:cs="Times New Roman"/>
          <w:color w:val="000000" w:themeColor="text1"/>
        </w:rPr>
        <w:t xml:space="preserve">the </w:t>
      </w:r>
      <w:r w:rsidRPr="00623230">
        <w:rPr>
          <w:rStyle w:val="fontstyle01"/>
          <w:rFonts w:ascii="Times New Roman" w:hAnsi="Times New Roman" w:cs="Times New Roman"/>
          <w:color w:val="000000" w:themeColor="text1"/>
        </w:rPr>
        <w:t xml:space="preserve">other constructs in the structural model. The shared variance for all model constructs should not be larger than their AVEs. </w:t>
      </w:r>
      <w:r w:rsidRPr="002A7627">
        <w:rPr>
          <w:rStyle w:val="fontstyle01"/>
          <w:rFonts w:ascii="Times New Roman" w:hAnsi="Times New Roman" w:cs="Times New Roman"/>
        </w:rPr>
        <w:t>Recent research indicates, however, that this metric is not suitable for</w:t>
      </w:r>
      <w:r w:rsidR="00137032">
        <w:rPr>
          <w:rStyle w:val="fontstyle01"/>
          <w:rFonts w:ascii="Times New Roman" w:hAnsi="Times New Roman" w:cs="Times New Roman"/>
        </w:rPr>
        <w:t xml:space="preserve"> measuring</w:t>
      </w:r>
      <w:r w:rsidRPr="002A7627">
        <w:rPr>
          <w:rStyle w:val="fontstyle01"/>
          <w:rFonts w:ascii="Times New Roman" w:hAnsi="Times New Roman" w:cs="Times New Roman"/>
        </w:rPr>
        <w:t xml:space="preserve"> discriminant validity. For example, </w:t>
      </w:r>
      <w:r w:rsidRPr="002A7627">
        <w:rPr>
          <w:rStyle w:val="fontstyle01"/>
          <w:rFonts w:ascii="Times New Roman" w:hAnsi="Times New Roman" w:cs="Times New Roman"/>
        </w:rPr>
        <w:fldChar w:fldCharType="begin" w:fldLock="1"/>
      </w:r>
      <w:r w:rsidRPr="002A7627">
        <w:rPr>
          <w:rStyle w:val="fontstyle01"/>
          <w:rFonts w:ascii="Times New Roman" w:hAnsi="Times New Roman" w:cs="Times New Roman"/>
        </w:rPr>
        <w:instrText>ADDIN CSL_CITATION {"citationItems":[{"id":"ITEM-1","itemData":{"DOI":"10.1007/s11747-014-0403-8","ISBN":"1174701404","ISSN":"0092-0703","abstract":"Discriminant validity assessment has become a generally accepted prerequisite for analyzing relationships between latent variables. For variance-based structural equa- tion modeling, such as partial least squares, the Fornell- Larcker criterion and the examination of cross-loadings are the dominant approaches for evaluating discriminant validity. By means of a simulation study, we show that these ap- proaches do not reliably detect the lack of discriminant valid- ity in common research situations. We therefore propose an alternative approach, based on the multitrait-multimethod ma- trix, to assess discriminant validity: the heterotrait-monotrait ratio of correlations.We demonstrate its superior performance by means of a Monte Carlo simulation study, in which we compare the new approach to the Fornell-Larcker criterion and the assessment of (partial) cross-loadings. Finally, we provide guidelines on how to handle discriminant validity issues in variance-based structural equation modeling","author":[{"dropping-particle":"","family":"Henseler","given":"Jörg","non-dropping-particle":"","parse-names":false,"suffix":""},{"dropping-particle":"","family":"Ringle","given":"Christian M.","non-dropping-particle":"","parse-names":false,"suffix":""},{"dropping-particle":"","family":"Sarstedt","given":"Marko","non-dropping-particle":"","parse-names":false,"suffix":""}],"container-title":"Journal of the Academy of Marketing Science","id":"ITEM-1","issue":"1","issued":{"date-parts":[["2015","1"]]},"page":"115-135","title":"A new criterion for assessing discriminant validity in variance-based structural equation modeling","type":"article-journal","volume":"43"},"uris":["http://www.mendeley.com/documents/?uuid=2eedc2d8-e6e6-4aa1-b800-caf26feb4d86"]}],"mendeley":{"formattedCitation":"(Henseler, Ringle, &amp; Sarstedt, 2015)","manualFormatting":"Henseler, Ringle, and Sarstedt (2015)","plainTextFormattedCitation":"(Henseler, Ringle, &amp; Sarstedt, 2015)","previouslyFormattedCitation":"(Henseler, Ringle, &amp; Sarstedt, 2015)"},"properties":{"noteIndex":0},"schema":"https://github.com/citation-style-language/schema/raw/master/csl-citation.json"}</w:instrText>
      </w:r>
      <w:r w:rsidRPr="002A7627">
        <w:rPr>
          <w:rStyle w:val="fontstyle01"/>
          <w:rFonts w:ascii="Times New Roman" w:hAnsi="Times New Roman" w:cs="Times New Roman"/>
        </w:rPr>
        <w:fldChar w:fldCharType="separate"/>
      </w:r>
      <w:r w:rsidRPr="002A7627">
        <w:rPr>
          <w:rStyle w:val="fontstyle01"/>
          <w:rFonts w:ascii="Times New Roman" w:hAnsi="Times New Roman" w:cs="Times New Roman"/>
          <w:noProof/>
        </w:rPr>
        <w:t>Henseler, Ringle, and Sarstedt (2015)</w:t>
      </w:r>
      <w:r w:rsidRPr="002A7627">
        <w:rPr>
          <w:rStyle w:val="fontstyle01"/>
          <w:rFonts w:ascii="Times New Roman" w:hAnsi="Times New Roman" w:cs="Times New Roman"/>
        </w:rPr>
        <w:fldChar w:fldCharType="end"/>
      </w:r>
      <w:r w:rsidRPr="002A7627">
        <w:rPr>
          <w:rStyle w:val="fontstyle01"/>
          <w:rFonts w:ascii="Times New Roman" w:hAnsi="Times New Roman" w:cs="Times New Roman"/>
        </w:rPr>
        <w:t xml:space="preserve"> show</w:t>
      </w:r>
      <w:r w:rsidR="00137032">
        <w:rPr>
          <w:rStyle w:val="fontstyle01"/>
          <w:rFonts w:ascii="Times New Roman" w:hAnsi="Times New Roman" w:cs="Times New Roman"/>
        </w:rPr>
        <w:t>ed</w:t>
      </w:r>
      <w:r w:rsidRPr="002A7627">
        <w:rPr>
          <w:rStyle w:val="fontstyle01"/>
          <w:rFonts w:ascii="Times New Roman" w:hAnsi="Times New Roman" w:cs="Times New Roman"/>
        </w:rPr>
        <w:t xml:space="preserve"> that the Fornell and Larcker criterion does not perform well, particularly when the indicator loadings on a construct differ only slightly (e.g., all the indicator loadings are between 0.65 and 0.85). As a replacement, </w:t>
      </w:r>
      <w:r w:rsidRPr="002A7627">
        <w:rPr>
          <w:rStyle w:val="fontstyle01"/>
          <w:rFonts w:ascii="Times New Roman" w:hAnsi="Times New Roman" w:cs="Times New Roman"/>
        </w:rPr>
        <w:fldChar w:fldCharType="begin" w:fldLock="1"/>
      </w:r>
      <w:r w:rsidRPr="002A7627">
        <w:rPr>
          <w:rStyle w:val="fontstyle01"/>
          <w:rFonts w:ascii="Times New Roman" w:hAnsi="Times New Roman" w:cs="Times New Roman"/>
        </w:rPr>
        <w:instrText>ADDIN CSL_CITATION {"citationItems":[{"id":"ITEM-1","itemData":{"DOI":"10.1007/s11747-014-0403-8","ISBN":"1174701404","ISSN":"0092-0703","abstract":"Discriminant validity assessment has become a generally accepted prerequisite for analyzing relationships between latent variables. For variance-based structural equa- tion modeling, such as partial least squares, the Fornell- Larcker criterion and the examination of cross-loadings are the dominant approaches for evaluating discriminant validity. By means of a simulation study, we show that these ap- proaches do not reliably detect the lack of discriminant valid- ity in common research situations. We therefore propose an alternative approach, based on the multitrait-multimethod ma- trix, to assess discriminant validity: the heterotrait-monotrait ratio of correlations.We demonstrate its superior performance by means of a Monte Carlo simulation study, in which we compare the new approach to the Fornell-Larcker criterion and the assessment of (partial) cross-loadings. Finally, we provide guidelines on how to handle discriminant validity issues in variance-based structural equation modeling","author":[{"dropping-particle":"","family":"Henseler","given":"Jörg","non-dropping-particle":"","parse-names":false,"suffix":""},{"dropping-particle":"","family":"Ringle","given":"Christian M.","non-dropping-particle":"","parse-names":false,"suffix":""},{"dropping-particle":"","family":"Sarstedt","given":"Marko","non-dropping-particle":"","parse-names":false,"suffix":""}],"container-title":"Journal of the Academy of Marketing Science","id":"ITEM-1","issue":"1","issued":{"date-parts":[["2015","1"]]},"page":"115-135","title":"A new criterion for assessing discriminant validity in variance-based structural equation modeling","type":"article-journal","volume":"43"},"uris":["http://www.mendeley.com/documents/?uuid=2eedc2d8-e6e6-4aa1-b800-caf26feb4d86"]}],"mendeley":{"formattedCitation":"(Henseler et al., 2015)","manualFormatting":"Henseler et al. (2015)","plainTextFormattedCitation":"(Henseler et al., 2015)","previouslyFormattedCitation":"(Henseler et al., 2015)"},"properties":{"noteIndex":0},"schema":"https://github.com/citation-style-language/schema/raw/master/csl-citation.json"}</w:instrText>
      </w:r>
      <w:r w:rsidRPr="002A7627">
        <w:rPr>
          <w:rStyle w:val="fontstyle01"/>
          <w:rFonts w:ascii="Times New Roman" w:hAnsi="Times New Roman" w:cs="Times New Roman"/>
        </w:rPr>
        <w:fldChar w:fldCharType="separate"/>
      </w:r>
      <w:r w:rsidRPr="002A7627">
        <w:rPr>
          <w:rStyle w:val="fontstyle01"/>
          <w:rFonts w:ascii="Times New Roman" w:hAnsi="Times New Roman" w:cs="Times New Roman"/>
          <w:noProof/>
        </w:rPr>
        <w:t>Henseler et al. (2015)</w:t>
      </w:r>
      <w:r w:rsidRPr="002A7627">
        <w:rPr>
          <w:rStyle w:val="fontstyle01"/>
          <w:rFonts w:ascii="Times New Roman" w:hAnsi="Times New Roman" w:cs="Times New Roman"/>
        </w:rPr>
        <w:fldChar w:fldCharType="end"/>
      </w:r>
      <w:r w:rsidRPr="002A7627">
        <w:rPr>
          <w:rStyle w:val="fontstyle01"/>
          <w:rFonts w:ascii="Times New Roman" w:hAnsi="Times New Roman" w:cs="Times New Roman"/>
        </w:rPr>
        <w:t xml:space="preserve"> </w:t>
      </w:r>
      <w:r w:rsidR="00562705">
        <w:rPr>
          <w:rStyle w:val="fontstyle01"/>
          <w:rFonts w:ascii="Times New Roman" w:hAnsi="Times New Roman" w:cs="Times New Roman"/>
        </w:rPr>
        <w:t>introduced</w:t>
      </w:r>
      <w:r w:rsidR="00562705" w:rsidRPr="002A7627">
        <w:rPr>
          <w:rStyle w:val="fontstyle01"/>
          <w:rFonts w:ascii="Times New Roman" w:hAnsi="Times New Roman" w:cs="Times New Roman"/>
        </w:rPr>
        <w:t xml:space="preserve"> </w:t>
      </w:r>
      <w:r w:rsidRPr="002A7627">
        <w:rPr>
          <w:rStyle w:val="fontstyle01"/>
          <w:rFonts w:ascii="Times New Roman" w:hAnsi="Times New Roman" w:cs="Times New Roman"/>
        </w:rPr>
        <w:t xml:space="preserve">the heterotrait-monotrait (HTMT) ratio of correlations </w:t>
      </w:r>
      <w:r w:rsidRPr="002A7627">
        <w:rPr>
          <w:rStyle w:val="fontstyle01"/>
          <w:rFonts w:ascii="Times New Roman" w:hAnsi="Times New Roman" w:cs="Times New Roman"/>
        </w:rPr>
        <w:fldChar w:fldCharType="begin" w:fldLock="1"/>
      </w:r>
      <w:r w:rsidRPr="002A7627">
        <w:rPr>
          <w:rStyle w:val="fontstyle01"/>
          <w:rFonts w:ascii="Times New Roman" w:hAnsi="Times New Roman" w:cs="Times New Roman"/>
        </w:rPr>
        <w:instrText>ADDIN CSL_CITATION {"citationItems":[{"id":"ITEM-1","itemData":{"DOI":"10.1007/s11747-015-0455-4","ISBN":"0092-0703","ISSN":"0092-0703","abstract":"The results of this research suggest a new mandate for discriminant validity testing in marketing. Specifically, the authors demonstrate that the AVE-SV comparison (Fornell and Larcker 1981) and HTMT ratio (Henseler et al. 2015) with 0.85 cutoff provide the best assessment of discriminant validity and should be the standard for publication in marketing. These conclusions are based on a thorough assessment of the literature and the results of a Monte Carlo simulation. First, based on a content analysis of articles published in seven leading marketing journals from 1996 to 2012, the authors demonstrate that three tests—the constrained phi (Jöreskog 1971), AVE-SV (Fornell and Larcker 1981), and overlapping confidence intervals (Anderson and Gerbing 1988)—are by far most common. Further review reveals that (1) more than 20% of survey-based and over 80% of non-survey-based marketing studies fail to document tests for discriminant validity, (2) there is wide variance across journals and research streams in terms of whether discriminant validity tests are performed, (3) conclusions have already been drawn about the relative stringency of the three most common methods, and (4) the method that is generally perceived to be most generous is being consistently misapplied in a way that erodes its stringency. Second, a Monte Carlo simulation is conducted to assess the relative rigor of the three most common tests, as well as an emerging technique (HTMT). Results reveal that (1) on average, the four discriminant validity testing methods detect violations approximately 50% of the time, (2) the constrained phi and overlapping confidence interval approaches perform very poorly in detecting violations whereas the AVE-SV test and HTMT (with a ratio cutoff of 0.85) methods perform well, and (3) the HTMT&lt;inf&gt;.85&lt;/inf&gt; method offers the best balance between high detection and low arbitrary violation (i.e., false positive) rates.","author":[{"dropping-particle":"","family":"Voorhees","given":"Clay M.","non-dropping-particle":"","parse-names":false,"suffix":""},{"dropping-particle":"","family":"Brady","given":"Michael K.","non-dropping-particle":"","parse-names":false,"suffix":""},{"dropping-particle":"","family":"Calantone","given":"Roger","non-dropping-particle":"","parse-names":false,"suffix":""},{"dropping-particle":"","family":"Ramirez","given":"Edward","non-dropping-particle":"","parse-names":false,"suffix":""}],"container-title":"Journal of the Academy of Marketing Science","id":"ITEM-1","issue":"1","issued":{"date-parts":[["2016","1"]]},"page":"119-134","title":"Discriminant validity testing in marketing: An analysis, causes for concern, and proposed remedies","type":"article-journal","volume":"44"},"uris":["http://www.mendeley.com/documents/?uuid=32a14527-3d08-4a0b-ab89-e00ab49f1b2e"]}],"mendeley":{"formattedCitation":"(Voorhees, Brady, Calantone, &amp; Ramirez, 2016)","plainTextFormattedCitation":"(Voorhees, Brady, Calantone, &amp; Ramirez, 2016)","previouslyFormattedCitation":"(Voorhees, Brady, Calantone, &amp; Ramirez, 2016)"},"properties":{"noteIndex":0},"schema":"https://github.com/citation-style-language/schema/raw/master/csl-citation.json"}</w:instrText>
      </w:r>
      <w:r w:rsidRPr="002A7627">
        <w:rPr>
          <w:rStyle w:val="fontstyle01"/>
          <w:rFonts w:ascii="Times New Roman" w:hAnsi="Times New Roman" w:cs="Times New Roman"/>
        </w:rPr>
        <w:fldChar w:fldCharType="separate"/>
      </w:r>
      <w:r w:rsidRPr="002A7627">
        <w:rPr>
          <w:rStyle w:val="fontstyle01"/>
          <w:rFonts w:ascii="Times New Roman" w:hAnsi="Times New Roman" w:cs="Times New Roman"/>
          <w:noProof/>
        </w:rPr>
        <w:t>(Voorhees, Brady, Calantone, &amp; Ramirez, 2016)</w:t>
      </w:r>
      <w:r w:rsidRPr="002A7627">
        <w:rPr>
          <w:rStyle w:val="fontstyle01"/>
          <w:rFonts w:ascii="Times New Roman" w:hAnsi="Times New Roman" w:cs="Times New Roman"/>
        </w:rPr>
        <w:fldChar w:fldCharType="end"/>
      </w:r>
      <w:r>
        <w:rPr>
          <w:rStyle w:val="fontstyle01"/>
          <w:rFonts w:ascii="Times New Roman" w:hAnsi="Times New Roman" w:cs="Times New Roman"/>
        </w:rPr>
        <w:t xml:space="preserve">, which </w:t>
      </w:r>
      <w:r w:rsidRPr="002A7627">
        <w:rPr>
          <w:rStyle w:val="fontstyle01"/>
          <w:rFonts w:ascii="Times New Roman" w:hAnsi="Times New Roman" w:cs="Times New Roman"/>
        </w:rPr>
        <w:t>is the mean value of the item correlations across constructs relative to the ‘geometric’ mean of the average</w:t>
      </w:r>
      <w:r w:rsidRPr="002A7627">
        <w:t xml:space="preserve"> </w:t>
      </w:r>
      <w:r w:rsidRPr="002A7627">
        <w:rPr>
          <w:rStyle w:val="fontstyle01"/>
          <w:rFonts w:ascii="Times New Roman" w:hAnsi="Times New Roman" w:cs="Times New Roman"/>
        </w:rPr>
        <w:t xml:space="preserve">correlations for the items measuring the same construct. Discriminant validity problems are </w:t>
      </w:r>
      <w:r w:rsidR="00137032">
        <w:rPr>
          <w:rStyle w:val="fontstyle01"/>
          <w:rFonts w:ascii="Times New Roman" w:hAnsi="Times New Roman" w:cs="Times New Roman"/>
        </w:rPr>
        <w:t xml:space="preserve">considered to be </w:t>
      </w:r>
      <w:r w:rsidRPr="002A7627">
        <w:rPr>
          <w:rStyle w:val="fontstyle01"/>
          <w:rFonts w:ascii="Times New Roman" w:hAnsi="Times New Roman" w:cs="Times New Roman"/>
        </w:rPr>
        <w:t xml:space="preserve">present when HTMT values are high </w:t>
      </w:r>
      <w:r w:rsidRPr="002A7627">
        <w:rPr>
          <w:rStyle w:val="fontstyle01"/>
          <w:rFonts w:ascii="Times New Roman" w:hAnsi="Times New Roman" w:cs="Times New Roman"/>
        </w:rPr>
        <w:fldChar w:fldCharType="begin" w:fldLock="1"/>
      </w:r>
      <w:r w:rsidRPr="002A7627">
        <w:rPr>
          <w:rStyle w:val="fontstyle01"/>
          <w:rFonts w:ascii="Times New Roman" w:hAnsi="Times New Roman" w:cs="Times New Roman"/>
        </w:rPr>
        <w:instrText>ADDIN CSL_CITATION {"citationItems":[{"id":"ITEM-1","itemData":{"DOI":"10.1108/EBR-11-2018-0203","ISSN":"0955534X","abstract":"Purpose –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 This paper provides an overview of previously and recently proposed metrics as well as rules of thumb for evaluating the research results based on the application of PLS-SEM. Findings –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 Methodological developments associated with PLS-SEM are rapidly emerging. The metrics reported in this paper are useful for current applications, but must always be up to date with the latest developments in the PLS-SEM method. Originality/value –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PLS-SEM","type":"article-journal","volume":"31"},"uris":["http://www.mendeley.com/documents/?uuid=632893ee-4602-4bf3-9c88-ab5a48d4eeca"]}],"mendeley":{"formattedCitation":"(Hair et al., 2019)","plainTextFormattedCitation":"(Hair et al., 2019)","previouslyFormattedCitation":"(Hair et al., 2019)"},"properties":{"noteIndex":0},"schema":"https://github.com/citation-style-language/schema/raw/master/csl-citation.json"}</w:instrText>
      </w:r>
      <w:r w:rsidRPr="002A7627">
        <w:rPr>
          <w:rStyle w:val="fontstyle01"/>
          <w:rFonts w:ascii="Times New Roman" w:hAnsi="Times New Roman" w:cs="Times New Roman"/>
        </w:rPr>
        <w:fldChar w:fldCharType="separate"/>
      </w:r>
      <w:r w:rsidRPr="002A7627">
        <w:rPr>
          <w:rStyle w:val="fontstyle01"/>
          <w:rFonts w:ascii="Times New Roman" w:hAnsi="Times New Roman" w:cs="Times New Roman"/>
          <w:noProof/>
        </w:rPr>
        <w:t>(Hair et al., 2019)</w:t>
      </w:r>
      <w:r w:rsidRPr="002A7627">
        <w:rPr>
          <w:rStyle w:val="fontstyle01"/>
          <w:rFonts w:ascii="Times New Roman" w:hAnsi="Times New Roman" w:cs="Times New Roman"/>
        </w:rPr>
        <w:fldChar w:fldCharType="end"/>
      </w:r>
      <w:r w:rsidRPr="002A7627">
        <w:rPr>
          <w:rStyle w:val="fontstyle01"/>
          <w:rFonts w:ascii="Times New Roman" w:hAnsi="Times New Roman" w:cs="Times New Roman"/>
        </w:rPr>
        <w:t>.</w:t>
      </w:r>
      <w:r w:rsidRPr="002A7627" w:rsidDel="00A65305">
        <w:t xml:space="preserve"> </w:t>
      </w:r>
    </w:p>
    <w:p w14:paraId="1CE9C465" w14:textId="1A1565C9" w:rsidR="007C0420" w:rsidRDefault="007C0420" w:rsidP="007C0420">
      <w:pPr>
        <w:pStyle w:val="AAAAAAA"/>
        <w:rPr>
          <w:rStyle w:val="fontstyle01"/>
          <w:rFonts w:ascii="Times New Roman" w:hAnsi="Times New Roman" w:cs="Times New Roman"/>
        </w:rPr>
      </w:pPr>
      <w:r>
        <w:rPr>
          <w:rStyle w:val="fontstyle01"/>
          <w:rFonts w:ascii="Times New Roman" w:hAnsi="Times New Roman" w:cs="Times New Roman"/>
        </w:rPr>
        <w:t>An</w:t>
      </w:r>
      <w:r w:rsidRPr="002A7627">
        <w:rPr>
          <w:rStyle w:val="fontstyle01"/>
          <w:rFonts w:ascii="Times New Roman" w:hAnsi="Times New Roman" w:cs="Times New Roman"/>
        </w:rPr>
        <w:t xml:space="preserve"> HTMT greater than</w:t>
      </w:r>
      <w:r>
        <w:rPr>
          <w:rStyle w:val="fontstyle01"/>
          <w:rFonts w:ascii="Times New Roman" w:hAnsi="Times New Roman" w:cs="Times New Roman"/>
        </w:rPr>
        <w:t xml:space="preserve"> the</w:t>
      </w:r>
      <w:r w:rsidRPr="002A7627">
        <w:rPr>
          <w:rStyle w:val="fontstyle01"/>
          <w:rFonts w:ascii="Times New Roman" w:hAnsi="Times New Roman" w:cs="Times New Roman"/>
        </w:rPr>
        <w:t xml:space="preserve"> HTMT</w:t>
      </w:r>
      <w:r w:rsidR="00DB0AF8">
        <w:rPr>
          <w:rStyle w:val="fontstyle01"/>
          <w:rFonts w:ascii="Times New Roman" w:hAnsi="Times New Roman" w:cs="Times New Roman"/>
          <w:vertAlign w:val="subscript"/>
        </w:rPr>
        <w:t>0</w:t>
      </w:r>
      <w:r w:rsidRPr="002A7627">
        <w:rPr>
          <w:rStyle w:val="fontstyle01"/>
          <w:rFonts w:ascii="Times New Roman" w:hAnsi="Times New Roman" w:cs="Times New Roman"/>
          <w:vertAlign w:val="subscript"/>
        </w:rPr>
        <w:t>.85</w:t>
      </w:r>
      <w:r w:rsidRPr="002A7627">
        <w:rPr>
          <w:rStyle w:val="fontstyle01"/>
          <w:rFonts w:ascii="Times New Roman" w:hAnsi="Times New Roman" w:cs="Times New Roman"/>
        </w:rPr>
        <w:t xml:space="preserve"> value of 0.85 </w:t>
      </w:r>
      <w:r w:rsidRPr="002A7627">
        <w:rPr>
          <w:rStyle w:val="fontstyle01"/>
          <w:rFonts w:ascii="Times New Roman" w:hAnsi="Times New Roman" w:cs="Times New Roman"/>
        </w:rPr>
        <w:fldChar w:fldCharType="begin" w:fldLock="1"/>
      </w:r>
      <w:r w:rsidRPr="002A7627">
        <w:rPr>
          <w:rStyle w:val="fontstyle01"/>
          <w:rFonts w:ascii="Times New Roman" w:hAnsi="Times New Roman" w:cs="Times New Roman"/>
        </w:rPr>
        <w:instrText>ADDIN CSL_CITATION {"citationItems":[{"id":"ITEM-1","itemData":{"author":[{"dropping-particle":"","family":"Kline","given":"R.B.","non-dropping-particle":"","parse-names":false,"suffix":""}],"id":"ITEM-1","issued":{"date-parts":[["2011"]]},"publisher":"Guilford press","publisher-place":"New York, NY","title":"Principles and practice of structural equation modeling","type":"book"},"uris":["http://www.mendeley.com/documents/?uuid=8ada82ef-d82b-4412-a1e2-c10307171931"]}],"mendeley":{"formattedCitation":"(Kline, 2011)","plainTextFormattedCitation":"(Kline, 2011)","previouslyFormattedCitation":"(Kline, 2011)"},"properties":{"noteIndex":0},"schema":"https://github.com/citation-style-language/schema/raw/master/csl-citation.json"}</w:instrText>
      </w:r>
      <w:r w:rsidRPr="002A7627">
        <w:rPr>
          <w:rStyle w:val="fontstyle01"/>
          <w:rFonts w:ascii="Times New Roman" w:hAnsi="Times New Roman" w:cs="Times New Roman"/>
        </w:rPr>
        <w:fldChar w:fldCharType="separate"/>
      </w:r>
      <w:r w:rsidRPr="002A7627">
        <w:rPr>
          <w:rStyle w:val="fontstyle01"/>
          <w:rFonts w:ascii="Times New Roman" w:hAnsi="Times New Roman" w:cs="Times New Roman"/>
          <w:noProof/>
        </w:rPr>
        <w:t>(Kline, 2011)</w:t>
      </w:r>
      <w:r w:rsidRPr="002A7627">
        <w:rPr>
          <w:rStyle w:val="fontstyle01"/>
          <w:rFonts w:ascii="Times New Roman" w:hAnsi="Times New Roman" w:cs="Times New Roman"/>
        </w:rPr>
        <w:fldChar w:fldCharType="end"/>
      </w:r>
      <w:r w:rsidRPr="002A7627">
        <w:rPr>
          <w:rStyle w:val="fontstyle01"/>
          <w:rFonts w:ascii="Times New Roman" w:hAnsi="Times New Roman" w:cs="Times New Roman"/>
        </w:rPr>
        <w:t xml:space="preserve"> or</w:t>
      </w:r>
      <w:r>
        <w:rPr>
          <w:rStyle w:val="fontstyle01"/>
          <w:rFonts w:ascii="Times New Roman" w:hAnsi="Times New Roman" w:cs="Times New Roman"/>
        </w:rPr>
        <w:t xml:space="preserve"> the</w:t>
      </w:r>
      <w:r w:rsidRPr="002A7627">
        <w:rPr>
          <w:rStyle w:val="fontstyle01"/>
          <w:rFonts w:ascii="Times New Roman" w:hAnsi="Times New Roman" w:cs="Times New Roman"/>
        </w:rPr>
        <w:t xml:space="preserve"> HTMT</w:t>
      </w:r>
      <w:r w:rsidR="00DB0AF8">
        <w:rPr>
          <w:rStyle w:val="fontstyle01"/>
          <w:rFonts w:ascii="Times New Roman" w:hAnsi="Times New Roman" w:cs="Times New Roman"/>
          <w:vertAlign w:val="subscript"/>
        </w:rPr>
        <w:t>0</w:t>
      </w:r>
      <w:r w:rsidRPr="002A7627">
        <w:rPr>
          <w:rStyle w:val="fontstyle01"/>
          <w:rFonts w:ascii="Times New Roman" w:hAnsi="Times New Roman" w:cs="Times New Roman"/>
          <w:vertAlign w:val="subscript"/>
        </w:rPr>
        <w:t xml:space="preserve">.90 </w:t>
      </w:r>
      <w:r w:rsidRPr="002A7627">
        <w:rPr>
          <w:rStyle w:val="fontstyle01"/>
          <w:rFonts w:ascii="Times New Roman" w:hAnsi="Times New Roman" w:cs="Times New Roman"/>
        </w:rPr>
        <w:t xml:space="preserve">value of 0.90 </w:t>
      </w:r>
      <w:r w:rsidRPr="002A7627">
        <w:rPr>
          <w:rStyle w:val="fontstyle01"/>
          <w:rFonts w:ascii="Times New Roman" w:hAnsi="Times New Roman" w:cs="Times New Roman"/>
        </w:rPr>
        <w:fldChar w:fldCharType="begin" w:fldLock="1"/>
      </w:r>
      <w:r w:rsidRPr="002A7627">
        <w:rPr>
          <w:rStyle w:val="fontstyle01"/>
          <w:rFonts w:ascii="Times New Roman" w:hAnsi="Times New Roman" w:cs="Times New Roman"/>
        </w:rPr>
        <w:instrText>ADDIN CSL_CITATION {"citationItems":[{"id":"ITEM-1","itemData":{"DOI":"10.1080/07421222.2001.11045669","ISSN":"07421222","abstract":"A hallmark of the new economy is the ability of organizations to realize economic value from their collection of knowledge assets as well as their assets of information, production distribution, and affiliation. Despite the competitive necessity of becoming a knowledge-based organization, senior managers have found it difficult to transform their firms through programs of knowledge management. This is particularly true if their organizations have long histories of process and a tradition of business success. This research examines the issue of effective knowledge management from the perspective of organizational capabilities. This perspective suggests that a knowledge infrastructure consisting of technology, structure, and culture along with a knowledge process architecture of acquisition, conversion, application, and protection are essential organizational capabilities or \"preconditions\" for effective knowledge management. Through analysis of surveys collected from over 300 senior executives, this research empirically models and uncovers key aspects of these dimensions. The results provide a basis for understanding the competitive predisposition of a firm as it enters a program of knowledge management.","author":[{"dropping-particle":"","family":"Gold","given":"Andrew H.","non-dropping-particle":"","parse-names":false,"suffix":""},{"dropping-particle":"","family":"Malhotra","given":"Arvind","non-dropping-particle":"","parse-names":false,"suffix":""},{"dropping-particle":"","family":"Segars","given":"Albert H.","non-dropping-particle":"","parse-names":false,"suffix":""}],"container-title":"Journal of Management Information Systems","id":"ITEM-1","issue":"1","issued":{"date-parts":[["2001"]]},"page":"185–214","title":"Knowledge management: An organizational capabilities perspective","type":"article-journal","volume":"18"},"uris":["http://www.mendeley.com/documents/?uuid=8b28cae1-41b6-477b-9137-a41900d8e27d"]}],"mendeley":{"formattedCitation":"(Gold et al., 2001)","plainTextFormattedCitation":"(Gold et al., 2001)","previouslyFormattedCitation":"(Gold et al., 2001)"},"properties":{"noteIndex":0},"schema":"https://github.com/citation-style-language/schema/raw/master/csl-citation.json"}</w:instrText>
      </w:r>
      <w:r w:rsidRPr="002A7627">
        <w:rPr>
          <w:rStyle w:val="fontstyle01"/>
          <w:rFonts w:ascii="Times New Roman" w:hAnsi="Times New Roman" w:cs="Times New Roman"/>
        </w:rPr>
        <w:fldChar w:fldCharType="separate"/>
      </w:r>
      <w:r w:rsidRPr="002A7627">
        <w:rPr>
          <w:rStyle w:val="fontstyle01"/>
          <w:rFonts w:ascii="Times New Roman" w:hAnsi="Times New Roman" w:cs="Times New Roman"/>
          <w:noProof/>
        </w:rPr>
        <w:t>(Gold et al., 2001)</w:t>
      </w:r>
      <w:r w:rsidRPr="002A7627">
        <w:rPr>
          <w:rStyle w:val="fontstyle01"/>
          <w:rFonts w:ascii="Times New Roman" w:hAnsi="Times New Roman" w:cs="Times New Roman"/>
        </w:rPr>
        <w:fldChar w:fldCharType="end"/>
      </w:r>
      <w:r w:rsidRPr="002A7627">
        <w:rPr>
          <w:rStyle w:val="fontstyle01"/>
          <w:rFonts w:ascii="Times New Roman" w:hAnsi="Times New Roman" w:cs="Times New Roman"/>
        </w:rPr>
        <w:t xml:space="preserve"> </w:t>
      </w:r>
      <w:r>
        <w:rPr>
          <w:rStyle w:val="fontstyle01"/>
          <w:rFonts w:ascii="Times New Roman" w:hAnsi="Times New Roman" w:cs="Times New Roman"/>
        </w:rPr>
        <w:t xml:space="preserve">indicate </w:t>
      </w:r>
      <w:r w:rsidR="00137032">
        <w:rPr>
          <w:rStyle w:val="fontstyle01"/>
          <w:rFonts w:ascii="Times New Roman" w:hAnsi="Times New Roman" w:cs="Times New Roman"/>
        </w:rPr>
        <w:t>problems with</w:t>
      </w:r>
      <w:r w:rsidRPr="002A7627">
        <w:rPr>
          <w:rStyle w:val="fontstyle01"/>
          <w:rFonts w:ascii="Times New Roman" w:hAnsi="Times New Roman" w:cs="Times New Roman"/>
        </w:rPr>
        <w:t xml:space="preserve"> discriminant validity. </w:t>
      </w:r>
      <w:r w:rsidR="00137032">
        <w:rPr>
          <w:rStyle w:val="fontstyle01"/>
          <w:rFonts w:ascii="Times New Roman" w:hAnsi="Times New Roman" w:cs="Times New Roman"/>
        </w:rPr>
        <w:t>B</w:t>
      </w:r>
      <w:r w:rsidRPr="002A7627">
        <w:rPr>
          <w:rStyle w:val="fontstyle01"/>
          <w:rFonts w:ascii="Times New Roman" w:hAnsi="Times New Roman" w:cs="Times New Roman"/>
        </w:rPr>
        <w:t>ootstrapping can</w:t>
      </w:r>
      <w:r w:rsidR="00137032">
        <w:rPr>
          <w:rStyle w:val="fontstyle01"/>
          <w:rFonts w:ascii="Times New Roman" w:hAnsi="Times New Roman" w:cs="Times New Roman"/>
        </w:rPr>
        <w:t xml:space="preserve"> also</w:t>
      </w:r>
      <w:r w:rsidRPr="002A7627">
        <w:rPr>
          <w:rStyle w:val="fontstyle01"/>
          <w:rFonts w:ascii="Times New Roman" w:hAnsi="Times New Roman" w:cs="Times New Roman"/>
        </w:rPr>
        <w:t xml:space="preserve"> be </w:t>
      </w:r>
      <w:r w:rsidR="00137032">
        <w:rPr>
          <w:rStyle w:val="fontstyle01"/>
          <w:rFonts w:ascii="Times New Roman" w:hAnsi="Times New Roman" w:cs="Times New Roman"/>
        </w:rPr>
        <w:t>used</w:t>
      </w:r>
      <w:r w:rsidR="00137032" w:rsidRPr="002A7627">
        <w:rPr>
          <w:rStyle w:val="fontstyle01"/>
          <w:rFonts w:ascii="Times New Roman" w:hAnsi="Times New Roman" w:cs="Times New Roman"/>
        </w:rPr>
        <w:t xml:space="preserve"> </w:t>
      </w:r>
      <w:r w:rsidRPr="002A7627">
        <w:rPr>
          <w:rStyle w:val="fontstyle01"/>
          <w:rFonts w:ascii="Times New Roman" w:hAnsi="Times New Roman" w:cs="Times New Roman"/>
        </w:rPr>
        <w:t>to test whether the HTMT signi</w:t>
      </w:r>
      <w:r w:rsidRPr="00E87E8C">
        <w:rPr>
          <w:rStyle w:val="fontstyle31"/>
          <w:rFonts w:ascii="Times New Roman" w:hAnsi="Times New Roman" w:cs="Times New Roman"/>
          <w:i w:val="0"/>
        </w:rPr>
        <w:t>fi</w:t>
      </w:r>
      <w:r w:rsidRPr="002A7627">
        <w:rPr>
          <w:rStyle w:val="fontstyle01"/>
          <w:rFonts w:ascii="Times New Roman" w:hAnsi="Times New Roman" w:cs="Times New Roman"/>
        </w:rPr>
        <w:t>cantly differ</w:t>
      </w:r>
      <w:r>
        <w:rPr>
          <w:rStyle w:val="fontstyle01"/>
          <w:rFonts w:ascii="Times New Roman" w:hAnsi="Times New Roman" w:cs="Times New Roman"/>
        </w:rPr>
        <w:t>s</w:t>
      </w:r>
      <w:r w:rsidRPr="002A7627">
        <w:rPr>
          <w:rStyle w:val="fontstyle01"/>
          <w:rFonts w:ascii="Times New Roman" w:hAnsi="Times New Roman" w:cs="Times New Roman"/>
        </w:rPr>
        <w:t xml:space="preserve"> from 1.00 </w:t>
      </w:r>
      <w:r w:rsidRPr="002A7627">
        <w:rPr>
          <w:rStyle w:val="fontstyle01"/>
          <w:rFonts w:ascii="Times New Roman" w:hAnsi="Times New Roman" w:cs="Times New Roman"/>
        </w:rPr>
        <w:fldChar w:fldCharType="begin" w:fldLock="1"/>
      </w:r>
      <w:r w:rsidRPr="002A7627">
        <w:rPr>
          <w:rStyle w:val="fontstyle01"/>
          <w:rFonts w:ascii="Times New Roman" w:hAnsi="Times New Roman" w:cs="Times New Roman"/>
        </w:rPr>
        <w:instrText>ADDIN CSL_CITATION {"citationItems":[{"id":"ITEM-1","itemData":{"DOI":"10.1007/s11747-014-0403-8","ISBN":"1174701404","ISSN":"0092-0703","abstract":"Discriminant validity assessment has become a generally accepted prerequisite for analyzing relationships between latent variables. For variance-based structural equa- tion modeling, such as partial least squares, the Fornell- Larcker criterion and the examination of cross-loadings are the dominant approaches for evaluating discriminant validity. By means of a simulation study, we show that these ap- proaches do not reliably detect the lack of discriminant valid- ity in common research situations. We therefore propose an alternative approach, based on the multitrait-multimethod ma- trix, to assess discriminant validity: the heterotrait-monotrait ratio of correlations.We demonstrate its superior performance by means of a Monte Carlo simulation study, in which we compare the new approach to the Fornell-Larcker criterion and the assessment of (partial) cross-loadings. Finally, we provide guidelines on how to handle discriminant validity issues in variance-based structural equation modeling","author":[{"dropping-particle":"","family":"Henseler","given":"Jörg","non-dropping-particle":"","parse-names":false,"suffix":""},{"dropping-particle":"","family":"Ringle","given":"Christian M.","non-dropping-particle":"","parse-names":false,"suffix":""},{"dropping-particle":"","family":"Sarstedt","given":"Marko","non-dropping-particle":"","parse-names":false,"suffix":""}],"container-title":"Journal of the Academy of Marketing Science","id":"ITEM-1","issue":"1","issued":{"date-parts":[["2015","1"]]},"page":"115-135","title":"A new criterion for assessing discriminant validity in variance-based structural equation modeling","type":"article-journal","volume":"43"},"uris":["http://www.mendeley.com/documents/?uuid=2eedc2d8-e6e6-4aa1-b800-caf26feb4d86"]}],"mendeley":{"formattedCitation":"(Henseler et al., 2015)","plainTextFormattedCitation":"(Henseler et al., 2015)","previouslyFormattedCitation":"(Henseler et al., 2015)"},"properties":{"noteIndex":0},"schema":"https://github.com/citation-style-language/schema/raw/master/csl-citation.json"}</w:instrText>
      </w:r>
      <w:r w:rsidRPr="002A7627">
        <w:rPr>
          <w:rStyle w:val="fontstyle01"/>
          <w:rFonts w:ascii="Times New Roman" w:hAnsi="Times New Roman" w:cs="Times New Roman"/>
        </w:rPr>
        <w:fldChar w:fldCharType="separate"/>
      </w:r>
      <w:r w:rsidRPr="002A7627">
        <w:rPr>
          <w:rStyle w:val="fontstyle01"/>
          <w:rFonts w:ascii="Times New Roman" w:hAnsi="Times New Roman" w:cs="Times New Roman"/>
          <w:noProof/>
        </w:rPr>
        <w:t>(Henseler et al., 2015)</w:t>
      </w:r>
      <w:r w:rsidRPr="002A7627">
        <w:rPr>
          <w:rStyle w:val="fontstyle01"/>
          <w:rFonts w:ascii="Times New Roman" w:hAnsi="Times New Roman" w:cs="Times New Roman"/>
        </w:rPr>
        <w:fldChar w:fldCharType="end"/>
      </w:r>
      <w:r w:rsidRPr="002A7627">
        <w:rPr>
          <w:rStyle w:val="fontstyle01"/>
          <w:rFonts w:ascii="Times New Roman" w:hAnsi="Times New Roman" w:cs="Times New Roman"/>
        </w:rPr>
        <w:t xml:space="preserve"> or </w:t>
      </w:r>
      <w:r>
        <w:rPr>
          <w:rStyle w:val="fontstyle01"/>
          <w:rFonts w:ascii="Times New Roman" w:hAnsi="Times New Roman" w:cs="Times New Roman"/>
        </w:rPr>
        <w:t>some</w:t>
      </w:r>
      <w:r w:rsidRPr="002A7627">
        <w:rPr>
          <w:rStyle w:val="fontstyle01"/>
          <w:rFonts w:ascii="Times New Roman" w:hAnsi="Times New Roman" w:cs="Times New Roman"/>
        </w:rPr>
        <w:t xml:space="preserve"> lower threshold value</w:t>
      </w:r>
      <w:r>
        <w:rPr>
          <w:rStyle w:val="fontstyle01"/>
          <w:rFonts w:ascii="Times New Roman" w:hAnsi="Times New Roman" w:cs="Times New Roman"/>
        </w:rPr>
        <w:t>,</w:t>
      </w:r>
      <w:r w:rsidRPr="002A7627">
        <w:rPr>
          <w:rStyle w:val="fontstyle01"/>
          <w:rFonts w:ascii="Times New Roman" w:hAnsi="Times New Roman" w:cs="Times New Roman"/>
        </w:rPr>
        <w:t xml:space="preserve"> such as 0.85 or 0.90, de</w:t>
      </w:r>
      <w:r w:rsidRPr="00E87E8C">
        <w:rPr>
          <w:rStyle w:val="fontstyle31"/>
          <w:rFonts w:ascii="Times New Roman" w:hAnsi="Times New Roman" w:cs="Times New Roman"/>
          <w:i w:val="0"/>
        </w:rPr>
        <w:t>fi</w:t>
      </w:r>
      <w:r w:rsidRPr="002A7627">
        <w:rPr>
          <w:rStyle w:val="fontstyle01"/>
          <w:rFonts w:ascii="Times New Roman" w:hAnsi="Times New Roman" w:cs="Times New Roman"/>
        </w:rPr>
        <w:t xml:space="preserve">ned based on study context </w:t>
      </w:r>
      <w:r w:rsidRPr="002A7627">
        <w:rPr>
          <w:rStyle w:val="fontstyle01"/>
          <w:rFonts w:ascii="Times New Roman" w:hAnsi="Times New Roman" w:cs="Times New Roman"/>
        </w:rPr>
        <w:fldChar w:fldCharType="begin" w:fldLock="1"/>
      </w:r>
      <w:r w:rsidRPr="002A7627">
        <w:rPr>
          <w:rStyle w:val="fontstyle01"/>
          <w:rFonts w:ascii="Times New Roman" w:hAnsi="Times New Roman" w:cs="Times New Roman"/>
        </w:rPr>
        <w:instrText>ADDIN CSL_CITATION {"citationItems":[{"id":"ITEM-1","itemData":{"DOI":"10.1108/IntR-12-2017-0515","ISSN":"10662243","abstract":"Purpose: This study reviews and extends recent simulation studies on discriminant validity measures, contrasting the use of cutoff values (i.e., heuristics) with inferential tests. Design/methodology/approach: Based on a simulation study, which considers different construct correlations, sample sizes, numbers of indicators, and loading patterns, we assess each criterion’s sensitivity to type I and type II errors. Findings: The findings of our simulation study provide further evidence for the robustness of the heterotrait-monotrait ratio of correlations (HTMT) criterion as an estimator of disattenuated (perfectly reliable) correlations between constructs, whose performance parallels that of the standard constrained Phi approach. Furthermore, we identify situations in which both methods fail and suggest an alternative criterion. Originality/value: Addressing the limitations of prior simulation studies, we use both directional comparisons (i.e., heuristics) and inferential tests to facilitate comparison of the HTMT and Phi methods. Furthermore, our simulation considers criteria that have not been assessed in prior research.","author":[{"dropping-particle":"","family":"Franke","given":"George","non-dropping-particle":"","parse-names":false,"suffix":""},{"dropping-particle":"","family":"Sarstedt","given":"Marko","non-dropping-particle":"","parse-names":false,"suffix":""}],"container-title":"Internet Research","id":"ITEM-1","issue":"3","issued":{"date-parts":[["2019"]]},"page":"430-447","title":"Heuristics versus statistics in discriminant validity testing: A comparison of four procedures","type":"article-journal","volume":"29"},"uris":["http://www.mendeley.com/documents/?uuid=27577364-4e09-4810-8f7e-af86fd588eb0"]}],"mendeley":{"formattedCitation":"(Franke &amp; Sarstedt, 2019)","plainTextFormattedCitation":"(Franke &amp; Sarstedt, 2019)","previouslyFormattedCitation":"(Franke &amp; Sarstedt, 2019)"},"properties":{"noteIndex":0},"schema":"https://github.com/citation-style-language/schema/raw/master/csl-citation.json"}</w:instrText>
      </w:r>
      <w:r w:rsidRPr="002A7627">
        <w:rPr>
          <w:rStyle w:val="fontstyle01"/>
          <w:rFonts w:ascii="Times New Roman" w:hAnsi="Times New Roman" w:cs="Times New Roman"/>
        </w:rPr>
        <w:fldChar w:fldCharType="separate"/>
      </w:r>
      <w:r w:rsidRPr="002A7627">
        <w:rPr>
          <w:rStyle w:val="fontstyle01"/>
          <w:rFonts w:ascii="Times New Roman" w:hAnsi="Times New Roman" w:cs="Times New Roman"/>
          <w:noProof/>
        </w:rPr>
        <w:t>(Franke &amp; Sarstedt, 2019)</w:t>
      </w:r>
      <w:r w:rsidRPr="002A7627">
        <w:rPr>
          <w:rStyle w:val="fontstyle01"/>
          <w:rFonts w:ascii="Times New Roman" w:hAnsi="Times New Roman" w:cs="Times New Roman"/>
        </w:rPr>
        <w:fldChar w:fldCharType="end"/>
      </w:r>
      <w:r w:rsidRPr="002A7627">
        <w:rPr>
          <w:rStyle w:val="fontstyle01"/>
          <w:rFonts w:ascii="Times New Roman" w:hAnsi="Times New Roman" w:cs="Times New Roman"/>
        </w:rPr>
        <w:t xml:space="preserve">. Table 20 </w:t>
      </w:r>
      <w:r w:rsidR="00137032">
        <w:rPr>
          <w:rStyle w:val="fontstyle01"/>
          <w:rFonts w:ascii="Times New Roman" w:hAnsi="Times New Roman" w:cs="Times New Roman"/>
        </w:rPr>
        <w:t>shows</w:t>
      </w:r>
      <w:r w:rsidR="00137032" w:rsidRPr="002A7627">
        <w:rPr>
          <w:rStyle w:val="fontstyle01"/>
          <w:rFonts w:ascii="Times New Roman" w:hAnsi="Times New Roman" w:cs="Times New Roman"/>
        </w:rPr>
        <w:t xml:space="preserve"> </w:t>
      </w:r>
      <w:r w:rsidRPr="002A7627">
        <w:rPr>
          <w:rStyle w:val="fontstyle01"/>
          <w:rFonts w:ascii="Times New Roman" w:hAnsi="Times New Roman" w:cs="Times New Roman"/>
        </w:rPr>
        <w:t xml:space="preserve">the results </w:t>
      </w:r>
      <w:r w:rsidR="00F32C6C">
        <w:rPr>
          <w:rStyle w:val="fontstyle01"/>
          <w:rFonts w:ascii="Times New Roman" w:hAnsi="Times New Roman" w:cs="Times New Roman"/>
        </w:rPr>
        <w:t>of</w:t>
      </w:r>
      <w:r w:rsidRPr="002A7627">
        <w:rPr>
          <w:rStyle w:val="fontstyle01"/>
          <w:rFonts w:ascii="Times New Roman" w:hAnsi="Times New Roman" w:cs="Times New Roman"/>
        </w:rPr>
        <w:t xml:space="preserve"> discriminant validity</w:t>
      </w:r>
      <w:r w:rsidR="00137032">
        <w:rPr>
          <w:rStyle w:val="fontstyle01"/>
          <w:rFonts w:ascii="Times New Roman" w:hAnsi="Times New Roman" w:cs="Times New Roman"/>
        </w:rPr>
        <w:t xml:space="preserve"> testing</w:t>
      </w:r>
      <w:r w:rsidRPr="002A7627">
        <w:rPr>
          <w:rStyle w:val="fontstyle01"/>
          <w:rFonts w:ascii="Times New Roman" w:hAnsi="Times New Roman" w:cs="Times New Roman"/>
        </w:rPr>
        <w:t xml:space="preserve">. </w:t>
      </w:r>
    </w:p>
    <w:p w14:paraId="4F2020A5" w14:textId="45B10C76" w:rsidR="007C0420" w:rsidRDefault="007C0420" w:rsidP="007C0420">
      <w:pPr>
        <w:pStyle w:val="Caption"/>
        <w:keepNext/>
      </w:pPr>
      <w:bookmarkStart w:id="245" w:name="_Toc19478598"/>
      <w:bookmarkStart w:id="246" w:name="_Toc21074088"/>
      <w:r>
        <w:t xml:space="preserve">Table </w:t>
      </w:r>
      <w:r w:rsidR="00606D42">
        <w:rPr>
          <w:noProof/>
        </w:rPr>
        <w:fldChar w:fldCharType="begin"/>
      </w:r>
      <w:r w:rsidR="00606D42">
        <w:rPr>
          <w:noProof/>
        </w:rPr>
        <w:instrText xml:space="preserve"> SEQ Table \* ARABIC </w:instrText>
      </w:r>
      <w:r w:rsidR="00606D42">
        <w:rPr>
          <w:noProof/>
        </w:rPr>
        <w:fldChar w:fldCharType="separate"/>
      </w:r>
      <w:r w:rsidR="00972C3F">
        <w:rPr>
          <w:noProof/>
        </w:rPr>
        <w:t>20</w:t>
      </w:r>
      <w:r w:rsidR="00606D42">
        <w:rPr>
          <w:noProof/>
        </w:rPr>
        <w:fldChar w:fldCharType="end"/>
      </w:r>
      <w:r>
        <w:t xml:space="preserve">. </w:t>
      </w:r>
      <w:r w:rsidRPr="009F035D">
        <w:t xml:space="preserve">Discriminant </w:t>
      </w:r>
      <w:bookmarkEnd w:id="245"/>
      <w:bookmarkEnd w:id="246"/>
      <w:r w:rsidR="00DB62EF">
        <w:t>validity</w:t>
      </w:r>
    </w:p>
    <w:tbl>
      <w:tblPr>
        <w:tblW w:w="8647" w:type="dxa"/>
        <w:tblInd w:w="-7" w:type="dxa"/>
        <w:tblLook w:val="04A0" w:firstRow="1" w:lastRow="0" w:firstColumn="1" w:lastColumn="0" w:noHBand="0" w:noVBand="1"/>
      </w:tblPr>
      <w:tblGrid>
        <w:gridCol w:w="3157"/>
        <w:gridCol w:w="1170"/>
        <w:gridCol w:w="756"/>
        <w:gridCol w:w="756"/>
        <w:gridCol w:w="756"/>
        <w:gridCol w:w="756"/>
        <w:gridCol w:w="756"/>
        <w:gridCol w:w="540"/>
      </w:tblGrid>
      <w:tr w:rsidR="00DB62EF" w:rsidRPr="00287C3E" w14:paraId="3D00EF42" w14:textId="77777777" w:rsidTr="00DB62EF">
        <w:trPr>
          <w:cantSplit/>
          <w:trHeight w:val="1681"/>
        </w:trPr>
        <w:tc>
          <w:tcPr>
            <w:tcW w:w="3157" w:type="dxa"/>
            <w:tcBorders>
              <w:top w:val="single" w:sz="4" w:space="0" w:color="auto"/>
              <w:bottom w:val="single" w:sz="4" w:space="0" w:color="auto"/>
            </w:tcBorders>
            <w:shd w:val="clear" w:color="auto" w:fill="auto"/>
            <w:noWrap/>
            <w:vAlign w:val="center"/>
            <w:hideMark/>
          </w:tcPr>
          <w:p w14:paraId="676BCB20" w14:textId="77777777" w:rsidR="009746D8" w:rsidRPr="00287C3E" w:rsidRDefault="009746D8" w:rsidP="00170FA3">
            <w:pPr>
              <w:jc w:val="center"/>
              <w:rPr>
                <w:rFonts w:asciiTheme="majorBidi" w:eastAsia="Times New Roman" w:hAnsiTheme="majorBidi" w:cstheme="majorBidi"/>
                <w:b/>
                <w:bCs/>
              </w:rPr>
            </w:pPr>
            <w:r w:rsidRPr="00287C3E">
              <w:rPr>
                <w:rFonts w:asciiTheme="majorBidi" w:eastAsia="Times New Roman" w:hAnsiTheme="majorBidi" w:cstheme="majorBidi"/>
                <w:b/>
                <w:bCs/>
              </w:rPr>
              <w:t>Construct</w:t>
            </w:r>
          </w:p>
        </w:tc>
        <w:tc>
          <w:tcPr>
            <w:tcW w:w="1170" w:type="dxa"/>
            <w:tcBorders>
              <w:top w:val="single" w:sz="4" w:space="0" w:color="auto"/>
              <w:bottom w:val="single" w:sz="4" w:space="0" w:color="auto"/>
            </w:tcBorders>
            <w:shd w:val="clear" w:color="auto" w:fill="auto"/>
            <w:noWrap/>
            <w:textDirection w:val="tbRl"/>
            <w:vAlign w:val="center"/>
            <w:hideMark/>
          </w:tcPr>
          <w:p w14:paraId="2D5C8A61" w14:textId="77777777" w:rsidR="009746D8" w:rsidRPr="00287C3E" w:rsidRDefault="009746D8" w:rsidP="00170FA3">
            <w:pPr>
              <w:ind w:left="113" w:right="113"/>
              <w:jc w:val="center"/>
              <w:rPr>
                <w:rFonts w:asciiTheme="majorBidi" w:hAnsiTheme="majorBidi" w:cstheme="majorBidi"/>
                <w:b/>
                <w:bCs/>
              </w:rPr>
            </w:pPr>
            <w:r w:rsidRPr="00FA3669">
              <w:rPr>
                <w:rFonts w:asciiTheme="majorBidi" w:hAnsiTheme="majorBidi" w:cstheme="majorBidi"/>
                <w:b/>
                <w:bCs/>
              </w:rPr>
              <w:t>Knowledge Management Capabilities</w:t>
            </w:r>
          </w:p>
        </w:tc>
        <w:tc>
          <w:tcPr>
            <w:tcW w:w="756" w:type="dxa"/>
            <w:tcBorders>
              <w:top w:val="single" w:sz="4" w:space="0" w:color="auto"/>
              <w:bottom w:val="single" w:sz="4" w:space="0" w:color="auto"/>
            </w:tcBorders>
            <w:shd w:val="clear" w:color="auto" w:fill="auto"/>
            <w:noWrap/>
            <w:textDirection w:val="tbRl"/>
            <w:vAlign w:val="center"/>
            <w:hideMark/>
          </w:tcPr>
          <w:p w14:paraId="52357976" w14:textId="77777777" w:rsidR="009746D8" w:rsidRPr="00287C3E" w:rsidRDefault="009746D8" w:rsidP="00170FA3">
            <w:pPr>
              <w:ind w:left="113" w:right="113"/>
              <w:jc w:val="center"/>
              <w:rPr>
                <w:rFonts w:asciiTheme="majorBidi" w:hAnsiTheme="majorBidi" w:cstheme="majorBidi"/>
                <w:b/>
                <w:bCs/>
              </w:rPr>
            </w:pPr>
            <w:r w:rsidRPr="00FA3669">
              <w:rPr>
                <w:rFonts w:asciiTheme="majorBidi" w:hAnsiTheme="majorBidi" w:cstheme="majorBidi"/>
                <w:b/>
                <w:bCs/>
              </w:rPr>
              <w:t>Extrinsic Motivation</w:t>
            </w:r>
          </w:p>
        </w:tc>
        <w:tc>
          <w:tcPr>
            <w:tcW w:w="756" w:type="dxa"/>
            <w:tcBorders>
              <w:top w:val="single" w:sz="4" w:space="0" w:color="auto"/>
              <w:bottom w:val="single" w:sz="4" w:space="0" w:color="auto"/>
            </w:tcBorders>
            <w:shd w:val="clear" w:color="auto" w:fill="auto"/>
            <w:noWrap/>
            <w:textDirection w:val="tbRl"/>
            <w:vAlign w:val="center"/>
            <w:hideMark/>
          </w:tcPr>
          <w:p w14:paraId="688195FB" w14:textId="77777777" w:rsidR="009746D8" w:rsidRPr="00287C3E" w:rsidRDefault="009746D8" w:rsidP="00170FA3">
            <w:pPr>
              <w:ind w:left="113" w:right="113"/>
              <w:jc w:val="center"/>
              <w:rPr>
                <w:rFonts w:asciiTheme="majorBidi" w:hAnsiTheme="majorBidi" w:cstheme="majorBidi"/>
                <w:b/>
                <w:bCs/>
              </w:rPr>
            </w:pPr>
            <w:r w:rsidRPr="00287C3E">
              <w:rPr>
                <w:rFonts w:asciiTheme="majorBidi" w:hAnsiTheme="majorBidi" w:cstheme="majorBidi"/>
                <w:b/>
                <w:bCs/>
              </w:rPr>
              <w:t>Intrinsic Motivation</w:t>
            </w:r>
          </w:p>
        </w:tc>
        <w:tc>
          <w:tcPr>
            <w:tcW w:w="756" w:type="dxa"/>
            <w:tcBorders>
              <w:top w:val="single" w:sz="4" w:space="0" w:color="auto"/>
              <w:bottom w:val="single" w:sz="4" w:space="0" w:color="auto"/>
            </w:tcBorders>
            <w:shd w:val="clear" w:color="auto" w:fill="auto"/>
            <w:noWrap/>
            <w:textDirection w:val="tbRl"/>
            <w:vAlign w:val="center"/>
            <w:hideMark/>
          </w:tcPr>
          <w:p w14:paraId="4E63B086" w14:textId="77777777" w:rsidR="009746D8" w:rsidRPr="00287C3E" w:rsidRDefault="009746D8" w:rsidP="00170FA3">
            <w:pPr>
              <w:ind w:left="113" w:right="113"/>
              <w:jc w:val="center"/>
              <w:rPr>
                <w:rFonts w:asciiTheme="majorBidi" w:hAnsiTheme="majorBidi" w:cstheme="majorBidi"/>
                <w:b/>
                <w:bCs/>
              </w:rPr>
            </w:pPr>
            <w:r w:rsidRPr="00FA3669">
              <w:rPr>
                <w:rFonts w:asciiTheme="majorBidi" w:hAnsiTheme="majorBidi" w:cstheme="majorBidi"/>
                <w:b/>
                <w:bCs/>
              </w:rPr>
              <w:t>Opportunities</w:t>
            </w:r>
          </w:p>
        </w:tc>
        <w:tc>
          <w:tcPr>
            <w:tcW w:w="756" w:type="dxa"/>
            <w:tcBorders>
              <w:top w:val="single" w:sz="4" w:space="0" w:color="auto"/>
              <w:bottom w:val="single" w:sz="4" w:space="0" w:color="auto"/>
            </w:tcBorders>
            <w:shd w:val="clear" w:color="auto" w:fill="auto"/>
            <w:noWrap/>
            <w:textDirection w:val="tbRl"/>
            <w:vAlign w:val="center"/>
            <w:hideMark/>
          </w:tcPr>
          <w:p w14:paraId="6177E58F" w14:textId="77777777" w:rsidR="009746D8" w:rsidRPr="00287C3E" w:rsidRDefault="009746D8" w:rsidP="00170FA3">
            <w:pPr>
              <w:ind w:left="113" w:right="113"/>
              <w:jc w:val="center"/>
              <w:rPr>
                <w:rFonts w:asciiTheme="majorBidi" w:hAnsiTheme="majorBidi" w:cstheme="majorBidi"/>
                <w:b/>
                <w:bCs/>
              </w:rPr>
            </w:pPr>
            <w:r w:rsidRPr="00FA3669">
              <w:rPr>
                <w:rFonts w:asciiTheme="majorBidi" w:hAnsiTheme="majorBidi" w:cstheme="majorBidi"/>
                <w:b/>
                <w:bCs/>
              </w:rPr>
              <w:t>Abilities</w:t>
            </w:r>
          </w:p>
        </w:tc>
        <w:tc>
          <w:tcPr>
            <w:tcW w:w="756" w:type="dxa"/>
            <w:tcBorders>
              <w:top w:val="single" w:sz="4" w:space="0" w:color="auto"/>
              <w:bottom w:val="single" w:sz="4" w:space="0" w:color="auto"/>
            </w:tcBorders>
            <w:shd w:val="clear" w:color="auto" w:fill="auto"/>
            <w:noWrap/>
            <w:textDirection w:val="tbRl"/>
            <w:vAlign w:val="center"/>
            <w:hideMark/>
          </w:tcPr>
          <w:p w14:paraId="4FAE99D5" w14:textId="77777777" w:rsidR="009746D8" w:rsidRPr="00287C3E" w:rsidRDefault="009746D8" w:rsidP="00170FA3">
            <w:pPr>
              <w:ind w:left="113" w:right="113"/>
              <w:jc w:val="center"/>
              <w:rPr>
                <w:rFonts w:asciiTheme="majorBidi" w:hAnsiTheme="majorBidi" w:cstheme="majorBidi"/>
                <w:b/>
                <w:bCs/>
              </w:rPr>
            </w:pPr>
            <w:r w:rsidRPr="00FA3669">
              <w:rPr>
                <w:rFonts w:asciiTheme="majorBidi" w:hAnsiTheme="majorBidi" w:cstheme="majorBidi"/>
                <w:b/>
                <w:bCs/>
              </w:rPr>
              <w:t>Organizational Learning</w:t>
            </w:r>
          </w:p>
        </w:tc>
        <w:tc>
          <w:tcPr>
            <w:tcW w:w="540" w:type="dxa"/>
            <w:tcBorders>
              <w:top w:val="single" w:sz="4" w:space="0" w:color="auto"/>
              <w:bottom w:val="single" w:sz="4" w:space="0" w:color="auto"/>
            </w:tcBorders>
            <w:shd w:val="clear" w:color="auto" w:fill="auto"/>
            <w:noWrap/>
            <w:textDirection w:val="tbRl"/>
            <w:vAlign w:val="center"/>
            <w:hideMark/>
          </w:tcPr>
          <w:p w14:paraId="78505605" w14:textId="77777777" w:rsidR="009746D8" w:rsidRPr="00287C3E" w:rsidRDefault="009746D8" w:rsidP="00170FA3">
            <w:pPr>
              <w:ind w:left="113" w:right="113"/>
              <w:jc w:val="center"/>
              <w:rPr>
                <w:rFonts w:asciiTheme="majorBidi" w:hAnsiTheme="majorBidi" w:cstheme="majorBidi"/>
                <w:b/>
                <w:bCs/>
              </w:rPr>
            </w:pPr>
            <w:r w:rsidRPr="00FA3669">
              <w:rPr>
                <w:rFonts w:asciiTheme="majorBidi" w:hAnsiTheme="majorBidi" w:cstheme="majorBidi"/>
                <w:b/>
                <w:bCs/>
              </w:rPr>
              <w:t>Knowledge Management Benefits</w:t>
            </w:r>
          </w:p>
        </w:tc>
      </w:tr>
      <w:tr w:rsidR="009746D8" w:rsidRPr="00287C3E" w14:paraId="35461743" w14:textId="77777777" w:rsidTr="00DB62EF">
        <w:trPr>
          <w:trHeight w:val="397"/>
        </w:trPr>
        <w:tc>
          <w:tcPr>
            <w:tcW w:w="3157" w:type="dxa"/>
            <w:tcBorders>
              <w:top w:val="single" w:sz="4" w:space="0" w:color="auto"/>
              <w:bottom w:val="nil"/>
            </w:tcBorders>
            <w:shd w:val="clear" w:color="auto" w:fill="auto"/>
            <w:noWrap/>
            <w:hideMark/>
          </w:tcPr>
          <w:p w14:paraId="67E7911D" w14:textId="77777777" w:rsidR="009746D8" w:rsidRPr="00FA3669" w:rsidRDefault="009746D8" w:rsidP="00170FA3">
            <w:pPr>
              <w:rPr>
                <w:rFonts w:asciiTheme="majorBidi" w:hAnsiTheme="majorBidi" w:cstheme="majorBidi"/>
                <w:b/>
                <w:bCs/>
              </w:rPr>
            </w:pPr>
            <w:r w:rsidRPr="00FA3669">
              <w:rPr>
                <w:rFonts w:asciiTheme="majorBidi" w:hAnsiTheme="majorBidi" w:cstheme="majorBidi"/>
                <w:b/>
                <w:bCs/>
              </w:rPr>
              <w:t xml:space="preserve">Knowledge Management Capabilities </w:t>
            </w:r>
          </w:p>
        </w:tc>
        <w:tc>
          <w:tcPr>
            <w:tcW w:w="1170" w:type="dxa"/>
            <w:tcBorders>
              <w:top w:val="single" w:sz="4" w:space="0" w:color="auto"/>
              <w:bottom w:val="nil"/>
            </w:tcBorders>
            <w:shd w:val="clear" w:color="auto" w:fill="auto"/>
            <w:noWrap/>
          </w:tcPr>
          <w:p w14:paraId="39B6F315" w14:textId="77777777" w:rsidR="009746D8" w:rsidRPr="00287C3E" w:rsidRDefault="009746D8" w:rsidP="00170FA3">
            <w:pPr>
              <w:rPr>
                <w:rFonts w:asciiTheme="majorBidi" w:hAnsiTheme="majorBidi" w:cstheme="majorBidi"/>
              </w:rPr>
            </w:pPr>
          </w:p>
        </w:tc>
        <w:tc>
          <w:tcPr>
            <w:tcW w:w="756" w:type="dxa"/>
            <w:tcBorders>
              <w:top w:val="single" w:sz="4" w:space="0" w:color="auto"/>
              <w:bottom w:val="nil"/>
            </w:tcBorders>
            <w:shd w:val="clear" w:color="auto" w:fill="auto"/>
            <w:noWrap/>
          </w:tcPr>
          <w:p w14:paraId="3A983589" w14:textId="77777777" w:rsidR="009746D8" w:rsidRPr="00287C3E" w:rsidRDefault="009746D8" w:rsidP="00170FA3">
            <w:pPr>
              <w:rPr>
                <w:rFonts w:asciiTheme="majorBidi" w:hAnsiTheme="majorBidi" w:cstheme="majorBidi"/>
              </w:rPr>
            </w:pPr>
          </w:p>
        </w:tc>
        <w:tc>
          <w:tcPr>
            <w:tcW w:w="756" w:type="dxa"/>
            <w:tcBorders>
              <w:top w:val="single" w:sz="4" w:space="0" w:color="auto"/>
              <w:bottom w:val="nil"/>
            </w:tcBorders>
            <w:shd w:val="clear" w:color="auto" w:fill="auto"/>
            <w:noWrap/>
          </w:tcPr>
          <w:p w14:paraId="7C4A987D" w14:textId="77777777" w:rsidR="009746D8" w:rsidRPr="00287C3E" w:rsidRDefault="009746D8" w:rsidP="00170FA3">
            <w:pPr>
              <w:rPr>
                <w:rFonts w:asciiTheme="majorBidi" w:hAnsiTheme="majorBidi" w:cstheme="majorBidi"/>
              </w:rPr>
            </w:pPr>
          </w:p>
        </w:tc>
        <w:tc>
          <w:tcPr>
            <w:tcW w:w="756" w:type="dxa"/>
            <w:tcBorders>
              <w:top w:val="single" w:sz="4" w:space="0" w:color="auto"/>
              <w:bottom w:val="nil"/>
            </w:tcBorders>
            <w:shd w:val="clear" w:color="auto" w:fill="auto"/>
            <w:noWrap/>
          </w:tcPr>
          <w:p w14:paraId="54C8FDCD" w14:textId="77777777" w:rsidR="009746D8" w:rsidRPr="00287C3E" w:rsidRDefault="009746D8" w:rsidP="00170FA3">
            <w:pPr>
              <w:rPr>
                <w:rFonts w:asciiTheme="majorBidi" w:hAnsiTheme="majorBidi" w:cstheme="majorBidi"/>
              </w:rPr>
            </w:pPr>
          </w:p>
        </w:tc>
        <w:tc>
          <w:tcPr>
            <w:tcW w:w="756" w:type="dxa"/>
            <w:tcBorders>
              <w:top w:val="single" w:sz="4" w:space="0" w:color="auto"/>
              <w:bottom w:val="nil"/>
            </w:tcBorders>
            <w:shd w:val="clear" w:color="auto" w:fill="auto"/>
            <w:noWrap/>
          </w:tcPr>
          <w:p w14:paraId="3DBD8E32" w14:textId="77777777" w:rsidR="009746D8" w:rsidRPr="00287C3E" w:rsidRDefault="009746D8" w:rsidP="00170FA3">
            <w:pPr>
              <w:rPr>
                <w:rFonts w:asciiTheme="majorBidi" w:hAnsiTheme="majorBidi" w:cstheme="majorBidi"/>
              </w:rPr>
            </w:pPr>
          </w:p>
        </w:tc>
        <w:tc>
          <w:tcPr>
            <w:tcW w:w="756" w:type="dxa"/>
            <w:tcBorders>
              <w:top w:val="single" w:sz="4" w:space="0" w:color="auto"/>
              <w:bottom w:val="nil"/>
            </w:tcBorders>
            <w:shd w:val="clear" w:color="auto" w:fill="auto"/>
            <w:noWrap/>
          </w:tcPr>
          <w:p w14:paraId="2C04DD25" w14:textId="77777777" w:rsidR="009746D8" w:rsidRPr="00287C3E" w:rsidRDefault="009746D8" w:rsidP="00170FA3">
            <w:pPr>
              <w:rPr>
                <w:rFonts w:asciiTheme="majorBidi" w:hAnsiTheme="majorBidi" w:cstheme="majorBidi"/>
              </w:rPr>
            </w:pPr>
          </w:p>
        </w:tc>
        <w:tc>
          <w:tcPr>
            <w:tcW w:w="540" w:type="dxa"/>
            <w:tcBorders>
              <w:top w:val="single" w:sz="4" w:space="0" w:color="auto"/>
              <w:bottom w:val="nil"/>
            </w:tcBorders>
            <w:shd w:val="clear" w:color="auto" w:fill="auto"/>
            <w:noWrap/>
          </w:tcPr>
          <w:p w14:paraId="51A4AB22" w14:textId="77777777" w:rsidR="009746D8" w:rsidRPr="00287C3E" w:rsidRDefault="009746D8" w:rsidP="00170FA3">
            <w:pPr>
              <w:rPr>
                <w:rFonts w:asciiTheme="majorBidi" w:hAnsiTheme="majorBidi" w:cstheme="majorBidi"/>
              </w:rPr>
            </w:pPr>
          </w:p>
        </w:tc>
      </w:tr>
      <w:tr w:rsidR="009746D8" w:rsidRPr="00287C3E" w14:paraId="2EF0841C" w14:textId="77777777" w:rsidTr="00DB62EF">
        <w:trPr>
          <w:trHeight w:val="397"/>
        </w:trPr>
        <w:tc>
          <w:tcPr>
            <w:tcW w:w="3157" w:type="dxa"/>
            <w:tcBorders>
              <w:top w:val="nil"/>
              <w:bottom w:val="nil"/>
            </w:tcBorders>
            <w:shd w:val="clear" w:color="auto" w:fill="auto"/>
            <w:noWrap/>
            <w:hideMark/>
          </w:tcPr>
          <w:p w14:paraId="5CF72BFF" w14:textId="77777777" w:rsidR="009746D8" w:rsidRPr="00FA3669" w:rsidRDefault="009746D8" w:rsidP="00170FA3">
            <w:pPr>
              <w:rPr>
                <w:rFonts w:asciiTheme="majorBidi" w:hAnsiTheme="majorBidi" w:cstheme="majorBidi"/>
                <w:b/>
                <w:bCs/>
              </w:rPr>
            </w:pPr>
            <w:r w:rsidRPr="00FA3669">
              <w:rPr>
                <w:rFonts w:asciiTheme="majorBidi" w:hAnsiTheme="majorBidi" w:cstheme="majorBidi"/>
                <w:b/>
                <w:bCs/>
              </w:rPr>
              <w:t>Extrinsic Motivation</w:t>
            </w:r>
          </w:p>
        </w:tc>
        <w:tc>
          <w:tcPr>
            <w:tcW w:w="1170" w:type="dxa"/>
            <w:tcBorders>
              <w:top w:val="nil"/>
              <w:bottom w:val="nil"/>
            </w:tcBorders>
            <w:shd w:val="clear" w:color="auto" w:fill="auto"/>
            <w:noWrap/>
            <w:vAlign w:val="center"/>
          </w:tcPr>
          <w:p w14:paraId="115FBA7E"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0.559</w:t>
            </w:r>
          </w:p>
        </w:tc>
        <w:tc>
          <w:tcPr>
            <w:tcW w:w="756" w:type="dxa"/>
            <w:tcBorders>
              <w:top w:val="nil"/>
              <w:bottom w:val="nil"/>
            </w:tcBorders>
            <w:shd w:val="clear" w:color="auto" w:fill="auto"/>
            <w:noWrap/>
            <w:vAlign w:val="center"/>
          </w:tcPr>
          <w:p w14:paraId="208239FC" w14:textId="77777777" w:rsidR="009746D8" w:rsidRPr="00287C3E" w:rsidRDefault="009746D8" w:rsidP="00170FA3">
            <w:pPr>
              <w:jc w:val="center"/>
              <w:rPr>
                <w:rFonts w:asciiTheme="majorBidi" w:hAnsiTheme="majorBidi" w:cstheme="majorBidi"/>
              </w:rPr>
            </w:pPr>
          </w:p>
        </w:tc>
        <w:tc>
          <w:tcPr>
            <w:tcW w:w="756" w:type="dxa"/>
            <w:tcBorders>
              <w:top w:val="nil"/>
              <w:bottom w:val="nil"/>
            </w:tcBorders>
            <w:shd w:val="clear" w:color="auto" w:fill="auto"/>
            <w:noWrap/>
            <w:vAlign w:val="center"/>
          </w:tcPr>
          <w:p w14:paraId="3EF73397" w14:textId="77777777" w:rsidR="009746D8" w:rsidRPr="00287C3E" w:rsidRDefault="009746D8" w:rsidP="00170FA3">
            <w:pPr>
              <w:jc w:val="center"/>
              <w:rPr>
                <w:rFonts w:asciiTheme="majorBidi" w:hAnsiTheme="majorBidi" w:cstheme="majorBidi"/>
              </w:rPr>
            </w:pPr>
          </w:p>
        </w:tc>
        <w:tc>
          <w:tcPr>
            <w:tcW w:w="756" w:type="dxa"/>
            <w:tcBorders>
              <w:top w:val="nil"/>
              <w:bottom w:val="nil"/>
            </w:tcBorders>
            <w:shd w:val="clear" w:color="auto" w:fill="auto"/>
            <w:noWrap/>
            <w:vAlign w:val="center"/>
          </w:tcPr>
          <w:p w14:paraId="2C8306CB" w14:textId="77777777" w:rsidR="009746D8" w:rsidRPr="00287C3E" w:rsidRDefault="009746D8" w:rsidP="00170FA3">
            <w:pPr>
              <w:jc w:val="center"/>
              <w:rPr>
                <w:rFonts w:asciiTheme="majorBidi" w:hAnsiTheme="majorBidi" w:cstheme="majorBidi"/>
              </w:rPr>
            </w:pPr>
          </w:p>
        </w:tc>
        <w:tc>
          <w:tcPr>
            <w:tcW w:w="756" w:type="dxa"/>
            <w:tcBorders>
              <w:top w:val="nil"/>
              <w:bottom w:val="nil"/>
            </w:tcBorders>
            <w:shd w:val="clear" w:color="auto" w:fill="auto"/>
            <w:noWrap/>
            <w:vAlign w:val="center"/>
          </w:tcPr>
          <w:p w14:paraId="39A8528B" w14:textId="77777777" w:rsidR="009746D8" w:rsidRPr="00287C3E" w:rsidRDefault="009746D8" w:rsidP="00170FA3">
            <w:pPr>
              <w:jc w:val="center"/>
              <w:rPr>
                <w:rFonts w:asciiTheme="majorBidi" w:hAnsiTheme="majorBidi" w:cstheme="majorBidi"/>
              </w:rPr>
            </w:pPr>
          </w:p>
        </w:tc>
        <w:tc>
          <w:tcPr>
            <w:tcW w:w="756" w:type="dxa"/>
            <w:tcBorders>
              <w:top w:val="nil"/>
              <w:bottom w:val="nil"/>
            </w:tcBorders>
            <w:shd w:val="clear" w:color="auto" w:fill="auto"/>
            <w:noWrap/>
            <w:vAlign w:val="center"/>
          </w:tcPr>
          <w:p w14:paraId="09736C33" w14:textId="77777777" w:rsidR="009746D8" w:rsidRPr="00287C3E" w:rsidRDefault="009746D8" w:rsidP="00170FA3">
            <w:pPr>
              <w:jc w:val="center"/>
              <w:rPr>
                <w:rFonts w:asciiTheme="majorBidi" w:hAnsiTheme="majorBidi" w:cstheme="majorBidi"/>
              </w:rPr>
            </w:pPr>
          </w:p>
        </w:tc>
        <w:tc>
          <w:tcPr>
            <w:tcW w:w="540" w:type="dxa"/>
            <w:tcBorders>
              <w:top w:val="nil"/>
              <w:bottom w:val="nil"/>
            </w:tcBorders>
            <w:shd w:val="clear" w:color="auto" w:fill="auto"/>
            <w:noWrap/>
            <w:vAlign w:val="center"/>
          </w:tcPr>
          <w:p w14:paraId="2C0AA1DE" w14:textId="77777777" w:rsidR="009746D8" w:rsidRPr="00287C3E" w:rsidRDefault="009746D8" w:rsidP="00170FA3">
            <w:pPr>
              <w:jc w:val="center"/>
              <w:rPr>
                <w:rFonts w:asciiTheme="majorBidi" w:hAnsiTheme="majorBidi" w:cstheme="majorBidi"/>
              </w:rPr>
            </w:pPr>
          </w:p>
        </w:tc>
      </w:tr>
      <w:tr w:rsidR="009746D8" w:rsidRPr="00287C3E" w14:paraId="632A4462" w14:textId="77777777" w:rsidTr="00DB62EF">
        <w:trPr>
          <w:trHeight w:val="397"/>
        </w:trPr>
        <w:tc>
          <w:tcPr>
            <w:tcW w:w="3157" w:type="dxa"/>
            <w:tcBorders>
              <w:top w:val="nil"/>
              <w:bottom w:val="nil"/>
            </w:tcBorders>
            <w:shd w:val="clear" w:color="auto" w:fill="auto"/>
            <w:noWrap/>
            <w:hideMark/>
          </w:tcPr>
          <w:p w14:paraId="5C09046E" w14:textId="77777777" w:rsidR="009746D8" w:rsidRPr="00FA3669" w:rsidRDefault="009746D8" w:rsidP="00170FA3">
            <w:pPr>
              <w:rPr>
                <w:rFonts w:asciiTheme="majorBidi" w:hAnsiTheme="majorBidi" w:cstheme="majorBidi"/>
                <w:b/>
                <w:bCs/>
              </w:rPr>
            </w:pPr>
            <w:r w:rsidRPr="00FA3669">
              <w:rPr>
                <w:rFonts w:asciiTheme="majorBidi" w:hAnsiTheme="majorBidi" w:cstheme="majorBidi"/>
                <w:b/>
                <w:bCs/>
              </w:rPr>
              <w:t>Intrinsic Motivation</w:t>
            </w:r>
          </w:p>
        </w:tc>
        <w:tc>
          <w:tcPr>
            <w:tcW w:w="1170" w:type="dxa"/>
            <w:tcBorders>
              <w:top w:val="nil"/>
              <w:bottom w:val="nil"/>
            </w:tcBorders>
            <w:shd w:val="clear" w:color="auto" w:fill="auto"/>
            <w:noWrap/>
            <w:vAlign w:val="center"/>
          </w:tcPr>
          <w:p w14:paraId="60FBDD21"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0.627</w:t>
            </w:r>
          </w:p>
        </w:tc>
        <w:tc>
          <w:tcPr>
            <w:tcW w:w="756" w:type="dxa"/>
            <w:tcBorders>
              <w:top w:val="nil"/>
              <w:bottom w:val="nil"/>
            </w:tcBorders>
            <w:shd w:val="clear" w:color="auto" w:fill="auto"/>
            <w:noWrap/>
            <w:vAlign w:val="center"/>
          </w:tcPr>
          <w:p w14:paraId="395F2DC7"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0.629</w:t>
            </w:r>
          </w:p>
        </w:tc>
        <w:tc>
          <w:tcPr>
            <w:tcW w:w="756" w:type="dxa"/>
            <w:tcBorders>
              <w:top w:val="nil"/>
              <w:bottom w:val="nil"/>
            </w:tcBorders>
            <w:shd w:val="clear" w:color="auto" w:fill="auto"/>
            <w:noWrap/>
            <w:vAlign w:val="center"/>
          </w:tcPr>
          <w:p w14:paraId="136C0FA0" w14:textId="77777777" w:rsidR="009746D8" w:rsidRPr="00287C3E" w:rsidRDefault="009746D8" w:rsidP="00170FA3">
            <w:pPr>
              <w:jc w:val="center"/>
              <w:rPr>
                <w:rFonts w:asciiTheme="majorBidi" w:hAnsiTheme="majorBidi" w:cstheme="majorBidi"/>
              </w:rPr>
            </w:pPr>
          </w:p>
        </w:tc>
        <w:tc>
          <w:tcPr>
            <w:tcW w:w="756" w:type="dxa"/>
            <w:tcBorders>
              <w:top w:val="nil"/>
              <w:bottom w:val="nil"/>
            </w:tcBorders>
            <w:shd w:val="clear" w:color="auto" w:fill="auto"/>
            <w:noWrap/>
            <w:vAlign w:val="center"/>
          </w:tcPr>
          <w:p w14:paraId="33A028EB" w14:textId="77777777" w:rsidR="009746D8" w:rsidRPr="00287C3E" w:rsidRDefault="009746D8" w:rsidP="00170FA3">
            <w:pPr>
              <w:jc w:val="center"/>
              <w:rPr>
                <w:rFonts w:asciiTheme="majorBidi" w:hAnsiTheme="majorBidi" w:cstheme="majorBidi"/>
              </w:rPr>
            </w:pPr>
          </w:p>
        </w:tc>
        <w:tc>
          <w:tcPr>
            <w:tcW w:w="756" w:type="dxa"/>
            <w:tcBorders>
              <w:top w:val="nil"/>
              <w:bottom w:val="nil"/>
            </w:tcBorders>
            <w:shd w:val="clear" w:color="auto" w:fill="auto"/>
            <w:noWrap/>
            <w:vAlign w:val="center"/>
          </w:tcPr>
          <w:p w14:paraId="224E9744" w14:textId="77777777" w:rsidR="009746D8" w:rsidRPr="00287C3E" w:rsidRDefault="009746D8" w:rsidP="00170FA3">
            <w:pPr>
              <w:jc w:val="center"/>
              <w:rPr>
                <w:rFonts w:asciiTheme="majorBidi" w:hAnsiTheme="majorBidi" w:cstheme="majorBidi"/>
              </w:rPr>
            </w:pPr>
          </w:p>
        </w:tc>
        <w:tc>
          <w:tcPr>
            <w:tcW w:w="756" w:type="dxa"/>
            <w:tcBorders>
              <w:top w:val="nil"/>
              <w:bottom w:val="nil"/>
            </w:tcBorders>
            <w:shd w:val="clear" w:color="auto" w:fill="auto"/>
            <w:noWrap/>
            <w:vAlign w:val="center"/>
          </w:tcPr>
          <w:p w14:paraId="3C0DC1A7" w14:textId="77777777" w:rsidR="009746D8" w:rsidRPr="00287C3E" w:rsidRDefault="009746D8" w:rsidP="00170FA3">
            <w:pPr>
              <w:jc w:val="center"/>
              <w:rPr>
                <w:rFonts w:asciiTheme="majorBidi" w:hAnsiTheme="majorBidi" w:cstheme="majorBidi"/>
              </w:rPr>
            </w:pPr>
          </w:p>
        </w:tc>
        <w:tc>
          <w:tcPr>
            <w:tcW w:w="540" w:type="dxa"/>
            <w:tcBorders>
              <w:top w:val="nil"/>
              <w:bottom w:val="nil"/>
            </w:tcBorders>
            <w:shd w:val="clear" w:color="auto" w:fill="auto"/>
            <w:noWrap/>
            <w:vAlign w:val="center"/>
          </w:tcPr>
          <w:p w14:paraId="76CAF51D" w14:textId="77777777" w:rsidR="009746D8" w:rsidRPr="00287C3E" w:rsidRDefault="009746D8" w:rsidP="00170FA3">
            <w:pPr>
              <w:jc w:val="center"/>
              <w:rPr>
                <w:rFonts w:asciiTheme="majorBidi" w:hAnsiTheme="majorBidi" w:cstheme="majorBidi"/>
              </w:rPr>
            </w:pPr>
          </w:p>
        </w:tc>
      </w:tr>
      <w:tr w:rsidR="009746D8" w:rsidRPr="00287C3E" w14:paraId="41FA8611" w14:textId="77777777" w:rsidTr="00DB62EF">
        <w:trPr>
          <w:trHeight w:val="397"/>
        </w:trPr>
        <w:tc>
          <w:tcPr>
            <w:tcW w:w="3157" w:type="dxa"/>
            <w:tcBorders>
              <w:top w:val="nil"/>
              <w:bottom w:val="nil"/>
            </w:tcBorders>
            <w:shd w:val="clear" w:color="auto" w:fill="auto"/>
            <w:noWrap/>
            <w:hideMark/>
          </w:tcPr>
          <w:p w14:paraId="678E3E56" w14:textId="77777777" w:rsidR="009746D8" w:rsidRPr="00FA3669" w:rsidRDefault="009746D8" w:rsidP="00170FA3">
            <w:pPr>
              <w:rPr>
                <w:rFonts w:asciiTheme="majorBidi" w:hAnsiTheme="majorBidi" w:cstheme="majorBidi"/>
                <w:b/>
                <w:bCs/>
              </w:rPr>
            </w:pPr>
            <w:r w:rsidRPr="00FA3669">
              <w:rPr>
                <w:rFonts w:asciiTheme="majorBidi" w:hAnsiTheme="majorBidi" w:cstheme="majorBidi"/>
                <w:b/>
                <w:bCs/>
              </w:rPr>
              <w:t xml:space="preserve">Opportunities </w:t>
            </w:r>
          </w:p>
        </w:tc>
        <w:tc>
          <w:tcPr>
            <w:tcW w:w="1170" w:type="dxa"/>
            <w:tcBorders>
              <w:top w:val="nil"/>
              <w:bottom w:val="nil"/>
            </w:tcBorders>
            <w:shd w:val="clear" w:color="auto" w:fill="auto"/>
            <w:noWrap/>
            <w:vAlign w:val="center"/>
          </w:tcPr>
          <w:p w14:paraId="56FA682B"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0.158</w:t>
            </w:r>
          </w:p>
        </w:tc>
        <w:tc>
          <w:tcPr>
            <w:tcW w:w="756" w:type="dxa"/>
            <w:tcBorders>
              <w:top w:val="nil"/>
              <w:bottom w:val="nil"/>
            </w:tcBorders>
            <w:shd w:val="clear" w:color="auto" w:fill="auto"/>
            <w:noWrap/>
            <w:vAlign w:val="center"/>
          </w:tcPr>
          <w:p w14:paraId="5F7B2E48"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0.185</w:t>
            </w:r>
          </w:p>
        </w:tc>
        <w:tc>
          <w:tcPr>
            <w:tcW w:w="756" w:type="dxa"/>
            <w:tcBorders>
              <w:top w:val="nil"/>
              <w:bottom w:val="nil"/>
            </w:tcBorders>
            <w:shd w:val="clear" w:color="auto" w:fill="auto"/>
            <w:noWrap/>
            <w:vAlign w:val="center"/>
          </w:tcPr>
          <w:p w14:paraId="13AB793E"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0.121</w:t>
            </w:r>
          </w:p>
        </w:tc>
        <w:tc>
          <w:tcPr>
            <w:tcW w:w="756" w:type="dxa"/>
            <w:tcBorders>
              <w:top w:val="nil"/>
              <w:bottom w:val="nil"/>
            </w:tcBorders>
            <w:shd w:val="clear" w:color="auto" w:fill="auto"/>
            <w:noWrap/>
            <w:vAlign w:val="center"/>
          </w:tcPr>
          <w:p w14:paraId="34570761" w14:textId="77777777" w:rsidR="009746D8" w:rsidRPr="00287C3E" w:rsidRDefault="009746D8" w:rsidP="00170FA3">
            <w:pPr>
              <w:jc w:val="center"/>
              <w:rPr>
                <w:rFonts w:asciiTheme="majorBidi" w:hAnsiTheme="majorBidi" w:cstheme="majorBidi"/>
              </w:rPr>
            </w:pPr>
          </w:p>
        </w:tc>
        <w:tc>
          <w:tcPr>
            <w:tcW w:w="756" w:type="dxa"/>
            <w:tcBorders>
              <w:top w:val="nil"/>
              <w:bottom w:val="nil"/>
            </w:tcBorders>
            <w:shd w:val="clear" w:color="auto" w:fill="auto"/>
            <w:noWrap/>
            <w:vAlign w:val="center"/>
          </w:tcPr>
          <w:p w14:paraId="09C2F580" w14:textId="77777777" w:rsidR="009746D8" w:rsidRPr="00287C3E" w:rsidRDefault="009746D8" w:rsidP="00170FA3">
            <w:pPr>
              <w:jc w:val="center"/>
              <w:rPr>
                <w:rFonts w:asciiTheme="majorBidi" w:hAnsiTheme="majorBidi" w:cstheme="majorBidi"/>
              </w:rPr>
            </w:pPr>
          </w:p>
        </w:tc>
        <w:tc>
          <w:tcPr>
            <w:tcW w:w="756" w:type="dxa"/>
            <w:tcBorders>
              <w:top w:val="nil"/>
              <w:bottom w:val="nil"/>
            </w:tcBorders>
            <w:shd w:val="clear" w:color="auto" w:fill="auto"/>
            <w:noWrap/>
            <w:vAlign w:val="center"/>
          </w:tcPr>
          <w:p w14:paraId="1750DA23" w14:textId="77777777" w:rsidR="009746D8" w:rsidRPr="00287C3E" w:rsidRDefault="009746D8" w:rsidP="00170FA3">
            <w:pPr>
              <w:jc w:val="center"/>
              <w:rPr>
                <w:rFonts w:asciiTheme="majorBidi" w:hAnsiTheme="majorBidi" w:cstheme="majorBidi"/>
              </w:rPr>
            </w:pPr>
          </w:p>
        </w:tc>
        <w:tc>
          <w:tcPr>
            <w:tcW w:w="540" w:type="dxa"/>
            <w:tcBorders>
              <w:top w:val="nil"/>
              <w:bottom w:val="nil"/>
            </w:tcBorders>
            <w:shd w:val="clear" w:color="auto" w:fill="auto"/>
            <w:noWrap/>
            <w:vAlign w:val="center"/>
          </w:tcPr>
          <w:p w14:paraId="13CD31C1" w14:textId="77777777" w:rsidR="009746D8" w:rsidRPr="00287C3E" w:rsidRDefault="009746D8" w:rsidP="00170FA3">
            <w:pPr>
              <w:jc w:val="center"/>
              <w:rPr>
                <w:rFonts w:asciiTheme="majorBidi" w:hAnsiTheme="majorBidi" w:cstheme="majorBidi"/>
              </w:rPr>
            </w:pPr>
          </w:p>
        </w:tc>
      </w:tr>
      <w:tr w:rsidR="009746D8" w:rsidRPr="00287C3E" w14:paraId="7087940B" w14:textId="77777777" w:rsidTr="00DB62EF">
        <w:trPr>
          <w:trHeight w:val="397"/>
        </w:trPr>
        <w:tc>
          <w:tcPr>
            <w:tcW w:w="3157" w:type="dxa"/>
            <w:tcBorders>
              <w:top w:val="nil"/>
              <w:bottom w:val="nil"/>
            </w:tcBorders>
            <w:shd w:val="clear" w:color="auto" w:fill="auto"/>
            <w:noWrap/>
            <w:hideMark/>
          </w:tcPr>
          <w:p w14:paraId="42F6028F" w14:textId="77777777" w:rsidR="009746D8" w:rsidRPr="00FA3669" w:rsidRDefault="009746D8" w:rsidP="00170FA3">
            <w:pPr>
              <w:rPr>
                <w:rFonts w:asciiTheme="majorBidi" w:hAnsiTheme="majorBidi" w:cstheme="majorBidi"/>
                <w:b/>
                <w:bCs/>
              </w:rPr>
            </w:pPr>
            <w:r w:rsidRPr="00FA3669">
              <w:rPr>
                <w:rFonts w:asciiTheme="majorBidi" w:hAnsiTheme="majorBidi" w:cstheme="majorBidi"/>
                <w:b/>
                <w:bCs/>
              </w:rPr>
              <w:t>Abilities</w:t>
            </w:r>
          </w:p>
        </w:tc>
        <w:tc>
          <w:tcPr>
            <w:tcW w:w="1170" w:type="dxa"/>
            <w:tcBorders>
              <w:top w:val="nil"/>
              <w:bottom w:val="nil"/>
            </w:tcBorders>
            <w:shd w:val="clear" w:color="auto" w:fill="auto"/>
            <w:noWrap/>
            <w:vAlign w:val="center"/>
          </w:tcPr>
          <w:p w14:paraId="72CCED41"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0.575</w:t>
            </w:r>
          </w:p>
        </w:tc>
        <w:tc>
          <w:tcPr>
            <w:tcW w:w="756" w:type="dxa"/>
            <w:tcBorders>
              <w:top w:val="nil"/>
              <w:bottom w:val="nil"/>
            </w:tcBorders>
            <w:shd w:val="clear" w:color="auto" w:fill="auto"/>
            <w:noWrap/>
            <w:vAlign w:val="center"/>
          </w:tcPr>
          <w:p w14:paraId="3AB6D77E"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0.530</w:t>
            </w:r>
          </w:p>
        </w:tc>
        <w:tc>
          <w:tcPr>
            <w:tcW w:w="756" w:type="dxa"/>
            <w:tcBorders>
              <w:top w:val="nil"/>
              <w:bottom w:val="nil"/>
            </w:tcBorders>
            <w:shd w:val="clear" w:color="auto" w:fill="auto"/>
            <w:noWrap/>
            <w:vAlign w:val="center"/>
          </w:tcPr>
          <w:p w14:paraId="1375C070"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0.656</w:t>
            </w:r>
          </w:p>
        </w:tc>
        <w:tc>
          <w:tcPr>
            <w:tcW w:w="756" w:type="dxa"/>
            <w:tcBorders>
              <w:top w:val="nil"/>
              <w:bottom w:val="nil"/>
            </w:tcBorders>
            <w:shd w:val="clear" w:color="auto" w:fill="auto"/>
            <w:noWrap/>
            <w:vAlign w:val="center"/>
          </w:tcPr>
          <w:p w14:paraId="27643CFD"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0.213</w:t>
            </w:r>
          </w:p>
        </w:tc>
        <w:tc>
          <w:tcPr>
            <w:tcW w:w="756" w:type="dxa"/>
            <w:tcBorders>
              <w:top w:val="nil"/>
              <w:bottom w:val="nil"/>
            </w:tcBorders>
            <w:shd w:val="clear" w:color="auto" w:fill="auto"/>
            <w:noWrap/>
            <w:vAlign w:val="center"/>
          </w:tcPr>
          <w:p w14:paraId="4B848782" w14:textId="77777777" w:rsidR="009746D8" w:rsidRPr="00287C3E" w:rsidRDefault="009746D8" w:rsidP="00170FA3">
            <w:pPr>
              <w:jc w:val="center"/>
              <w:rPr>
                <w:rFonts w:asciiTheme="majorBidi" w:hAnsiTheme="majorBidi" w:cstheme="majorBidi"/>
              </w:rPr>
            </w:pPr>
          </w:p>
        </w:tc>
        <w:tc>
          <w:tcPr>
            <w:tcW w:w="756" w:type="dxa"/>
            <w:tcBorders>
              <w:top w:val="nil"/>
              <w:bottom w:val="nil"/>
            </w:tcBorders>
            <w:shd w:val="clear" w:color="auto" w:fill="auto"/>
            <w:noWrap/>
            <w:vAlign w:val="center"/>
          </w:tcPr>
          <w:p w14:paraId="364F58A6" w14:textId="77777777" w:rsidR="009746D8" w:rsidRPr="00287C3E" w:rsidRDefault="009746D8" w:rsidP="00170FA3">
            <w:pPr>
              <w:jc w:val="center"/>
              <w:rPr>
                <w:rFonts w:asciiTheme="majorBidi" w:hAnsiTheme="majorBidi" w:cstheme="majorBidi"/>
              </w:rPr>
            </w:pPr>
          </w:p>
        </w:tc>
        <w:tc>
          <w:tcPr>
            <w:tcW w:w="540" w:type="dxa"/>
            <w:tcBorders>
              <w:top w:val="nil"/>
              <w:bottom w:val="nil"/>
            </w:tcBorders>
            <w:shd w:val="clear" w:color="auto" w:fill="auto"/>
            <w:noWrap/>
            <w:vAlign w:val="center"/>
          </w:tcPr>
          <w:p w14:paraId="1D08AAA7" w14:textId="77777777" w:rsidR="009746D8" w:rsidRPr="00287C3E" w:rsidRDefault="009746D8" w:rsidP="00170FA3">
            <w:pPr>
              <w:jc w:val="center"/>
              <w:rPr>
                <w:rFonts w:asciiTheme="majorBidi" w:hAnsiTheme="majorBidi" w:cstheme="majorBidi"/>
              </w:rPr>
            </w:pPr>
          </w:p>
        </w:tc>
      </w:tr>
      <w:tr w:rsidR="009746D8" w:rsidRPr="00287C3E" w14:paraId="3A466352" w14:textId="77777777" w:rsidTr="00DB62EF">
        <w:trPr>
          <w:trHeight w:val="397"/>
        </w:trPr>
        <w:tc>
          <w:tcPr>
            <w:tcW w:w="3157" w:type="dxa"/>
            <w:tcBorders>
              <w:top w:val="nil"/>
            </w:tcBorders>
            <w:shd w:val="clear" w:color="auto" w:fill="auto"/>
            <w:noWrap/>
            <w:hideMark/>
          </w:tcPr>
          <w:p w14:paraId="1C475FDC" w14:textId="77777777" w:rsidR="009746D8" w:rsidRPr="00FA3669" w:rsidRDefault="009746D8" w:rsidP="00170FA3">
            <w:pPr>
              <w:rPr>
                <w:rFonts w:asciiTheme="majorBidi" w:hAnsiTheme="majorBidi" w:cstheme="majorBidi"/>
                <w:b/>
                <w:bCs/>
              </w:rPr>
            </w:pPr>
            <w:r w:rsidRPr="00FA3669">
              <w:rPr>
                <w:rFonts w:asciiTheme="majorBidi" w:hAnsiTheme="majorBidi" w:cstheme="majorBidi"/>
                <w:b/>
                <w:bCs/>
              </w:rPr>
              <w:t>Organizational Learning</w:t>
            </w:r>
          </w:p>
        </w:tc>
        <w:tc>
          <w:tcPr>
            <w:tcW w:w="1170" w:type="dxa"/>
            <w:tcBorders>
              <w:top w:val="nil"/>
            </w:tcBorders>
            <w:shd w:val="clear" w:color="auto" w:fill="auto"/>
            <w:noWrap/>
            <w:vAlign w:val="center"/>
          </w:tcPr>
          <w:p w14:paraId="79354A1E"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0.623</w:t>
            </w:r>
          </w:p>
        </w:tc>
        <w:tc>
          <w:tcPr>
            <w:tcW w:w="756" w:type="dxa"/>
            <w:tcBorders>
              <w:top w:val="nil"/>
            </w:tcBorders>
            <w:shd w:val="clear" w:color="auto" w:fill="auto"/>
            <w:noWrap/>
            <w:vAlign w:val="center"/>
          </w:tcPr>
          <w:p w14:paraId="0C6960E1"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0.624</w:t>
            </w:r>
          </w:p>
        </w:tc>
        <w:tc>
          <w:tcPr>
            <w:tcW w:w="756" w:type="dxa"/>
            <w:tcBorders>
              <w:top w:val="nil"/>
            </w:tcBorders>
            <w:shd w:val="clear" w:color="auto" w:fill="auto"/>
            <w:noWrap/>
            <w:vAlign w:val="center"/>
          </w:tcPr>
          <w:p w14:paraId="41B65481"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0.811</w:t>
            </w:r>
          </w:p>
        </w:tc>
        <w:tc>
          <w:tcPr>
            <w:tcW w:w="756" w:type="dxa"/>
            <w:tcBorders>
              <w:top w:val="nil"/>
            </w:tcBorders>
            <w:shd w:val="clear" w:color="auto" w:fill="auto"/>
            <w:noWrap/>
            <w:vAlign w:val="center"/>
          </w:tcPr>
          <w:p w14:paraId="0AD4BE9F"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0.193</w:t>
            </w:r>
          </w:p>
        </w:tc>
        <w:tc>
          <w:tcPr>
            <w:tcW w:w="756" w:type="dxa"/>
            <w:tcBorders>
              <w:top w:val="nil"/>
            </w:tcBorders>
            <w:shd w:val="clear" w:color="auto" w:fill="auto"/>
            <w:noWrap/>
            <w:vAlign w:val="center"/>
          </w:tcPr>
          <w:p w14:paraId="1EA18081"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0.834</w:t>
            </w:r>
          </w:p>
        </w:tc>
        <w:tc>
          <w:tcPr>
            <w:tcW w:w="756" w:type="dxa"/>
            <w:tcBorders>
              <w:top w:val="nil"/>
            </w:tcBorders>
            <w:shd w:val="clear" w:color="auto" w:fill="auto"/>
            <w:noWrap/>
            <w:vAlign w:val="center"/>
          </w:tcPr>
          <w:p w14:paraId="34CB84D2" w14:textId="77777777" w:rsidR="009746D8" w:rsidRPr="00287C3E" w:rsidRDefault="009746D8" w:rsidP="00170FA3">
            <w:pPr>
              <w:jc w:val="center"/>
              <w:rPr>
                <w:rFonts w:asciiTheme="majorBidi" w:hAnsiTheme="majorBidi" w:cstheme="majorBidi"/>
              </w:rPr>
            </w:pPr>
          </w:p>
        </w:tc>
        <w:tc>
          <w:tcPr>
            <w:tcW w:w="540" w:type="dxa"/>
            <w:tcBorders>
              <w:top w:val="nil"/>
            </w:tcBorders>
            <w:shd w:val="clear" w:color="auto" w:fill="auto"/>
            <w:noWrap/>
            <w:vAlign w:val="center"/>
          </w:tcPr>
          <w:p w14:paraId="7EB3295A" w14:textId="77777777" w:rsidR="009746D8" w:rsidRPr="00287C3E" w:rsidRDefault="009746D8" w:rsidP="00170FA3">
            <w:pPr>
              <w:jc w:val="center"/>
              <w:rPr>
                <w:rFonts w:asciiTheme="majorBidi" w:hAnsiTheme="majorBidi" w:cstheme="majorBidi"/>
              </w:rPr>
            </w:pPr>
          </w:p>
        </w:tc>
      </w:tr>
      <w:tr w:rsidR="009746D8" w:rsidRPr="00287C3E" w14:paraId="1E08AA9D" w14:textId="77777777" w:rsidTr="00DB62EF">
        <w:trPr>
          <w:trHeight w:val="397"/>
        </w:trPr>
        <w:tc>
          <w:tcPr>
            <w:tcW w:w="3157" w:type="dxa"/>
            <w:tcBorders>
              <w:bottom w:val="single" w:sz="4" w:space="0" w:color="auto"/>
            </w:tcBorders>
            <w:shd w:val="clear" w:color="auto" w:fill="auto"/>
            <w:noWrap/>
            <w:hideMark/>
          </w:tcPr>
          <w:p w14:paraId="395D23EC" w14:textId="77777777" w:rsidR="009746D8" w:rsidRPr="00FA3669" w:rsidRDefault="009746D8" w:rsidP="00170FA3">
            <w:pPr>
              <w:rPr>
                <w:rFonts w:asciiTheme="majorBidi" w:hAnsiTheme="majorBidi" w:cstheme="majorBidi"/>
                <w:b/>
                <w:bCs/>
              </w:rPr>
            </w:pPr>
            <w:r w:rsidRPr="00FA3669">
              <w:rPr>
                <w:rFonts w:asciiTheme="majorBidi" w:hAnsiTheme="majorBidi" w:cstheme="majorBidi"/>
                <w:b/>
                <w:bCs/>
              </w:rPr>
              <w:t>Knowledge Management Benefits</w:t>
            </w:r>
          </w:p>
        </w:tc>
        <w:tc>
          <w:tcPr>
            <w:tcW w:w="1170" w:type="dxa"/>
            <w:tcBorders>
              <w:bottom w:val="single" w:sz="4" w:space="0" w:color="auto"/>
            </w:tcBorders>
            <w:shd w:val="clear" w:color="auto" w:fill="auto"/>
            <w:noWrap/>
            <w:vAlign w:val="center"/>
          </w:tcPr>
          <w:p w14:paraId="4537D420"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0.541</w:t>
            </w:r>
          </w:p>
        </w:tc>
        <w:tc>
          <w:tcPr>
            <w:tcW w:w="756" w:type="dxa"/>
            <w:tcBorders>
              <w:bottom w:val="single" w:sz="4" w:space="0" w:color="auto"/>
            </w:tcBorders>
            <w:shd w:val="clear" w:color="auto" w:fill="auto"/>
            <w:noWrap/>
            <w:vAlign w:val="center"/>
          </w:tcPr>
          <w:p w14:paraId="09D19CBB"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0.447</w:t>
            </w:r>
          </w:p>
        </w:tc>
        <w:tc>
          <w:tcPr>
            <w:tcW w:w="756" w:type="dxa"/>
            <w:tcBorders>
              <w:bottom w:val="single" w:sz="4" w:space="0" w:color="auto"/>
            </w:tcBorders>
            <w:shd w:val="clear" w:color="auto" w:fill="auto"/>
            <w:noWrap/>
            <w:vAlign w:val="center"/>
          </w:tcPr>
          <w:p w14:paraId="497661E3"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0.643</w:t>
            </w:r>
          </w:p>
        </w:tc>
        <w:tc>
          <w:tcPr>
            <w:tcW w:w="756" w:type="dxa"/>
            <w:tcBorders>
              <w:bottom w:val="single" w:sz="4" w:space="0" w:color="auto"/>
            </w:tcBorders>
            <w:shd w:val="clear" w:color="auto" w:fill="auto"/>
            <w:noWrap/>
            <w:vAlign w:val="center"/>
          </w:tcPr>
          <w:p w14:paraId="5D9624E5"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0.104</w:t>
            </w:r>
          </w:p>
        </w:tc>
        <w:tc>
          <w:tcPr>
            <w:tcW w:w="756" w:type="dxa"/>
            <w:tcBorders>
              <w:bottom w:val="single" w:sz="4" w:space="0" w:color="auto"/>
            </w:tcBorders>
            <w:shd w:val="clear" w:color="auto" w:fill="auto"/>
            <w:noWrap/>
            <w:vAlign w:val="center"/>
          </w:tcPr>
          <w:p w14:paraId="64124074"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0.638</w:t>
            </w:r>
          </w:p>
        </w:tc>
        <w:tc>
          <w:tcPr>
            <w:tcW w:w="756" w:type="dxa"/>
            <w:tcBorders>
              <w:bottom w:val="single" w:sz="4" w:space="0" w:color="auto"/>
            </w:tcBorders>
            <w:shd w:val="clear" w:color="auto" w:fill="auto"/>
            <w:noWrap/>
            <w:vAlign w:val="center"/>
          </w:tcPr>
          <w:p w14:paraId="2B3F851F" w14:textId="77777777" w:rsidR="009746D8" w:rsidRPr="00287C3E" w:rsidRDefault="009746D8" w:rsidP="00170FA3">
            <w:pPr>
              <w:jc w:val="center"/>
              <w:rPr>
                <w:rFonts w:asciiTheme="majorBidi" w:hAnsiTheme="majorBidi" w:cstheme="majorBidi"/>
              </w:rPr>
            </w:pPr>
            <w:r w:rsidRPr="00287C3E">
              <w:rPr>
                <w:rFonts w:asciiTheme="majorBidi" w:hAnsiTheme="majorBidi" w:cstheme="majorBidi"/>
              </w:rPr>
              <w:t>0.740</w:t>
            </w:r>
          </w:p>
        </w:tc>
        <w:tc>
          <w:tcPr>
            <w:tcW w:w="540" w:type="dxa"/>
            <w:tcBorders>
              <w:bottom w:val="single" w:sz="4" w:space="0" w:color="auto"/>
            </w:tcBorders>
            <w:shd w:val="clear" w:color="auto" w:fill="auto"/>
            <w:noWrap/>
            <w:vAlign w:val="center"/>
          </w:tcPr>
          <w:p w14:paraId="3EE2CE14" w14:textId="77777777" w:rsidR="009746D8" w:rsidRPr="00287C3E" w:rsidRDefault="009746D8" w:rsidP="00170FA3">
            <w:pPr>
              <w:jc w:val="center"/>
              <w:rPr>
                <w:rFonts w:asciiTheme="majorBidi" w:hAnsiTheme="majorBidi" w:cstheme="majorBidi"/>
              </w:rPr>
            </w:pPr>
          </w:p>
        </w:tc>
      </w:tr>
    </w:tbl>
    <w:p w14:paraId="33C5AB2B" w14:textId="77777777" w:rsidR="00DB62EF" w:rsidRPr="0086658F" w:rsidRDefault="00DB62EF" w:rsidP="00DB62EF">
      <w:pPr>
        <w:tabs>
          <w:tab w:val="left" w:pos="2790"/>
        </w:tabs>
        <w:rPr>
          <w:rFonts w:asciiTheme="majorBidi" w:hAnsiTheme="majorBidi" w:cstheme="majorBidi"/>
          <w:szCs w:val="24"/>
          <w:lang w:bidi="fa-IR"/>
        </w:rPr>
      </w:pPr>
      <w:r w:rsidRPr="0086658F">
        <w:rPr>
          <w:rFonts w:asciiTheme="majorBidi" w:hAnsiTheme="majorBidi" w:cstheme="majorBidi"/>
          <w:b/>
          <w:bCs/>
          <w:szCs w:val="24"/>
          <w:lang w:bidi="fa-IR"/>
        </w:rPr>
        <w:t>Note:</w:t>
      </w:r>
      <w:r w:rsidRPr="0086658F">
        <w:rPr>
          <w:rFonts w:asciiTheme="majorBidi" w:hAnsiTheme="majorBidi" w:cstheme="majorBidi"/>
          <w:szCs w:val="24"/>
          <w:lang w:bidi="fa-IR"/>
        </w:rPr>
        <w:t xml:space="preserve"> HTMT &lt; 0.85 (Kline, 2011), HTMT &lt; 0.90 (Gold et al. 2001)</w:t>
      </w:r>
    </w:p>
    <w:p w14:paraId="6B3ACA31" w14:textId="77777777" w:rsidR="009746D8" w:rsidRPr="009746D8" w:rsidRDefault="009746D8" w:rsidP="009746D8">
      <w:pPr>
        <w:rPr>
          <w:lang w:bidi="en-US"/>
        </w:rPr>
      </w:pPr>
    </w:p>
    <w:p w14:paraId="4AAC432C" w14:textId="77777777" w:rsidR="007C0420" w:rsidRPr="002A7627" w:rsidRDefault="007C0420" w:rsidP="007C0420">
      <w:pPr>
        <w:tabs>
          <w:tab w:val="left" w:pos="2790"/>
        </w:tabs>
        <w:rPr>
          <w:rFonts w:asciiTheme="majorBidi" w:hAnsiTheme="majorBidi" w:cstheme="majorBidi"/>
          <w:lang w:bidi="fa-IR"/>
        </w:rPr>
      </w:pPr>
    </w:p>
    <w:p w14:paraId="4D99CFB7" w14:textId="525DF8DF" w:rsidR="007C0420" w:rsidRDefault="00137032" w:rsidP="007C0420">
      <w:pPr>
        <w:pStyle w:val="AAAAAAA"/>
        <w:rPr>
          <w:rStyle w:val="fontstyle21"/>
          <w:rFonts w:asciiTheme="majorBidi" w:hAnsiTheme="majorBidi" w:cstheme="majorBidi"/>
        </w:rPr>
      </w:pPr>
      <w:r>
        <w:rPr>
          <w:rStyle w:val="fontstyle21"/>
          <w:rFonts w:asciiTheme="majorBidi" w:hAnsiTheme="majorBidi" w:cstheme="majorBidi"/>
        </w:rPr>
        <w:t>A</w:t>
      </w:r>
      <w:r w:rsidR="007C0420" w:rsidRPr="002A7627">
        <w:rPr>
          <w:rStyle w:val="fontstyle21"/>
          <w:rFonts w:asciiTheme="majorBidi" w:hAnsiTheme="majorBidi" w:cstheme="majorBidi"/>
        </w:rPr>
        <w:t>ll the values passed the HTMT</w:t>
      </w:r>
      <w:r w:rsidR="007C0420" w:rsidRPr="002A7627">
        <w:rPr>
          <w:rStyle w:val="fontstyle21"/>
          <w:rFonts w:asciiTheme="majorBidi" w:hAnsiTheme="majorBidi" w:cstheme="majorBidi"/>
          <w:vertAlign w:val="subscript"/>
        </w:rPr>
        <w:t>0.90</w:t>
      </w:r>
      <w:r w:rsidR="007C0420" w:rsidRPr="002A7627">
        <w:rPr>
          <w:rStyle w:val="fontstyle21"/>
          <w:rFonts w:asciiTheme="majorBidi" w:hAnsiTheme="majorBidi" w:cstheme="majorBidi"/>
        </w:rPr>
        <w:t xml:space="preserve"> </w:t>
      </w:r>
      <w:r w:rsidR="007C0420" w:rsidRPr="002A7627">
        <w:rPr>
          <w:rStyle w:val="fontstyle21"/>
          <w:rFonts w:asciiTheme="majorBidi" w:hAnsiTheme="majorBidi" w:cstheme="majorBidi"/>
        </w:rPr>
        <w:fldChar w:fldCharType="begin" w:fldLock="1"/>
      </w:r>
      <w:r w:rsidR="007C0420" w:rsidRPr="002A7627">
        <w:rPr>
          <w:rStyle w:val="fontstyle21"/>
          <w:rFonts w:asciiTheme="majorBidi" w:hAnsiTheme="majorBidi" w:cstheme="majorBidi"/>
        </w:rPr>
        <w:instrText>ADDIN CSL_CITATION {"citationItems":[{"id":"ITEM-1","itemData":{"DOI":"10.1080/07421222.2001.11045669","ISSN":"07421222","abstract":"A hallmark of the new economy is the ability of organizations to realize economic value from their collection of knowledge assets as well as their assets of information, production distribution, and affiliation. Despite the competitive necessity of becoming a knowledge-based organization, senior managers have found it difficult to transform their firms through programs of knowledge management. This is particularly true if their organizations have long histories of process and a tradition of business success. This research examines the issue of effective knowledge management from the perspective of organizational capabilities. This perspective suggests that a knowledge infrastructure consisting of technology, structure, and culture along with a knowledge process architecture of acquisition, conversion, application, and protection are essential organizational capabilities or \"preconditions\" for effective knowledge management. Through analysis of surveys collected from over 300 senior executives, this research empirically models and uncovers key aspects of these dimensions. The results provide a basis for understanding the competitive predisposition of a firm as it enters a program of knowledge management.","author":[{"dropping-particle":"","family":"Gold","given":"Andrew H.","non-dropping-particle":"","parse-names":false,"suffix":""},{"dropping-particle":"","family":"Malhotra","given":"Arvind","non-dropping-particle":"","parse-names":false,"suffix":""},{"dropping-particle":"","family":"Segars","given":"Albert H.","non-dropping-particle":"","parse-names":false,"suffix":""}],"container-title":"Journal of Management Information Systems","id":"ITEM-1","issue":"1","issued":{"date-parts":[["2001"]]},"page":"185–214","title":"Knowledge management: An organizational capabilities perspective","type":"article-journal","volume":"18"},"uris":["http://www.mendeley.com/documents/?uuid=8b28cae1-41b6-477b-9137-a41900d8e27d"]}],"mendeley":{"formattedCitation":"(Gold et al., 2001)","plainTextFormattedCitation":"(Gold et al., 2001)","previouslyFormattedCitation":"(Gold et al., 2001)"},"properties":{"noteIndex":0},"schema":"https://github.com/citation-style-language/schema/raw/master/csl-citation.json"}</w:instrText>
      </w:r>
      <w:r w:rsidR="007C0420" w:rsidRPr="002A7627">
        <w:rPr>
          <w:rStyle w:val="fontstyle21"/>
          <w:rFonts w:asciiTheme="majorBidi" w:hAnsiTheme="majorBidi" w:cstheme="majorBidi"/>
        </w:rPr>
        <w:fldChar w:fldCharType="separate"/>
      </w:r>
      <w:r w:rsidR="007C0420" w:rsidRPr="002A7627">
        <w:rPr>
          <w:rStyle w:val="fontstyle21"/>
          <w:rFonts w:asciiTheme="majorBidi" w:hAnsiTheme="majorBidi" w:cstheme="majorBidi"/>
          <w:noProof/>
        </w:rPr>
        <w:t>(Gold et al., 2001)</w:t>
      </w:r>
      <w:r w:rsidR="007C0420" w:rsidRPr="002A7627">
        <w:rPr>
          <w:rStyle w:val="fontstyle21"/>
          <w:rFonts w:asciiTheme="majorBidi" w:hAnsiTheme="majorBidi" w:cstheme="majorBidi"/>
        </w:rPr>
        <w:fldChar w:fldCharType="end"/>
      </w:r>
      <w:r w:rsidR="007C0420" w:rsidRPr="002A7627">
        <w:rPr>
          <w:rStyle w:val="fontstyle21"/>
          <w:rFonts w:asciiTheme="majorBidi" w:hAnsiTheme="majorBidi" w:cstheme="majorBidi"/>
        </w:rPr>
        <w:t xml:space="preserve"> and HTMT</w:t>
      </w:r>
      <w:r w:rsidR="007C0420" w:rsidRPr="002A7627">
        <w:rPr>
          <w:rStyle w:val="fontstyle21"/>
          <w:rFonts w:asciiTheme="majorBidi" w:hAnsiTheme="majorBidi" w:cstheme="majorBidi"/>
          <w:vertAlign w:val="subscript"/>
        </w:rPr>
        <w:t xml:space="preserve">0.85 </w:t>
      </w:r>
      <w:r w:rsidR="007C0420" w:rsidRPr="002A7627">
        <w:rPr>
          <w:rStyle w:val="fontstyle21"/>
          <w:rFonts w:asciiTheme="majorBidi" w:hAnsiTheme="majorBidi" w:cstheme="majorBidi"/>
          <w:vertAlign w:val="subscript"/>
        </w:rPr>
        <w:fldChar w:fldCharType="begin" w:fldLock="1"/>
      </w:r>
      <w:r w:rsidR="007C0420" w:rsidRPr="002A7627">
        <w:rPr>
          <w:rStyle w:val="fontstyle21"/>
          <w:rFonts w:asciiTheme="majorBidi" w:hAnsiTheme="majorBidi" w:cstheme="majorBidi"/>
          <w:vertAlign w:val="subscript"/>
        </w:rPr>
        <w:instrText>ADDIN CSL_CITATION {"citationItems":[{"id":"ITEM-1","itemData":{"author":[{"dropping-particle":"","family":"Kline","given":"R.B.","non-dropping-particle":"","parse-names":false,"suffix":""}],"id":"ITEM-1","issued":{"date-parts":[["2011"]]},"publisher":"Guilford press","publisher-place":"New York, NY","title":"Principles and practice of structural equation modeling","type":"book"},"uris":["http://www.mendeley.com/documents/?uuid=8ada82ef-d82b-4412-a1e2-c10307171931"]}],"mendeley":{"formattedCitation":"(Kline, 2011)","plainTextFormattedCitation":"(Kline, 2011)","previouslyFormattedCitation":"(Kline, 2011)"},"properties":{"noteIndex":0},"schema":"https://github.com/citation-style-language/schema/raw/master/csl-citation.json"}</w:instrText>
      </w:r>
      <w:r w:rsidR="007C0420" w:rsidRPr="002A7627">
        <w:rPr>
          <w:rStyle w:val="fontstyle21"/>
          <w:rFonts w:asciiTheme="majorBidi" w:hAnsiTheme="majorBidi" w:cstheme="majorBidi"/>
          <w:vertAlign w:val="subscript"/>
        </w:rPr>
        <w:fldChar w:fldCharType="separate"/>
      </w:r>
      <w:r w:rsidR="007C0420" w:rsidRPr="002A7627">
        <w:rPr>
          <w:rStyle w:val="fontstyle21"/>
          <w:rFonts w:asciiTheme="majorBidi" w:hAnsiTheme="majorBidi" w:cstheme="majorBidi"/>
          <w:noProof/>
        </w:rPr>
        <w:t>(Kline, 2011)</w:t>
      </w:r>
      <w:r w:rsidR="007C0420" w:rsidRPr="002A7627">
        <w:rPr>
          <w:rStyle w:val="fontstyle21"/>
          <w:rFonts w:asciiTheme="majorBidi" w:hAnsiTheme="majorBidi" w:cstheme="majorBidi"/>
          <w:vertAlign w:val="subscript"/>
        </w:rPr>
        <w:fldChar w:fldCharType="end"/>
      </w:r>
      <w:r w:rsidR="007C0420" w:rsidRPr="002A7627">
        <w:rPr>
          <w:rStyle w:val="fontstyle21"/>
          <w:rFonts w:asciiTheme="majorBidi" w:hAnsiTheme="majorBidi" w:cstheme="majorBidi"/>
        </w:rPr>
        <w:t xml:space="preserve"> criterion</w:t>
      </w:r>
      <w:r>
        <w:rPr>
          <w:rStyle w:val="fontstyle21"/>
          <w:rFonts w:asciiTheme="majorBidi" w:hAnsiTheme="majorBidi" w:cstheme="majorBidi"/>
        </w:rPr>
        <w:t xml:space="preserve">, suggesting that there were no </w:t>
      </w:r>
      <w:r w:rsidR="007C0420" w:rsidRPr="002A7627">
        <w:rPr>
          <w:rStyle w:val="fontstyle21"/>
          <w:rFonts w:asciiTheme="majorBidi" w:hAnsiTheme="majorBidi" w:cstheme="majorBidi"/>
        </w:rPr>
        <w:t xml:space="preserve">discriminant validity </w:t>
      </w:r>
      <w:r>
        <w:rPr>
          <w:rStyle w:val="fontstyle21"/>
          <w:rFonts w:asciiTheme="majorBidi" w:hAnsiTheme="majorBidi" w:cstheme="majorBidi"/>
        </w:rPr>
        <w:t>issues</w:t>
      </w:r>
      <w:r w:rsidR="007C0420" w:rsidRPr="002A7627">
        <w:rPr>
          <w:rStyle w:val="fontstyle21"/>
          <w:rFonts w:asciiTheme="majorBidi" w:hAnsiTheme="majorBidi" w:cstheme="majorBidi"/>
        </w:rPr>
        <w:t>.</w:t>
      </w:r>
    </w:p>
    <w:p w14:paraId="20C28C6E" w14:textId="059C7F9B" w:rsidR="007C0420" w:rsidRDefault="007C0420" w:rsidP="007C0420">
      <w:pPr>
        <w:pStyle w:val="AAAAAAA"/>
        <w:rPr>
          <w:rFonts w:asciiTheme="majorBidi" w:hAnsiTheme="majorBidi" w:cstheme="majorBidi"/>
        </w:rPr>
      </w:pPr>
      <w:bookmarkStart w:id="247" w:name="_Toc22331709"/>
      <w:r w:rsidRPr="00332170">
        <w:rPr>
          <w:rStyle w:val="Heading2Char"/>
          <w:u w:val="none"/>
        </w:rPr>
        <w:t>5.3.3.3. Collinearity</w:t>
      </w:r>
      <w:bookmarkEnd w:id="247"/>
      <w:r w:rsidRPr="002A7627">
        <w:rPr>
          <w:rStyle w:val="fontstyle01"/>
          <w:rFonts w:asciiTheme="majorBidi" w:hAnsiTheme="majorBidi"/>
          <w:bCs/>
        </w:rPr>
        <w:t xml:space="preserve">. </w:t>
      </w:r>
      <w:r w:rsidR="00562705" w:rsidRPr="007566C2">
        <w:rPr>
          <w:rStyle w:val="fontstyle01"/>
          <w:rFonts w:asciiTheme="majorBidi" w:hAnsiTheme="majorBidi" w:cstheme="majorBidi"/>
        </w:rPr>
        <w:t>When assessing structural models</w:t>
      </w:r>
      <w:r w:rsidRPr="002A7627">
        <w:rPr>
          <w:rStyle w:val="fontstyle01"/>
          <w:rFonts w:asciiTheme="majorBidi" w:hAnsiTheme="majorBidi" w:cstheme="majorBidi"/>
        </w:rPr>
        <w:t xml:space="preserve">, </w:t>
      </w:r>
      <w:r w:rsidR="00137032">
        <w:rPr>
          <w:rStyle w:val="fontstyle01"/>
          <w:rFonts w:asciiTheme="majorBidi" w:hAnsiTheme="majorBidi" w:cstheme="majorBidi"/>
        </w:rPr>
        <w:t xml:space="preserve">it is important to check </w:t>
      </w:r>
      <w:r>
        <w:rPr>
          <w:rStyle w:val="fontstyle01"/>
          <w:rFonts w:asciiTheme="majorBidi" w:hAnsiTheme="majorBidi" w:cstheme="majorBidi"/>
        </w:rPr>
        <w:t>the absence of</w:t>
      </w:r>
      <w:r w:rsidRPr="002A7627">
        <w:rPr>
          <w:rStyle w:val="fontstyle01"/>
          <w:rFonts w:asciiTheme="majorBidi" w:hAnsiTheme="majorBidi" w:cstheme="majorBidi"/>
        </w:rPr>
        <w:t xml:space="preserve"> collinearity issues in the structural model (or </w:t>
      </w:r>
      <w:r>
        <w:rPr>
          <w:rStyle w:val="fontstyle01"/>
          <w:rFonts w:asciiTheme="majorBidi" w:hAnsiTheme="majorBidi" w:cstheme="majorBidi"/>
        </w:rPr>
        <w:t xml:space="preserve">the </w:t>
      </w:r>
      <w:r w:rsidRPr="002A7627">
        <w:rPr>
          <w:rStyle w:val="fontstyle01"/>
          <w:rFonts w:asciiTheme="majorBidi" w:hAnsiTheme="majorBidi" w:cstheme="majorBidi"/>
        </w:rPr>
        <w:t>inner model). Collinearity typically occurs when two variables</w:t>
      </w:r>
      <w:r w:rsidR="00137032">
        <w:rPr>
          <w:rStyle w:val="fontstyle01"/>
          <w:rFonts w:asciiTheme="majorBidi" w:hAnsiTheme="majorBidi" w:cstheme="majorBidi"/>
        </w:rPr>
        <w:t xml:space="preserve"> that</w:t>
      </w:r>
      <w:r w:rsidRPr="002A7627">
        <w:rPr>
          <w:rStyle w:val="fontstyle01"/>
          <w:rFonts w:asciiTheme="majorBidi" w:hAnsiTheme="majorBidi" w:cstheme="majorBidi"/>
        </w:rPr>
        <w:t xml:space="preserve"> are hypothesized to have a causal relationship</w:t>
      </w:r>
      <w:r w:rsidR="00137032">
        <w:rPr>
          <w:rStyle w:val="fontstyle01"/>
          <w:rFonts w:asciiTheme="majorBidi" w:hAnsiTheme="majorBidi" w:cstheme="majorBidi"/>
        </w:rPr>
        <w:t xml:space="preserve"> actually</w:t>
      </w:r>
      <w:r w:rsidRPr="002A7627">
        <w:rPr>
          <w:rStyle w:val="fontstyle01"/>
          <w:rFonts w:asciiTheme="majorBidi" w:hAnsiTheme="majorBidi" w:cstheme="majorBidi"/>
        </w:rPr>
        <w:t xml:space="preserve"> measur</w:t>
      </w:r>
      <w:r>
        <w:rPr>
          <w:rStyle w:val="fontstyle01"/>
          <w:rFonts w:asciiTheme="majorBidi" w:hAnsiTheme="majorBidi" w:cstheme="majorBidi"/>
        </w:rPr>
        <w:t>e</w:t>
      </w:r>
      <w:r w:rsidRPr="002A7627">
        <w:rPr>
          <w:rStyle w:val="fontstyle01"/>
          <w:rFonts w:asciiTheme="majorBidi" w:hAnsiTheme="majorBidi" w:cstheme="majorBidi"/>
        </w:rPr>
        <w:t xml:space="preserve"> the same construct. </w:t>
      </w:r>
      <w:r>
        <w:rPr>
          <w:rStyle w:val="fontstyle01"/>
          <w:rFonts w:asciiTheme="majorBidi" w:hAnsiTheme="majorBidi" w:cstheme="majorBidi"/>
        </w:rPr>
        <w:t>As a consequence</w:t>
      </w:r>
      <w:r w:rsidRPr="002A7627">
        <w:rPr>
          <w:rStyle w:val="fontstyle01"/>
          <w:rFonts w:asciiTheme="majorBidi" w:hAnsiTheme="majorBidi" w:cstheme="majorBidi"/>
        </w:rPr>
        <w:t xml:space="preserve">, predictor-criterion collinearity may subtly mislead </w:t>
      </w:r>
      <w:r w:rsidR="00137032">
        <w:rPr>
          <w:rStyle w:val="fontstyle01"/>
          <w:rFonts w:asciiTheme="majorBidi" w:hAnsiTheme="majorBidi" w:cstheme="majorBidi"/>
        </w:rPr>
        <w:t>because this</w:t>
      </w:r>
      <w:r w:rsidRPr="002A7627">
        <w:rPr>
          <w:rStyle w:val="fontstyle01"/>
          <w:rFonts w:asciiTheme="majorBidi" w:hAnsiTheme="majorBidi" w:cstheme="majorBidi"/>
        </w:rPr>
        <w:t xml:space="preserve"> weaken</w:t>
      </w:r>
      <w:r>
        <w:rPr>
          <w:rStyle w:val="fontstyle01"/>
          <w:rFonts w:asciiTheme="majorBidi" w:hAnsiTheme="majorBidi" w:cstheme="majorBidi"/>
        </w:rPr>
        <w:t>s</w:t>
      </w:r>
      <w:r w:rsidRPr="002A7627">
        <w:rPr>
          <w:rStyle w:val="fontstyle01"/>
          <w:rFonts w:asciiTheme="majorBidi" w:hAnsiTheme="majorBidi" w:cstheme="majorBidi"/>
        </w:rPr>
        <w:t xml:space="preserve"> strong causal effects in </w:t>
      </w:r>
      <w:r>
        <w:rPr>
          <w:rStyle w:val="fontstyle01"/>
          <w:rFonts w:asciiTheme="majorBidi" w:hAnsiTheme="majorBidi" w:cstheme="majorBidi"/>
        </w:rPr>
        <w:t>a</w:t>
      </w:r>
      <w:r w:rsidRPr="002A7627">
        <w:rPr>
          <w:rStyle w:val="fontstyle01"/>
          <w:rFonts w:asciiTheme="majorBidi" w:hAnsiTheme="majorBidi" w:cstheme="majorBidi"/>
        </w:rPr>
        <w:t xml:space="preserve"> structural model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{"citationItems":[{"id":"ITEM-1","itemData":{"DOI":"10.1108/IMDS-09-2015-0382","ISBN":"0263557111","ISSN":"0263-5577","PMID":"21409434","abstract":"Purpose – Partial least squares (PLS) path modeling is a variance-based structural equation modeling (SEM) technique that is widely applied in business and social sciences. Its ability to model composites and factors makes it a formidable statistical tool for new technology research. Recent reviews, discussions, and developments have led to substantial changes in the understanding and use of PLS. The paper aims to discuss these issues. Design/methodology/approach – This paper aggregates new insights and offers a fresh look at PLS path modeling. It presents new developments, such as consistent PLS, confirmatory composite analysis, and the heterotrait-monotrait ratio of correlations. Findings – PLS path modeling is the method of choice if a SEM contains both factors and composites. Novel tests of exact fit make a confirmatory use of PLS path modeling possible. Originality/value – This paper provides updated guidelines of how to use PLS and how to report and interpret its results.","author":[{"dropping-particle":"","family":"Henseler","given":"Jörg","non-dropping-particle":"","parse-names":false,"suffix":""},{"dropping-particle":"","family":"Hubona","given":"Geoffrey","non-dropping-particle":"","parse-names":false,"suffix":""},{"dropping-particle":"","family":"Ray","given":"Pauline Ash","non-dropping-particle":"","parse-names":false,"suffix":""}],"container-title":"Industrial Management and Data Systems","id":"ITEM-1","issue":"1","issued":{"date-parts":[["2016","2"]]},"page":"2-20","title":"Using PLS path modeling in new technology research: Updated guidelines","type":"article-journal","volume":"116"},"uris":["http://www.mendeley.com/documents/?uuid=09b5e4c5-6228-4008-ba38-cd2bf7202710"]}],"mendeley":{"formattedCitation":"(Henseler et al., 2016)","plainTextFormattedCitation":"(Henseler et al., 2016)","previouslyFormattedCitation":"(Henseler et al., 2016)"},"properties":{"noteIndex":0},"schema":"https://github.com/citation-style-language/schema/raw/master/csl-citation.json"}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(Henseler et al., 2016)</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 xml:space="preserve">. </w:t>
      </w:r>
      <w:r w:rsidR="00137032">
        <w:rPr>
          <w:rStyle w:val="fontstyle01"/>
          <w:rFonts w:asciiTheme="majorBidi" w:hAnsiTheme="majorBidi" w:cstheme="majorBidi"/>
        </w:rPr>
        <w:t>T</w:t>
      </w:r>
      <w:r w:rsidRPr="002A7627">
        <w:rPr>
          <w:rStyle w:val="fontstyle01"/>
          <w:rFonts w:asciiTheme="majorBidi" w:hAnsiTheme="majorBidi" w:cstheme="majorBidi"/>
        </w:rPr>
        <w:t xml:space="preserve">o assess the collinearity, the VIF is often used. </w:t>
      </w:r>
      <w:r w:rsidR="00137032">
        <w:rPr>
          <w:rStyle w:val="fontstyle01"/>
          <w:rFonts w:asciiTheme="majorBidi" w:hAnsiTheme="majorBidi" w:cstheme="majorBidi"/>
        </w:rPr>
        <w:t xml:space="preserve">A </w:t>
      </w:r>
      <w:r w:rsidRPr="002A7627">
        <w:rPr>
          <w:rStyle w:val="fontstyle01"/>
          <w:rFonts w:asciiTheme="majorBidi" w:hAnsiTheme="majorBidi" w:cstheme="majorBidi"/>
        </w:rPr>
        <w:t>VIF greater than 5</w:t>
      </w:r>
      <w:r w:rsidR="00137032">
        <w:rPr>
          <w:rStyle w:val="fontstyle01"/>
          <w:rFonts w:asciiTheme="majorBidi" w:hAnsiTheme="majorBidi" w:cstheme="majorBidi"/>
        </w:rPr>
        <w:t xml:space="preserve"> suggests </w:t>
      </w:r>
      <w:r w:rsidRPr="002A7627">
        <w:rPr>
          <w:rStyle w:val="fontstyle01"/>
          <w:rFonts w:asciiTheme="majorBidi" w:hAnsiTheme="majorBidi" w:cstheme="majorBidi"/>
        </w:rPr>
        <w:t xml:space="preserve">a potential collinearity problem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{"citationItems":[{"id":"ITEM-1","itemData":{"DOI":"10.1108/EBR-11-2018-0203","ISSN":"0955534X","abstract":"Purpose –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 This paper provides an overview of previously and recently proposed metrics as well as rules of thumb for evaluating the research results based on the application of PLS-SEM. Findings –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 Methodological developments associated with PLS-SEM are rapidly emerging. The metrics reported in this paper are useful for current applications, but must always be up to date with the latest developments in the PLS-SEM method. Originality/value –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PLS-SEM","type":"article-journal","volume":"31"},"uris":["http://www.mendeley.com/documents/?uuid=632893ee-4602-4bf3-9c88-ab5a48d4eeca"]}],"mendeley":{"formattedCitation":"(Hair et al., 2019)","plainTextFormattedCitation":"(Hair et al., 2019)","previouslyFormattedCitation":"(Hair et al., 2019)"},"properties":{"noteIndex":0},"schema":"https://github.com/citation-style-language/schema/raw/master/csl-citation.json"}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(Hair et al., 2019)</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w:t>
      </w:r>
      <w:r w:rsidRPr="002A7627" w:rsidDel="00A65305">
        <w:rPr>
          <w:rStyle w:val="fontstyle01"/>
          <w:rFonts w:asciiTheme="majorBidi" w:hAnsiTheme="majorBidi" w:cstheme="majorBidi"/>
        </w:rPr>
        <w:t xml:space="preserve"> </w:t>
      </w:r>
      <w:r w:rsidRPr="002A7627">
        <w:rPr>
          <w:rStyle w:val="fontstyle01"/>
          <w:rFonts w:asciiTheme="majorBidi" w:hAnsiTheme="majorBidi" w:cstheme="majorBidi"/>
        </w:rPr>
        <w:t xml:space="preserve">Table 21 </w:t>
      </w:r>
      <w:r w:rsidR="00137032">
        <w:rPr>
          <w:rStyle w:val="fontstyle01"/>
          <w:rFonts w:asciiTheme="majorBidi" w:hAnsiTheme="majorBidi" w:cstheme="majorBidi"/>
        </w:rPr>
        <w:t>shows</w:t>
      </w:r>
      <w:r w:rsidR="00137032" w:rsidRPr="002A7627">
        <w:rPr>
          <w:rStyle w:val="fontstyle01"/>
          <w:rFonts w:asciiTheme="majorBidi" w:hAnsiTheme="majorBidi" w:cstheme="majorBidi"/>
        </w:rPr>
        <w:t xml:space="preserve"> </w:t>
      </w:r>
      <w:r w:rsidRPr="002A7627">
        <w:rPr>
          <w:rStyle w:val="fontstyle01"/>
          <w:rFonts w:asciiTheme="majorBidi" w:hAnsiTheme="majorBidi" w:cstheme="majorBidi"/>
        </w:rPr>
        <w:t xml:space="preserve">the results of testing </w:t>
      </w:r>
      <w:r w:rsidR="00137032">
        <w:rPr>
          <w:rStyle w:val="fontstyle01"/>
          <w:rFonts w:asciiTheme="majorBidi" w:hAnsiTheme="majorBidi" w:cstheme="majorBidi"/>
        </w:rPr>
        <w:t xml:space="preserve">for </w:t>
      </w:r>
      <w:r w:rsidRPr="002A7627">
        <w:rPr>
          <w:rStyle w:val="fontstyle01"/>
          <w:rFonts w:asciiTheme="majorBidi" w:hAnsiTheme="majorBidi" w:cstheme="majorBidi"/>
        </w:rPr>
        <w:t xml:space="preserve">collinearity. </w:t>
      </w:r>
    </w:p>
    <w:p w14:paraId="62920F7B" w14:textId="446BF02C" w:rsidR="007C0420" w:rsidRPr="001D5F54" w:rsidRDefault="007C0420" w:rsidP="007C0420">
      <w:pPr>
        <w:pStyle w:val="Caption"/>
        <w:keepNext/>
        <w:rPr>
          <w:color w:val="000000"/>
          <w:szCs w:val="24"/>
        </w:rPr>
      </w:pPr>
      <w:bookmarkStart w:id="248" w:name="_Toc19478599"/>
      <w:bookmarkStart w:id="249" w:name="_Toc21074089"/>
      <w:r>
        <w:t xml:space="preserve">Table </w:t>
      </w:r>
      <w:r w:rsidR="00606D42">
        <w:rPr>
          <w:noProof/>
        </w:rPr>
        <w:fldChar w:fldCharType="begin"/>
      </w:r>
      <w:r w:rsidR="00606D42">
        <w:rPr>
          <w:noProof/>
        </w:rPr>
        <w:instrText xml:space="preserve"> SEQ Table \* ARABIC </w:instrText>
      </w:r>
      <w:r w:rsidR="00606D42">
        <w:rPr>
          <w:noProof/>
        </w:rPr>
        <w:fldChar w:fldCharType="separate"/>
      </w:r>
      <w:r w:rsidR="00972C3F">
        <w:rPr>
          <w:noProof/>
        </w:rPr>
        <w:t>21</w:t>
      </w:r>
      <w:r w:rsidR="00606D42">
        <w:rPr>
          <w:noProof/>
        </w:rPr>
        <w:fldChar w:fldCharType="end"/>
      </w:r>
      <w:r>
        <w:t xml:space="preserve">. </w:t>
      </w:r>
      <w:r w:rsidRPr="00F51CD9">
        <w:t>Collinearity statistics of the items</w:t>
      </w:r>
      <w:bookmarkEnd w:id="248"/>
      <w:bookmarkEnd w:id="249"/>
    </w:p>
    <w:tbl>
      <w:tblPr>
        <w:tblStyle w:val="APAReport"/>
        <w:tblW w:w="7910" w:type="dxa"/>
        <w:tblLook w:val="04A0" w:firstRow="1" w:lastRow="0" w:firstColumn="1" w:lastColumn="0" w:noHBand="0" w:noVBand="1"/>
      </w:tblPr>
      <w:tblGrid>
        <w:gridCol w:w="3955"/>
        <w:gridCol w:w="3955"/>
      </w:tblGrid>
      <w:tr w:rsidR="007C0420" w:rsidRPr="002A7627" w14:paraId="3B5FDFBD" w14:textId="77777777" w:rsidTr="00DC1DF9">
        <w:trPr>
          <w:cnfStyle w:val="100000000000" w:firstRow="1" w:lastRow="0" w:firstColumn="0" w:lastColumn="0" w:oddVBand="0" w:evenVBand="0" w:oddHBand="0" w:evenHBand="0" w:firstRowFirstColumn="0" w:firstRowLastColumn="0" w:lastRowFirstColumn="0" w:lastRowLastColumn="0"/>
          <w:tblHeader/>
        </w:trPr>
        <w:tc>
          <w:tcPr>
            <w:tcW w:w="3955" w:type="dxa"/>
            <w:tcBorders>
              <w:top w:val="single" w:sz="4" w:space="0" w:color="auto"/>
              <w:bottom w:val="single" w:sz="4" w:space="0" w:color="auto"/>
            </w:tcBorders>
          </w:tcPr>
          <w:p w14:paraId="1868D261" w14:textId="77777777" w:rsidR="007C0420" w:rsidRPr="002A7627" w:rsidRDefault="007C0420" w:rsidP="00DC1DF9">
            <w:pPr>
              <w:rPr>
                <w:lang w:bidi="en-US"/>
              </w:rPr>
            </w:pPr>
            <w:r w:rsidRPr="002A7627">
              <w:rPr>
                <w:rFonts w:asciiTheme="majorBidi" w:hAnsiTheme="majorBidi" w:cstheme="majorBidi"/>
                <w:b/>
                <w:bCs/>
              </w:rPr>
              <w:t>Item</w:t>
            </w:r>
          </w:p>
        </w:tc>
        <w:tc>
          <w:tcPr>
            <w:tcW w:w="3955" w:type="dxa"/>
            <w:tcBorders>
              <w:top w:val="single" w:sz="4" w:space="0" w:color="auto"/>
              <w:bottom w:val="single" w:sz="4" w:space="0" w:color="auto"/>
            </w:tcBorders>
          </w:tcPr>
          <w:p w14:paraId="085B8DE9" w14:textId="77777777" w:rsidR="007C0420" w:rsidRPr="002A7627" w:rsidRDefault="007C0420" w:rsidP="00DC1DF9">
            <w:pPr>
              <w:rPr>
                <w:lang w:bidi="en-US"/>
              </w:rPr>
            </w:pPr>
            <w:r w:rsidRPr="002A7627">
              <w:rPr>
                <w:rFonts w:asciiTheme="majorBidi" w:hAnsiTheme="majorBidi" w:cstheme="majorBidi"/>
                <w:b/>
                <w:bCs/>
              </w:rPr>
              <w:t>VIF</w:t>
            </w:r>
          </w:p>
        </w:tc>
      </w:tr>
      <w:tr w:rsidR="007C0420" w:rsidRPr="002A7627" w14:paraId="1CF1AE87" w14:textId="77777777" w:rsidTr="00DC1DF9">
        <w:tc>
          <w:tcPr>
            <w:tcW w:w="3955" w:type="dxa"/>
            <w:tcBorders>
              <w:top w:val="single" w:sz="4" w:space="0" w:color="auto"/>
            </w:tcBorders>
          </w:tcPr>
          <w:p w14:paraId="6817230F" w14:textId="77777777" w:rsidR="007C0420" w:rsidRPr="002A7627" w:rsidRDefault="007C0420" w:rsidP="00DC1DF9">
            <w:pPr>
              <w:rPr>
                <w:lang w:bidi="en-US"/>
              </w:rPr>
            </w:pPr>
            <w:r w:rsidRPr="002A7627">
              <w:rPr>
                <w:rFonts w:asciiTheme="majorBidi" w:hAnsiTheme="majorBidi" w:cstheme="majorBidi"/>
              </w:rPr>
              <w:t>KMC1</w:t>
            </w:r>
          </w:p>
        </w:tc>
        <w:tc>
          <w:tcPr>
            <w:tcW w:w="3955" w:type="dxa"/>
            <w:tcBorders>
              <w:top w:val="single" w:sz="4" w:space="0" w:color="auto"/>
            </w:tcBorders>
          </w:tcPr>
          <w:p w14:paraId="5AA8E8A3" w14:textId="77777777" w:rsidR="007C0420" w:rsidRPr="002A7627" w:rsidRDefault="007C0420" w:rsidP="00DC1DF9">
            <w:pPr>
              <w:rPr>
                <w:lang w:bidi="en-US"/>
              </w:rPr>
            </w:pPr>
            <w:r w:rsidRPr="002A7627">
              <w:rPr>
                <w:rFonts w:asciiTheme="majorBidi" w:hAnsiTheme="majorBidi" w:cstheme="majorBidi"/>
              </w:rPr>
              <w:t>2.024</w:t>
            </w:r>
          </w:p>
        </w:tc>
      </w:tr>
      <w:tr w:rsidR="007C0420" w:rsidRPr="002A7627" w14:paraId="18658C1D" w14:textId="77777777" w:rsidTr="00DC1DF9">
        <w:tc>
          <w:tcPr>
            <w:tcW w:w="3955" w:type="dxa"/>
          </w:tcPr>
          <w:p w14:paraId="7EC12770" w14:textId="77777777" w:rsidR="007C0420" w:rsidRPr="002A7627" w:rsidRDefault="007C0420" w:rsidP="00DC1DF9">
            <w:pPr>
              <w:rPr>
                <w:lang w:bidi="en-US"/>
              </w:rPr>
            </w:pPr>
            <w:r w:rsidRPr="002A7627">
              <w:rPr>
                <w:rFonts w:asciiTheme="majorBidi" w:hAnsiTheme="majorBidi" w:cstheme="majorBidi"/>
              </w:rPr>
              <w:t>KMC2</w:t>
            </w:r>
          </w:p>
        </w:tc>
        <w:tc>
          <w:tcPr>
            <w:tcW w:w="3955" w:type="dxa"/>
          </w:tcPr>
          <w:p w14:paraId="5312EEF2" w14:textId="77777777" w:rsidR="007C0420" w:rsidRPr="002A7627" w:rsidRDefault="007C0420" w:rsidP="00DC1DF9">
            <w:pPr>
              <w:rPr>
                <w:lang w:bidi="en-US"/>
              </w:rPr>
            </w:pPr>
            <w:r w:rsidRPr="002A7627">
              <w:rPr>
                <w:rFonts w:asciiTheme="majorBidi" w:hAnsiTheme="majorBidi" w:cstheme="majorBidi"/>
              </w:rPr>
              <w:t>2.885</w:t>
            </w:r>
          </w:p>
        </w:tc>
      </w:tr>
      <w:tr w:rsidR="007C0420" w:rsidRPr="002A7627" w14:paraId="2F42F1B0" w14:textId="77777777" w:rsidTr="00DC1DF9">
        <w:tc>
          <w:tcPr>
            <w:tcW w:w="3955" w:type="dxa"/>
          </w:tcPr>
          <w:p w14:paraId="0ABCF1FB" w14:textId="77777777" w:rsidR="007C0420" w:rsidRPr="002A7627" w:rsidRDefault="007C0420" w:rsidP="00DC1DF9">
            <w:pPr>
              <w:rPr>
                <w:lang w:bidi="en-US"/>
              </w:rPr>
            </w:pPr>
            <w:r w:rsidRPr="002A7627">
              <w:rPr>
                <w:rFonts w:asciiTheme="majorBidi" w:hAnsiTheme="majorBidi" w:cstheme="majorBidi"/>
              </w:rPr>
              <w:t>KMC3</w:t>
            </w:r>
          </w:p>
        </w:tc>
        <w:tc>
          <w:tcPr>
            <w:tcW w:w="3955" w:type="dxa"/>
          </w:tcPr>
          <w:p w14:paraId="0D9BDB91" w14:textId="77777777" w:rsidR="007C0420" w:rsidRPr="002A7627" w:rsidRDefault="007C0420" w:rsidP="00DC1DF9">
            <w:pPr>
              <w:rPr>
                <w:lang w:bidi="en-US"/>
              </w:rPr>
            </w:pPr>
            <w:r w:rsidRPr="002A7627">
              <w:rPr>
                <w:rFonts w:asciiTheme="majorBidi" w:hAnsiTheme="majorBidi" w:cstheme="majorBidi"/>
              </w:rPr>
              <w:t>1.982</w:t>
            </w:r>
          </w:p>
        </w:tc>
      </w:tr>
      <w:tr w:rsidR="007C0420" w:rsidRPr="002A7627" w14:paraId="1ACBB657" w14:textId="77777777" w:rsidTr="00DC1DF9">
        <w:tc>
          <w:tcPr>
            <w:tcW w:w="3955" w:type="dxa"/>
          </w:tcPr>
          <w:p w14:paraId="363EC6A1" w14:textId="77777777" w:rsidR="007C0420" w:rsidRPr="002A7627" w:rsidRDefault="007C0420" w:rsidP="00DC1DF9">
            <w:pPr>
              <w:rPr>
                <w:lang w:bidi="en-US"/>
              </w:rPr>
            </w:pPr>
            <w:r w:rsidRPr="002A7627">
              <w:rPr>
                <w:rFonts w:asciiTheme="majorBidi" w:hAnsiTheme="majorBidi" w:cstheme="majorBidi"/>
              </w:rPr>
              <w:t>KMC4</w:t>
            </w:r>
          </w:p>
        </w:tc>
        <w:tc>
          <w:tcPr>
            <w:tcW w:w="3955" w:type="dxa"/>
          </w:tcPr>
          <w:p w14:paraId="2156D23A" w14:textId="77777777" w:rsidR="007C0420" w:rsidRPr="002A7627" w:rsidRDefault="007C0420" w:rsidP="00DC1DF9">
            <w:pPr>
              <w:rPr>
                <w:lang w:bidi="en-US"/>
              </w:rPr>
            </w:pPr>
            <w:r w:rsidRPr="002A7627">
              <w:rPr>
                <w:rFonts w:asciiTheme="majorBidi" w:hAnsiTheme="majorBidi" w:cstheme="majorBidi"/>
              </w:rPr>
              <w:t>2.223</w:t>
            </w:r>
          </w:p>
        </w:tc>
      </w:tr>
      <w:tr w:rsidR="007C0420" w:rsidRPr="002A7627" w14:paraId="40E9996C" w14:textId="77777777" w:rsidTr="00DC1DF9">
        <w:tc>
          <w:tcPr>
            <w:tcW w:w="3955" w:type="dxa"/>
          </w:tcPr>
          <w:p w14:paraId="141EF516" w14:textId="77777777" w:rsidR="007C0420" w:rsidRPr="002A7627" w:rsidRDefault="007C0420" w:rsidP="00DC1DF9">
            <w:pPr>
              <w:rPr>
                <w:lang w:bidi="en-US"/>
              </w:rPr>
            </w:pPr>
            <w:r w:rsidRPr="002A7627">
              <w:rPr>
                <w:rFonts w:asciiTheme="majorBidi" w:hAnsiTheme="majorBidi" w:cstheme="majorBidi"/>
              </w:rPr>
              <w:t>EMP1</w:t>
            </w:r>
          </w:p>
        </w:tc>
        <w:tc>
          <w:tcPr>
            <w:tcW w:w="3955" w:type="dxa"/>
          </w:tcPr>
          <w:p w14:paraId="02ACF96E" w14:textId="77777777" w:rsidR="007C0420" w:rsidRPr="002A7627" w:rsidRDefault="007C0420" w:rsidP="00DC1DF9">
            <w:pPr>
              <w:rPr>
                <w:lang w:bidi="en-US"/>
              </w:rPr>
            </w:pPr>
            <w:r w:rsidRPr="002A7627">
              <w:rPr>
                <w:rFonts w:asciiTheme="majorBidi" w:hAnsiTheme="majorBidi" w:cstheme="majorBidi"/>
              </w:rPr>
              <w:t>1.609</w:t>
            </w:r>
          </w:p>
        </w:tc>
      </w:tr>
      <w:tr w:rsidR="007C0420" w:rsidRPr="002A7627" w14:paraId="0A255C48" w14:textId="77777777" w:rsidTr="00DC1DF9">
        <w:tc>
          <w:tcPr>
            <w:tcW w:w="3955" w:type="dxa"/>
          </w:tcPr>
          <w:p w14:paraId="5CAFA15F" w14:textId="77777777" w:rsidR="007C0420" w:rsidRPr="002A7627" w:rsidRDefault="007C0420" w:rsidP="00DC1DF9">
            <w:pPr>
              <w:rPr>
                <w:lang w:bidi="en-US"/>
              </w:rPr>
            </w:pPr>
            <w:r w:rsidRPr="002A7627">
              <w:rPr>
                <w:rFonts w:asciiTheme="majorBidi" w:hAnsiTheme="majorBidi" w:cstheme="majorBidi"/>
              </w:rPr>
              <w:t>EMP2</w:t>
            </w:r>
          </w:p>
        </w:tc>
        <w:tc>
          <w:tcPr>
            <w:tcW w:w="3955" w:type="dxa"/>
          </w:tcPr>
          <w:p w14:paraId="58CEA1E3" w14:textId="77777777" w:rsidR="007C0420" w:rsidRPr="002A7627" w:rsidRDefault="007C0420" w:rsidP="00DC1DF9">
            <w:pPr>
              <w:rPr>
                <w:lang w:bidi="en-US"/>
              </w:rPr>
            </w:pPr>
            <w:r w:rsidRPr="002A7627">
              <w:rPr>
                <w:rFonts w:asciiTheme="majorBidi" w:hAnsiTheme="majorBidi" w:cstheme="majorBidi"/>
              </w:rPr>
              <w:t>1.833</w:t>
            </w:r>
          </w:p>
        </w:tc>
      </w:tr>
      <w:tr w:rsidR="007C0420" w:rsidRPr="002A7627" w14:paraId="4C6706C2" w14:textId="77777777" w:rsidTr="00DC1DF9">
        <w:tc>
          <w:tcPr>
            <w:tcW w:w="3955" w:type="dxa"/>
          </w:tcPr>
          <w:p w14:paraId="5651EF53" w14:textId="77777777" w:rsidR="007C0420" w:rsidRPr="002A7627" w:rsidRDefault="007C0420" w:rsidP="00DC1DF9">
            <w:pPr>
              <w:rPr>
                <w:lang w:bidi="en-US"/>
              </w:rPr>
            </w:pPr>
            <w:r w:rsidRPr="002A7627">
              <w:rPr>
                <w:rFonts w:asciiTheme="majorBidi" w:hAnsiTheme="majorBidi" w:cstheme="majorBidi"/>
              </w:rPr>
              <w:t>EMP3</w:t>
            </w:r>
          </w:p>
        </w:tc>
        <w:tc>
          <w:tcPr>
            <w:tcW w:w="3955" w:type="dxa"/>
          </w:tcPr>
          <w:p w14:paraId="205733B2" w14:textId="77777777" w:rsidR="007C0420" w:rsidRPr="002A7627" w:rsidRDefault="007C0420" w:rsidP="00DC1DF9">
            <w:pPr>
              <w:rPr>
                <w:lang w:bidi="en-US"/>
              </w:rPr>
            </w:pPr>
            <w:r w:rsidRPr="002A7627">
              <w:rPr>
                <w:rFonts w:asciiTheme="majorBidi" w:hAnsiTheme="majorBidi" w:cstheme="majorBidi"/>
              </w:rPr>
              <w:t>1.636</w:t>
            </w:r>
          </w:p>
        </w:tc>
      </w:tr>
      <w:tr w:rsidR="007C0420" w:rsidRPr="002A7627" w14:paraId="5B3C14DF" w14:textId="77777777" w:rsidTr="00DC1DF9">
        <w:tc>
          <w:tcPr>
            <w:tcW w:w="3955" w:type="dxa"/>
          </w:tcPr>
          <w:p w14:paraId="277B2B2D" w14:textId="77777777" w:rsidR="007C0420" w:rsidRPr="002A7627" w:rsidRDefault="007C0420" w:rsidP="00DC1DF9">
            <w:pPr>
              <w:rPr>
                <w:lang w:bidi="en-US"/>
              </w:rPr>
            </w:pPr>
            <w:r w:rsidRPr="002A7627">
              <w:rPr>
                <w:rFonts w:asciiTheme="majorBidi" w:hAnsiTheme="majorBidi" w:cstheme="majorBidi"/>
              </w:rPr>
              <w:t>IMP1</w:t>
            </w:r>
          </w:p>
        </w:tc>
        <w:tc>
          <w:tcPr>
            <w:tcW w:w="3955" w:type="dxa"/>
          </w:tcPr>
          <w:p w14:paraId="3B342A00" w14:textId="77777777" w:rsidR="007C0420" w:rsidRPr="002A7627" w:rsidRDefault="007C0420" w:rsidP="00DC1DF9">
            <w:pPr>
              <w:rPr>
                <w:lang w:bidi="en-US"/>
              </w:rPr>
            </w:pPr>
            <w:r w:rsidRPr="002A7627">
              <w:rPr>
                <w:rFonts w:asciiTheme="majorBidi" w:hAnsiTheme="majorBidi" w:cstheme="majorBidi"/>
              </w:rPr>
              <w:t>1.582</w:t>
            </w:r>
          </w:p>
        </w:tc>
      </w:tr>
      <w:tr w:rsidR="007C0420" w:rsidRPr="002A7627" w14:paraId="67959BF1" w14:textId="77777777" w:rsidTr="00DC1DF9">
        <w:tc>
          <w:tcPr>
            <w:tcW w:w="3955" w:type="dxa"/>
          </w:tcPr>
          <w:p w14:paraId="2AF984CE" w14:textId="77777777" w:rsidR="007C0420" w:rsidRPr="002A7627" w:rsidRDefault="007C0420" w:rsidP="00DC1DF9">
            <w:pPr>
              <w:rPr>
                <w:lang w:bidi="en-US"/>
              </w:rPr>
            </w:pPr>
            <w:r w:rsidRPr="002A7627">
              <w:rPr>
                <w:rFonts w:asciiTheme="majorBidi" w:hAnsiTheme="majorBidi" w:cstheme="majorBidi"/>
              </w:rPr>
              <w:t>IMP2</w:t>
            </w:r>
          </w:p>
        </w:tc>
        <w:tc>
          <w:tcPr>
            <w:tcW w:w="3955" w:type="dxa"/>
          </w:tcPr>
          <w:p w14:paraId="4168ABDA" w14:textId="77777777" w:rsidR="007C0420" w:rsidRPr="002A7627" w:rsidRDefault="007C0420" w:rsidP="00DC1DF9">
            <w:pPr>
              <w:rPr>
                <w:lang w:bidi="en-US"/>
              </w:rPr>
            </w:pPr>
            <w:r w:rsidRPr="002A7627">
              <w:rPr>
                <w:rFonts w:asciiTheme="majorBidi" w:hAnsiTheme="majorBidi" w:cstheme="majorBidi"/>
              </w:rPr>
              <w:t>2.06</w:t>
            </w:r>
          </w:p>
        </w:tc>
      </w:tr>
      <w:tr w:rsidR="007C0420" w:rsidRPr="002A7627" w14:paraId="7F79A1F3" w14:textId="77777777" w:rsidTr="00DC1DF9">
        <w:tc>
          <w:tcPr>
            <w:tcW w:w="3955" w:type="dxa"/>
          </w:tcPr>
          <w:p w14:paraId="718C4CE8" w14:textId="77777777" w:rsidR="007C0420" w:rsidRPr="002A7627" w:rsidRDefault="007C0420" w:rsidP="00DC1DF9">
            <w:pPr>
              <w:rPr>
                <w:lang w:bidi="en-US"/>
              </w:rPr>
            </w:pPr>
            <w:r w:rsidRPr="002A7627">
              <w:rPr>
                <w:rFonts w:asciiTheme="majorBidi" w:hAnsiTheme="majorBidi" w:cstheme="majorBidi"/>
              </w:rPr>
              <w:t>IMP3</w:t>
            </w:r>
          </w:p>
        </w:tc>
        <w:tc>
          <w:tcPr>
            <w:tcW w:w="3955" w:type="dxa"/>
          </w:tcPr>
          <w:p w14:paraId="2E6F50C0" w14:textId="77777777" w:rsidR="007C0420" w:rsidRPr="002A7627" w:rsidRDefault="007C0420" w:rsidP="00DC1DF9">
            <w:pPr>
              <w:rPr>
                <w:lang w:bidi="en-US"/>
              </w:rPr>
            </w:pPr>
            <w:r w:rsidRPr="002A7627">
              <w:rPr>
                <w:rFonts w:asciiTheme="majorBidi" w:hAnsiTheme="majorBidi" w:cstheme="majorBidi"/>
              </w:rPr>
              <w:t>1.901</w:t>
            </w:r>
          </w:p>
        </w:tc>
      </w:tr>
      <w:tr w:rsidR="007C0420" w:rsidRPr="002A7627" w14:paraId="59EF9CB8" w14:textId="77777777" w:rsidTr="00DC1DF9">
        <w:tc>
          <w:tcPr>
            <w:tcW w:w="3955" w:type="dxa"/>
          </w:tcPr>
          <w:p w14:paraId="7846DD10" w14:textId="77777777" w:rsidR="007C0420" w:rsidRPr="002A7627" w:rsidRDefault="007C0420" w:rsidP="00DC1DF9">
            <w:pPr>
              <w:rPr>
                <w:lang w:bidi="en-US"/>
              </w:rPr>
            </w:pPr>
            <w:r w:rsidRPr="002A7627">
              <w:rPr>
                <w:rFonts w:asciiTheme="majorBidi" w:hAnsiTheme="majorBidi" w:cstheme="majorBidi"/>
              </w:rPr>
              <w:t>OL1</w:t>
            </w:r>
          </w:p>
        </w:tc>
        <w:tc>
          <w:tcPr>
            <w:tcW w:w="3955" w:type="dxa"/>
          </w:tcPr>
          <w:p w14:paraId="519B9D55" w14:textId="77777777" w:rsidR="007C0420" w:rsidRPr="002A7627" w:rsidRDefault="007C0420" w:rsidP="00DC1DF9">
            <w:pPr>
              <w:rPr>
                <w:lang w:bidi="en-US"/>
              </w:rPr>
            </w:pPr>
            <w:r w:rsidRPr="002A7627">
              <w:rPr>
                <w:rFonts w:asciiTheme="majorBidi" w:hAnsiTheme="majorBidi" w:cstheme="majorBidi"/>
              </w:rPr>
              <w:t>4.097</w:t>
            </w:r>
          </w:p>
        </w:tc>
      </w:tr>
      <w:tr w:rsidR="007C0420" w:rsidRPr="002A7627" w14:paraId="0D5E9216" w14:textId="77777777" w:rsidTr="00DC1DF9">
        <w:tc>
          <w:tcPr>
            <w:tcW w:w="3955" w:type="dxa"/>
          </w:tcPr>
          <w:p w14:paraId="585C2CB0" w14:textId="77777777" w:rsidR="007C0420" w:rsidRPr="002A7627" w:rsidRDefault="007C0420" w:rsidP="00DC1DF9">
            <w:pPr>
              <w:rPr>
                <w:lang w:bidi="en-US"/>
              </w:rPr>
            </w:pPr>
            <w:r w:rsidRPr="002A7627">
              <w:rPr>
                <w:rFonts w:asciiTheme="majorBidi" w:hAnsiTheme="majorBidi" w:cstheme="majorBidi"/>
              </w:rPr>
              <w:t>OL2</w:t>
            </w:r>
          </w:p>
        </w:tc>
        <w:tc>
          <w:tcPr>
            <w:tcW w:w="3955" w:type="dxa"/>
          </w:tcPr>
          <w:p w14:paraId="632B40B7" w14:textId="77777777" w:rsidR="007C0420" w:rsidRPr="002A7627" w:rsidRDefault="007C0420" w:rsidP="00DC1DF9">
            <w:pPr>
              <w:rPr>
                <w:lang w:bidi="en-US"/>
              </w:rPr>
            </w:pPr>
            <w:r w:rsidRPr="002A7627">
              <w:rPr>
                <w:rFonts w:asciiTheme="majorBidi" w:hAnsiTheme="majorBidi" w:cstheme="majorBidi"/>
              </w:rPr>
              <w:t>4.01</w:t>
            </w:r>
          </w:p>
        </w:tc>
      </w:tr>
      <w:tr w:rsidR="007C0420" w:rsidRPr="002A7627" w14:paraId="05591B0B" w14:textId="77777777" w:rsidTr="00DC1DF9">
        <w:tc>
          <w:tcPr>
            <w:tcW w:w="3955" w:type="dxa"/>
          </w:tcPr>
          <w:p w14:paraId="00171529" w14:textId="77777777" w:rsidR="007C0420" w:rsidRPr="002A7627" w:rsidRDefault="007C0420" w:rsidP="00DC1DF9">
            <w:pPr>
              <w:rPr>
                <w:lang w:bidi="en-US"/>
              </w:rPr>
            </w:pPr>
            <w:r w:rsidRPr="002A7627">
              <w:rPr>
                <w:rFonts w:asciiTheme="majorBidi" w:hAnsiTheme="majorBidi" w:cstheme="majorBidi"/>
              </w:rPr>
              <w:t>OL3</w:t>
            </w:r>
          </w:p>
        </w:tc>
        <w:tc>
          <w:tcPr>
            <w:tcW w:w="3955" w:type="dxa"/>
          </w:tcPr>
          <w:p w14:paraId="10937E18" w14:textId="77777777" w:rsidR="007C0420" w:rsidRPr="002A7627" w:rsidRDefault="007C0420" w:rsidP="00DC1DF9">
            <w:pPr>
              <w:rPr>
                <w:lang w:bidi="en-US"/>
              </w:rPr>
            </w:pPr>
            <w:r w:rsidRPr="002A7627">
              <w:rPr>
                <w:rFonts w:asciiTheme="majorBidi" w:hAnsiTheme="majorBidi" w:cstheme="majorBidi"/>
              </w:rPr>
              <w:t>3.991</w:t>
            </w:r>
          </w:p>
        </w:tc>
      </w:tr>
      <w:tr w:rsidR="007C0420" w:rsidRPr="002A7627" w14:paraId="6525810E" w14:textId="77777777" w:rsidTr="00DC1DF9">
        <w:tc>
          <w:tcPr>
            <w:tcW w:w="3955" w:type="dxa"/>
          </w:tcPr>
          <w:p w14:paraId="466F183B" w14:textId="77777777" w:rsidR="007C0420" w:rsidRPr="002A7627" w:rsidRDefault="007C0420" w:rsidP="00DC1DF9">
            <w:pPr>
              <w:rPr>
                <w:lang w:bidi="en-US"/>
              </w:rPr>
            </w:pPr>
            <w:r w:rsidRPr="002A7627">
              <w:rPr>
                <w:rFonts w:asciiTheme="majorBidi" w:hAnsiTheme="majorBidi" w:cstheme="majorBidi"/>
              </w:rPr>
              <w:t>OL4</w:t>
            </w:r>
          </w:p>
        </w:tc>
        <w:tc>
          <w:tcPr>
            <w:tcW w:w="3955" w:type="dxa"/>
          </w:tcPr>
          <w:p w14:paraId="2F016FA9" w14:textId="77777777" w:rsidR="007C0420" w:rsidRPr="002A7627" w:rsidRDefault="007C0420" w:rsidP="00DC1DF9">
            <w:pPr>
              <w:rPr>
                <w:lang w:bidi="en-US"/>
              </w:rPr>
            </w:pPr>
            <w:r w:rsidRPr="002A7627">
              <w:rPr>
                <w:rFonts w:asciiTheme="majorBidi" w:hAnsiTheme="majorBidi" w:cstheme="majorBidi"/>
              </w:rPr>
              <w:t>2.417</w:t>
            </w:r>
          </w:p>
        </w:tc>
      </w:tr>
      <w:tr w:rsidR="007C0420" w:rsidRPr="002A7627" w14:paraId="41D30F01" w14:textId="77777777" w:rsidTr="00DC1DF9">
        <w:tc>
          <w:tcPr>
            <w:tcW w:w="3955" w:type="dxa"/>
          </w:tcPr>
          <w:p w14:paraId="6AD4EE0B" w14:textId="77777777" w:rsidR="007C0420" w:rsidRPr="002A7627" w:rsidRDefault="007C0420" w:rsidP="00DC1DF9">
            <w:pPr>
              <w:rPr>
                <w:lang w:bidi="en-US"/>
              </w:rPr>
            </w:pPr>
            <w:r w:rsidRPr="002A7627">
              <w:rPr>
                <w:rFonts w:asciiTheme="majorBidi" w:hAnsiTheme="majorBidi" w:cstheme="majorBidi"/>
              </w:rPr>
              <w:t>OP1</w:t>
            </w:r>
          </w:p>
        </w:tc>
        <w:tc>
          <w:tcPr>
            <w:tcW w:w="3955" w:type="dxa"/>
          </w:tcPr>
          <w:p w14:paraId="05BD14C9" w14:textId="77777777" w:rsidR="007C0420" w:rsidRPr="002A7627" w:rsidRDefault="007C0420" w:rsidP="00DC1DF9">
            <w:pPr>
              <w:rPr>
                <w:lang w:bidi="en-US"/>
              </w:rPr>
            </w:pPr>
            <w:r w:rsidRPr="002A7627">
              <w:rPr>
                <w:rFonts w:asciiTheme="majorBidi" w:hAnsiTheme="majorBidi" w:cstheme="majorBidi"/>
              </w:rPr>
              <w:t>2.238</w:t>
            </w:r>
          </w:p>
        </w:tc>
      </w:tr>
      <w:tr w:rsidR="007C0420" w:rsidRPr="002A7627" w14:paraId="3DBD8FCE" w14:textId="77777777" w:rsidTr="00DC1DF9">
        <w:tc>
          <w:tcPr>
            <w:tcW w:w="3955" w:type="dxa"/>
          </w:tcPr>
          <w:p w14:paraId="58F364BD" w14:textId="77777777" w:rsidR="007C0420" w:rsidRPr="002A7627" w:rsidRDefault="007C0420" w:rsidP="00DC1DF9">
            <w:pPr>
              <w:rPr>
                <w:lang w:bidi="en-US"/>
              </w:rPr>
            </w:pPr>
            <w:r w:rsidRPr="002A7627">
              <w:rPr>
                <w:rFonts w:asciiTheme="majorBidi" w:hAnsiTheme="majorBidi" w:cstheme="majorBidi"/>
              </w:rPr>
              <w:t>OP2</w:t>
            </w:r>
          </w:p>
        </w:tc>
        <w:tc>
          <w:tcPr>
            <w:tcW w:w="3955" w:type="dxa"/>
          </w:tcPr>
          <w:p w14:paraId="0C6C9C87" w14:textId="77777777" w:rsidR="007C0420" w:rsidRPr="002A7627" w:rsidRDefault="007C0420" w:rsidP="00DC1DF9">
            <w:pPr>
              <w:rPr>
                <w:lang w:bidi="en-US"/>
              </w:rPr>
            </w:pPr>
            <w:r w:rsidRPr="002A7627">
              <w:rPr>
                <w:rFonts w:asciiTheme="majorBidi" w:hAnsiTheme="majorBidi" w:cstheme="majorBidi"/>
              </w:rPr>
              <w:t>4.61</w:t>
            </w:r>
          </w:p>
        </w:tc>
      </w:tr>
      <w:tr w:rsidR="007C0420" w:rsidRPr="002A7627" w14:paraId="6B975B33" w14:textId="77777777" w:rsidTr="00DC1DF9">
        <w:tc>
          <w:tcPr>
            <w:tcW w:w="3955" w:type="dxa"/>
          </w:tcPr>
          <w:p w14:paraId="2C42A47C" w14:textId="77777777" w:rsidR="007C0420" w:rsidRPr="002A7627" w:rsidRDefault="007C0420" w:rsidP="00DC1DF9">
            <w:pPr>
              <w:rPr>
                <w:lang w:bidi="en-US"/>
              </w:rPr>
            </w:pPr>
            <w:r w:rsidRPr="002A7627">
              <w:rPr>
                <w:rFonts w:asciiTheme="majorBidi" w:hAnsiTheme="majorBidi" w:cstheme="majorBidi"/>
              </w:rPr>
              <w:t>OP3</w:t>
            </w:r>
          </w:p>
        </w:tc>
        <w:tc>
          <w:tcPr>
            <w:tcW w:w="3955" w:type="dxa"/>
          </w:tcPr>
          <w:p w14:paraId="13ACE9F0" w14:textId="77777777" w:rsidR="007C0420" w:rsidRPr="002A7627" w:rsidRDefault="007C0420" w:rsidP="00DC1DF9">
            <w:pPr>
              <w:rPr>
                <w:lang w:bidi="en-US"/>
              </w:rPr>
            </w:pPr>
            <w:r w:rsidRPr="002A7627">
              <w:rPr>
                <w:rFonts w:asciiTheme="majorBidi" w:hAnsiTheme="majorBidi" w:cstheme="majorBidi"/>
              </w:rPr>
              <w:t>4.476</w:t>
            </w:r>
          </w:p>
        </w:tc>
      </w:tr>
      <w:tr w:rsidR="007C0420" w:rsidRPr="002A7627" w14:paraId="4364D926" w14:textId="77777777" w:rsidTr="00DC1DF9">
        <w:tc>
          <w:tcPr>
            <w:tcW w:w="3955" w:type="dxa"/>
          </w:tcPr>
          <w:p w14:paraId="2892AA84" w14:textId="77777777" w:rsidR="007C0420" w:rsidRPr="002A7627" w:rsidRDefault="007C0420" w:rsidP="00DC1DF9">
            <w:pPr>
              <w:rPr>
                <w:lang w:bidi="en-US"/>
              </w:rPr>
            </w:pPr>
            <w:r w:rsidRPr="002A7627">
              <w:rPr>
                <w:rFonts w:asciiTheme="majorBidi" w:hAnsiTheme="majorBidi" w:cstheme="majorBidi"/>
              </w:rPr>
              <w:t>OP4</w:t>
            </w:r>
          </w:p>
        </w:tc>
        <w:tc>
          <w:tcPr>
            <w:tcW w:w="3955" w:type="dxa"/>
          </w:tcPr>
          <w:p w14:paraId="1DA44E84" w14:textId="77777777" w:rsidR="007C0420" w:rsidRPr="002A7627" w:rsidRDefault="007C0420" w:rsidP="00DC1DF9">
            <w:pPr>
              <w:rPr>
                <w:lang w:bidi="en-US"/>
              </w:rPr>
            </w:pPr>
            <w:r w:rsidRPr="002A7627">
              <w:rPr>
                <w:rFonts w:asciiTheme="majorBidi" w:hAnsiTheme="majorBidi" w:cstheme="majorBidi"/>
              </w:rPr>
              <w:t>3.737</w:t>
            </w:r>
          </w:p>
        </w:tc>
      </w:tr>
      <w:tr w:rsidR="007C0420" w:rsidRPr="002A7627" w14:paraId="042187A3" w14:textId="77777777" w:rsidTr="00DC1DF9">
        <w:tc>
          <w:tcPr>
            <w:tcW w:w="3955" w:type="dxa"/>
          </w:tcPr>
          <w:p w14:paraId="0EEB4D51" w14:textId="77777777" w:rsidR="007C0420" w:rsidRPr="002A7627" w:rsidRDefault="007C0420" w:rsidP="00DC1DF9">
            <w:pPr>
              <w:rPr>
                <w:lang w:bidi="en-US"/>
              </w:rPr>
            </w:pPr>
            <w:r w:rsidRPr="002A7627">
              <w:rPr>
                <w:rFonts w:asciiTheme="majorBidi" w:hAnsiTheme="majorBidi" w:cstheme="majorBidi"/>
              </w:rPr>
              <w:t>OP5</w:t>
            </w:r>
          </w:p>
        </w:tc>
        <w:tc>
          <w:tcPr>
            <w:tcW w:w="3955" w:type="dxa"/>
          </w:tcPr>
          <w:p w14:paraId="7401CCFA" w14:textId="77777777" w:rsidR="007C0420" w:rsidRPr="002A7627" w:rsidRDefault="007C0420" w:rsidP="00DC1DF9">
            <w:pPr>
              <w:rPr>
                <w:lang w:bidi="en-US"/>
              </w:rPr>
            </w:pPr>
            <w:r w:rsidRPr="002A7627">
              <w:rPr>
                <w:rFonts w:asciiTheme="majorBidi" w:hAnsiTheme="majorBidi" w:cstheme="majorBidi"/>
              </w:rPr>
              <w:t>2.815</w:t>
            </w:r>
          </w:p>
        </w:tc>
      </w:tr>
      <w:tr w:rsidR="007C0420" w:rsidRPr="002A7627" w14:paraId="149A95CA" w14:textId="77777777" w:rsidTr="00DC1DF9">
        <w:tc>
          <w:tcPr>
            <w:tcW w:w="3955" w:type="dxa"/>
          </w:tcPr>
          <w:p w14:paraId="155D3296" w14:textId="77777777" w:rsidR="007C0420" w:rsidRPr="002A7627" w:rsidRDefault="007C0420" w:rsidP="00DC1DF9">
            <w:pPr>
              <w:rPr>
                <w:lang w:bidi="en-US"/>
              </w:rPr>
            </w:pPr>
            <w:r w:rsidRPr="002A7627">
              <w:rPr>
                <w:rFonts w:asciiTheme="majorBidi" w:hAnsiTheme="majorBidi" w:cstheme="majorBidi"/>
              </w:rPr>
              <w:t>OP6</w:t>
            </w:r>
          </w:p>
        </w:tc>
        <w:tc>
          <w:tcPr>
            <w:tcW w:w="3955" w:type="dxa"/>
          </w:tcPr>
          <w:p w14:paraId="336A6B13" w14:textId="77777777" w:rsidR="007C0420" w:rsidRPr="002A7627" w:rsidRDefault="007C0420" w:rsidP="00DC1DF9">
            <w:pPr>
              <w:rPr>
                <w:lang w:bidi="en-US"/>
              </w:rPr>
            </w:pPr>
            <w:r w:rsidRPr="002A7627">
              <w:rPr>
                <w:rFonts w:asciiTheme="majorBidi" w:hAnsiTheme="majorBidi" w:cstheme="majorBidi"/>
              </w:rPr>
              <w:t>1.96</w:t>
            </w:r>
          </w:p>
        </w:tc>
      </w:tr>
      <w:tr w:rsidR="007C0420" w:rsidRPr="002A7627" w14:paraId="38C16F43" w14:textId="77777777" w:rsidTr="00DC1DF9">
        <w:tc>
          <w:tcPr>
            <w:tcW w:w="3955" w:type="dxa"/>
          </w:tcPr>
          <w:p w14:paraId="097130B7" w14:textId="77777777" w:rsidR="007C0420" w:rsidRPr="002A7627" w:rsidRDefault="007C0420" w:rsidP="00DC1DF9">
            <w:pPr>
              <w:rPr>
                <w:lang w:bidi="en-US"/>
              </w:rPr>
            </w:pPr>
            <w:r w:rsidRPr="002A7627">
              <w:rPr>
                <w:rFonts w:asciiTheme="majorBidi" w:hAnsiTheme="majorBidi" w:cstheme="majorBidi"/>
              </w:rPr>
              <w:t>OP7</w:t>
            </w:r>
          </w:p>
        </w:tc>
        <w:tc>
          <w:tcPr>
            <w:tcW w:w="3955" w:type="dxa"/>
          </w:tcPr>
          <w:p w14:paraId="56669726" w14:textId="77777777" w:rsidR="007C0420" w:rsidRPr="002A7627" w:rsidRDefault="007C0420" w:rsidP="00DC1DF9">
            <w:pPr>
              <w:rPr>
                <w:lang w:bidi="en-US"/>
              </w:rPr>
            </w:pPr>
            <w:r w:rsidRPr="002A7627">
              <w:rPr>
                <w:rFonts w:asciiTheme="majorBidi" w:hAnsiTheme="majorBidi" w:cstheme="majorBidi"/>
              </w:rPr>
              <w:t>1.969</w:t>
            </w:r>
          </w:p>
        </w:tc>
      </w:tr>
      <w:tr w:rsidR="007C0420" w:rsidRPr="002A7627" w14:paraId="5B6C2C24" w14:textId="77777777" w:rsidTr="00DC1DF9">
        <w:tc>
          <w:tcPr>
            <w:tcW w:w="3955" w:type="dxa"/>
          </w:tcPr>
          <w:p w14:paraId="6FD62ABD" w14:textId="77777777" w:rsidR="007C0420" w:rsidRPr="002A7627" w:rsidRDefault="007C0420" w:rsidP="00DC1DF9">
            <w:pPr>
              <w:rPr>
                <w:lang w:bidi="en-US"/>
              </w:rPr>
            </w:pPr>
            <w:r w:rsidRPr="002A7627">
              <w:rPr>
                <w:rFonts w:asciiTheme="majorBidi" w:hAnsiTheme="majorBidi" w:cstheme="majorBidi"/>
              </w:rPr>
              <w:t>OP8</w:t>
            </w:r>
          </w:p>
        </w:tc>
        <w:tc>
          <w:tcPr>
            <w:tcW w:w="3955" w:type="dxa"/>
          </w:tcPr>
          <w:p w14:paraId="063286DB" w14:textId="77777777" w:rsidR="007C0420" w:rsidRPr="002A7627" w:rsidRDefault="007C0420" w:rsidP="00DC1DF9">
            <w:pPr>
              <w:rPr>
                <w:lang w:bidi="en-US"/>
              </w:rPr>
            </w:pPr>
            <w:r w:rsidRPr="002A7627">
              <w:rPr>
                <w:rFonts w:asciiTheme="majorBidi" w:hAnsiTheme="majorBidi" w:cstheme="majorBidi"/>
              </w:rPr>
              <w:t>2.146</w:t>
            </w:r>
          </w:p>
        </w:tc>
      </w:tr>
      <w:tr w:rsidR="007C0420" w:rsidRPr="002A7627" w14:paraId="7427701E" w14:textId="77777777" w:rsidTr="00DC1DF9">
        <w:tc>
          <w:tcPr>
            <w:tcW w:w="3955" w:type="dxa"/>
          </w:tcPr>
          <w:p w14:paraId="5FE63DD6" w14:textId="77777777" w:rsidR="007C0420" w:rsidRPr="002A7627" w:rsidRDefault="007C0420" w:rsidP="00DC1DF9">
            <w:pPr>
              <w:rPr>
                <w:lang w:bidi="en-US"/>
              </w:rPr>
            </w:pPr>
            <w:r w:rsidRPr="002A7627">
              <w:rPr>
                <w:rFonts w:asciiTheme="majorBidi" w:hAnsiTheme="majorBidi" w:cstheme="majorBidi"/>
              </w:rPr>
              <w:t>OP9</w:t>
            </w:r>
          </w:p>
        </w:tc>
        <w:tc>
          <w:tcPr>
            <w:tcW w:w="3955" w:type="dxa"/>
          </w:tcPr>
          <w:p w14:paraId="1EDF3600" w14:textId="77777777" w:rsidR="007C0420" w:rsidRPr="002A7627" w:rsidRDefault="007C0420" w:rsidP="00DC1DF9">
            <w:pPr>
              <w:rPr>
                <w:lang w:bidi="en-US"/>
              </w:rPr>
            </w:pPr>
            <w:r w:rsidRPr="002A7627">
              <w:rPr>
                <w:rFonts w:asciiTheme="majorBidi" w:hAnsiTheme="majorBidi" w:cstheme="majorBidi"/>
              </w:rPr>
              <w:t>2.268</w:t>
            </w:r>
          </w:p>
        </w:tc>
      </w:tr>
      <w:tr w:rsidR="007C0420" w:rsidRPr="002A7627" w14:paraId="771625C8" w14:textId="77777777" w:rsidTr="00DC1DF9">
        <w:tc>
          <w:tcPr>
            <w:tcW w:w="3955" w:type="dxa"/>
          </w:tcPr>
          <w:p w14:paraId="2805321A" w14:textId="77777777" w:rsidR="007C0420" w:rsidRPr="002A7627" w:rsidRDefault="007C0420" w:rsidP="00DC1DF9">
            <w:pPr>
              <w:rPr>
                <w:lang w:bidi="en-US"/>
              </w:rPr>
            </w:pPr>
            <w:r w:rsidRPr="002A7627">
              <w:rPr>
                <w:rFonts w:asciiTheme="majorBidi" w:hAnsiTheme="majorBidi" w:cstheme="majorBidi"/>
              </w:rPr>
              <w:t>AEP1</w:t>
            </w:r>
          </w:p>
        </w:tc>
        <w:tc>
          <w:tcPr>
            <w:tcW w:w="3955" w:type="dxa"/>
          </w:tcPr>
          <w:p w14:paraId="6A5FC504" w14:textId="77777777" w:rsidR="007C0420" w:rsidRPr="002A7627" w:rsidRDefault="007C0420" w:rsidP="00DC1DF9">
            <w:pPr>
              <w:rPr>
                <w:lang w:bidi="en-US"/>
              </w:rPr>
            </w:pPr>
            <w:r w:rsidRPr="002A7627">
              <w:rPr>
                <w:rFonts w:asciiTheme="majorBidi" w:hAnsiTheme="majorBidi" w:cstheme="majorBidi"/>
              </w:rPr>
              <w:t>2.145</w:t>
            </w:r>
          </w:p>
        </w:tc>
      </w:tr>
      <w:tr w:rsidR="007C0420" w:rsidRPr="002A7627" w14:paraId="2D09D393" w14:textId="77777777" w:rsidTr="00DC1DF9">
        <w:tc>
          <w:tcPr>
            <w:tcW w:w="3955" w:type="dxa"/>
          </w:tcPr>
          <w:p w14:paraId="27B4691C" w14:textId="77777777" w:rsidR="007C0420" w:rsidRPr="002A7627" w:rsidRDefault="007C0420" w:rsidP="00DC1DF9">
            <w:pPr>
              <w:rPr>
                <w:lang w:bidi="en-US"/>
              </w:rPr>
            </w:pPr>
            <w:r w:rsidRPr="002A7627">
              <w:rPr>
                <w:rFonts w:asciiTheme="majorBidi" w:hAnsiTheme="majorBidi" w:cstheme="majorBidi"/>
              </w:rPr>
              <w:t>AEP2</w:t>
            </w:r>
          </w:p>
        </w:tc>
        <w:tc>
          <w:tcPr>
            <w:tcW w:w="3955" w:type="dxa"/>
          </w:tcPr>
          <w:p w14:paraId="4F312FF6" w14:textId="77777777" w:rsidR="007C0420" w:rsidRPr="002A7627" w:rsidRDefault="007C0420" w:rsidP="00DC1DF9">
            <w:pPr>
              <w:rPr>
                <w:lang w:bidi="en-US"/>
              </w:rPr>
            </w:pPr>
            <w:r w:rsidRPr="002A7627">
              <w:rPr>
                <w:rFonts w:asciiTheme="majorBidi" w:hAnsiTheme="majorBidi" w:cstheme="majorBidi"/>
              </w:rPr>
              <w:t>2.145</w:t>
            </w:r>
          </w:p>
        </w:tc>
      </w:tr>
      <w:tr w:rsidR="007C0420" w:rsidRPr="002A7627" w14:paraId="1F49C022" w14:textId="77777777" w:rsidTr="00DC1DF9">
        <w:tc>
          <w:tcPr>
            <w:tcW w:w="3955" w:type="dxa"/>
          </w:tcPr>
          <w:p w14:paraId="6D0674C2" w14:textId="77777777" w:rsidR="007C0420" w:rsidRPr="002A7627" w:rsidRDefault="007C0420" w:rsidP="00DC1DF9">
            <w:pPr>
              <w:rPr>
                <w:lang w:bidi="en-US"/>
              </w:rPr>
            </w:pPr>
            <w:r w:rsidRPr="002A7627">
              <w:rPr>
                <w:rFonts w:asciiTheme="majorBidi" w:hAnsiTheme="majorBidi" w:cstheme="majorBidi"/>
              </w:rPr>
              <w:t>AEP3</w:t>
            </w:r>
          </w:p>
        </w:tc>
        <w:tc>
          <w:tcPr>
            <w:tcW w:w="3955" w:type="dxa"/>
          </w:tcPr>
          <w:p w14:paraId="2BBA25D2" w14:textId="77777777" w:rsidR="007C0420" w:rsidRPr="002A7627" w:rsidRDefault="007C0420" w:rsidP="00DC1DF9">
            <w:pPr>
              <w:rPr>
                <w:lang w:bidi="en-US"/>
              </w:rPr>
            </w:pPr>
            <w:r w:rsidRPr="002A7627">
              <w:rPr>
                <w:rFonts w:asciiTheme="majorBidi" w:hAnsiTheme="majorBidi" w:cstheme="majorBidi"/>
              </w:rPr>
              <w:t>2.192</w:t>
            </w:r>
          </w:p>
        </w:tc>
      </w:tr>
      <w:tr w:rsidR="007C0420" w:rsidRPr="002A7627" w14:paraId="6F564B35" w14:textId="77777777" w:rsidTr="00DC1DF9">
        <w:tc>
          <w:tcPr>
            <w:tcW w:w="3955" w:type="dxa"/>
          </w:tcPr>
          <w:p w14:paraId="6B5C9FD5" w14:textId="77777777" w:rsidR="007C0420" w:rsidRPr="002A7627" w:rsidRDefault="007C0420" w:rsidP="00DC1DF9">
            <w:pPr>
              <w:rPr>
                <w:lang w:bidi="en-US"/>
              </w:rPr>
            </w:pPr>
            <w:r w:rsidRPr="002A7627">
              <w:rPr>
                <w:rFonts w:asciiTheme="majorBidi" w:hAnsiTheme="majorBidi" w:cstheme="majorBidi"/>
              </w:rPr>
              <w:t>KMB1</w:t>
            </w:r>
          </w:p>
        </w:tc>
        <w:tc>
          <w:tcPr>
            <w:tcW w:w="3955" w:type="dxa"/>
          </w:tcPr>
          <w:p w14:paraId="5B6C9328" w14:textId="77777777" w:rsidR="007C0420" w:rsidRPr="002A7627" w:rsidRDefault="007C0420" w:rsidP="00DC1DF9">
            <w:pPr>
              <w:rPr>
                <w:lang w:bidi="en-US"/>
              </w:rPr>
            </w:pPr>
            <w:r w:rsidRPr="002A7627">
              <w:rPr>
                <w:rFonts w:asciiTheme="majorBidi" w:hAnsiTheme="majorBidi" w:cstheme="majorBidi"/>
              </w:rPr>
              <w:t>2.281</w:t>
            </w:r>
          </w:p>
        </w:tc>
      </w:tr>
      <w:tr w:rsidR="007C0420" w:rsidRPr="002A7627" w14:paraId="1CC5307F" w14:textId="77777777" w:rsidTr="00DC1DF9">
        <w:tc>
          <w:tcPr>
            <w:tcW w:w="3955" w:type="dxa"/>
          </w:tcPr>
          <w:p w14:paraId="5C901CC0" w14:textId="77777777" w:rsidR="007C0420" w:rsidRPr="002A7627" w:rsidRDefault="007C0420" w:rsidP="00DC1DF9">
            <w:pPr>
              <w:rPr>
                <w:lang w:bidi="en-US"/>
              </w:rPr>
            </w:pPr>
            <w:r w:rsidRPr="002A7627">
              <w:rPr>
                <w:rFonts w:asciiTheme="majorBidi" w:hAnsiTheme="majorBidi" w:cstheme="majorBidi"/>
              </w:rPr>
              <w:t>KMB2</w:t>
            </w:r>
          </w:p>
        </w:tc>
        <w:tc>
          <w:tcPr>
            <w:tcW w:w="3955" w:type="dxa"/>
          </w:tcPr>
          <w:p w14:paraId="1FABCC31" w14:textId="77777777" w:rsidR="007C0420" w:rsidRPr="002A7627" w:rsidRDefault="007C0420" w:rsidP="00DC1DF9">
            <w:pPr>
              <w:rPr>
                <w:lang w:bidi="en-US"/>
              </w:rPr>
            </w:pPr>
            <w:r w:rsidRPr="002A7627">
              <w:rPr>
                <w:rFonts w:asciiTheme="majorBidi" w:hAnsiTheme="majorBidi" w:cstheme="majorBidi"/>
              </w:rPr>
              <w:t>2.184</w:t>
            </w:r>
          </w:p>
        </w:tc>
      </w:tr>
      <w:tr w:rsidR="007C0420" w:rsidRPr="002A7627" w14:paraId="35E600EE" w14:textId="77777777" w:rsidTr="00DC1DF9">
        <w:tc>
          <w:tcPr>
            <w:tcW w:w="3955" w:type="dxa"/>
          </w:tcPr>
          <w:p w14:paraId="53E2308F" w14:textId="77777777" w:rsidR="007C0420" w:rsidRPr="002A7627" w:rsidRDefault="007C0420" w:rsidP="00DC1DF9">
            <w:pPr>
              <w:rPr>
                <w:lang w:bidi="en-US"/>
              </w:rPr>
            </w:pPr>
            <w:r w:rsidRPr="002A7627">
              <w:rPr>
                <w:rFonts w:asciiTheme="majorBidi" w:hAnsiTheme="majorBidi" w:cstheme="majorBidi"/>
              </w:rPr>
              <w:t>KMB3</w:t>
            </w:r>
          </w:p>
        </w:tc>
        <w:tc>
          <w:tcPr>
            <w:tcW w:w="3955" w:type="dxa"/>
          </w:tcPr>
          <w:p w14:paraId="276DAF2C" w14:textId="77777777" w:rsidR="007C0420" w:rsidRPr="002A7627" w:rsidRDefault="007C0420" w:rsidP="00DC1DF9">
            <w:pPr>
              <w:rPr>
                <w:lang w:bidi="en-US"/>
              </w:rPr>
            </w:pPr>
            <w:r w:rsidRPr="002A7627">
              <w:rPr>
                <w:rFonts w:asciiTheme="majorBidi" w:hAnsiTheme="majorBidi" w:cstheme="majorBidi"/>
              </w:rPr>
              <w:t>2.75</w:t>
            </w:r>
          </w:p>
        </w:tc>
      </w:tr>
      <w:tr w:rsidR="007C0420" w:rsidRPr="002A7627" w14:paraId="49D8E12D" w14:textId="77777777" w:rsidTr="00DC1DF9">
        <w:tc>
          <w:tcPr>
            <w:tcW w:w="3955" w:type="dxa"/>
          </w:tcPr>
          <w:p w14:paraId="53BE6B0C" w14:textId="77777777" w:rsidR="007C0420" w:rsidRPr="002A7627" w:rsidRDefault="007C0420" w:rsidP="00DC1DF9">
            <w:pPr>
              <w:rPr>
                <w:lang w:bidi="en-US"/>
              </w:rPr>
            </w:pPr>
            <w:r w:rsidRPr="002A7627">
              <w:rPr>
                <w:rFonts w:asciiTheme="majorBidi" w:hAnsiTheme="majorBidi" w:cstheme="majorBidi"/>
              </w:rPr>
              <w:t>KMB4</w:t>
            </w:r>
          </w:p>
        </w:tc>
        <w:tc>
          <w:tcPr>
            <w:tcW w:w="3955" w:type="dxa"/>
          </w:tcPr>
          <w:p w14:paraId="4B1D9B3A" w14:textId="77777777" w:rsidR="007C0420" w:rsidRPr="002A7627" w:rsidRDefault="007C0420" w:rsidP="00DC1DF9">
            <w:pPr>
              <w:rPr>
                <w:lang w:bidi="en-US"/>
              </w:rPr>
            </w:pPr>
            <w:r w:rsidRPr="002A7627">
              <w:rPr>
                <w:rFonts w:asciiTheme="majorBidi" w:hAnsiTheme="majorBidi" w:cstheme="majorBidi"/>
              </w:rPr>
              <w:t>2.622</w:t>
            </w:r>
          </w:p>
        </w:tc>
      </w:tr>
      <w:tr w:rsidR="007C0420" w:rsidRPr="002A7627" w14:paraId="789CE8D1" w14:textId="77777777" w:rsidTr="00DC1DF9">
        <w:tc>
          <w:tcPr>
            <w:tcW w:w="3955" w:type="dxa"/>
          </w:tcPr>
          <w:p w14:paraId="204364C6" w14:textId="77777777" w:rsidR="007C0420" w:rsidRPr="002A7627" w:rsidRDefault="007C0420" w:rsidP="00DC1DF9">
            <w:pPr>
              <w:rPr>
                <w:lang w:bidi="en-US"/>
              </w:rPr>
            </w:pPr>
            <w:r w:rsidRPr="002A7627">
              <w:rPr>
                <w:rFonts w:asciiTheme="majorBidi" w:hAnsiTheme="majorBidi" w:cstheme="majorBidi"/>
              </w:rPr>
              <w:t>KMB5</w:t>
            </w:r>
          </w:p>
        </w:tc>
        <w:tc>
          <w:tcPr>
            <w:tcW w:w="3955" w:type="dxa"/>
          </w:tcPr>
          <w:p w14:paraId="547DC935" w14:textId="77777777" w:rsidR="007C0420" w:rsidRPr="002A7627" w:rsidRDefault="007C0420" w:rsidP="00DC1DF9">
            <w:pPr>
              <w:rPr>
                <w:lang w:bidi="en-US"/>
              </w:rPr>
            </w:pPr>
            <w:r w:rsidRPr="002A7627">
              <w:rPr>
                <w:rFonts w:asciiTheme="majorBidi" w:hAnsiTheme="majorBidi" w:cstheme="majorBidi"/>
              </w:rPr>
              <w:t>2.723</w:t>
            </w:r>
          </w:p>
        </w:tc>
      </w:tr>
      <w:tr w:rsidR="007C0420" w:rsidRPr="002A7627" w14:paraId="17F76EFC" w14:textId="77777777" w:rsidTr="00DC1DF9">
        <w:tc>
          <w:tcPr>
            <w:tcW w:w="3955" w:type="dxa"/>
            <w:tcBorders>
              <w:bottom w:val="nil"/>
            </w:tcBorders>
          </w:tcPr>
          <w:p w14:paraId="369C8FB7" w14:textId="77777777" w:rsidR="007C0420" w:rsidRPr="002A7627" w:rsidRDefault="007C0420" w:rsidP="00DC1DF9">
            <w:pPr>
              <w:rPr>
                <w:lang w:bidi="en-US"/>
              </w:rPr>
            </w:pPr>
            <w:r w:rsidRPr="002A7627">
              <w:rPr>
                <w:rFonts w:asciiTheme="majorBidi" w:hAnsiTheme="majorBidi" w:cstheme="majorBidi"/>
              </w:rPr>
              <w:t>KMB6</w:t>
            </w:r>
          </w:p>
        </w:tc>
        <w:tc>
          <w:tcPr>
            <w:tcW w:w="3955" w:type="dxa"/>
            <w:tcBorders>
              <w:bottom w:val="nil"/>
            </w:tcBorders>
          </w:tcPr>
          <w:p w14:paraId="2F4227A3" w14:textId="77777777" w:rsidR="007C0420" w:rsidRPr="002A7627" w:rsidRDefault="007C0420" w:rsidP="00DC1DF9">
            <w:pPr>
              <w:rPr>
                <w:lang w:bidi="en-US"/>
              </w:rPr>
            </w:pPr>
            <w:r w:rsidRPr="002A7627">
              <w:rPr>
                <w:rFonts w:asciiTheme="majorBidi" w:hAnsiTheme="majorBidi" w:cstheme="majorBidi"/>
              </w:rPr>
              <w:t>2.151</w:t>
            </w:r>
          </w:p>
        </w:tc>
      </w:tr>
      <w:tr w:rsidR="007C0420" w:rsidRPr="002A7627" w14:paraId="416E8D8F" w14:textId="77777777" w:rsidTr="00DC1DF9">
        <w:tc>
          <w:tcPr>
            <w:tcW w:w="3955" w:type="dxa"/>
            <w:tcBorders>
              <w:top w:val="nil"/>
              <w:bottom w:val="single" w:sz="4" w:space="0" w:color="auto"/>
            </w:tcBorders>
          </w:tcPr>
          <w:p w14:paraId="0A697A10" w14:textId="77777777" w:rsidR="007C0420" w:rsidRPr="002A7627" w:rsidRDefault="007C0420" w:rsidP="00DC1DF9">
            <w:pPr>
              <w:rPr>
                <w:lang w:bidi="en-US"/>
              </w:rPr>
            </w:pPr>
            <w:r w:rsidRPr="002A7627">
              <w:rPr>
                <w:rFonts w:asciiTheme="majorBidi" w:hAnsiTheme="majorBidi" w:cstheme="majorBidi"/>
              </w:rPr>
              <w:t>KMB7</w:t>
            </w:r>
          </w:p>
        </w:tc>
        <w:tc>
          <w:tcPr>
            <w:tcW w:w="3955" w:type="dxa"/>
            <w:tcBorders>
              <w:top w:val="nil"/>
              <w:bottom w:val="single" w:sz="4" w:space="0" w:color="auto"/>
            </w:tcBorders>
          </w:tcPr>
          <w:p w14:paraId="0B7C7A5A" w14:textId="77777777" w:rsidR="007C0420" w:rsidRPr="002A7627" w:rsidRDefault="007C0420" w:rsidP="00DC1DF9">
            <w:pPr>
              <w:rPr>
                <w:lang w:bidi="en-US"/>
              </w:rPr>
            </w:pPr>
            <w:r w:rsidRPr="002A7627">
              <w:rPr>
                <w:rFonts w:asciiTheme="majorBidi" w:hAnsiTheme="majorBidi" w:cstheme="majorBidi"/>
              </w:rPr>
              <w:t>2.762</w:t>
            </w:r>
          </w:p>
        </w:tc>
      </w:tr>
    </w:tbl>
    <w:p w14:paraId="49399000" w14:textId="77777777" w:rsidR="007C0420" w:rsidRPr="002A7627" w:rsidRDefault="007C0420" w:rsidP="007C0420">
      <w:pPr>
        <w:rPr>
          <w:rFonts w:asciiTheme="majorBidi" w:hAnsiTheme="majorBidi" w:cstheme="majorBidi"/>
          <w:lang w:bidi="fa-IR"/>
        </w:rPr>
      </w:pPr>
    </w:p>
    <w:p w14:paraId="40561CCD" w14:textId="7FEE1DDB" w:rsidR="007C0420" w:rsidRPr="002A7627" w:rsidRDefault="00137032" w:rsidP="007C0420">
      <w:pPr>
        <w:pStyle w:val="AAAAAAA"/>
        <w:ind w:firstLine="0"/>
        <w:rPr>
          <w:lang w:bidi="fa-IR"/>
        </w:rPr>
      </w:pPr>
      <w:r>
        <w:rPr>
          <w:lang w:bidi="fa-IR"/>
        </w:rPr>
        <w:t>T</w:t>
      </w:r>
      <w:r w:rsidR="007C0420" w:rsidRPr="002A7627">
        <w:rPr>
          <w:lang w:bidi="fa-IR"/>
        </w:rPr>
        <w:t xml:space="preserve">he values of VIF for </w:t>
      </w:r>
      <w:r w:rsidR="007C0420">
        <w:rPr>
          <w:lang w:bidi="fa-IR"/>
        </w:rPr>
        <w:t>all</w:t>
      </w:r>
      <w:r w:rsidR="007C0420" w:rsidRPr="002A7627">
        <w:rPr>
          <w:lang w:bidi="fa-IR"/>
        </w:rPr>
        <w:t xml:space="preserve"> items </w:t>
      </w:r>
      <w:r>
        <w:rPr>
          <w:lang w:bidi="fa-IR"/>
        </w:rPr>
        <w:t>were</w:t>
      </w:r>
      <w:r w:rsidRPr="002A7627">
        <w:rPr>
          <w:lang w:bidi="fa-IR"/>
        </w:rPr>
        <w:t xml:space="preserve"> </w:t>
      </w:r>
      <w:r w:rsidR="007C0420" w:rsidRPr="002A7627">
        <w:rPr>
          <w:lang w:bidi="fa-IR"/>
        </w:rPr>
        <w:t xml:space="preserve">less than 5, </w:t>
      </w:r>
      <w:r>
        <w:rPr>
          <w:lang w:bidi="fa-IR"/>
        </w:rPr>
        <w:t>showing that there were no</w:t>
      </w:r>
      <w:r w:rsidR="007C0420" w:rsidRPr="002A7627">
        <w:rPr>
          <w:lang w:bidi="fa-IR"/>
        </w:rPr>
        <w:t xml:space="preserve"> collinearity problem</w:t>
      </w:r>
      <w:r w:rsidR="007C0420">
        <w:rPr>
          <w:lang w:bidi="fa-IR"/>
        </w:rPr>
        <w:t>s</w:t>
      </w:r>
      <w:r w:rsidR="007C0420" w:rsidRPr="002A7627">
        <w:rPr>
          <w:lang w:bidi="fa-IR"/>
        </w:rPr>
        <w:t xml:space="preserve"> with the</w:t>
      </w:r>
      <w:r w:rsidR="007C0420">
        <w:rPr>
          <w:lang w:bidi="fa-IR"/>
        </w:rPr>
        <w:t>se</w:t>
      </w:r>
      <w:r w:rsidR="007C0420" w:rsidRPr="002A7627">
        <w:rPr>
          <w:lang w:bidi="fa-IR"/>
        </w:rPr>
        <w:t xml:space="preserve"> items. The collinearity analysis </w:t>
      </w:r>
      <w:r w:rsidR="00A600A7">
        <w:rPr>
          <w:lang w:bidi="fa-IR"/>
        </w:rPr>
        <w:t>was</w:t>
      </w:r>
      <w:r w:rsidR="00A600A7" w:rsidRPr="002A7627">
        <w:rPr>
          <w:lang w:bidi="fa-IR"/>
        </w:rPr>
        <w:t xml:space="preserve"> </w:t>
      </w:r>
      <w:r w:rsidR="007C0420" w:rsidRPr="002A7627">
        <w:rPr>
          <w:lang w:bidi="fa-IR"/>
        </w:rPr>
        <w:t>continued for the constructs</w:t>
      </w:r>
      <w:r w:rsidR="00A600A7">
        <w:rPr>
          <w:lang w:bidi="fa-IR"/>
        </w:rPr>
        <w:t xml:space="preserve"> (see</w:t>
      </w:r>
      <w:r w:rsidR="007C0420">
        <w:rPr>
          <w:lang w:bidi="fa-IR"/>
        </w:rPr>
        <w:t xml:space="preserve"> Table 22</w:t>
      </w:r>
      <w:r w:rsidR="00A600A7">
        <w:rPr>
          <w:lang w:bidi="fa-IR"/>
        </w:rPr>
        <w:t>).</w:t>
      </w:r>
    </w:p>
    <w:p w14:paraId="6CEC28B4" w14:textId="445F99BD" w:rsidR="007C0420" w:rsidRPr="001D5F54" w:rsidRDefault="007C0420" w:rsidP="007C0420">
      <w:pPr>
        <w:pStyle w:val="Caption"/>
        <w:keepNext/>
        <w:rPr>
          <w:color w:val="000000"/>
          <w:szCs w:val="24"/>
        </w:rPr>
      </w:pPr>
      <w:bookmarkStart w:id="250" w:name="_Toc19478600"/>
      <w:bookmarkStart w:id="251" w:name="_Toc21074090"/>
      <w:r>
        <w:t xml:space="preserve">Table </w:t>
      </w:r>
      <w:r w:rsidR="00606D42">
        <w:rPr>
          <w:noProof/>
        </w:rPr>
        <w:fldChar w:fldCharType="begin"/>
      </w:r>
      <w:r w:rsidR="00606D42">
        <w:rPr>
          <w:noProof/>
        </w:rPr>
        <w:instrText xml:space="preserve"> SEQ Table \* ARABIC </w:instrText>
      </w:r>
      <w:r w:rsidR="00606D42">
        <w:rPr>
          <w:noProof/>
        </w:rPr>
        <w:fldChar w:fldCharType="separate"/>
      </w:r>
      <w:r w:rsidR="00972C3F">
        <w:rPr>
          <w:noProof/>
        </w:rPr>
        <w:t>22</w:t>
      </w:r>
      <w:r w:rsidR="00606D42">
        <w:rPr>
          <w:noProof/>
        </w:rPr>
        <w:fldChar w:fldCharType="end"/>
      </w:r>
      <w:r>
        <w:t xml:space="preserve">. </w:t>
      </w:r>
      <w:r w:rsidRPr="00E012BB">
        <w:t>Collinearity statistics of the constructs</w:t>
      </w:r>
      <w:bookmarkEnd w:id="250"/>
      <w:bookmarkEnd w:id="251"/>
    </w:p>
    <w:tbl>
      <w:tblPr>
        <w:tblStyle w:val="APAReport"/>
        <w:tblW w:w="6229" w:type="dxa"/>
        <w:tblLayout w:type="fixed"/>
        <w:tblLook w:val="04A0" w:firstRow="1" w:lastRow="0" w:firstColumn="1" w:lastColumn="0" w:noHBand="0" w:noVBand="1"/>
      </w:tblPr>
      <w:tblGrid>
        <w:gridCol w:w="4342"/>
        <w:gridCol w:w="1036"/>
        <w:gridCol w:w="851"/>
      </w:tblGrid>
      <w:tr w:rsidR="007C0420" w:rsidRPr="002A7627" w14:paraId="3B610726" w14:textId="77777777" w:rsidTr="00DC1DF9">
        <w:trPr>
          <w:cnfStyle w:val="100000000000" w:firstRow="1" w:lastRow="0" w:firstColumn="0" w:lastColumn="0" w:oddVBand="0" w:evenVBand="0" w:oddHBand="0" w:evenHBand="0" w:firstRowFirstColumn="0" w:firstRowLastColumn="0" w:lastRowFirstColumn="0" w:lastRowLastColumn="0"/>
          <w:trHeight w:val="1833"/>
        </w:trPr>
        <w:tc>
          <w:tcPr>
            <w:tcW w:w="4342" w:type="dxa"/>
            <w:tcBorders>
              <w:top w:val="single" w:sz="4" w:space="0" w:color="auto"/>
              <w:bottom w:val="single" w:sz="4" w:space="0" w:color="auto"/>
            </w:tcBorders>
            <w:noWrap/>
            <w:vAlign w:val="center"/>
            <w:hideMark/>
          </w:tcPr>
          <w:p w14:paraId="3AE28185" w14:textId="77777777" w:rsidR="007C0420" w:rsidRPr="002A7627" w:rsidRDefault="007C0420" w:rsidP="00DC1DF9">
            <w:pPr>
              <w:ind w:left="113" w:right="113"/>
              <w:jc w:val="center"/>
              <w:rPr>
                <w:rFonts w:asciiTheme="majorBidi" w:hAnsiTheme="majorBidi" w:cstheme="majorBidi"/>
                <w:b/>
                <w:bCs/>
              </w:rPr>
            </w:pPr>
            <w:r w:rsidRPr="002A7627">
              <w:rPr>
                <w:rFonts w:asciiTheme="majorBidi" w:hAnsiTheme="majorBidi" w:cstheme="majorBidi"/>
                <w:b/>
                <w:bCs/>
              </w:rPr>
              <w:t>Construct</w:t>
            </w:r>
          </w:p>
        </w:tc>
        <w:tc>
          <w:tcPr>
            <w:tcW w:w="1036" w:type="dxa"/>
            <w:tcBorders>
              <w:top w:val="single" w:sz="4" w:space="0" w:color="auto"/>
              <w:bottom w:val="single" w:sz="4" w:space="0" w:color="auto"/>
            </w:tcBorders>
            <w:noWrap/>
            <w:textDirection w:val="tbRl"/>
            <w:hideMark/>
          </w:tcPr>
          <w:p w14:paraId="1E8F962C" w14:textId="77777777" w:rsidR="007C0420" w:rsidRPr="002A7627" w:rsidRDefault="007C0420" w:rsidP="00DC1DF9">
            <w:pPr>
              <w:ind w:left="113" w:right="113"/>
              <w:jc w:val="center"/>
              <w:rPr>
                <w:rFonts w:asciiTheme="majorBidi" w:hAnsiTheme="majorBidi" w:cstheme="majorBidi"/>
                <w:b/>
                <w:bCs/>
              </w:rPr>
            </w:pPr>
            <w:r w:rsidRPr="002A7627">
              <w:rPr>
                <w:rFonts w:asciiTheme="majorBidi" w:hAnsiTheme="majorBidi" w:cstheme="majorBidi"/>
                <w:b/>
                <w:bCs/>
              </w:rPr>
              <w:t>Knowledge Management Benefits</w:t>
            </w:r>
          </w:p>
        </w:tc>
        <w:tc>
          <w:tcPr>
            <w:tcW w:w="851" w:type="dxa"/>
            <w:tcBorders>
              <w:top w:val="single" w:sz="4" w:space="0" w:color="auto"/>
              <w:bottom w:val="single" w:sz="4" w:space="0" w:color="auto"/>
            </w:tcBorders>
            <w:noWrap/>
            <w:textDirection w:val="tbRl"/>
            <w:hideMark/>
          </w:tcPr>
          <w:p w14:paraId="0580DB12" w14:textId="77777777" w:rsidR="007C0420" w:rsidRPr="002A7627" w:rsidRDefault="007C0420" w:rsidP="00DC1DF9">
            <w:pPr>
              <w:ind w:left="113" w:right="113"/>
              <w:jc w:val="center"/>
              <w:rPr>
                <w:rFonts w:asciiTheme="majorBidi" w:hAnsiTheme="majorBidi" w:cstheme="majorBidi"/>
                <w:b/>
                <w:bCs/>
              </w:rPr>
            </w:pPr>
            <w:r w:rsidRPr="002A7627">
              <w:rPr>
                <w:rFonts w:asciiTheme="majorBidi" w:hAnsiTheme="majorBidi" w:cstheme="majorBidi"/>
                <w:b/>
                <w:bCs/>
              </w:rPr>
              <w:t>Organizational Learning</w:t>
            </w:r>
          </w:p>
        </w:tc>
      </w:tr>
      <w:tr w:rsidR="007C0420" w:rsidRPr="002A7627" w14:paraId="639C8A42" w14:textId="77777777" w:rsidTr="00DC1DF9">
        <w:trPr>
          <w:trHeight w:val="340"/>
        </w:trPr>
        <w:tc>
          <w:tcPr>
            <w:tcW w:w="4342" w:type="dxa"/>
            <w:tcBorders>
              <w:top w:val="single" w:sz="4" w:space="0" w:color="auto"/>
            </w:tcBorders>
            <w:noWrap/>
            <w:hideMark/>
          </w:tcPr>
          <w:p w14:paraId="145C0CD5" w14:textId="77777777" w:rsidR="007C0420" w:rsidRPr="002A7627" w:rsidRDefault="007C0420" w:rsidP="00DC1DF9">
            <w:pPr>
              <w:rPr>
                <w:rFonts w:asciiTheme="majorBidi" w:hAnsiTheme="majorBidi" w:cstheme="majorBidi"/>
              </w:rPr>
            </w:pPr>
            <w:r w:rsidRPr="002A7627">
              <w:rPr>
                <w:rFonts w:asciiTheme="majorBidi" w:hAnsiTheme="majorBidi" w:cstheme="majorBidi"/>
                <w:b/>
                <w:bCs/>
              </w:rPr>
              <w:t>Knowledge Management Capabilities</w:t>
            </w:r>
          </w:p>
        </w:tc>
        <w:tc>
          <w:tcPr>
            <w:tcW w:w="1036" w:type="dxa"/>
            <w:tcBorders>
              <w:top w:val="single" w:sz="4" w:space="0" w:color="auto"/>
            </w:tcBorders>
            <w:noWrap/>
          </w:tcPr>
          <w:p w14:paraId="2A64FA8E"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1.635</w:t>
            </w:r>
          </w:p>
        </w:tc>
        <w:tc>
          <w:tcPr>
            <w:tcW w:w="851" w:type="dxa"/>
            <w:tcBorders>
              <w:top w:val="single" w:sz="4" w:space="0" w:color="auto"/>
            </w:tcBorders>
            <w:noWrap/>
          </w:tcPr>
          <w:p w14:paraId="7EECF5BF"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1.602</w:t>
            </w:r>
          </w:p>
        </w:tc>
      </w:tr>
      <w:tr w:rsidR="007C0420" w:rsidRPr="002A7627" w14:paraId="4A41C738" w14:textId="77777777" w:rsidTr="00DC1DF9">
        <w:trPr>
          <w:trHeight w:val="340"/>
        </w:trPr>
        <w:tc>
          <w:tcPr>
            <w:tcW w:w="4342" w:type="dxa"/>
            <w:noWrap/>
            <w:hideMark/>
          </w:tcPr>
          <w:p w14:paraId="0770F925" w14:textId="77777777" w:rsidR="007C0420" w:rsidRPr="002A7627" w:rsidRDefault="007C0420" w:rsidP="00DC1DF9">
            <w:pPr>
              <w:rPr>
                <w:rFonts w:asciiTheme="majorBidi" w:hAnsiTheme="majorBidi" w:cstheme="majorBidi"/>
              </w:rPr>
            </w:pPr>
            <w:r w:rsidRPr="002A7627">
              <w:rPr>
                <w:rFonts w:asciiTheme="majorBidi" w:hAnsiTheme="majorBidi" w:cstheme="majorBidi"/>
                <w:b/>
                <w:bCs/>
              </w:rPr>
              <w:t>Extrinsic Motivation</w:t>
            </w:r>
          </w:p>
        </w:tc>
        <w:tc>
          <w:tcPr>
            <w:tcW w:w="1036" w:type="dxa"/>
            <w:noWrap/>
            <w:hideMark/>
          </w:tcPr>
          <w:p w14:paraId="1412BAE3"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1.618</w:t>
            </w:r>
          </w:p>
        </w:tc>
        <w:tc>
          <w:tcPr>
            <w:tcW w:w="851" w:type="dxa"/>
            <w:noWrap/>
            <w:hideMark/>
          </w:tcPr>
          <w:p w14:paraId="2D986404"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1.563</w:t>
            </w:r>
          </w:p>
        </w:tc>
      </w:tr>
      <w:tr w:rsidR="007C0420" w:rsidRPr="002A7627" w14:paraId="477658A2" w14:textId="77777777" w:rsidTr="00DC1DF9">
        <w:trPr>
          <w:trHeight w:val="340"/>
        </w:trPr>
        <w:tc>
          <w:tcPr>
            <w:tcW w:w="4342" w:type="dxa"/>
            <w:noWrap/>
            <w:hideMark/>
          </w:tcPr>
          <w:p w14:paraId="58847A0C" w14:textId="77777777" w:rsidR="007C0420" w:rsidRPr="002A7627" w:rsidRDefault="007C0420" w:rsidP="00DC1DF9">
            <w:pPr>
              <w:rPr>
                <w:rFonts w:asciiTheme="majorBidi" w:hAnsiTheme="majorBidi" w:cstheme="majorBidi"/>
              </w:rPr>
            </w:pPr>
            <w:r w:rsidRPr="002A7627">
              <w:rPr>
                <w:rFonts w:asciiTheme="majorBidi" w:hAnsiTheme="majorBidi" w:cstheme="majorBidi"/>
                <w:b/>
                <w:bCs/>
              </w:rPr>
              <w:t>Intrinsic Motivation</w:t>
            </w:r>
          </w:p>
        </w:tc>
        <w:tc>
          <w:tcPr>
            <w:tcW w:w="1036" w:type="dxa"/>
            <w:noWrap/>
            <w:hideMark/>
          </w:tcPr>
          <w:p w14:paraId="6D4AFBDE"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2.195</w:t>
            </w:r>
          </w:p>
        </w:tc>
        <w:tc>
          <w:tcPr>
            <w:tcW w:w="851" w:type="dxa"/>
            <w:noWrap/>
            <w:hideMark/>
          </w:tcPr>
          <w:p w14:paraId="70AD67DC"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1.799</w:t>
            </w:r>
          </w:p>
        </w:tc>
      </w:tr>
      <w:tr w:rsidR="007C0420" w:rsidRPr="002A7627" w14:paraId="7133A45D" w14:textId="77777777" w:rsidTr="00DC1DF9">
        <w:trPr>
          <w:trHeight w:val="340"/>
        </w:trPr>
        <w:tc>
          <w:tcPr>
            <w:tcW w:w="4342" w:type="dxa"/>
            <w:noWrap/>
            <w:hideMark/>
          </w:tcPr>
          <w:p w14:paraId="2233267B" w14:textId="77777777" w:rsidR="007C0420" w:rsidRPr="002A7627" w:rsidRDefault="007C0420" w:rsidP="00DC1DF9">
            <w:pPr>
              <w:rPr>
                <w:rFonts w:asciiTheme="majorBidi" w:hAnsiTheme="majorBidi" w:cstheme="majorBidi"/>
              </w:rPr>
            </w:pPr>
            <w:r w:rsidRPr="002A7627">
              <w:rPr>
                <w:rFonts w:asciiTheme="majorBidi" w:hAnsiTheme="majorBidi" w:cstheme="majorBidi"/>
                <w:b/>
                <w:bCs/>
              </w:rPr>
              <w:t>Opportunities</w:t>
            </w:r>
          </w:p>
        </w:tc>
        <w:tc>
          <w:tcPr>
            <w:tcW w:w="1036" w:type="dxa"/>
            <w:noWrap/>
            <w:hideMark/>
          </w:tcPr>
          <w:p w14:paraId="1F57F82E"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1.05</w:t>
            </w:r>
          </w:p>
        </w:tc>
        <w:tc>
          <w:tcPr>
            <w:tcW w:w="851" w:type="dxa"/>
            <w:noWrap/>
            <w:hideMark/>
          </w:tcPr>
          <w:p w14:paraId="0CD8B8BB"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1.048</w:t>
            </w:r>
          </w:p>
        </w:tc>
      </w:tr>
      <w:tr w:rsidR="007C0420" w:rsidRPr="002A7627" w14:paraId="7FCA86AA" w14:textId="77777777" w:rsidTr="00DC1DF9">
        <w:trPr>
          <w:trHeight w:val="340"/>
        </w:trPr>
        <w:tc>
          <w:tcPr>
            <w:tcW w:w="4342" w:type="dxa"/>
            <w:noWrap/>
          </w:tcPr>
          <w:p w14:paraId="65357A18" w14:textId="77777777" w:rsidR="007C0420" w:rsidRPr="002A7627" w:rsidRDefault="007C0420" w:rsidP="00DC1DF9">
            <w:pPr>
              <w:rPr>
                <w:rFonts w:asciiTheme="majorBidi" w:hAnsiTheme="majorBidi" w:cstheme="majorBidi"/>
              </w:rPr>
            </w:pPr>
            <w:r w:rsidRPr="002A7627">
              <w:rPr>
                <w:rFonts w:asciiTheme="majorBidi" w:hAnsiTheme="majorBidi" w:cstheme="majorBidi"/>
                <w:b/>
                <w:bCs/>
              </w:rPr>
              <w:t xml:space="preserve">Abilities </w:t>
            </w:r>
          </w:p>
        </w:tc>
        <w:tc>
          <w:tcPr>
            <w:tcW w:w="1036" w:type="dxa"/>
            <w:noWrap/>
          </w:tcPr>
          <w:p w14:paraId="4F99E3BA"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2.351</w:t>
            </w:r>
          </w:p>
        </w:tc>
        <w:tc>
          <w:tcPr>
            <w:tcW w:w="851" w:type="dxa"/>
            <w:noWrap/>
          </w:tcPr>
          <w:p w14:paraId="5DC23DD2"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1.669</w:t>
            </w:r>
          </w:p>
        </w:tc>
      </w:tr>
      <w:tr w:rsidR="007C0420" w:rsidRPr="002A7627" w14:paraId="758EAA77" w14:textId="77777777" w:rsidTr="00DC1DF9">
        <w:trPr>
          <w:trHeight w:val="340"/>
        </w:trPr>
        <w:tc>
          <w:tcPr>
            <w:tcW w:w="4342" w:type="dxa"/>
            <w:noWrap/>
            <w:hideMark/>
          </w:tcPr>
          <w:p w14:paraId="179D1EBF" w14:textId="77777777" w:rsidR="007C0420" w:rsidRPr="002A7627" w:rsidRDefault="007C0420" w:rsidP="00DC1DF9">
            <w:pPr>
              <w:rPr>
                <w:rFonts w:asciiTheme="majorBidi" w:hAnsiTheme="majorBidi" w:cstheme="majorBidi"/>
              </w:rPr>
            </w:pPr>
            <w:r w:rsidRPr="002A7627">
              <w:rPr>
                <w:rFonts w:asciiTheme="majorBidi" w:hAnsiTheme="majorBidi" w:cstheme="majorBidi"/>
                <w:b/>
                <w:bCs/>
              </w:rPr>
              <w:t>Organizational Learning</w:t>
            </w:r>
          </w:p>
        </w:tc>
        <w:tc>
          <w:tcPr>
            <w:tcW w:w="1036" w:type="dxa"/>
            <w:noWrap/>
            <w:hideMark/>
          </w:tcPr>
          <w:p w14:paraId="01B149F3" w14:textId="77777777" w:rsidR="007C0420" w:rsidRPr="002A7627" w:rsidRDefault="007C0420" w:rsidP="00DC1DF9">
            <w:pPr>
              <w:jc w:val="center"/>
              <w:rPr>
                <w:rFonts w:asciiTheme="majorBidi" w:hAnsiTheme="majorBidi" w:cstheme="majorBidi"/>
              </w:rPr>
            </w:pPr>
            <w:r w:rsidRPr="002A7627">
              <w:rPr>
                <w:rFonts w:asciiTheme="majorBidi" w:hAnsiTheme="majorBidi" w:cstheme="majorBidi"/>
              </w:rPr>
              <w:t>3.421</w:t>
            </w:r>
          </w:p>
        </w:tc>
        <w:tc>
          <w:tcPr>
            <w:tcW w:w="851" w:type="dxa"/>
            <w:noWrap/>
            <w:hideMark/>
          </w:tcPr>
          <w:p w14:paraId="096EAA79" w14:textId="77777777" w:rsidR="007C0420" w:rsidRPr="002A7627" w:rsidRDefault="007C0420" w:rsidP="00DC1DF9">
            <w:pPr>
              <w:jc w:val="center"/>
              <w:rPr>
                <w:rFonts w:asciiTheme="majorBidi" w:hAnsiTheme="majorBidi" w:cstheme="majorBidi"/>
              </w:rPr>
            </w:pPr>
          </w:p>
        </w:tc>
      </w:tr>
    </w:tbl>
    <w:p w14:paraId="7D2E8523" w14:textId="77777777" w:rsidR="007C0420" w:rsidRPr="002A7627" w:rsidRDefault="007C0420" w:rsidP="007C0420">
      <w:pPr>
        <w:rPr>
          <w:rFonts w:asciiTheme="majorBidi" w:hAnsiTheme="majorBidi" w:cstheme="majorBidi"/>
          <w:lang w:bidi="fa-IR"/>
        </w:rPr>
      </w:pPr>
    </w:p>
    <w:p w14:paraId="7CB6929C" w14:textId="73B0015A" w:rsidR="007C0420" w:rsidRPr="002A7627" w:rsidRDefault="00A600A7" w:rsidP="007C0420">
      <w:pPr>
        <w:pStyle w:val="AAAAAAA"/>
        <w:ind w:firstLine="0"/>
        <w:rPr>
          <w:lang w:bidi="fa-IR"/>
        </w:rPr>
      </w:pPr>
      <w:r>
        <w:rPr>
          <w:lang w:bidi="fa-IR"/>
        </w:rPr>
        <w:t>Again</w:t>
      </w:r>
      <w:r w:rsidR="007C0420">
        <w:rPr>
          <w:lang w:bidi="fa-IR"/>
        </w:rPr>
        <w:t>,</w:t>
      </w:r>
      <w:r w:rsidR="007C0420" w:rsidRPr="002A7627">
        <w:rPr>
          <w:lang w:bidi="fa-IR"/>
        </w:rPr>
        <w:t xml:space="preserve"> the value of VIF for </w:t>
      </w:r>
      <w:r w:rsidR="007C0420">
        <w:rPr>
          <w:lang w:bidi="fa-IR"/>
        </w:rPr>
        <w:t>each</w:t>
      </w:r>
      <w:r w:rsidR="007C0420" w:rsidRPr="002A7627">
        <w:rPr>
          <w:lang w:bidi="fa-IR"/>
        </w:rPr>
        <w:t xml:space="preserve"> construct </w:t>
      </w:r>
      <w:r>
        <w:rPr>
          <w:lang w:bidi="fa-IR"/>
        </w:rPr>
        <w:t>was</w:t>
      </w:r>
      <w:r w:rsidRPr="002A7627">
        <w:rPr>
          <w:lang w:bidi="fa-IR"/>
        </w:rPr>
        <w:t xml:space="preserve"> </w:t>
      </w:r>
      <w:r w:rsidR="007C0420" w:rsidRPr="002A7627">
        <w:rPr>
          <w:lang w:bidi="fa-IR"/>
        </w:rPr>
        <w:t xml:space="preserve">less than 5, </w:t>
      </w:r>
      <w:r>
        <w:rPr>
          <w:lang w:bidi="fa-IR"/>
        </w:rPr>
        <w:t>showing</w:t>
      </w:r>
      <w:r w:rsidRPr="002A7627">
        <w:rPr>
          <w:lang w:bidi="fa-IR"/>
        </w:rPr>
        <w:t xml:space="preserve"> </w:t>
      </w:r>
      <w:r w:rsidR="007C0420">
        <w:rPr>
          <w:lang w:bidi="fa-IR"/>
        </w:rPr>
        <w:t>that the</w:t>
      </w:r>
      <w:r>
        <w:rPr>
          <w:lang w:bidi="fa-IR"/>
        </w:rPr>
        <w:t>re were no</w:t>
      </w:r>
      <w:r w:rsidR="007C0420">
        <w:rPr>
          <w:lang w:bidi="fa-IR"/>
        </w:rPr>
        <w:t xml:space="preserve"> </w:t>
      </w:r>
      <w:r w:rsidR="007C0420" w:rsidRPr="002A7627">
        <w:rPr>
          <w:lang w:bidi="fa-IR"/>
        </w:rPr>
        <w:t>collinearity</w:t>
      </w:r>
      <w:r>
        <w:rPr>
          <w:lang w:bidi="fa-IR"/>
        </w:rPr>
        <w:t xml:space="preserve"> issues</w:t>
      </w:r>
      <w:r w:rsidR="007C0420" w:rsidRPr="002A7627">
        <w:rPr>
          <w:lang w:bidi="fa-IR"/>
        </w:rPr>
        <w:t>.</w:t>
      </w:r>
    </w:p>
    <w:p w14:paraId="03237777" w14:textId="6580A6D5" w:rsidR="007C0420" w:rsidRPr="002A7627" w:rsidRDefault="007C0420" w:rsidP="007C0420">
      <w:pPr>
        <w:pStyle w:val="AAAAAAA"/>
        <w:rPr>
          <w:rStyle w:val="fontstyle01"/>
          <w:rFonts w:asciiTheme="majorBidi" w:hAnsiTheme="majorBidi" w:cstheme="majorBidi"/>
        </w:rPr>
      </w:pPr>
      <w:bookmarkStart w:id="252" w:name="_Toc22331710"/>
      <w:r w:rsidRPr="00332170">
        <w:rPr>
          <w:rStyle w:val="Heading2Char"/>
          <w:u w:val="none"/>
        </w:rPr>
        <w:t>5.4. Testing the Research Hypotheses</w:t>
      </w:r>
      <w:bookmarkEnd w:id="252"/>
      <w:r w:rsidRPr="002A7627">
        <w:t xml:space="preserve">. </w:t>
      </w:r>
      <w:r w:rsidRPr="002A7627">
        <w:rPr>
          <w:rStyle w:val="fontstyle01"/>
          <w:rFonts w:asciiTheme="majorBidi" w:hAnsiTheme="majorBidi" w:cstheme="majorBidi"/>
        </w:rPr>
        <w:t xml:space="preserve">Once </w:t>
      </w:r>
      <w:r>
        <w:rPr>
          <w:rStyle w:val="fontstyle01"/>
          <w:rFonts w:asciiTheme="majorBidi" w:hAnsiTheme="majorBidi" w:cstheme="majorBidi"/>
        </w:rPr>
        <w:t xml:space="preserve">the lack of collinearity among the constructs </w:t>
      </w:r>
      <w:r w:rsidR="00F82928">
        <w:rPr>
          <w:rStyle w:val="fontstyle01"/>
          <w:rFonts w:asciiTheme="majorBidi" w:hAnsiTheme="majorBidi" w:cstheme="majorBidi"/>
        </w:rPr>
        <w:t>had been</w:t>
      </w:r>
      <w:r w:rsidR="00F82928" w:rsidRPr="002A7627">
        <w:rPr>
          <w:rStyle w:val="fontstyle01"/>
          <w:rFonts w:asciiTheme="majorBidi" w:hAnsiTheme="majorBidi" w:cstheme="majorBidi"/>
        </w:rPr>
        <w:t xml:space="preserve"> </w:t>
      </w:r>
      <w:r>
        <w:rPr>
          <w:rStyle w:val="fontstyle01"/>
          <w:rFonts w:asciiTheme="majorBidi" w:hAnsiTheme="majorBidi" w:cstheme="majorBidi"/>
        </w:rPr>
        <w:t>demonstrated</w:t>
      </w:r>
      <w:r w:rsidRPr="002A7627">
        <w:rPr>
          <w:rStyle w:val="fontstyle01"/>
          <w:rFonts w:asciiTheme="majorBidi" w:hAnsiTheme="majorBidi" w:cstheme="majorBidi"/>
        </w:rPr>
        <w:t xml:space="preserve"> and the measurement model </w:t>
      </w:r>
      <w:r w:rsidR="00F82928">
        <w:rPr>
          <w:rStyle w:val="fontstyle01"/>
          <w:rFonts w:asciiTheme="majorBidi" w:hAnsiTheme="majorBidi" w:cstheme="majorBidi"/>
        </w:rPr>
        <w:t>had been</w:t>
      </w:r>
      <w:r w:rsidR="00F82928" w:rsidRPr="002A7627">
        <w:rPr>
          <w:rStyle w:val="fontstyle01"/>
          <w:rFonts w:asciiTheme="majorBidi" w:hAnsiTheme="majorBidi" w:cstheme="majorBidi"/>
        </w:rPr>
        <w:t xml:space="preserve"> </w:t>
      </w:r>
      <w:r>
        <w:rPr>
          <w:rStyle w:val="fontstyle01"/>
          <w:rFonts w:asciiTheme="majorBidi" w:hAnsiTheme="majorBidi" w:cstheme="majorBidi"/>
        </w:rPr>
        <w:t>shown</w:t>
      </w:r>
      <w:r w:rsidRPr="002A7627">
        <w:rPr>
          <w:rStyle w:val="fontstyle01"/>
          <w:rFonts w:asciiTheme="majorBidi" w:hAnsiTheme="majorBidi" w:cstheme="majorBidi"/>
        </w:rPr>
        <w:t xml:space="preserve"> to be </w:t>
      </w:r>
      <w:r>
        <w:rPr>
          <w:rStyle w:val="fontstyle01"/>
          <w:rFonts w:asciiTheme="majorBidi" w:hAnsiTheme="majorBidi" w:cstheme="majorBidi"/>
        </w:rPr>
        <w:t>acceptable</w:t>
      </w:r>
      <w:r w:rsidRPr="002A7627">
        <w:rPr>
          <w:rStyle w:val="fontstyle01"/>
          <w:rFonts w:asciiTheme="majorBidi" w:hAnsiTheme="majorBidi" w:cstheme="majorBidi"/>
        </w:rPr>
        <w:t xml:space="preserve">, </w:t>
      </w:r>
      <w:r>
        <w:rPr>
          <w:rStyle w:val="fontstyle01"/>
          <w:rFonts w:asciiTheme="majorBidi" w:hAnsiTheme="majorBidi" w:cstheme="majorBidi"/>
        </w:rPr>
        <w:t>t</w:t>
      </w:r>
      <w:r w:rsidRPr="002A7627">
        <w:rPr>
          <w:rStyle w:val="fontstyle01"/>
          <w:rFonts w:asciiTheme="majorBidi" w:hAnsiTheme="majorBidi" w:cstheme="majorBidi"/>
        </w:rPr>
        <w:t xml:space="preserve">he </w:t>
      </w:r>
      <w:r>
        <w:rPr>
          <w:rStyle w:val="fontstyle01"/>
          <w:rFonts w:asciiTheme="majorBidi" w:hAnsiTheme="majorBidi" w:cstheme="majorBidi"/>
        </w:rPr>
        <w:t xml:space="preserve">values of the </w:t>
      </w:r>
      <w:r w:rsidRPr="002A7627">
        <w:rPr>
          <w:rStyle w:val="fontstyle01"/>
          <w:rFonts w:asciiTheme="majorBidi" w:hAnsiTheme="majorBidi" w:cstheme="majorBidi"/>
        </w:rPr>
        <w:t>path</w:t>
      </w:r>
      <w:r>
        <w:rPr>
          <w:rStyle w:val="fontstyle01"/>
          <w:rFonts w:asciiTheme="majorBidi" w:hAnsiTheme="majorBidi" w:cstheme="majorBidi"/>
        </w:rPr>
        <w:t>,</w:t>
      </w:r>
      <w:r w:rsidRPr="002A7627">
        <w:rPr>
          <w:rStyle w:val="fontstyle01"/>
          <w:rFonts w:asciiTheme="majorBidi" w:hAnsiTheme="majorBidi" w:cstheme="majorBidi"/>
        </w:rPr>
        <w:t xml:space="preserve"> or beta</w:t>
      </w:r>
      <w:r>
        <w:rPr>
          <w:rStyle w:val="fontstyle01"/>
          <w:rFonts w:asciiTheme="majorBidi" w:hAnsiTheme="majorBidi" w:cstheme="majorBidi"/>
        </w:rPr>
        <w:t>,</w:t>
      </w:r>
      <w:r w:rsidRPr="002A7627">
        <w:rPr>
          <w:rStyle w:val="fontstyle01"/>
          <w:rFonts w:asciiTheme="majorBidi" w:hAnsiTheme="majorBidi" w:cstheme="majorBidi"/>
        </w:rPr>
        <w:t xml:space="preserve"> coefficients (</w:t>
      </w:r>
      <w:r w:rsidRPr="00C06822">
        <w:rPr>
          <w:rStyle w:val="fontstyle01"/>
          <w:rFonts w:asciiTheme="majorBidi" w:hAnsiTheme="majorBidi" w:cstheme="majorBidi"/>
          <w:i/>
        </w:rPr>
        <w:t>β</w:t>
      </w:r>
      <w:r w:rsidRPr="002A7627">
        <w:rPr>
          <w:rStyle w:val="fontstyle01"/>
          <w:rFonts w:asciiTheme="majorBidi" w:hAnsiTheme="majorBidi" w:cstheme="majorBidi"/>
        </w:rPr>
        <w:t xml:space="preserve">) </w:t>
      </w:r>
      <w:r>
        <w:rPr>
          <w:rStyle w:val="fontstyle01"/>
          <w:rFonts w:asciiTheme="majorBidi" w:hAnsiTheme="majorBidi" w:cstheme="majorBidi"/>
        </w:rPr>
        <w:t>were calculated. Within the model, each of t</w:t>
      </w:r>
      <w:r w:rsidRPr="002A7627">
        <w:rPr>
          <w:rStyle w:val="fontstyle01"/>
          <w:rFonts w:asciiTheme="majorBidi" w:hAnsiTheme="majorBidi" w:cstheme="majorBidi"/>
        </w:rPr>
        <w:t>he</w:t>
      </w:r>
      <w:r>
        <w:rPr>
          <w:rStyle w:val="fontstyle01"/>
          <w:rFonts w:asciiTheme="majorBidi" w:hAnsiTheme="majorBidi" w:cstheme="majorBidi"/>
        </w:rPr>
        <w:t>se</w:t>
      </w:r>
      <w:r w:rsidRPr="002A7627">
        <w:rPr>
          <w:rStyle w:val="fontstyle01"/>
          <w:rFonts w:asciiTheme="majorBidi" w:hAnsiTheme="majorBidi" w:cstheme="majorBidi"/>
        </w:rPr>
        <w:t xml:space="preserve"> </w:t>
      </w:r>
      <w:r>
        <w:rPr>
          <w:rStyle w:val="fontstyle01"/>
          <w:rFonts w:asciiTheme="majorBidi" w:hAnsiTheme="majorBidi" w:cstheme="majorBidi"/>
        </w:rPr>
        <w:t>parameters represents</w:t>
      </w:r>
      <w:r w:rsidRPr="002A7627">
        <w:rPr>
          <w:rStyle w:val="fontstyle01"/>
          <w:rFonts w:asciiTheme="majorBidi" w:hAnsiTheme="majorBidi" w:cstheme="majorBidi"/>
        </w:rPr>
        <w:t xml:space="preserve"> the </w:t>
      </w:r>
      <w:r>
        <w:rPr>
          <w:rStyle w:val="fontstyle01"/>
          <w:rFonts w:asciiTheme="majorBidi" w:hAnsiTheme="majorBidi" w:cstheme="majorBidi"/>
        </w:rPr>
        <w:t xml:space="preserve">per-unit </w:t>
      </w:r>
      <w:r w:rsidRPr="002A7627">
        <w:rPr>
          <w:rStyle w:val="fontstyle01"/>
          <w:rFonts w:asciiTheme="majorBidi" w:hAnsiTheme="majorBidi" w:cstheme="majorBidi"/>
        </w:rPr>
        <w:t xml:space="preserve">change in </w:t>
      </w:r>
      <w:r>
        <w:rPr>
          <w:rStyle w:val="fontstyle01"/>
          <w:rFonts w:asciiTheme="majorBidi" w:hAnsiTheme="majorBidi" w:cstheme="majorBidi"/>
        </w:rPr>
        <w:t>the</w:t>
      </w:r>
      <w:r w:rsidRPr="002A7627">
        <w:rPr>
          <w:rStyle w:val="fontstyle01"/>
          <w:rFonts w:asciiTheme="majorBidi" w:hAnsiTheme="majorBidi" w:cstheme="majorBidi"/>
        </w:rPr>
        <w:t xml:space="preserve"> dependent variable </w:t>
      </w:r>
      <w:r>
        <w:rPr>
          <w:rStyle w:val="fontstyle01"/>
          <w:rFonts w:asciiTheme="majorBidi" w:hAnsiTheme="majorBidi" w:cstheme="majorBidi"/>
        </w:rPr>
        <w:t xml:space="preserve">that would </w:t>
      </w:r>
      <w:r w:rsidRPr="002A7627">
        <w:rPr>
          <w:rStyle w:val="fontstyle01"/>
          <w:rFonts w:asciiTheme="majorBidi" w:hAnsiTheme="majorBidi" w:cstheme="majorBidi"/>
        </w:rPr>
        <w:t xml:space="preserve">result from a </w:t>
      </w:r>
      <w:r>
        <w:rPr>
          <w:rStyle w:val="fontstyle01"/>
          <w:rFonts w:asciiTheme="majorBidi" w:hAnsiTheme="majorBidi" w:cstheme="majorBidi"/>
        </w:rPr>
        <w:t>one-</w:t>
      </w:r>
      <w:r w:rsidRPr="002A7627">
        <w:rPr>
          <w:rStyle w:val="fontstyle01"/>
          <w:rFonts w:asciiTheme="majorBidi" w:hAnsiTheme="majorBidi" w:cstheme="majorBidi"/>
        </w:rPr>
        <w:t xml:space="preserve">unit change in </w:t>
      </w:r>
      <w:r>
        <w:rPr>
          <w:rStyle w:val="fontstyle01"/>
          <w:rFonts w:asciiTheme="majorBidi" w:hAnsiTheme="majorBidi" w:cstheme="majorBidi"/>
        </w:rPr>
        <w:t>the</w:t>
      </w:r>
      <w:r w:rsidRPr="002A7627">
        <w:rPr>
          <w:rStyle w:val="fontstyle01"/>
          <w:rFonts w:asciiTheme="majorBidi" w:hAnsiTheme="majorBidi" w:cstheme="majorBidi"/>
        </w:rPr>
        <w:t xml:space="preserve"> independent variable</w:t>
      </w:r>
      <w:r>
        <w:rPr>
          <w:rStyle w:val="fontstyle01"/>
          <w:rFonts w:asciiTheme="majorBidi" w:hAnsiTheme="majorBidi" w:cstheme="majorBidi"/>
        </w:rPr>
        <w:t xml:space="preserve"> of which it is the coefficient,</w:t>
      </w:r>
      <w:r w:rsidRPr="002A7627">
        <w:rPr>
          <w:rStyle w:val="fontstyle01"/>
          <w:rFonts w:asciiTheme="majorBidi" w:hAnsiTheme="majorBidi" w:cstheme="majorBidi"/>
        </w:rPr>
        <w:t xml:space="preserve"> </w:t>
      </w:r>
      <w:r w:rsidR="00F82928">
        <w:rPr>
          <w:rStyle w:val="fontstyle01"/>
          <w:rFonts w:asciiTheme="majorBidi" w:hAnsiTheme="majorBidi" w:cstheme="majorBidi"/>
        </w:rPr>
        <w:t>when</w:t>
      </w:r>
      <w:r w:rsidRPr="002A7627">
        <w:rPr>
          <w:rStyle w:val="fontstyle01"/>
          <w:rFonts w:asciiTheme="majorBidi" w:hAnsiTheme="majorBidi" w:cstheme="majorBidi"/>
        </w:rPr>
        <w:t xml:space="preserve"> </w:t>
      </w:r>
      <w:r>
        <w:rPr>
          <w:rStyle w:val="fontstyle01"/>
          <w:rFonts w:asciiTheme="majorBidi" w:hAnsiTheme="majorBidi" w:cstheme="majorBidi"/>
        </w:rPr>
        <w:t xml:space="preserve">the values of </w:t>
      </w:r>
      <w:r w:rsidRPr="002A7627">
        <w:rPr>
          <w:rStyle w:val="fontstyle01"/>
          <w:rFonts w:asciiTheme="majorBidi" w:hAnsiTheme="majorBidi" w:cstheme="majorBidi"/>
        </w:rPr>
        <w:t xml:space="preserve">all </w:t>
      </w:r>
      <w:r>
        <w:rPr>
          <w:rStyle w:val="fontstyle01"/>
          <w:rFonts w:asciiTheme="majorBidi" w:hAnsiTheme="majorBidi" w:cstheme="majorBidi"/>
        </w:rPr>
        <w:t xml:space="preserve">the </w:t>
      </w:r>
      <w:r w:rsidRPr="002A7627">
        <w:rPr>
          <w:rStyle w:val="fontstyle01"/>
          <w:rFonts w:asciiTheme="majorBidi" w:hAnsiTheme="majorBidi" w:cstheme="majorBidi"/>
        </w:rPr>
        <w:t xml:space="preserve">other independent variables </w:t>
      </w:r>
      <w:r>
        <w:rPr>
          <w:rStyle w:val="fontstyle01"/>
          <w:rFonts w:asciiTheme="majorBidi" w:hAnsiTheme="majorBidi" w:cstheme="majorBidi"/>
        </w:rPr>
        <w:t>are held</w:t>
      </w:r>
      <w:r w:rsidRPr="002A7627">
        <w:rPr>
          <w:rStyle w:val="fontstyle01"/>
          <w:rFonts w:asciiTheme="majorBidi" w:hAnsiTheme="majorBidi" w:cstheme="majorBidi"/>
        </w:rPr>
        <w:t xml:space="preserve"> constant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{"citationItems":[{"id":"ITEM-1","itemData":{"DOI":"10.1108/IMDS-09-2015-0382","ISBN":"0263557111","ISSN":"0263-5577","PMID":"21409434","abstract":"Purpose – Partial least squares (PLS) path modeling is a variance-based structural equation modeling (SEM) technique that is widely applied in business and social sciences. Its ability to model composites and factors makes it a formidable statistical tool for new technology research. Recent reviews, discussions, and developments have led to substantial changes in the understanding and use of PLS. The paper aims to discuss these issues. Design/methodology/approach – This paper aggregates new insights and offers a fresh look at PLS path modeling. It presents new developments, such as consistent PLS, confirmatory composite analysis, and the heterotrait-monotrait ratio of correlations. Findings – PLS path modeling is the method of choice if a SEM contains both factors and composites. Novel tests of exact fit make a confirmatory use of PLS path modeling possible. Originality/value – This paper provides updated guidelines of how to use PLS and how to report and interpret its results.","author":[{"dropping-particle":"","family":"Henseler","given":"Jörg","non-dropping-particle":"","parse-names":false,"suffix":""},{"dropping-particle":"","family":"Hubona","given":"Geoffrey","non-dropping-particle":"","parse-names":false,"suffix":""},{"dropping-particle":"","family":"Ray","given":"Pauline Ash","non-dropping-particle":"","parse-names":false,"suffix":""}],"container-title":"Industrial Management and Data Systems","id":"ITEM-1","issue":"1","issued":{"date-parts":[["2016","2"]]},"page":"2-20","title":"Using PLS path modeling in new technology research: Updated guidelines","type":"article-journal","volume":"116"},"uris":["http://www.mendeley.com/documents/?uuid=09b5e4c5-6228-4008-ba38-cd2bf7202710"]}],"mendeley":{"formattedCitation":"(Henseler et al., 2016)","plainTextFormattedCitation":"(Henseler et al., 2016)","previouslyFormattedCitation":"(Henseler et al., 2016)"},"properties":{"noteIndex":0},"schema":"https://github.com/citation-style-language/schema/raw/master/csl-citation.json"}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(Henseler et al., 2016)</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 xml:space="preserve">. </w:t>
      </w:r>
    </w:p>
    <w:p w14:paraId="35016CEC" w14:textId="3217A94B" w:rsidR="00380767" w:rsidRPr="004D499B" w:rsidRDefault="00F82928" w:rsidP="00623230">
      <w:pPr>
        <w:spacing w:line="480" w:lineRule="auto"/>
        <w:ind w:firstLine="720"/>
        <w:jc w:val="both"/>
        <w:rPr>
          <w:rStyle w:val="fontstyle01"/>
          <w:rFonts w:asciiTheme="majorBidi" w:hAnsiTheme="majorBidi" w:cstheme="majorBidi"/>
          <w:color w:val="000000" w:themeColor="text1"/>
        </w:rPr>
      </w:pPr>
      <w:r>
        <w:rPr>
          <w:rStyle w:val="fontstyle01"/>
          <w:rFonts w:asciiTheme="majorBidi" w:hAnsiTheme="majorBidi" w:cstheme="majorBidi"/>
          <w:color w:val="000000" w:themeColor="text1"/>
        </w:rPr>
        <w:t xml:space="preserve">The </w:t>
      </w:r>
      <w:r w:rsidR="00562705" w:rsidRPr="004D499B">
        <w:rPr>
          <w:rStyle w:val="fontstyle01"/>
          <w:rFonts w:asciiTheme="majorBidi" w:hAnsiTheme="majorBidi" w:cstheme="majorBidi"/>
          <w:color w:val="000000" w:themeColor="text1"/>
        </w:rPr>
        <w:t xml:space="preserve">aim of </w:t>
      </w:r>
      <w:r>
        <w:rPr>
          <w:rStyle w:val="fontstyle01"/>
          <w:rFonts w:asciiTheme="majorBidi" w:hAnsiTheme="majorBidi" w:cstheme="majorBidi"/>
          <w:color w:val="000000" w:themeColor="text1"/>
        </w:rPr>
        <w:t>this study was</w:t>
      </w:r>
      <w:r w:rsidR="00562705" w:rsidRPr="004D499B">
        <w:rPr>
          <w:rStyle w:val="fontstyle01"/>
          <w:rFonts w:asciiTheme="majorBidi" w:hAnsiTheme="majorBidi" w:cstheme="majorBidi"/>
          <w:color w:val="000000" w:themeColor="text1"/>
        </w:rPr>
        <w:t xml:space="preserve"> </w:t>
      </w:r>
      <w:r w:rsidR="007C0420">
        <w:rPr>
          <w:rStyle w:val="fontstyle01"/>
          <w:rFonts w:asciiTheme="majorBidi" w:hAnsiTheme="majorBidi" w:cstheme="majorBidi"/>
        </w:rPr>
        <w:t>to</w:t>
      </w:r>
      <w:r w:rsidR="007C0420" w:rsidRPr="002A7627">
        <w:rPr>
          <w:rStyle w:val="fontstyle01"/>
          <w:rFonts w:asciiTheme="majorBidi" w:hAnsiTheme="majorBidi" w:cstheme="majorBidi"/>
        </w:rPr>
        <w:t xml:space="preserve"> generalize </w:t>
      </w:r>
      <w:r w:rsidR="00380767">
        <w:rPr>
          <w:rStyle w:val="fontstyle01"/>
          <w:rFonts w:asciiTheme="majorBidi" w:hAnsiTheme="majorBidi" w:cstheme="majorBidi"/>
        </w:rPr>
        <w:t xml:space="preserve">results </w:t>
      </w:r>
      <w:r w:rsidR="007C0420" w:rsidRPr="002A7627">
        <w:rPr>
          <w:rStyle w:val="fontstyle01"/>
          <w:rFonts w:asciiTheme="majorBidi" w:hAnsiTheme="majorBidi" w:cstheme="majorBidi"/>
        </w:rPr>
        <w:t xml:space="preserve">from </w:t>
      </w:r>
      <w:r w:rsidR="007C0420">
        <w:rPr>
          <w:rStyle w:val="fontstyle01"/>
          <w:rFonts w:asciiTheme="majorBidi" w:hAnsiTheme="majorBidi" w:cstheme="majorBidi"/>
        </w:rPr>
        <w:t>the study</w:t>
      </w:r>
      <w:r w:rsidR="007C0420" w:rsidRPr="002A7627">
        <w:rPr>
          <w:rStyle w:val="fontstyle01"/>
          <w:rFonts w:asciiTheme="majorBidi" w:hAnsiTheme="majorBidi" w:cstheme="majorBidi"/>
        </w:rPr>
        <w:t xml:space="preserve"> sample to </w:t>
      </w:r>
      <w:r w:rsidR="007C0420">
        <w:rPr>
          <w:rStyle w:val="fontstyle01"/>
          <w:rFonts w:asciiTheme="majorBidi" w:hAnsiTheme="majorBidi" w:cstheme="majorBidi"/>
        </w:rPr>
        <w:t>the</w:t>
      </w:r>
      <w:r w:rsidR="007C0420" w:rsidRPr="002A7627">
        <w:rPr>
          <w:rStyle w:val="fontstyle01"/>
          <w:rFonts w:asciiTheme="majorBidi" w:hAnsiTheme="majorBidi" w:cstheme="majorBidi"/>
        </w:rPr>
        <w:t xml:space="preserve"> </w:t>
      </w:r>
      <w:r>
        <w:rPr>
          <w:rStyle w:val="fontstyle01"/>
          <w:rFonts w:asciiTheme="majorBidi" w:hAnsiTheme="majorBidi" w:cstheme="majorBidi"/>
        </w:rPr>
        <w:t xml:space="preserve">whole </w:t>
      </w:r>
      <w:r w:rsidR="007C0420" w:rsidRPr="002A7627">
        <w:rPr>
          <w:rStyle w:val="fontstyle01"/>
          <w:rFonts w:asciiTheme="majorBidi" w:hAnsiTheme="majorBidi" w:cstheme="majorBidi"/>
        </w:rPr>
        <w:t xml:space="preserve">population, </w:t>
      </w:r>
      <w:r>
        <w:rPr>
          <w:rStyle w:val="fontstyle01"/>
          <w:rFonts w:asciiTheme="majorBidi" w:hAnsiTheme="majorBidi" w:cstheme="majorBidi"/>
        </w:rPr>
        <w:t xml:space="preserve">so </w:t>
      </w:r>
      <w:r w:rsidR="007C0420">
        <w:rPr>
          <w:rStyle w:val="fontstyle01"/>
          <w:rFonts w:asciiTheme="majorBidi" w:hAnsiTheme="majorBidi" w:cstheme="majorBidi"/>
        </w:rPr>
        <w:t xml:space="preserve">inference testing was </w:t>
      </w:r>
      <w:r>
        <w:rPr>
          <w:rStyle w:val="fontstyle01"/>
          <w:rFonts w:asciiTheme="majorBidi" w:hAnsiTheme="majorBidi" w:cstheme="majorBidi"/>
        </w:rPr>
        <w:t>used</w:t>
      </w:r>
      <w:r w:rsidR="007C0420">
        <w:rPr>
          <w:rStyle w:val="fontstyle01"/>
          <w:rFonts w:asciiTheme="majorBidi" w:hAnsiTheme="majorBidi" w:cstheme="majorBidi"/>
        </w:rPr>
        <w:t xml:space="preserve">, including calculation of </w:t>
      </w:r>
      <w:r w:rsidR="007C0420" w:rsidRPr="002A7627">
        <w:rPr>
          <w:rStyle w:val="fontstyle01"/>
          <w:rFonts w:asciiTheme="majorBidi" w:hAnsiTheme="majorBidi" w:cstheme="majorBidi"/>
        </w:rPr>
        <w:t xml:space="preserve">the </w:t>
      </w:r>
      <w:r w:rsidR="007C0420">
        <w:rPr>
          <w:rStyle w:val="fontstyle01"/>
          <w:rFonts w:asciiTheme="majorBidi" w:hAnsiTheme="majorBidi" w:cstheme="majorBidi"/>
        </w:rPr>
        <w:t xml:space="preserve">statistical significance of the </w:t>
      </w:r>
      <w:r w:rsidR="007C0420" w:rsidRPr="002A7627">
        <w:rPr>
          <w:rStyle w:val="fontstyle01"/>
          <w:rFonts w:asciiTheme="majorBidi" w:hAnsiTheme="majorBidi" w:cstheme="majorBidi"/>
        </w:rPr>
        <w:t xml:space="preserve">path coefficients </w:t>
      </w:r>
      <w:r w:rsidR="007C0420">
        <w:rPr>
          <w:rStyle w:val="fontstyle01"/>
          <w:rFonts w:asciiTheme="majorBidi" w:hAnsiTheme="majorBidi" w:cstheme="majorBidi"/>
        </w:rPr>
        <w:t>and</w:t>
      </w:r>
      <w:r w:rsidR="007C0420" w:rsidRPr="002A7627">
        <w:rPr>
          <w:rStyle w:val="fontstyle01"/>
          <w:rFonts w:asciiTheme="majorBidi" w:hAnsiTheme="majorBidi" w:cstheme="majorBidi"/>
        </w:rPr>
        <w:t xml:space="preserve"> empirical bootstrap confidence intervals</w:t>
      </w:r>
      <w:r w:rsidR="007C0420">
        <w:rPr>
          <w:rStyle w:val="fontstyle01"/>
          <w:rFonts w:asciiTheme="majorBidi" w:hAnsiTheme="majorBidi" w:cstheme="majorBidi"/>
        </w:rPr>
        <w:t>.</w:t>
      </w:r>
      <w:r w:rsidR="007C0420" w:rsidRPr="002A7627">
        <w:rPr>
          <w:rStyle w:val="fontstyle01"/>
          <w:rFonts w:asciiTheme="majorBidi" w:hAnsiTheme="majorBidi" w:cstheme="majorBidi"/>
        </w:rPr>
        <w:t xml:space="preserve"> </w:t>
      </w:r>
      <w:r>
        <w:rPr>
          <w:rStyle w:val="fontstyle01"/>
          <w:rFonts w:asciiTheme="majorBidi" w:hAnsiTheme="majorBidi" w:cstheme="majorBidi"/>
        </w:rPr>
        <w:t>B</w:t>
      </w:r>
      <w:r w:rsidR="007C0420" w:rsidRPr="002A7627">
        <w:rPr>
          <w:rStyle w:val="fontstyle01"/>
          <w:rFonts w:asciiTheme="majorBidi" w:hAnsiTheme="majorBidi" w:cstheme="majorBidi"/>
        </w:rPr>
        <w:t xml:space="preserve">ootstrap percentile confidence intervals of path coefficients </w:t>
      </w:r>
      <w:r w:rsidR="007C0420">
        <w:rPr>
          <w:rStyle w:val="fontstyle01"/>
          <w:rFonts w:asciiTheme="majorBidi" w:hAnsiTheme="majorBidi" w:cstheme="majorBidi"/>
        </w:rPr>
        <w:t xml:space="preserve">are valuable in </w:t>
      </w:r>
      <w:r w:rsidR="007C0420" w:rsidRPr="002A7627">
        <w:rPr>
          <w:rStyle w:val="fontstyle01"/>
          <w:rFonts w:asciiTheme="majorBidi" w:hAnsiTheme="majorBidi" w:cstheme="majorBidi"/>
        </w:rPr>
        <w:t>help</w:t>
      </w:r>
      <w:r w:rsidR="007C0420">
        <w:rPr>
          <w:rStyle w:val="fontstyle01"/>
          <w:rFonts w:asciiTheme="majorBidi" w:hAnsiTheme="majorBidi" w:cstheme="majorBidi"/>
        </w:rPr>
        <w:t>ing to</w:t>
      </w:r>
      <w:r w:rsidR="007C0420" w:rsidRPr="002A7627">
        <w:rPr>
          <w:rStyle w:val="fontstyle01"/>
          <w:rFonts w:asciiTheme="majorBidi" w:hAnsiTheme="majorBidi" w:cstheme="majorBidi"/>
        </w:rPr>
        <w:t xml:space="preserve"> generalize from the sample to the target population and </w:t>
      </w:r>
      <w:r w:rsidR="007C0420">
        <w:rPr>
          <w:rStyle w:val="fontstyle01"/>
          <w:rFonts w:asciiTheme="majorBidi" w:hAnsiTheme="majorBidi" w:cstheme="majorBidi"/>
        </w:rPr>
        <w:t xml:space="preserve">so </w:t>
      </w:r>
      <w:r w:rsidR="00F32C6C">
        <w:rPr>
          <w:rStyle w:val="fontstyle01"/>
          <w:rFonts w:asciiTheme="majorBidi" w:hAnsiTheme="majorBidi" w:cstheme="majorBidi"/>
        </w:rPr>
        <w:t>were</w:t>
      </w:r>
      <w:r w:rsidR="00F32C6C" w:rsidRPr="002A7627">
        <w:rPr>
          <w:rStyle w:val="fontstyle01"/>
          <w:rFonts w:asciiTheme="majorBidi" w:hAnsiTheme="majorBidi" w:cstheme="majorBidi"/>
        </w:rPr>
        <w:t xml:space="preserve"> </w:t>
      </w:r>
      <w:r w:rsidR="007C0420" w:rsidRPr="002A7627">
        <w:rPr>
          <w:rStyle w:val="fontstyle01"/>
          <w:rFonts w:asciiTheme="majorBidi" w:hAnsiTheme="majorBidi" w:cstheme="majorBidi"/>
        </w:rPr>
        <w:t xml:space="preserve">preferred </w:t>
      </w:r>
      <w:r w:rsidR="007C0420">
        <w:rPr>
          <w:rStyle w:val="fontstyle01"/>
          <w:rFonts w:asciiTheme="majorBidi" w:hAnsiTheme="majorBidi" w:cstheme="majorBidi"/>
        </w:rPr>
        <w:t>to</w:t>
      </w:r>
      <w:r w:rsidR="007C0420" w:rsidRPr="002A7627">
        <w:rPr>
          <w:rStyle w:val="fontstyle01"/>
          <w:rFonts w:asciiTheme="majorBidi" w:hAnsiTheme="majorBidi" w:cstheme="majorBidi"/>
        </w:rPr>
        <w:t xml:space="preserve"> null hypothesis significance testing </w:t>
      </w:r>
      <w:r w:rsidR="007C0420" w:rsidRPr="002A7627">
        <w:rPr>
          <w:rStyle w:val="fontstyle01"/>
          <w:rFonts w:asciiTheme="majorBidi" w:hAnsiTheme="majorBidi" w:cstheme="majorBidi"/>
        </w:rPr>
        <w:fldChar w:fldCharType="begin" w:fldLock="1"/>
      </w:r>
      <w:r w:rsidR="007C0420" w:rsidRPr="002A7627">
        <w:rPr>
          <w:rStyle w:val="fontstyle01"/>
          <w:rFonts w:asciiTheme="majorBidi" w:hAnsiTheme="majorBidi" w:cstheme="majorBidi"/>
        </w:rPr>
        <w:instrText>ADDIN CSL_CITATION {"citationItems":[{"id":"ITEM-1","itemData":{"DOI":"10.1108/EBR-11-2018-0203","ISSN":"0955534X","abstract":"Purpose –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 This paper provides an overview of previously and recently proposed metrics as well as rules of thumb for evaluating the research results based on the application of PLS-SEM. Findings –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 Methodological developments associated with PLS-SEM are rapidly emerging. The metrics reported in this paper are useful for current applications, but must always be up to date with the latest developments in the PLS-SEM method. Originality/value –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PLS-SEM","type":"article-journal","volume":"31"},"uris":["http://www.mendeley.com/documents/?uuid=632893ee-4602-4bf3-9c88-ab5a48d4eeca"]}],"mendeley":{"formattedCitation":"(Hair et al., 2019)","plainTextFormattedCitation":"(Hair et al., 2019)","previouslyFormattedCitation":"(Hair et al., 2019)"},"properties":{"noteIndex":0},"schema":"https://github.com/citation-style-language/schema/raw/master/csl-citation.json"}</w:instrText>
      </w:r>
      <w:r w:rsidR="007C0420" w:rsidRPr="002A7627">
        <w:rPr>
          <w:rStyle w:val="fontstyle01"/>
          <w:rFonts w:asciiTheme="majorBidi" w:hAnsiTheme="majorBidi" w:cstheme="majorBidi"/>
        </w:rPr>
        <w:fldChar w:fldCharType="separate"/>
      </w:r>
      <w:r w:rsidR="007C0420" w:rsidRPr="002A7627">
        <w:rPr>
          <w:rStyle w:val="fontstyle01"/>
          <w:rFonts w:asciiTheme="majorBidi" w:hAnsiTheme="majorBidi" w:cstheme="majorBidi"/>
          <w:noProof/>
        </w:rPr>
        <w:t>(Hair et al., 2019)</w:t>
      </w:r>
      <w:r w:rsidR="007C0420" w:rsidRPr="002A7627">
        <w:rPr>
          <w:rStyle w:val="fontstyle01"/>
          <w:rFonts w:asciiTheme="majorBidi" w:hAnsiTheme="majorBidi" w:cstheme="majorBidi"/>
        </w:rPr>
        <w:fldChar w:fldCharType="end"/>
      </w:r>
      <w:r w:rsidR="007C0420" w:rsidRPr="002A7627">
        <w:rPr>
          <w:rStyle w:val="fontstyle01"/>
          <w:rFonts w:asciiTheme="majorBidi" w:hAnsiTheme="majorBidi" w:cstheme="majorBidi"/>
        </w:rPr>
        <w:t xml:space="preserve">. </w:t>
      </w:r>
      <w:r>
        <w:rPr>
          <w:rStyle w:val="fontstyle01"/>
          <w:rFonts w:asciiTheme="majorBidi" w:hAnsiTheme="majorBidi" w:cstheme="majorBidi"/>
        </w:rPr>
        <w:t>B</w:t>
      </w:r>
      <w:r w:rsidR="007C0420" w:rsidRPr="002A7627">
        <w:rPr>
          <w:rStyle w:val="fontstyle01"/>
          <w:rFonts w:asciiTheme="majorBidi" w:hAnsiTheme="majorBidi" w:cstheme="majorBidi"/>
        </w:rPr>
        <w:t xml:space="preserve">ootstrap percentile confidence intervals </w:t>
      </w:r>
      <w:r w:rsidR="007C0420">
        <w:rPr>
          <w:rStyle w:val="fontstyle01"/>
          <w:rFonts w:asciiTheme="majorBidi" w:hAnsiTheme="majorBidi" w:cstheme="majorBidi"/>
        </w:rPr>
        <w:t>we</w:t>
      </w:r>
      <w:r w:rsidR="007C0420" w:rsidRPr="002A7627">
        <w:rPr>
          <w:rStyle w:val="fontstyle01"/>
          <w:rFonts w:asciiTheme="majorBidi" w:hAnsiTheme="majorBidi" w:cstheme="majorBidi"/>
        </w:rPr>
        <w:t xml:space="preserve">re used to examine the relationships between constructs. </w:t>
      </w:r>
      <w:r w:rsidR="007C0420" w:rsidRPr="002A7627">
        <w:rPr>
          <w:rStyle w:val="fontstyle01"/>
          <w:rFonts w:asciiTheme="majorBidi" w:hAnsiTheme="majorBidi" w:cstheme="majorBidi"/>
        </w:rPr>
        <w:fldChar w:fldCharType="begin" w:fldLock="1"/>
      </w:r>
      <w:r w:rsidR="007C0420" w:rsidRPr="002A7627">
        <w:rPr>
          <w:rStyle w:val="fontstyle01"/>
          <w:rFonts w:asciiTheme="majorBidi" w:hAnsiTheme="majorBidi" w:cstheme="majorBidi"/>
        </w:rPr>
        <w:instrText>ADDIN CSL_CITATION {"citationItems":[{"id":"ITEM-1","itemData":{"DOI":"10.1108/IMDS-09-2015-0382","ISBN":"0263557111","ISSN":"0263-5577","PMID":"21409434","abstract":"Purpose – Partial least squares (PLS) path modeling is a variance-based structural equation modeling (SEM) technique that is widely applied in business and social sciences. Its ability to model composites and factors makes it a formidable statistical tool for new technology research. Recent reviews, discussions, and developments have led to substantial changes in the understanding and use of PLS. The paper aims to discuss these issues. Design/methodology/approach – This paper aggregates new insights and offers a fresh look at PLS path modeling. It presents new developments, such as consistent PLS, confirmatory composite analysis, and the heterotrait-monotrait ratio of correlations. Findings – PLS path modeling is the method of choice if a SEM contains both factors and composites. Novel tests of exact fit make a confirmatory use of PLS path modeling possible. Originality/value – This paper provides updated guidelines of how to use PLS and how to report and interpret its results.","author":[{"dropping-particle":"","family":"Henseler","given":"Jörg","non-dropping-particle":"","parse-names":false,"suffix":""},{"dropping-particle":"","family":"Hubona","given":"Geoffrey","non-dropping-particle":"","parse-names":false,"suffix":""},{"dropping-particle":"","family":"Ray","given":"Pauline Ash","non-dropping-particle":"","parse-names":false,"suffix":""}],"container-title":"Industrial Management and Data Systems","id":"ITEM-1","issue":"1","issued":{"date-parts":[["2016","2"]]},"page":"2-20","title":"Using PLS path modeling in new technology research: Updated guidelines","type":"article-journal","volume":"116"},"uris":["http://www.mendeley.com/documents/?uuid=09b5e4c5-6228-4008-ba38-cd2bf7202710"]}],"mendeley":{"formattedCitation":"(Henseler et al., 2016)","manualFormatting":"Henseler et al. (2016)","plainTextFormattedCitation":"(Henseler et al., 2016)","previouslyFormattedCitation":"(Henseler et al., 2016)"},"properties":{"noteIndex":0},"schema":"https://github.com/citation-style-language/schema/raw/master/csl-citation.json"}</w:instrText>
      </w:r>
      <w:r w:rsidR="007C0420" w:rsidRPr="002A7627">
        <w:rPr>
          <w:rStyle w:val="fontstyle01"/>
          <w:rFonts w:asciiTheme="majorBidi" w:hAnsiTheme="majorBidi" w:cstheme="majorBidi"/>
        </w:rPr>
        <w:fldChar w:fldCharType="separate"/>
      </w:r>
      <w:r w:rsidR="007C0420" w:rsidRPr="002A7627">
        <w:rPr>
          <w:rStyle w:val="fontstyle01"/>
          <w:rFonts w:asciiTheme="majorBidi" w:hAnsiTheme="majorBidi" w:cstheme="majorBidi"/>
          <w:noProof/>
        </w:rPr>
        <w:t>Henseler et al. (2016)</w:t>
      </w:r>
      <w:r w:rsidR="007C0420" w:rsidRPr="002A7627">
        <w:rPr>
          <w:rStyle w:val="fontstyle01"/>
          <w:rFonts w:asciiTheme="majorBidi" w:hAnsiTheme="majorBidi" w:cstheme="majorBidi"/>
        </w:rPr>
        <w:fldChar w:fldCharType="end"/>
      </w:r>
      <w:r w:rsidR="007C0420" w:rsidRPr="002A7627">
        <w:rPr>
          <w:rStyle w:val="fontstyle01"/>
          <w:rFonts w:asciiTheme="majorBidi" w:hAnsiTheme="majorBidi" w:cstheme="majorBidi"/>
        </w:rPr>
        <w:t xml:space="preserve"> recommend</w:t>
      </w:r>
      <w:r>
        <w:rPr>
          <w:rStyle w:val="fontstyle01"/>
          <w:rFonts w:asciiTheme="majorBidi" w:hAnsiTheme="majorBidi" w:cstheme="majorBidi"/>
        </w:rPr>
        <w:t>ed</w:t>
      </w:r>
      <w:r w:rsidR="007C0420" w:rsidRPr="002A7627">
        <w:rPr>
          <w:rStyle w:val="fontstyle01"/>
          <w:rFonts w:asciiTheme="majorBidi" w:hAnsiTheme="majorBidi" w:cstheme="majorBidi"/>
        </w:rPr>
        <w:t xml:space="preserve"> using 4,999 bootstrap samples. A path coefficient is regarded as significant </w:t>
      </w:r>
      <w:r w:rsidR="00380767" w:rsidRPr="004D499B">
        <w:rPr>
          <w:rStyle w:val="fontstyle01"/>
          <w:rFonts w:asciiTheme="majorBidi" w:hAnsiTheme="majorBidi" w:cstheme="majorBidi"/>
          <w:color w:val="000000" w:themeColor="text1"/>
        </w:rPr>
        <w:t xml:space="preserve">when the </w:t>
      </w:r>
      <w:r w:rsidR="00380767" w:rsidRPr="004D499B">
        <w:rPr>
          <w:rStyle w:val="fontstyle31"/>
          <w:rFonts w:asciiTheme="majorBidi" w:hAnsiTheme="majorBidi" w:cstheme="majorBidi"/>
          <w:color w:val="000000" w:themeColor="text1"/>
        </w:rPr>
        <w:t>p</w:t>
      </w:r>
      <w:r w:rsidR="00380767" w:rsidRPr="004D499B">
        <w:rPr>
          <w:rStyle w:val="fontstyle01"/>
          <w:rFonts w:asciiTheme="majorBidi" w:hAnsiTheme="majorBidi" w:cstheme="majorBidi"/>
          <w:color w:val="000000" w:themeColor="text1"/>
        </w:rPr>
        <w:t xml:space="preserve">-value is below the pre-defined </w:t>
      </w:r>
      <w:r w:rsidR="00380767" w:rsidRPr="004D499B">
        <w:rPr>
          <w:rStyle w:val="fontstyle21"/>
          <w:rFonts w:asciiTheme="majorBidi" w:hAnsiTheme="majorBidi" w:cstheme="majorBidi"/>
          <w:color w:val="000000" w:themeColor="text1"/>
        </w:rPr>
        <w:t>α</w:t>
      </w:r>
      <w:r w:rsidR="00380767" w:rsidRPr="004D499B">
        <w:rPr>
          <w:rStyle w:val="fontstyle01"/>
          <w:rFonts w:asciiTheme="majorBidi" w:hAnsiTheme="majorBidi" w:cstheme="majorBidi"/>
          <w:color w:val="000000" w:themeColor="text1"/>
        </w:rPr>
        <w:t xml:space="preserve">-level or its confidence interval does not include the value of zero. However, despite the advantages </w:t>
      </w:r>
      <w:r>
        <w:rPr>
          <w:rStyle w:val="fontstyle01"/>
          <w:rFonts w:asciiTheme="majorBidi" w:hAnsiTheme="majorBidi" w:cstheme="majorBidi"/>
          <w:color w:val="000000" w:themeColor="text1"/>
        </w:rPr>
        <w:t>of</w:t>
      </w:r>
      <w:r w:rsidR="00380767" w:rsidRPr="004D499B">
        <w:rPr>
          <w:rStyle w:val="fontstyle01"/>
          <w:rFonts w:asciiTheme="majorBidi" w:hAnsiTheme="majorBidi" w:cstheme="majorBidi"/>
          <w:color w:val="000000" w:themeColor="text1"/>
        </w:rPr>
        <w:t xml:space="preserve"> using confidence intervals, reporting </w:t>
      </w:r>
      <w:r w:rsidR="00380767" w:rsidRPr="004D499B">
        <w:rPr>
          <w:rStyle w:val="fontstyle31"/>
          <w:rFonts w:asciiTheme="majorBidi" w:hAnsiTheme="majorBidi" w:cstheme="majorBidi"/>
          <w:color w:val="000000" w:themeColor="text1"/>
        </w:rPr>
        <w:t>p</w:t>
      </w:r>
      <w:r w:rsidR="00380767" w:rsidRPr="004D499B">
        <w:rPr>
          <w:rStyle w:val="fontstyle01"/>
          <w:rFonts w:asciiTheme="majorBidi" w:hAnsiTheme="majorBidi" w:cstheme="majorBidi"/>
          <w:color w:val="000000" w:themeColor="text1"/>
        </w:rPr>
        <w:t xml:space="preserve">-values </w:t>
      </w:r>
      <w:r>
        <w:rPr>
          <w:rStyle w:val="fontstyle01"/>
          <w:rFonts w:asciiTheme="majorBidi" w:hAnsiTheme="majorBidi" w:cstheme="majorBidi"/>
          <w:color w:val="000000" w:themeColor="text1"/>
        </w:rPr>
        <w:t xml:space="preserve">still </w:t>
      </w:r>
      <w:r w:rsidR="00380767" w:rsidRPr="004D499B">
        <w:rPr>
          <w:rStyle w:val="fontstyle01"/>
          <w:rFonts w:asciiTheme="majorBidi" w:hAnsiTheme="majorBidi" w:cstheme="majorBidi"/>
          <w:color w:val="000000" w:themeColor="text1"/>
        </w:rPr>
        <w:t>seems to be more common in social research</w:t>
      </w:r>
      <w:r w:rsidR="00440923">
        <w:rPr>
          <w:rStyle w:val="fontstyle01"/>
          <w:rFonts w:asciiTheme="majorBidi" w:hAnsiTheme="majorBidi" w:cstheme="majorBidi"/>
          <w:color w:val="000000" w:themeColor="text1"/>
        </w:rPr>
        <w:t xml:space="preserve"> (Cohen, 2016)</w:t>
      </w:r>
      <w:r w:rsidR="00380767" w:rsidRPr="004D499B">
        <w:rPr>
          <w:rStyle w:val="fontstyle01"/>
          <w:rFonts w:asciiTheme="majorBidi" w:hAnsiTheme="majorBidi" w:cstheme="majorBidi"/>
          <w:color w:val="000000" w:themeColor="text1"/>
        </w:rPr>
        <w:t>.</w:t>
      </w:r>
    </w:p>
    <w:p w14:paraId="6DE33440" w14:textId="793FBA71" w:rsidR="007C0420" w:rsidRPr="002A7627" w:rsidRDefault="00F82928" w:rsidP="00380767">
      <w:pPr>
        <w:pStyle w:val="AAAAAAA"/>
        <w:rPr>
          <w:rStyle w:val="fontstyle01"/>
          <w:rFonts w:asciiTheme="majorBidi" w:hAnsiTheme="majorBidi" w:cstheme="majorBidi"/>
        </w:rPr>
      </w:pPr>
      <w:r>
        <w:rPr>
          <w:rStyle w:val="fontstyle01"/>
          <w:rFonts w:asciiTheme="majorBidi" w:hAnsiTheme="majorBidi" w:cstheme="majorBidi"/>
        </w:rPr>
        <w:t>T</w:t>
      </w:r>
      <w:r w:rsidR="007C0420" w:rsidRPr="002A7627">
        <w:rPr>
          <w:rStyle w:val="fontstyle01"/>
          <w:rFonts w:asciiTheme="majorBidi" w:hAnsiTheme="majorBidi" w:cstheme="majorBidi"/>
        </w:rPr>
        <w:t>he coefficient of determination score (</w:t>
      </w:r>
      <w:r w:rsidR="007C0420" w:rsidRPr="00D764D0">
        <w:rPr>
          <w:rStyle w:val="fontstyle01"/>
          <w:rFonts w:asciiTheme="majorBidi" w:hAnsiTheme="majorBidi" w:cstheme="majorBidi"/>
          <w:i/>
        </w:rPr>
        <w:t>R</w:t>
      </w:r>
      <w:r w:rsidR="007C0420" w:rsidRPr="00D764D0">
        <w:rPr>
          <w:rStyle w:val="fontstyle01"/>
          <w:rFonts w:asciiTheme="majorBidi" w:hAnsiTheme="majorBidi" w:cstheme="majorBidi"/>
          <w:i/>
          <w:vertAlign w:val="superscript"/>
        </w:rPr>
        <w:t>2</w:t>
      </w:r>
      <w:r w:rsidR="007C0420" w:rsidRPr="002A7627">
        <w:rPr>
          <w:rStyle w:val="fontstyle01"/>
          <w:rFonts w:asciiTheme="majorBidi" w:hAnsiTheme="majorBidi" w:cstheme="majorBidi"/>
        </w:rPr>
        <w:t>)</w:t>
      </w:r>
      <w:r w:rsidR="007C0420">
        <w:rPr>
          <w:rStyle w:val="fontstyle01"/>
          <w:rFonts w:asciiTheme="majorBidi" w:hAnsiTheme="majorBidi" w:cstheme="majorBidi"/>
        </w:rPr>
        <w:t xml:space="preserve"> was calculated to evaluate the effectiveness of the model, i.e., the combined effect of the exogenous variables in accounting for the variability displayed by </w:t>
      </w:r>
      <w:r w:rsidR="007C0420" w:rsidRPr="002A7627">
        <w:rPr>
          <w:rStyle w:val="fontstyle01"/>
          <w:rFonts w:asciiTheme="majorBidi" w:hAnsiTheme="majorBidi" w:cstheme="majorBidi"/>
        </w:rPr>
        <w:t>the endogenous variables</w:t>
      </w:r>
      <w:r w:rsidR="007C0420">
        <w:rPr>
          <w:rStyle w:val="fontstyle01"/>
          <w:rFonts w:asciiTheme="majorBidi" w:hAnsiTheme="majorBidi" w:cstheme="majorBidi"/>
        </w:rPr>
        <w:t xml:space="preserve"> </w:t>
      </w:r>
      <w:r w:rsidR="007C0420" w:rsidRPr="002A7627">
        <w:rPr>
          <w:rStyle w:val="fontstyle01"/>
          <w:rFonts w:asciiTheme="majorBidi" w:hAnsiTheme="majorBidi" w:cstheme="majorBidi"/>
        </w:rPr>
        <w:fldChar w:fldCharType="begin" w:fldLock="1"/>
      </w:r>
      <w:r w:rsidR="007C0420" w:rsidRPr="002A7627">
        <w:rPr>
          <w:rStyle w:val="fontstyle01"/>
          <w:rFonts w:asciiTheme="majorBidi" w:hAnsiTheme="majorBidi" w:cstheme="majorBidi"/>
        </w:rPr>
        <w:instrText>ADDIN CSL_CITATION {"citationItems":[{"id":"ITEM-1","itemData":{"DOI":"10.1108/IMDS-09-2015-0382","ISBN":"0263557111","ISSN":"0263-5577","PMID":"21409434","abstract":"Purpose – Partial least squares (PLS) path modeling is a variance-based structural equation modeling (SEM) technique that is widely applied in business and social sciences. Its ability to model composites and factors makes it a formidable statistical tool for new technology research. Recent reviews, discussions, and developments have led to substantial changes in the understanding and use of PLS. The paper aims to discuss these issues. Design/methodology/approach – This paper aggregates new insights and offers a fresh look at PLS path modeling. It presents new developments, such as consistent PLS, confirmatory composite analysis, and the heterotrait-monotrait ratio of correlations. Findings – PLS path modeling is the method of choice if a SEM contains both factors and composites. Novel tests of exact fit make a confirmatory use of PLS path modeling possible. Originality/value – This paper provides updated guidelines of how to use PLS and how to report and interpret its results.","author":[{"dropping-particle":"","family":"Henseler","given":"Jörg","non-dropping-particle":"","parse-names":false,"suffix":""},{"dropping-particle":"","family":"Hubona","given":"Geoffrey","non-dropping-particle":"","parse-names":false,"suffix":""},{"dropping-particle":"","family":"Ray","given":"Pauline Ash","non-dropping-particle":"","parse-names":false,"suffix":""}],"container-title":"Industrial Management and Data Systems","id":"ITEM-1","issue":"1","issued":{"date-parts":[["2016","2"]]},"page":"2-20","title":"Using PLS path modeling in new technology research: Updated guidelines","type":"article-journal","volume":"116"},"uris":["http://www.mendeley.com/documents/?uuid=09b5e4c5-6228-4008-ba38-cd2bf7202710"]}],"mendeley":{"formattedCitation":"(Henseler et al., 2016)","plainTextFormattedCitation":"(Henseler et al., 2016)","previouslyFormattedCitation":"(Henseler et al., 2016)"},"properties":{"noteIndex":0},"schema":"https://github.com/citation-style-language/schema/raw/master/csl-citation.json"}</w:instrText>
      </w:r>
      <w:r w:rsidR="007C0420" w:rsidRPr="002A7627">
        <w:rPr>
          <w:rStyle w:val="fontstyle01"/>
          <w:rFonts w:asciiTheme="majorBidi" w:hAnsiTheme="majorBidi" w:cstheme="majorBidi"/>
        </w:rPr>
        <w:fldChar w:fldCharType="separate"/>
      </w:r>
      <w:r w:rsidR="007C0420" w:rsidRPr="002A7627">
        <w:rPr>
          <w:rStyle w:val="fontstyle01"/>
          <w:rFonts w:asciiTheme="majorBidi" w:hAnsiTheme="majorBidi" w:cstheme="majorBidi"/>
          <w:noProof/>
        </w:rPr>
        <w:t>(Henseler et al., 2016)</w:t>
      </w:r>
      <w:r w:rsidR="007C0420" w:rsidRPr="002A7627">
        <w:rPr>
          <w:rStyle w:val="fontstyle01"/>
          <w:rFonts w:asciiTheme="majorBidi" w:hAnsiTheme="majorBidi" w:cstheme="majorBidi"/>
        </w:rPr>
        <w:fldChar w:fldCharType="end"/>
      </w:r>
      <w:r w:rsidR="007C0420">
        <w:rPr>
          <w:rStyle w:val="fontstyle01"/>
          <w:rFonts w:asciiTheme="majorBidi" w:hAnsiTheme="majorBidi" w:cstheme="majorBidi"/>
        </w:rPr>
        <w:t>.</w:t>
      </w:r>
      <w:r w:rsidR="007C0420" w:rsidRPr="002A7627">
        <w:rPr>
          <w:rStyle w:val="fontstyle01"/>
          <w:rFonts w:asciiTheme="majorBidi" w:hAnsiTheme="majorBidi" w:cstheme="majorBidi"/>
        </w:rPr>
        <w:t xml:space="preserve"> </w:t>
      </w:r>
      <w:r>
        <w:rPr>
          <w:rStyle w:val="fontstyle01"/>
          <w:rFonts w:asciiTheme="majorBidi" w:hAnsiTheme="majorBidi" w:cstheme="majorBidi"/>
        </w:rPr>
        <w:t>T</w:t>
      </w:r>
      <w:r w:rsidR="007C0420">
        <w:rPr>
          <w:rStyle w:val="fontstyle01"/>
          <w:rFonts w:asciiTheme="majorBidi" w:hAnsiTheme="majorBidi" w:cstheme="majorBidi"/>
        </w:rPr>
        <w:t>he coefficient of determination is the proportion of the variability in the data that the model explains</w:t>
      </w:r>
      <w:r>
        <w:rPr>
          <w:rStyle w:val="fontstyle01"/>
          <w:rFonts w:asciiTheme="majorBidi" w:hAnsiTheme="majorBidi" w:cstheme="majorBidi"/>
        </w:rPr>
        <w:t>. It takes a value of</w:t>
      </w:r>
      <w:r w:rsidR="007C0420">
        <w:rPr>
          <w:rStyle w:val="fontstyle01"/>
          <w:rFonts w:asciiTheme="majorBidi" w:hAnsiTheme="majorBidi" w:cstheme="majorBidi"/>
        </w:rPr>
        <w:t xml:space="preserve"> </w:t>
      </w:r>
      <m:oMath>
        <m:r>
          <w:rPr>
            <w:rStyle w:val="fontstyle01"/>
            <w:rFonts w:ascii="Cambria Math" w:hAnsi="Cambria Math" w:cstheme="majorBidi"/>
          </w:rPr>
          <m:t>0≤</m:t>
        </m:r>
        <m:sSup>
          <m:sSupPr>
            <m:ctrlPr>
              <w:rPr>
                <w:rStyle w:val="fontstyle01"/>
                <w:rFonts w:ascii="Cambria Math" w:hAnsi="Cambria Math" w:cstheme="majorBidi"/>
                <w:i/>
              </w:rPr>
            </m:ctrlPr>
          </m:sSupPr>
          <m:e>
            <m:r>
              <w:rPr>
                <w:rStyle w:val="fontstyle01"/>
                <w:rFonts w:ascii="Cambria Math" w:hAnsi="Cambria Math" w:cstheme="majorBidi"/>
              </w:rPr>
              <m:t>R</m:t>
            </m:r>
          </m:e>
          <m:sup>
            <m:r>
              <w:rPr>
                <w:rStyle w:val="fontstyle01"/>
                <w:rFonts w:ascii="Cambria Math" w:hAnsi="Cambria Math" w:cstheme="majorBidi"/>
              </w:rPr>
              <m:t>2</m:t>
            </m:r>
          </m:sup>
        </m:sSup>
        <m:r>
          <w:rPr>
            <w:rStyle w:val="fontstyle01"/>
            <w:rFonts w:ascii="Cambria Math" w:hAnsi="Cambria Math" w:cstheme="majorBidi"/>
          </w:rPr>
          <m:t>≤1</m:t>
        </m:r>
      </m:oMath>
      <w:r w:rsidR="007C0420" w:rsidRPr="002A7627">
        <w:rPr>
          <w:rStyle w:val="fontstyle01"/>
          <w:rFonts w:asciiTheme="majorBidi" w:hAnsiTheme="majorBidi" w:cstheme="majorBidi"/>
        </w:rPr>
        <w:t xml:space="preserve">, </w:t>
      </w:r>
      <w:r w:rsidR="007C0420">
        <w:rPr>
          <w:rStyle w:val="fontstyle01"/>
          <w:rFonts w:asciiTheme="majorBidi" w:hAnsiTheme="majorBidi" w:cstheme="majorBidi"/>
        </w:rPr>
        <w:t xml:space="preserve">and, as </w:t>
      </w:r>
      <w:r w:rsidR="007C0420" w:rsidRPr="002A7627">
        <w:rPr>
          <w:rStyle w:val="fontstyle01"/>
          <w:rFonts w:asciiTheme="majorBidi" w:hAnsiTheme="majorBidi" w:cstheme="majorBidi"/>
        </w:rPr>
        <w:t xml:space="preserve">a </w:t>
      </w:r>
      <w:r w:rsidR="007C0420">
        <w:rPr>
          <w:rStyle w:val="fontstyle01"/>
          <w:rFonts w:asciiTheme="majorBidi" w:hAnsiTheme="majorBidi" w:cstheme="majorBidi"/>
        </w:rPr>
        <w:t>general rule</w:t>
      </w:r>
      <w:r w:rsidR="007C0420" w:rsidRPr="002A7627">
        <w:rPr>
          <w:rStyle w:val="fontstyle01"/>
          <w:rFonts w:asciiTheme="majorBidi" w:hAnsiTheme="majorBidi" w:cstheme="majorBidi"/>
        </w:rPr>
        <w:t xml:space="preserve">, </w:t>
      </w:r>
      <w:r w:rsidR="00380767" w:rsidRPr="00623230">
        <w:rPr>
          <w:rStyle w:val="fontstyle21"/>
          <w:rFonts w:asciiTheme="majorBidi" w:hAnsiTheme="majorBidi" w:cstheme="majorBidi"/>
          <w:i/>
          <w:color w:val="000000" w:themeColor="text1"/>
        </w:rPr>
        <w:t>R</w:t>
      </w:r>
      <w:r w:rsidR="00380767" w:rsidRPr="00623230">
        <w:rPr>
          <w:rStyle w:val="fontstyle01"/>
          <w:rFonts w:asciiTheme="majorBidi" w:hAnsiTheme="majorBidi" w:cstheme="majorBidi"/>
          <w:i/>
          <w:color w:val="000000" w:themeColor="text1"/>
          <w:vertAlign w:val="superscript"/>
        </w:rPr>
        <w:t>2</w:t>
      </w:r>
      <w:r w:rsidR="00380767" w:rsidRPr="004D499B">
        <w:rPr>
          <w:rStyle w:val="fontstyle01"/>
          <w:rFonts w:asciiTheme="majorBidi" w:hAnsiTheme="majorBidi" w:cstheme="majorBidi"/>
          <w:color w:val="000000" w:themeColor="text1"/>
        </w:rPr>
        <w:t xml:space="preserve"> values of 0.75 can be considered substantial, 0.50 moderate and 0.25 weak </w:t>
      </w:r>
      <w:r w:rsidR="007C0420" w:rsidRPr="002A7627">
        <w:rPr>
          <w:rStyle w:val="fontstyle01"/>
          <w:rFonts w:asciiTheme="majorBidi" w:hAnsiTheme="majorBidi" w:cstheme="majorBidi"/>
        </w:rPr>
        <w:fldChar w:fldCharType="begin" w:fldLock="1"/>
      </w:r>
      <w:r w:rsidR="007C0420" w:rsidRPr="002A7627">
        <w:rPr>
          <w:rStyle w:val="fontstyle01"/>
          <w:rFonts w:asciiTheme="majorBidi" w:hAnsiTheme="majorBidi" w:cstheme="majorBidi"/>
        </w:rPr>
        <w:instrText>ADDIN CSL_CITATION {"citationItems":[{"id":"ITEM-1","itemData":{"DOI":"10.1108/EBR-11-2018-0203","ISSN":"0955534X","abstract":"Purpose –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 This paper provides an overview of previously and recently proposed metrics as well as rules of thumb for evaluating the research results based on the application of PLS-SEM. Findings –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 Methodological developments associated with PLS-SEM are rapidly emerging. The metrics reported in this paper are useful for current applications, but must always be up to date with the latest developments in the PLS-SEM method. Originality/value –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PLS-SEM","type":"article-journal","volume":"31"},"uris":["http://www.mendeley.com/documents/?uuid=632893ee-4602-4bf3-9c88-ab5a48d4eeca"]}],"mendeley":{"formattedCitation":"(Hair et al., 2019)","plainTextFormattedCitation":"(Hair et al., 2019)","previouslyFormattedCitation":"(Hair et al., 2019)"},"properties":{"noteIndex":0},"schema":"https://github.com/citation-style-language/schema/raw/master/csl-citation.json"}</w:instrText>
      </w:r>
      <w:r w:rsidR="007C0420" w:rsidRPr="002A7627">
        <w:rPr>
          <w:rStyle w:val="fontstyle01"/>
          <w:rFonts w:asciiTheme="majorBidi" w:hAnsiTheme="majorBidi" w:cstheme="majorBidi"/>
        </w:rPr>
        <w:fldChar w:fldCharType="separate"/>
      </w:r>
      <w:r w:rsidR="007C0420" w:rsidRPr="002A7627">
        <w:rPr>
          <w:rStyle w:val="fontstyle01"/>
          <w:rFonts w:asciiTheme="majorBidi" w:hAnsiTheme="majorBidi" w:cstheme="majorBidi"/>
          <w:noProof/>
        </w:rPr>
        <w:t>(Hair et al., 2019)</w:t>
      </w:r>
      <w:r w:rsidR="007C0420" w:rsidRPr="002A7627">
        <w:rPr>
          <w:rStyle w:val="fontstyle01"/>
          <w:rFonts w:asciiTheme="majorBidi" w:hAnsiTheme="majorBidi" w:cstheme="majorBidi"/>
        </w:rPr>
        <w:fldChar w:fldCharType="end"/>
      </w:r>
      <w:r w:rsidR="007C0420" w:rsidRPr="002A7627">
        <w:rPr>
          <w:rStyle w:val="fontstyle01"/>
          <w:rFonts w:asciiTheme="majorBidi" w:hAnsiTheme="majorBidi" w:cstheme="majorBidi"/>
        </w:rPr>
        <w:t>.</w:t>
      </w:r>
      <w:r w:rsidR="007C0420" w:rsidRPr="002A7627" w:rsidDel="00A65305">
        <w:rPr>
          <w:rStyle w:val="fontstyle01"/>
          <w:rFonts w:asciiTheme="majorBidi" w:hAnsiTheme="majorBidi" w:cstheme="majorBidi"/>
        </w:rPr>
        <w:t xml:space="preserve"> </w:t>
      </w:r>
    </w:p>
    <w:p w14:paraId="405874EE" w14:textId="55BEC4D4" w:rsidR="007C0420" w:rsidRDefault="00F82928" w:rsidP="007C0420">
      <w:pPr>
        <w:pStyle w:val="AAAAAAA"/>
        <w:rPr>
          <w:rStyle w:val="fontstyle01"/>
          <w:rFonts w:asciiTheme="majorBidi" w:hAnsiTheme="majorBidi" w:cstheme="majorBidi"/>
        </w:rPr>
      </w:pPr>
      <w:r>
        <w:rPr>
          <w:rStyle w:val="fontstyle01"/>
          <w:rFonts w:asciiTheme="majorBidi" w:hAnsiTheme="majorBidi" w:cstheme="majorBidi"/>
        </w:rPr>
        <w:t>The study a</w:t>
      </w:r>
      <w:r w:rsidR="007C0420">
        <w:rPr>
          <w:rStyle w:val="fontstyle01"/>
          <w:rFonts w:asciiTheme="majorBidi" w:hAnsiTheme="majorBidi" w:cstheme="majorBidi"/>
        </w:rPr>
        <w:t>lso calculated the</w:t>
      </w:r>
      <w:r w:rsidR="007C0420" w:rsidRPr="002A7627">
        <w:rPr>
          <w:rStyle w:val="fontstyle01"/>
          <w:rFonts w:asciiTheme="majorBidi" w:hAnsiTheme="majorBidi" w:cstheme="majorBidi"/>
        </w:rPr>
        <w:t xml:space="preserve"> </w:t>
      </w:r>
      <w:r w:rsidR="007C0420" w:rsidRPr="005B2DB1">
        <w:rPr>
          <w:rStyle w:val="fontstyle21"/>
          <w:rFonts w:asciiTheme="majorBidi" w:hAnsiTheme="majorBidi" w:cstheme="majorBidi"/>
          <w:i/>
        </w:rPr>
        <w:t>f</w:t>
      </w:r>
      <w:r w:rsidR="007C0420" w:rsidRPr="005B2DB1">
        <w:rPr>
          <w:rStyle w:val="fontstyle21"/>
          <w:rFonts w:asciiTheme="majorBidi" w:hAnsiTheme="majorBidi" w:cstheme="majorBidi"/>
          <w:i/>
          <w:vertAlign w:val="superscript"/>
        </w:rPr>
        <w:t>2</w:t>
      </w:r>
      <w:r w:rsidR="007C0420" w:rsidRPr="002A7627">
        <w:rPr>
          <w:rStyle w:val="fontstyle21"/>
          <w:rFonts w:asciiTheme="majorBidi" w:hAnsiTheme="majorBidi" w:cstheme="majorBidi"/>
        </w:rPr>
        <w:t xml:space="preserve"> </w:t>
      </w:r>
      <w:r w:rsidR="007C0420" w:rsidRPr="002A7627">
        <w:rPr>
          <w:rStyle w:val="fontstyle01"/>
          <w:rFonts w:asciiTheme="majorBidi" w:hAnsiTheme="majorBidi" w:cstheme="majorBidi"/>
        </w:rPr>
        <w:t>effect size</w:t>
      </w:r>
      <w:r w:rsidR="007C0420">
        <w:rPr>
          <w:rStyle w:val="fontstyle01"/>
          <w:rFonts w:asciiTheme="majorBidi" w:hAnsiTheme="majorBidi" w:cstheme="majorBidi"/>
        </w:rPr>
        <w:t>s,</w:t>
      </w:r>
      <w:r w:rsidR="007C0420" w:rsidRPr="002A7627">
        <w:rPr>
          <w:rStyle w:val="fontstyle01"/>
          <w:rFonts w:asciiTheme="majorBidi" w:hAnsiTheme="majorBidi" w:cstheme="majorBidi"/>
        </w:rPr>
        <w:t xml:space="preserve"> </w:t>
      </w:r>
      <w:r w:rsidR="007C0420">
        <w:rPr>
          <w:rStyle w:val="fontstyle01"/>
          <w:rFonts w:asciiTheme="majorBidi" w:hAnsiTheme="majorBidi" w:cstheme="majorBidi"/>
        </w:rPr>
        <w:t xml:space="preserve">which measure the effects </w:t>
      </w:r>
      <w:r>
        <w:rPr>
          <w:rStyle w:val="fontstyle01"/>
          <w:rFonts w:asciiTheme="majorBidi" w:hAnsiTheme="majorBidi" w:cstheme="majorBidi"/>
        </w:rPr>
        <w:t xml:space="preserve">of </w:t>
      </w:r>
      <w:r w:rsidR="00332170">
        <w:rPr>
          <w:rStyle w:val="fontstyle01"/>
          <w:rFonts w:asciiTheme="majorBidi" w:hAnsiTheme="majorBidi" w:cstheme="majorBidi"/>
        </w:rPr>
        <w:t xml:space="preserve">the </w:t>
      </w:r>
      <w:r w:rsidR="007C0420" w:rsidRPr="002A7627">
        <w:rPr>
          <w:rStyle w:val="fontstyle01"/>
          <w:rFonts w:asciiTheme="majorBidi" w:hAnsiTheme="majorBidi" w:cstheme="majorBidi"/>
        </w:rPr>
        <w:t xml:space="preserve">removal of </w:t>
      </w:r>
      <w:r w:rsidR="00332170">
        <w:rPr>
          <w:rStyle w:val="fontstyle01"/>
          <w:rFonts w:asciiTheme="majorBidi" w:hAnsiTheme="majorBidi" w:cstheme="majorBidi"/>
        </w:rPr>
        <w:t xml:space="preserve">a </w:t>
      </w:r>
      <w:r w:rsidR="007C0420" w:rsidRPr="002A7627">
        <w:rPr>
          <w:rStyle w:val="fontstyle01"/>
          <w:rFonts w:asciiTheme="majorBidi" w:hAnsiTheme="majorBidi" w:cstheme="majorBidi"/>
        </w:rPr>
        <w:t xml:space="preserve">construct </w:t>
      </w:r>
      <w:r w:rsidR="007C0420">
        <w:rPr>
          <w:rStyle w:val="fontstyle01"/>
          <w:rFonts w:asciiTheme="majorBidi" w:hAnsiTheme="majorBidi" w:cstheme="majorBidi"/>
        </w:rPr>
        <w:t xml:space="preserve">on the model’s </w:t>
      </w:r>
      <w:r w:rsidR="007C0420" w:rsidRPr="00D764D0">
        <w:rPr>
          <w:rStyle w:val="fontstyle21"/>
          <w:rFonts w:asciiTheme="majorBidi" w:hAnsiTheme="majorBidi" w:cstheme="majorBidi"/>
          <w:i/>
        </w:rPr>
        <w:t>R</w:t>
      </w:r>
      <w:r w:rsidR="007C0420" w:rsidRPr="00D764D0">
        <w:rPr>
          <w:rStyle w:val="fontstyle01"/>
          <w:rFonts w:asciiTheme="majorBidi" w:hAnsiTheme="majorBidi" w:cstheme="majorBidi"/>
          <w:i/>
          <w:vertAlign w:val="superscript"/>
        </w:rPr>
        <w:t>2</w:t>
      </w:r>
      <w:r w:rsidR="007C0420" w:rsidRPr="002A7627">
        <w:rPr>
          <w:rStyle w:val="fontstyle01"/>
          <w:rFonts w:asciiTheme="majorBidi" w:hAnsiTheme="majorBidi" w:cstheme="majorBidi"/>
        </w:rPr>
        <w:t xml:space="preserve">. </w:t>
      </w:r>
      <w:r>
        <w:rPr>
          <w:rStyle w:val="fontstyle01"/>
          <w:rFonts w:asciiTheme="majorBidi" w:hAnsiTheme="majorBidi" w:cstheme="majorBidi"/>
        </w:rPr>
        <w:t>E</w:t>
      </w:r>
      <w:r w:rsidR="007C0420" w:rsidRPr="002A7627">
        <w:rPr>
          <w:rStyle w:val="fontstyle01"/>
          <w:rFonts w:asciiTheme="majorBidi" w:hAnsiTheme="majorBidi" w:cstheme="majorBidi"/>
        </w:rPr>
        <w:t>ffect size (</w:t>
      </w:r>
      <w:r w:rsidR="007C0420" w:rsidRPr="00D764D0">
        <w:rPr>
          <w:rStyle w:val="fontstyle21"/>
          <w:rFonts w:asciiTheme="majorBidi" w:hAnsiTheme="majorBidi" w:cstheme="majorBidi"/>
          <w:i/>
        </w:rPr>
        <w:t>f</w:t>
      </w:r>
      <w:r w:rsidR="007C0420" w:rsidRPr="00D764D0">
        <w:rPr>
          <w:rStyle w:val="fontstyle01"/>
          <w:rFonts w:asciiTheme="majorBidi" w:hAnsiTheme="majorBidi" w:cstheme="majorBidi"/>
          <w:i/>
          <w:vertAlign w:val="superscript"/>
        </w:rPr>
        <w:t>2</w:t>
      </w:r>
      <w:r w:rsidR="007C0420" w:rsidRPr="002A7627">
        <w:rPr>
          <w:rStyle w:val="fontstyle01"/>
          <w:rFonts w:asciiTheme="majorBidi" w:hAnsiTheme="majorBidi" w:cstheme="majorBidi"/>
        </w:rPr>
        <w:t xml:space="preserve">) </w:t>
      </w:r>
      <w:r w:rsidR="007C0420">
        <w:rPr>
          <w:rStyle w:val="fontstyle01"/>
          <w:rFonts w:asciiTheme="majorBidi" w:hAnsiTheme="majorBidi" w:cstheme="majorBidi"/>
        </w:rPr>
        <w:t xml:space="preserve">can </w:t>
      </w:r>
      <w:r>
        <w:rPr>
          <w:rStyle w:val="fontstyle01"/>
          <w:rFonts w:asciiTheme="majorBidi" w:hAnsiTheme="majorBidi" w:cstheme="majorBidi"/>
        </w:rPr>
        <w:t xml:space="preserve">therefore </w:t>
      </w:r>
      <w:r w:rsidR="007C0420">
        <w:rPr>
          <w:rStyle w:val="fontstyle01"/>
          <w:rFonts w:asciiTheme="majorBidi" w:hAnsiTheme="majorBidi" w:cstheme="majorBidi"/>
        </w:rPr>
        <w:t>be viewed as</w:t>
      </w:r>
      <w:r w:rsidR="007C0420" w:rsidRPr="002A7627">
        <w:rPr>
          <w:rStyle w:val="fontstyle01"/>
          <w:rFonts w:asciiTheme="majorBidi" w:hAnsiTheme="majorBidi" w:cstheme="majorBidi"/>
        </w:rPr>
        <w:t xml:space="preserve"> a measure </w:t>
      </w:r>
      <w:r w:rsidR="007C0420">
        <w:rPr>
          <w:rStyle w:val="fontstyle01"/>
          <w:rFonts w:asciiTheme="majorBidi" w:hAnsiTheme="majorBidi" w:cstheme="majorBidi"/>
        </w:rPr>
        <w:t>of</w:t>
      </w:r>
      <w:r w:rsidR="007C0420" w:rsidRPr="002A7627">
        <w:rPr>
          <w:rStyle w:val="fontstyle01"/>
          <w:rFonts w:asciiTheme="majorBidi" w:hAnsiTheme="majorBidi" w:cstheme="majorBidi"/>
        </w:rPr>
        <w:t xml:space="preserve"> the relative impact of a predictor construct on an endogenous construct </w:t>
      </w:r>
      <w:r w:rsidR="007C0420" w:rsidRPr="002A7627">
        <w:rPr>
          <w:rStyle w:val="fontstyle01"/>
          <w:rFonts w:asciiTheme="majorBidi" w:hAnsiTheme="majorBidi" w:cstheme="majorBidi"/>
          <w:noProof/>
        </w:rPr>
        <w:t>(Cohen, 1988)</w:t>
      </w:r>
      <w:r w:rsidR="007C0420" w:rsidRPr="002A7627">
        <w:rPr>
          <w:rStyle w:val="fontstyle01"/>
          <w:rFonts w:asciiTheme="majorBidi" w:hAnsiTheme="majorBidi" w:cstheme="majorBidi"/>
        </w:rPr>
        <w:t xml:space="preserve">. </w:t>
      </w:r>
      <w:r>
        <w:rPr>
          <w:rStyle w:val="fontstyle01"/>
          <w:rFonts w:asciiTheme="majorBidi" w:hAnsiTheme="majorBidi" w:cstheme="majorBidi"/>
        </w:rPr>
        <w:t>T</w:t>
      </w:r>
      <w:r w:rsidR="007C0420" w:rsidRPr="002A7627">
        <w:rPr>
          <w:rStyle w:val="fontstyle01"/>
          <w:rFonts w:asciiTheme="majorBidi" w:hAnsiTheme="majorBidi" w:cstheme="majorBidi"/>
        </w:rPr>
        <w:t xml:space="preserve">he difference in the </w:t>
      </w:r>
      <w:r w:rsidR="007C0420" w:rsidRPr="00997FF7">
        <w:rPr>
          <w:rStyle w:val="fontstyle01"/>
          <w:rFonts w:asciiTheme="majorBidi" w:hAnsiTheme="majorBidi" w:cstheme="majorBidi"/>
          <w:i/>
        </w:rPr>
        <w:t>R</w:t>
      </w:r>
      <w:r w:rsidR="007C0420" w:rsidRPr="00997FF7">
        <w:rPr>
          <w:rStyle w:val="fontstyle01"/>
          <w:rFonts w:asciiTheme="majorBidi" w:hAnsiTheme="majorBidi" w:cstheme="majorBidi"/>
          <w:i/>
          <w:vertAlign w:val="superscript"/>
        </w:rPr>
        <w:t>2</w:t>
      </w:r>
      <w:r w:rsidR="007C0420" w:rsidRPr="002A7627">
        <w:rPr>
          <w:rStyle w:val="fontstyle01"/>
          <w:rFonts w:asciiTheme="majorBidi" w:hAnsiTheme="majorBidi" w:cstheme="majorBidi"/>
        </w:rPr>
        <w:t xml:space="preserve"> values for model </w:t>
      </w:r>
      <w:r w:rsidR="007C0420">
        <w:rPr>
          <w:rStyle w:val="fontstyle01"/>
          <w:rFonts w:asciiTheme="majorBidi" w:hAnsiTheme="majorBidi" w:cstheme="majorBidi"/>
        </w:rPr>
        <w:t xml:space="preserve">estimation </w:t>
      </w:r>
      <w:r w:rsidR="007C0420" w:rsidRPr="002A7627">
        <w:rPr>
          <w:rStyle w:val="fontstyle01"/>
          <w:rFonts w:asciiTheme="majorBidi" w:hAnsiTheme="majorBidi" w:cstheme="majorBidi"/>
        </w:rPr>
        <w:t xml:space="preserve">with and without </w:t>
      </w:r>
      <w:r w:rsidR="007C0420">
        <w:rPr>
          <w:rStyle w:val="fontstyle01"/>
          <w:rFonts w:asciiTheme="majorBidi" w:hAnsiTheme="majorBidi" w:cstheme="majorBidi"/>
        </w:rPr>
        <w:t>the</w:t>
      </w:r>
      <w:r w:rsidR="007C0420" w:rsidRPr="002A7627">
        <w:rPr>
          <w:rStyle w:val="fontstyle01"/>
          <w:rFonts w:asciiTheme="majorBidi" w:hAnsiTheme="majorBidi" w:cstheme="majorBidi"/>
        </w:rPr>
        <w:t xml:space="preserve"> predecessor construct </w:t>
      </w:r>
      <w:r>
        <w:rPr>
          <w:rStyle w:val="fontstyle01"/>
          <w:rFonts w:asciiTheme="majorBidi" w:hAnsiTheme="majorBidi" w:cstheme="majorBidi"/>
        </w:rPr>
        <w:t xml:space="preserve">is </w:t>
      </w:r>
      <w:r w:rsidR="007C0420" w:rsidRPr="002A7627">
        <w:rPr>
          <w:rStyle w:val="fontstyle01"/>
          <w:rFonts w:asciiTheme="majorBidi" w:hAnsiTheme="majorBidi" w:cstheme="majorBidi"/>
        </w:rPr>
        <w:t>the effect size (</w:t>
      </w:r>
      <w:r w:rsidR="007C0420" w:rsidRPr="00997FF7">
        <w:rPr>
          <w:rStyle w:val="fontstyle21"/>
          <w:rFonts w:asciiTheme="majorBidi" w:hAnsiTheme="majorBidi" w:cstheme="majorBidi"/>
          <w:i/>
        </w:rPr>
        <w:t>f</w:t>
      </w:r>
      <w:r w:rsidR="007C0420" w:rsidRPr="00997FF7">
        <w:rPr>
          <w:rStyle w:val="fontstyle01"/>
          <w:rFonts w:asciiTheme="majorBidi" w:hAnsiTheme="majorBidi" w:cstheme="majorBidi"/>
          <w:i/>
          <w:vertAlign w:val="superscript"/>
        </w:rPr>
        <w:t>2</w:t>
      </w:r>
      <w:r w:rsidR="007C0420" w:rsidRPr="002A7627">
        <w:rPr>
          <w:rStyle w:val="fontstyle01"/>
          <w:rFonts w:asciiTheme="majorBidi" w:hAnsiTheme="majorBidi" w:cstheme="majorBidi"/>
        </w:rPr>
        <w:t>)</w:t>
      </w:r>
      <w:r w:rsidR="007C0420">
        <w:rPr>
          <w:rStyle w:val="fontstyle01"/>
          <w:rFonts w:asciiTheme="majorBidi" w:hAnsiTheme="majorBidi" w:cstheme="majorBidi"/>
        </w:rPr>
        <w:t xml:space="preserve"> of that construct</w:t>
      </w:r>
      <w:r w:rsidR="007C0420" w:rsidRPr="002A7627">
        <w:rPr>
          <w:rStyle w:val="fontstyle01"/>
          <w:rFonts w:asciiTheme="majorBidi" w:hAnsiTheme="majorBidi" w:cstheme="majorBidi"/>
        </w:rPr>
        <w:t xml:space="preserve">. According to </w:t>
      </w:r>
      <w:r w:rsidR="007C0420" w:rsidRPr="002A7627">
        <w:rPr>
          <w:rStyle w:val="fontstyle01"/>
          <w:rFonts w:asciiTheme="majorBidi" w:hAnsiTheme="majorBidi" w:cstheme="majorBidi"/>
        </w:rPr>
        <w:fldChar w:fldCharType="begin" w:fldLock="1"/>
      </w:r>
      <w:r w:rsidR="007C0420" w:rsidRPr="002A7627">
        <w:rPr>
          <w:rStyle w:val="fontstyle01"/>
          <w:rFonts w:asciiTheme="majorBidi" w:hAnsiTheme="majorBidi" w:cstheme="majorBidi"/>
        </w:rPr>
        <w:instrText>ADDIN CSL_CITATION {"citationItems":[{"id":"ITEM-1","itemData":{"author":[{"dropping-particle":"","family":"Cohen","given":"J.","non-dropping-particle":"","parse-names":false,"suffix":""}],"id":"ITEM-1","issued":{"date-parts":[["1988"]]},"publisher":"Lawrence Erlbaum","publisher-place":"Mahwah, NJ","title":"Statistical power analysis for the behavioral sciences","type":"book"},"uris":["http://www.mendeley.com/documents/?uuid=bf9c9cc1-cc9b-4c7b-b37c-9a486d0b7f12"]}],"mendeley":{"formattedCitation":"(J. Cohen, 1988)","manualFormatting":"Cohen (1988)","plainTextFormattedCitation":"(J. Cohen, 1988)","previouslyFormattedCitation":"(J. Cohen, 1988)"},"properties":{"noteIndex":0},"schema":"https://github.com/citation-style-language/schema/raw/master/csl-citation.json"}</w:instrText>
      </w:r>
      <w:r w:rsidR="007C0420" w:rsidRPr="002A7627">
        <w:rPr>
          <w:rStyle w:val="fontstyle01"/>
          <w:rFonts w:asciiTheme="majorBidi" w:hAnsiTheme="majorBidi" w:cstheme="majorBidi"/>
        </w:rPr>
        <w:fldChar w:fldCharType="separate"/>
      </w:r>
      <w:r w:rsidR="007C0420" w:rsidRPr="002A7627">
        <w:rPr>
          <w:rStyle w:val="fontstyle01"/>
          <w:rFonts w:asciiTheme="majorBidi" w:hAnsiTheme="majorBidi" w:cstheme="majorBidi"/>
          <w:noProof/>
        </w:rPr>
        <w:t>Cohen (1988)</w:t>
      </w:r>
      <w:r w:rsidR="007C0420" w:rsidRPr="002A7627">
        <w:rPr>
          <w:rStyle w:val="fontstyle01"/>
          <w:rFonts w:asciiTheme="majorBidi" w:hAnsiTheme="majorBidi" w:cstheme="majorBidi"/>
        </w:rPr>
        <w:fldChar w:fldCharType="end"/>
      </w:r>
      <w:r w:rsidR="007C0420" w:rsidRPr="002A7627">
        <w:rPr>
          <w:rStyle w:val="fontstyle01"/>
          <w:rFonts w:asciiTheme="majorBidi" w:hAnsiTheme="majorBidi" w:cstheme="majorBidi"/>
        </w:rPr>
        <w:t xml:space="preserve">, </w:t>
      </w:r>
      <w:r w:rsidR="00FD51EE" w:rsidRPr="00623230">
        <w:rPr>
          <w:rStyle w:val="fontstyle21"/>
          <w:rFonts w:asciiTheme="majorBidi" w:hAnsiTheme="majorBidi" w:cstheme="majorBidi"/>
          <w:i/>
          <w:color w:val="000000" w:themeColor="text1"/>
        </w:rPr>
        <w:t>f</w:t>
      </w:r>
      <w:r w:rsidR="00FD51EE" w:rsidRPr="00623230">
        <w:rPr>
          <w:rStyle w:val="fontstyle01"/>
          <w:rFonts w:asciiTheme="majorBidi" w:hAnsiTheme="majorBidi" w:cstheme="majorBidi"/>
          <w:i/>
          <w:color w:val="000000" w:themeColor="text1"/>
          <w:vertAlign w:val="superscript"/>
        </w:rPr>
        <w:t>2</w:t>
      </w:r>
      <w:r w:rsidR="00FD51EE" w:rsidRPr="004D499B">
        <w:rPr>
          <w:rStyle w:val="fontstyle01"/>
          <w:rFonts w:asciiTheme="majorBidi" w:hAnsiTheme="majorBidi" w:cstheme="majorBidi"/>
          <w:color w:val="000000" w:themeColor="text1"/>
        </w:rPr>
        <w:t xml:space="preserve"> values of 0.35</w:t>
      </w:r>
      <w:r w:rsidR="00FD51EE" w:rsidRPr="004D499B">
        <w:t xml:space="preserve"> </w:t>
      </w:r>
      <w:r w:rsidR="00FD51EE" w:rsidRPr="004D499B">
        <w:rPr>
          <w:rStyle w:val="fontstyle01"/>
          <w:rFonts w:asciiTheme="majorBidi" w:hAnsiTheme="majorBidi" w:cstheme="majorBidi"/>
          <w:color w:val="000000" w:themeColor="text1"/>
        </w:rPr>
        <w:t>are considered large, 0.15 medium and 0.02 small effect sizes</w:t>
      </w:r>
      <w:r w:rsidR="007C0420" w:rsidRPr="002A7627">
        <w:rPr>
          <w:rStyle w:val="fontstyle01"/>
          <w:rFonts w:asciiTheme="majorBidi" w:hAnsiTheme="majorBidi" w:cstheme="majorBidi"/>
        </w:rPr>
        <w:t xml:space="preserve">. If an exogenous construct </w:t>
      </w:r>
      <w:r w:rsidR="007C0420">
        <w:rPr>
          <w:rStyle w:val="fontstyle01"/>
          <w:rFonts w:asciiTheme="majorBidi" w:hAnsiTheme="majorBidi" w:cstheme="majorBidi"/>
        </w:rPr>
        <w:t xml:space="preserve">is found to </w:t>
      </w:r>
      <w:r w:rsidR="007C0420" w:rsidRPr="002A7627">
        <w:rPr>
          <w:rStyle w:val="fontstyle01"/>
          <w:rFonts w:asciiTheme="majorBidi" w:hAnsiTheme="majorBidi" w:cstheme="majorBidi"/>
        </w:rPr>
        <w:t xml:space="preserve">strongly contribute to an endogenous construct, the difference between </w:t>
      </w:r>
      <w:r w:rsidR="007C0420">
        <w:rPr>
          <w:rStyle w:val="fontstyle01"/>
          <w:rFonts w:asciiTheme="majorBidi" w:hAnsiTheme="majorBidi" w:cstheme="majorBidi"/>
        </w:rPr>
        <w:t xml:space="preserve">the </w:t>
      </w:r>
      <w:r w:rsidR="007C0420" w:rsidRPr="00997FF7">
        <w:rPr>
          <w:rStyle w:val="fontstyle01"/>
          <w:rFonts w:asciiTheme="majorBidi" w:hAnsiTheme="majorBidi" w:cstheme="majorBidi"/>
          <w:i/>
        </w:rPr>
        <w:t>R</w:t>
      </w:r>
      <w:r w:rsidR="007C0420" w:rsidRPr="00997FF7">
        <w:rPr>
          <w:rStyle w:val="fontstyle01"/>
          <w:rFonts w:asciiTheme="majorBidi" w:hAnsiTheme="majorBidi" w:cstheme="majorBidi"/>
          <w:i/>
          <w:vertAlign w:val="superscript"/>
        </w:rPr>
        <w:t>2</w:t>
      </w:r>
      <w:r w:rsidR="007C0420" w:rsidRPr="002A7627">
        <w:rPr>
          <w:rStyle w:val="fontstyle01"/>
          <w:rFonts w:asciiTheme="majorBidi" w:hAnsiTheme="majorBidi" w:cstheme="majorBidi"/>
        </w:rPr>
        <w:t xml:space="preserve"> </w:t>
      </w:r>
      <w:r w:rsidR="007C0420">
        <w:rPr>
          <w:rStyle w:val="fontstyle01"/>
          <w:rFonts w:asciiTheme="majorBidi" w:hAnsiTheme="majorBidi" w:cstheme="majorBidi"/>
        </w:rPr>
        <w:t xml:space="preserve">with the construct </w:t>
      </w:r>
      <w:r w:rsidR="007C0420" w:rsidRPr="002A7627">
        <w:rPr>
          <w:rStyle w:val="fontstyle01"/>
          <w:rFonts w:asciiTheme="majorBidi" w:hAnsiTheme="majorBidi" w:cstheme="majorBidi"/>
        </w:rPr>
        <w:t xml:space="preserve">included and </w:t>
      </w:r>
      <w:r w:rsidR="007C0420">
        <w:rPr>
          <w:rStyle w:val="fontstyle01"/>
          <w:rFonts w:asciiTheme="majorBidi" w:hAnsiTheme="majorBidi" w:cstheme="majorBidi"/>
        </w:rPr>
        <w:t xml:space="preserve">the </w:t>
      </w:r>
      <w:r w:rsidR="007C0420" w:rsidRPr="00997FF7">
        <w:rPr>
          <w:rStyle w:val="fontstyle01"/>
          <w:rFonts w:asciiTheme="majorBidi" w:hAnsiTheme="majorBidi" w:cstheme="majorBidi"/>
          <w:i/>
        </w:rPr>
        <w:t>R</w:t>
      </w:r>
      <w:r w:rsidR="007C0420" w:rsidRPr="00997FF7">
        <w:rPr>
          <w:rStyle w:val="fontstyle01"/>
          <w:rFonts w:asciiTheme="majorBidi" w:hAnsiTheme="majorBidi" w:cstheme="majorBidi"/>
          <w:i/>
          <w:vertAlign w:val="superscript"/>
        </w:rPr>
        <w:t>2</w:t>
      </w:r>
      <w:r w:rsidR="007C0420" w:rsidRPr="002A7627">
        <w:rPr>
          <w:rStyle w:val="fontstyle01"/>
          <w:rFonts w:asciiTheme="majorBidi" w:hAnsiTheme="majorBidi" w:cstheme="majorBidi"/>
        </w:rPr>
        <w:t xml:space="preserve"> </w:t>
      </w:r>
      <w:r w:rsidR="007C0420">
        <w:rPr>
          <w:rStyle w:val="fontstyle01"/>
          <w:rFonts w:asciiTheme="majorBidi" w:hAnsiTheme="majorBidi" w:cstheme="majorBidi"/>
        </w:rPr>
        <w:t xml:space="preserve">with it </w:t>
      </w:r>
      <w:r w:rsidR="007C0420" w:rsidRPr="002A7627">
        <w:rPr>
          <w:rStyle w:val="fontstyle01"/>
          <w:rFonts w:asciiTheme="majorBidi" w:hAnsiTheme="majorBidi" w:cstheme="majorBidi"/>
        </w:rPr>
        <w:t xml:space="preserve">excluded will be relatively high. </w:t>
      </w:r>
    </w:p>
    <w:p w14:paraId="0D30F19D" w14:textId="3588FDB6" w:rsidR="007C0420" w:rsidRDefault="007C0420" w:rsidP="001708DA">
      <w:pPr>
        <w:pStyle w:val="AAAAAAA"/>
        <w:rPr>
          <w:rStyle w:val="fontstyle01"/>
          <w:rFonts w:asciiTheme="majorBidi" w:hAnsiTheme="majorBidi" w:cstheme="majorBidi"/>
        </w:rPr>
      </w:pPr>
      <w:r w:rsidRPr="002A7627">
        <w:rPr>
          <w:rStyle w:val="fontstyle01"/>
          <w:rFonts w:asciiTheme="majorBidi" w:hAnsiTheme="majorBidi" w:cstheme="majorBidi"/>
        </w:rPr>
        <w:t xml:space="preserve">Figure </w:t>
      </w:r>
      <w:r w:rsidR="00751FC8">
        <w:rPr>
          <w:rStyle w:val="fontstyle01"/>
          <w:rFonts w:asciiTheme="majorBidi" w:hAnsiTheme="majorBidi" w:cstheme="majorBidi"/>
        </w:rPr>
        <w:t>5</w:t>
      </w:r>
      <w:r w:rsidR="00751FC8" w:rsidRPr="002A7627">
        <w:rPr>
          <w:rStyle w:val="fontstyle01"/>
          <w:rFonts w:asciiTheme="majorBidi" w:hAnsiTheme="majorBidi" w:cstheme="majorBidi"/>
        </w:rPr>
        <w:t xml:space="preserve"> </w:t>
      </w:r>
      <w:r w:rsidR="00F82928">
        <w:rPr>
          <w:rStyle w:val="fontstyle01"/>
          <w:rFonts w:asciiTheme="majorBidi" w:hAnsiTheme="majorBidi" w:cstheme="majorBidi"/>
        </w:rPr>
        <w:t>shows</w:t>
      </w:r>
      <w:r w:rsidR="00F82928" w:rsidRPr="002A7627">
        <w:rPr>
          <w:rStyle w:val="fontstyle01"/>
          <w:rFonts w:asciiTheme="majorBidi" w:hAnsiTheme="majorBidi" w:cstheme="majorBidi"/>
        </w:rPr>
        <w:t xml:space="preserve"> </w:t>
      </w:r>
      <w:r w:rsidRPr="002A7627">
        <w:rPr>
          <w:rStyle w:val="fontstyle01"/>
          <w:rFonts w:asciiTheme="majorBidi" w:hAnsiTheme="majorBidi" w:cstheme="majorBidi"/>
        </w:rPr>
        <w:t>the measurement model results produced by SmartPLS 3.2.8.</w:t>
      </w:r>
      <w:r>
        <w:rPr>
          <w:rStyle w:val="fontstyle01"/>
          <w:rFonts w:asciiTheme="majorBidi" w:hAnsiTheme="majorBidi" w:cstheme="majorBidi"/>
        </w:rPr>
        <w:t xml:space="preserve"> </w:t>
      </w:r>
      <w:r w:rsidRPr="002A7627">
        <w:rPr>
          <w:rStyle w:val="fontstyle01"/>
          <w:rFonts w:ascii="Times New Roman" w:hAnsi="Times New Roman" w:cs="Times New Roman"/>
        </w:rPr>
        <w:t xml:space="preserve">Table </w:t>
      </w:r>
      <w:r>
        <w:rPr>
          <w:rStyle w:val="fontstyle01"/>
          <w:rFonts w:ascii="Times New Roman" w:hAnsi="Times New Roman" w:cs="Times New Roman"/>
        </w:rPr>
        <w:t>23</w:t>
      </w:r>
      <w:r w:rsidRPr="002A7627">
        <w:rPr>
          <w:rStyle w:val="fontstyle01"/>
          <w:rFonts w:ascii="Times New Roman" w:hAnsi="Times New Roman" w:cs="Times New Roman"/>
        </w:rPr>
        <w:t xml:space="preserve"> </w:t>
      </w:r>
      <w:r w:rsidR="00F82928">
        <w:rPr>
          <w:rStyle w:val="fontstyle01"/>
          <w:rFonts w:ascii="Times New Roman" w:hAnsi="Times New Roman" w:cs="Times New Roman"/>
        </w:rPr>
        <w:t>shows</w:t>
      </w:r>
      <w:r w:rsidR="00F82928" w:rsidRPr="002A7627">
        <w:rPr>
          <w:rStyle w:val="fontstyle01"/>
          <w:rFonts w:ascii="Times New Roman" w:hAnsi="Times New Roman" w:cs="Times New Roman"/>
        </w:rPr>
        <w:t xml:space="preserve"> </w:t>
      </w:r>
      <w:r w:rsidRPr="002A7627">
        <w:rPr>
          <w:rStyle w:val="fontstyle01"/>
          <w:rFonts w:ascii="Times New Roman" w:hAnsi="Times New Roman" w:cs="Times New Roman"/>
        </w:rPr>
        <w:t xml:space="preserve">the </w:t>
      </w:r>
      <w:r w:rsidRPr="002A7627">
        <w:rPr>
          <w:rFonts w:eastAsia="Times New Roman"/>
        </w:rPr>
        <w:t>structural model results for direct relationships between the variables of the study</w:t>
      </w:r>
      <w:r>
        <w:t xml:space="preserve">, including the construct </w:t>
      </w:r>
      <m:oMath>
        <m:r>
          <w:rPr>
            <w:rFonts w:ascii="Cambria Math" w:hAnsi="Cambria Math"/>
          </w:rPr>
          <m:t xml:space="preserve">β </m:t>
        </m:r>
      </m:oMath>
      <w:r>
        <w:t>values and the</w:t>
      </w:r>
      <w:r w:rsidR="00751FC8">
        <w:t xml:space="preserve"> </w:t>
      </w:r>
      <w:r>
        <w:t xml:space="preserve">standard deviations, </w:t>
      </w:r>
      <w:r w:rsidRPr="00623230">
        <w:rPr>
          <w:i/>
        </w:rPr>
        <w:t>p</w:t>
      </w:r>
      <w:r>
        <w:t xml:space="preserve">-values, </w:t>
      </w:r>
      <w:r w:rsidRPr="00997FF7">
        <w:rPr>
          <w:i/>
        </w:rPr>
        <w:t>t</w:t>
      </w:r>
      <w:r>
        <w:t xml:space="preserve">-values, </w:t>
      </w:r>
      <w:r w:rsidR="00F82928" w:rsidRPr="00623230">
        <w:rPr>
          <w:i/>
        </w:rPr>
        <w:t>f</w:t>
      </w:r>
      <w:r w:rsidRPr="00997FF7">
        <w:rPr>
          <w:i/>
          <w:vertAlign w:val="superscript"/>
        </w:rPr>
        <w:t>2</w:t>
      </w:r>
      <w:r w:rsidR="00902DB0" w:rsidRPr="00997FF7">
        <w:t>,</w:t>
      </w:r>
      <w:r w:rsidR="00902DB0">
        <w:rPr>
          <w:i/>
        </w:rPr>
        <w:t xml:space="preserve"> </w:t>
      </w:r>
      <w:r>
        <w:t xml:space="preserve">and statistical significance. </w:t>
      </w:r>
    </w:p>
    <w:p w14:paraId="29B1DE24" w14:textId="77777777" w:rsidR="007C0420" w:rsidRPr="002A7627" w:rsidRDefault="007C0420" w:rsidP="007C0420">
      <w:pPr>
        <w:keepNext/>
        <w:tabs>
          <w:tab w:val="left" w:pos="2790"/>
        </w:tabs>
        <w:spacing w:line="360" w:lineRule="auto"/>
        <w:jc w:val="both"/>
      </w:pPr>
      <w:r w:rsidRPr="002A7627">
        <w:rPr>
          <w:rStyle w:val="fontstyle01"/>
          <w:rFonts w:asciiTheme="majorBidi" w:hAnsiTheme="majorBidi" w:cstheme="majorBidi"/>
          <w:noProof/>
          <w:lang w:val="en-GB" w:eastAsia="en-GB"/>
        </w:rPr>
        <w:drawing>
          <wp:inline distT="0" distB="0" distL="0" distR="0" wp14:anchorId="62EC4A0A" wp14:editId="1DE14284">
            <wp:extent cx="5411449" cy="4700912"/>
            <wp:effectExtent l="12700" t="12700" r="12065" b="10795"/>
            <wp:docPr id="2" name="Picture 2" descr="D:\Research\Work\4. Pls wor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Work\4. Pls work\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43874" cy="4729079"/>
                    </a:xfrm>
                    <a:prstGeom prst="rect">
                      <a:avLst/>
                    </a:prstGeom>
                    <a:noFill/>
                    <a:ln>
                      <a:solidFill>
                        <a:sysClr val="windowText" lastClr="000000"/>
                      </a:solidFill>
                    </a:ln>
                  </pic:spPr>
                </pic:pic>
              </a:graphicData>
            </a:graphic>
          </wp:inline>
        </w:drawing>
      </w:r>
    </w:p>
    <w:p w14:paraId="27A3D735" w14:textId="4F1EF0E3" w:rsidR="007C0420" w:rsidRDefault="007C0420" w:rsidP="007C0420">
      <w:pPr>
        <w:pStyle w:val="Caption"/>
      </w:pPr>
      <w:bookmarkStart w:id="253" w:name="_Toc21074098"/>
      <w:r>
        <w:t xml:space="preserve">Figure </w:t>
      </w:r>
      <w:r w:rsidR="00606D42">
        <w:rPr>
          <w:noProof/>
        </w:rPr>
        <w:fldChar w:fldCharType="begin"/>
      </w:r>
      <w:r w:rsidR="00606D42">
        <w:rPr>
          <w:noProof/>
        </w:rPr>
        <w:instrText xml:space="preserve"> SEQ Figure \* ARABIC </w:instrText>
      </w:r>
      <w:r w:rsidR="00606D42">
        <w:rPr>
          <w:noProof/>
        </w:rPr>
        <w:fldChar w:fldCharType="separate"/>
      </w:r>
      <w:r w:rsidR="00972C3F">
        <w:rPr>
          <w:noProof/>
        </w:rPr>
        <w:t>5</w:t>
      </w:r>
      <w:r w:rsidR="00606D42">
        <w:rPr>
          <w:noProof/>
        </w:rPr>
        <w:fldChar w:fldCharType="end"/>
      </w:r>
      <w:r>
        <w:t xml:space="preserve">. </w:t>
      </w:r>
      <w:r w:rsidRPr="001B0D84">
        <w:t>Measurement model results for direct relationships</w:t>
      </w:r>
      <w:bookmarkEnd w:id="253"/>
    </w:p>
    <w:p w14:paraId="5383D4B5" w14:textId="77777777" w:rsidR="007C0420" w:rsidRDefault="007C0420" w:rsidP="007C0420">
      <w:pPr>
        <w:spacing w:after="160" w:line="259" w:lineRule="auto"/>
        <w:rPr>
          <w:lang w:bidi="en-US"/>
        </w:rPr>
      </w:pPr>
      <w:r>
        <w:rPr>
          <w:lang w:bidi="en-US"/>
        </w:rPr>
        <w:br w:type="page"/>
      </w:r>
    </w:p>
    <w:p w14:paraId="7D5BF715" w14:textId="05A3621B" w:rsidR="007C0420" w:rsidRPr="001D5F54" w:rsidRDefault="007C0420" w:rsidP="00751FC8">
      <w:pPr>
        <w:pStyle w:val="Caption"/>
        <w:keepNext/>
        <w:jc w:val="lowKashida"/>
        <w:rPr>
          <w:color w:val="000000"/>
          <w:szCs w:val="24"/>
        </w:rPr>
      </w:pPr>
      <w:bookmarkStart w:id="254" w:name="_Toc19478601"/>
      <w:bookmarkStart w:id="255" w:name="_Toc21074091"/>
      <w:r>
        <w:t xml:space="preserve">Table </w:t>
      </w:r>
      <w:r w:rsidR="00606D42">
        <w:rPr>
          <w:noProof/>
        </w:rPr>
        <w:fldChar w:fldCharType="begin"/>
      </w:r>
      <w:r w:rsidR="00606D42">
        <w:rPr>
          <w:noProof/>
        </w:rPr>
        <w:instrText xml:space="preserve"> SEQ Table \* ARABIC </w:instrText>
      </w:r>
      <w:r w:rsidR="00606D42">
        <w:rPr>
          <w:noProof/>
        </w:rPr>
        <w:fldChar w:fldCharType="separate"/>
      </w:r>
      <w:r w:rsidR="00972C3F">
        <w:rPr>
          <w:noProof/>
        </w:rPr>
        <w:t>23</w:t>
      </w:r>
      <w:r w:rsidR="00606D42">
        <w:rPr>
          <w:noProof/>
        </w:rPr>
        <w:fldChar w:fldCharType="end"/>
      </w:r>
      <w:r>
        <w:t xml:space="preserve">. </w:t>
      </w:r>
      <w:r w:rsidRPr="00364FF7">
        <w:t>Structural model results for direct relationships between the variables</w:t>
      </w:r>
      <w:bookmarkEnd w:id="254"/>
      <w:bookmarkEnd w:id="255"/>
    </w:p>
    <w:tbl>
      <w:tblPr>
        <w:tblW w:w="93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90"/>
        <w:gridCol w:w="900"/>
        <w:gridCol w:w="810"/>
        <w:gridCol w:w="1080"/>
        <w:gridCol w:w="900"/>
        <w:gridCol w:w="990"/>
        <w:gridCol w:w="810"/>
        <w:gridCol w:w="1102"/>
      </w:tblGrid>
      <w:tr w:rsidR="007C0420" w:rsidRPr="003A048D" w14:paraId="1891E845" w14:textId="77777777" w:rsidTr="00DC1DF9">
        <w:trPr>
          <w:trHeight w:val="563"/>
        </w:trPr>
        <w:tc>
          <w:tcPr>
            <w:tcW w:w="2790" w:type="dxa"/>
            <w:tcBorders>
              <w:top w:val="single" w:sz="4" w:space="0" w:color="auto"/>
              <w:left w:val="nil"/>
              <w:bottom w:val="single" w:sz="4" w:space="0" w:color="auto"/>
              <w:right w:val="nil"/>
            </w:tcBorders>
            <w:shd w:val="clear" w:color="auto" w:fill="auto"/>
            <w:noWrap/>
            <w:hideMark/>
          </w:tcPr>
          <w:p w14:paraId="4C22CB07" w14:textId="77777777" w:rsidR="007C0420" w:rsidRPr="00997FF7" w:rsidRDefault="007C0420" w:rsidP="00DC1DF9">
            <w:pPr>
              <w:jc w:val="center"/>
              <w:rPr>
                <w:rFonts w:asciiTheme="majorBidi" w:hAnsiTheme="majorBidi" w:cstheme="majorBidi"/>
                <w:b/>
                <w:bCs/>
                <w:sz w:val="20"/>
              </w:rPr>
            </w:pPr>
            <w:r w:rsidRPr="00997FF7">
              <w:rPr>
                <w:rFonts w:asciiTheme="majorBidi" w:hAnsiTheme="majorBidi" w:cstheme="majorBidi"/>
                <w:b/>
                <w:bCs/>
                <w:sz w:val="20"/>
              </w:rPr>
              <w:t>Relationship</w:t>
            </w:r>
          </w:p>
        </w:tc>
        <w:tc>
          <w:tcPr>
            <w:tcW w:w="900" w:type="dxa"/>
            <w:tcBorders>
              <w:top w:val="single" w:sz="4" w:space="0" w:color="auto"/>
              <w:left w:val="nil"/>
              <w:bottom w:val="single" w:sz="4" w:space="0" w:color="auto"/>
              <w:right w:val="nil"/>
            </w:tcBorders>
            <w:shd w:val="clear" w:color="auto" w:fill="auto"/>
            <w:noWrap/>
            <w:hideMark/>
          </w:tcPr>
          <w:p w14:paraId="6DD3A2AF" w14:textId="77777777" w:rsidR="007C0420" w:rsidRPr="00997FF7" w:rsidRDefault="007C0420" w:rsidP="00DC1DF9">
            <w:pPr>
              <w:jc w:val="center"/>
              <w:rPr>
                <w:rFonts w:asciiTheme="majorBidi" w:hAnsiTheme="majorBidi" w:cstheme="majorBidi"/>
                <w:b/>
                <w:bCs/>
                <w:sz w:val="20"/>
              </w:rPr>
            </w:pPr>
            <w:r w:rsidRPr="00997FF7">
              <w:rPr>
                <w:rFonts w:asciiTheme="majorBidi" w:hAnsiTheme="majorBidi" w:cstheme="majorBidi"/>
                <w:b/>
                <w:bCs/>
                <w:sz w:val="20"/>
              </w:rPr>
              <w:t>Std. Beta (</w:t>
            </w:r>
            <w:r w:rsidRPr="00997FF7">
              <w:rPr>
                <w:rFonts w:asciiTheme="majorBidi" w:hAnsiTheme="majorBidi" w:cstheme="majorBidi"/>
                <w:b/>
                <w:bCs/>
                <w:i/>
                <w:sz w:val="20"/>
              </w:rPr>
              <w:t>β</w:t>
            </w:r>
            <w:r w:rsidRPr="00997FF7">
              <w:rPr>
                <w:rFonts w:asciiTheme="majorBidi" w:hAnsiTheme="majorBidi" w:cstheme="majorBidi"/>
                <w:b/>
                <w:bCs/>
                <w:sz w:val="20"/>
              </w:rPr>
              <w:t>)</w:t>
            </w:r>
          </w:p>
        </w:tc>
        <w:tc>
          <w:tcPr>
            <w:tcW w:w="810" w:type="dxa"/>
            <w:tcBorders>
              <w:top w:val="single" w:sz="4" w:space="0" w:color="auto"/>
              <w:left w:val="nil"/>
              <w:bottom w:val="single" w:sz="4" w:space="0" w:color="auto"/>
              <w:right w:val="nil"/>
            </w:tcBorders>
            <w:shd w:val="clear" w:color="auto" w:fill="auto"/>
            <w:noWrap/>
            <w:hideMark/>
          </w:tcPr>
          <w:p w14:paraId="6B14F6ED" w14:textId="50C67F88" w:rsidR="007C0420" w:rsidRPr="00997FF7" w:rsidRDefault="007C0420">
            <w:pPr>
              <w:jc w:val="center"/>
              <w:rPr>
                <w:rFonts w:asciiTheme="majorBidi" w:hAnsiTheme="majorBidi" w:cstheme="majorBidi"/>
                <w:b/>
                <w:bCs/>
                <w:sz w:val="20"/>
              </w:rPr>
            </w:pPr>
            <w:r w:rsidRPr="00997FF7">
              <w:rPr>
                <w:rFonts w:asciiTheme="majorBidi" w:hAnsiTheme="majorBidi" w:cstheme="majorBidi"/>
                <w:b/>
                <w:bCs/>
                <w:sz w:val="20"/>
              </w:rPr>
              <w:t>Std. Dev</w:t>
            </w:r>
            <w:r>
              <w:rPr>
                <w:rFonts w:asciiTheme="majorBidi" w:hAnsiTheme="majorBidi" w:cstheme="majorBidi"/>
                <w:b/>
                <w:bCs/>
                <w:sz w:val="20"/>
              </w:rPr>
              <w:t>.</w:t>
            </w:r>
          </w:p>
        </w:tc>
        <w:tc>
          <w:tcPr>
            <w:tcW w:w="1080" w:type="dxa"/>
            <w:tcBorders>
              <w:top w:val="single" w:sz="4" w:space="0" w:color="auto"/>
              <w:left w:val="nil"/>
              <w:bottom w:val="single" w:sz="4" w:space="0" w:color="auto"/>
              <w:right w:val="nil"/>
            </w:tcBorders>
            <w:shd w:val="clear" w:color="auto" w:fill="auto"/>
            <w:noWrap/>
            <w:hideMark/>
          </w:tcPr>
          <w:p w14:paraId="1E51DCE8" w14:textId="77777777" w:rsidR="007C0420" w:rsidRPr="00997FF7" w:rsidRDefault="007C0420" w:rsidP="00DC1DF9">
            <w:pPr>
              <w:jc w:val="center"/>
              <w:rPr>
                <w:rFonts w:asciiTheme="majorBidi" w:hAnsiTheme="majorBidi" w:cstheme="majorBidi"/>
                <w:b/>
                <w:bCs/>
                <w:sz w:val="20"/>
              </w:rPr>
            </w:pPr>
            <w:r w:rsidRPr="00997FF7">
              <w:rPr>
                <w:rFonts w:asciiTheme="majorBidi" w:hAnsiTheme="majorBidi" w:cstheme="majorBidi"/>
                <w:b/>
                <w:bCs/>
                <w:i/>
                <w:sz w:val="20"/>
              </w:rPr>
              <w:t>t</w:t>
            </w:r>
            <w:r w:rsidRPr="00997FF7">
              <w:rPr>
                <w:rFonts w:asciiTheme="majorBidi" w:hAnsiTheme="majorBidi" w:cstheme="majorBidi"/>
                <w:b/>
                <w:bCs/>
                <w:sz w:val="20"/>
              </w:rPr>
              <w:t xml:space="preserve"> -</w:t>
            </w:r>
            <w:r>
              <w:rPr>
                <w:rFonts w:asciiTheme="majorBidi" w:hAnsiTheme="majorBidi" w:cstheme="majorBidi"/>
                <w:b/>
                <w:bCs/>
                <w:sz w:val="20"/>
              </w:rPr>
              <w:t>v</w:t>
            </w:r>
            <w:r w:rsidRPr="00997FF7">
              <w:rPr>
                <w:rFonts w:asciiTheme="majorBidi" w:hAnsiTheme="majorBidi" w:cstheme="majorBidi"/>
                <w:b/>
                <w:bCs/>
                <w:sz w:val="20"/>
              </w:rPr>
              <w:t>alue</w:t>
            </w:r>
          </w:p>
        </w:tc>
        <w:tc>
          <w:tcPr>
            <w:tcW w:w="900" w:type="dxa"/>
            <w:tcBorders>
              <w:top w:val="single" w:sz="4" w:space="0" w:color="auto"/>
              <w:left w:val="nil"/>
              <w:bottom w:val="single" w:sz="4" w:space="0" w:color="auto"/>
              <w:right w:val="nil"/>
            </w:tcBorders>
            <w:shd w:val="clear" w:color="auto" w:fill="auto"/>
            <w:noWrap/>
            <w:hideMark/>
          </w:tcPr>
          <w:p w14:paraId="45947F08" w14:textId="77777777" w:rsidR="007C0420" w:rsidRPr="00997FF7" w:rsidRDefault="007C0420" w:rsidP="00DC1DF9">
            <w:pPr>
              <w:jc w:val="center"/>
              <w:rPr>
                <w:rFonts w:asciiTheme="majorBidi" w:hAnsiTheme="majorBidi" w:cstheme="majorBidi"/>
                <w:b/>
                <w:bCs/>
                <w:sz w:val="20"/>
              </w:rPr>
            </w:pPr>
            <w:r w:rsidRPr="00997FF7">
              <w:rPr>
                <w:rFonts w:asciiTheme="majorBidi" w:hAnsiTheme="majorBidi" w:cstheme="majorBidi"/>
                <w:b/>
                <w:bCs/>
                <w:i/>
                <w:sz w:val="20"/>
              </w:rPr>
              <w:t>p</w:t>
            </w:r>
            <w:r w:rsidRPr="00997FF7">
              <w:rPr>
                <w:rFonts w:asciiTheme="majorBidi" w:hAnsiTheme="majorBidi" w:cstheme="majorBidi"/>
                <w:b/>
                <w:bCs/>
                <w:sz w:val="20"/>
              </w:rPr>
              <w:t>-</w:t>
            </w:r>
            <w:r>
              <w:rPr>
                <w:rFonts w:asciiTheme="majorBidi" w:hAnsiTheme="majorBidi" w:cstheme="majorBidi"/>
                <w:b/>
                <w:bCs/>
                <w:sz w:val="20"/>
              </w:rPr>
              <w:t>v</w:t>
            </w:r>
            <w:r w:rsidRPr="00997FF7">
              <w:rPr>
                <w:rFonts w:asciiTheme="majorBidi" w:hAnsiTheme="majorBidi" w:cstheme="majorBidi"/>
                <w:b/>
                <w:bCs/>
                <w:sz w:val="20"/>
              </w:rPr>
              <w:t>alue</w:t>
            </w:r>
          </w:p>
        </w:tc>
        <w:tc>
          <w:tcPr>
            <w:tcW w:w="990" w:type="dxa"/>
            <w:tcBorders>
              <w:top w:val="single" w:sz="4" w:space="0" w:color="auto"/>
              <w:left w:val="nil"/>
              <w:bottom w:val="single" w:sz="4" w:space="0" w:color="auto"/>
              <w:right w:val="nil"/>
            </w:tcBorders>
          </w:tcPr>
          <w:p w14:paraId="6CDA2C12" w14:textId="77777777" w:rsidR="007C0420" w:rsidRPr="00997FF7" w:rsidRDefault="007C0420" w:rsidP="00DC1DF9">
            <w:pPr>
              <w:jc w:val="center"/>
              <w:rPr>
                <w:rFonts w:asciiTheme="majorBidi" w:hAnsiTheme="majorBidi" w:cstheme="majorBidi"/>
                <w:b/>
                <w:bCs/>
                <w:i/>
                <w:sz w:val="20"/>
              </w:rPr>
            </w:pPr>
            <w:r w:rsidRPr="00997FF7">
              <w:rPr>
                <w:rFonts w:asciiTheme="majorBidi" w:hAnsiTheme="majorBidi" w:cstheme="majorBidi"/>
                <w:b/>
                <w:bCs/>
                <w:i/>
                <w:sz w:val="20"/>
              </w:rPr>
              <w:t>R</w:t>
            </w:r>
            <w:r w:rsidRPr="00997FF7">
              <w:rPr>
                <w:rFonts w:asciiTheme="majorBidi" w:hAnsiTheme="majorBidi" w:cstheme="majorBidi"/>
                <w:b/>
                <w:bCs/>
                <w:i/>
                <w:sz w:val="20"/>
                <w:vertAlign w:val="superscript"/>
              </w:rPr>
              <w:t>2</w:t>
            </w:r>
          </w:p>
        </w:tc>
        <w:tc>
          <w:tcPr>
            <w:tcW w:w="810" w:type="dxa"/>
            <w:tcBorders>
              <w:top w:val="single" w:sz="4" w:space="0" w:color="auto"/>
              <w:left w:val="nil"/>
              <w:bottom w:val="single" w:sz="4" w:space="0" w:color="auto"/>
              <w:right w:val="nil"/>
            </w:tcBorders>
          </w:tcPr>
          <w:p w14:paraId="08D9AA66" w14:textId="6542D63C" w:rsidR="007C0420" w:rsidRPr="00997FF7" w:rsidRDefault="00132B99" w:rsidP="00DC1DF9">
            <w:pPr>
              <w:jc w:val="center"/>
              <w:rPr>
                <w:rFonts w:asciiTheme="majorBidi" w:hAnsiTheme="majorBidi" w:cstheme="majorBidi"/>
                <w:b/>
                <w:bCs/>
                <w:i/>
                <w:sz w:val="20"/>
              </w:rPr>
            </w:pPr>
            <w:r>
              <w:rPr>
                <w:rFonts w:asciiTheme="majorBidi" w:hAnsiTheme="majorBidi" w:cstheme="majorBidi"/>
                <w:b/>
                <w:bCs/>
                <w:i/>
                <w:sz w:val="20"/>
              </w:rPr>
              <w:t>f</w:t>
            </w:r>
            <w:r w:rsidRPr="00997FF7">
              <w:rPr>
                <w:rFonts w:asciiTheme="majorBidi" w:hAnsiTheme="majorBidi" w:cstheme="majorBidi"/>
                <w:b/>
                <w:bCs/>
                <w:i/>
                <w:sz w:val="20"/>
                <w:vertAlign w:val="superscript"/>
              </w:rPr>
              <w:t>2</w:t>
            </w:r>
          </w:p>
        </w:tc>
        <w:tc>
          <w:tcPr>
            <w:tcW w:w="1102" w:type="dxa"/>
            <w:tcBorders>
              <w:top w:val="single" w:sz="4" w:space="0" w:color="auto"/>
              <w:left w:val="nil"/>
              <w:bottom w:val="single" w:sz="4" w:space="0" w:color="auto"/>
              <w:right w:val="nil"/>
            </w:tcBorders>
          </w:tcPr>
          <w:p w14:paraId="216AC846" w14:textId="77777777" w:rsidR="007C0420" w:rsidRPr="00997FF7" w:rsidRDefault="007C0420" w:rsidP="00DC1DF9">
            <w:pPr>
              <w:jc w:val="center"/>
              <w:rPr>
                <w:rFonts w:asciiTheme="majorBidi" w:hAnsiTheme="majorBidi" w:cstheme="majorBidi"/>
                <w:b/>
                <w:bCs/>
                <w:sz w:val="20"/>
              </w:rPr>
            </w:pPr>
            <w:r w:rsidRPr="00997FF7">
              <w:rPr>
                <w:rFonts w:asciiTheme="majorBidi" w:hAnsiTheme="majorBidi" w:cstheme="majorBidi"/>
                <w:b/>
                <w:bCs/>
                <w:sz w:val="20"/>
              </w:rPr>
              <w:t>Status</w:t>
            </w:r>
          </w:p>
        </w:tc>
      </w:tr>
      <w:tr w:rsidR="007C0420" w:rsidRPr="003A048D" w14:paraId="6D7FFE52" w14:textId="77777777" w:rsidTr="00DC1DF9">
        <w:trPr>
          <w:trHeight w:val="563"/>
        </w:trPr>
        <w:tc>
          <w:tcPr>
            <w:tcW w:w="2790" w:type="dxa"/>
            <w:tcBorders>
              <w:top w:val="single" w:sz="4" w:space="0" w:color="auto"/>
              <w:left w:val="nil"/>
              <w:bottom w:val="nil"/>
              <w:right w:val="nil"/>
            </w:tcBorders>
            <w:shd w:val="clear" w:color="auto" w:fill="EEECE1" w:themeFill="background2"/>
            <w:noWrap/>
          </w:tcPr>
          <w:p w14:paraId="30885371" w14:textId="6CA3604F" w:rsidR="007C0420" w:rsidRPr="00997FF7" w:rsidRDefault="007C0420" w:rsidP="00F82928">
            <w:pPr>
              <w:jc w:val="lowKashida"/>
              <w:rPr>
                <w:rFonts w:asciiTheme="majorBidi" w:hAnsiTheme="majorBidi" w:cstheme="majorBidi"/>
                <w:b/>
                <w:bCs/>
                <w:sz w:val="20"/>
              </w:rPr>
            </w:pPr>
            <w:r w:rsidRPr="00997FF7">
              <w:rPr>
                <w:rFonts w:asciiTheme="majorBidi" w:hAnsiTheme="majorBidi" w:cstheme="majorBidi"/>
                <w:b/>
                <w:bCs/>
                <w:sz w:val="20"/>
              </w:rPr>
              <w:t xml:space="preserve">Knowledge Management Capabilities </w:t>
            </w:r>
            <w:r w:rsidR="00F82928">
              <w:rPr>
                <w:rFonts w:asciiTheme="majorBidi" w:hAnsiTheme="majorBidi" w:cstheme="majorBidi"/>
                <w:b/>
                <w:bCs/>
                <w:sz w:val="20"/>
              </w:rPr>
              <w:t>→</w:t>
            </w:r>
            <w:r w:rsidRPr="00997FF7">
              <w:rPr>
                <w:rFonts w:asciiTheme="majorBidi" w:hAnsiTheme="majorBidi" w:cstheme="majorBidi"/>
                <w:b/>
                <w:bCs/>
                <w:sz w:val="20"/>
              </w:rPr>
              <w:t xml:space="preserve"> Knowledge Management Benefits</w:t>
            </w:r>
          </w:p>
        </w:tc>
        <w:tc>
          <w:tcPr>
            <w:tcW w:w="900" w:type="dxa"/>
            <w:tcBorders>
              <w:top w:val="single" w:sz="4" w:space="0" w:color="auto"/>
              <w:left w:val="nil"/>
              <w:bottom w:val="nil"/>
              <w:right w:val="nil"/>
            </w:tcBorders>
            <w:shd w:val="clear" w:color="auto" w:fill="EEECE1" w:themeFill="background2"/>
            <w:noWrap/>
          </w:tcPr>
          <w:p w14:paraId="78F5EE9D"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0.122</w:t>
            </w:r>
          </w:p>
        </w:tc>
        <w:tc>
          <w:tcPr>
            <w:tcW w:w="810" w:type="dxa"/>
            <w:tcBorders>
              <w:top w:val="single" w:sz="4" w:space="0" w:color="auto"/>
              <w:left w:val="nil"/>
              <w:bottom w:val="nil"/>
              <w:right w:val="nil"/>
            </w:tcBorders>
            <w:shd w:val="clear" w:color="auto" w:fill="EEECE1" w:themeFill="background2"/>
            <w:noWrap/>
          </w:tcPr>
          <w:p w14:paraId="0DCFF1B4"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0.05</w:t>
            </w:r>
            <w:r>
              <w:rPr>
                <w:rFonts w:asciiTheme="majorBidi" w:hAnsiTheme="majorBidi" w:cstheme="majorBidi"/>
                <w:sz w:val="20"/>
              </w:rPr>
              <w:t>0</w:t>
            </w:r>
          </w:p>
        </w:tc>
        <w:tc>
          <w:tcPr>
            <w:tcW w:w="1080" w:type="dxa"/>
            <w:tcBorders>
              <w:top w:val="single" w:sz="4" w:space="0" w:color="auto"/>
              <w:left w:val="nil"/>
              <w:bottom w:val="nil"/>
              <w:right w:val="nil"/>
            </w:tcBorders>
            <w:shd w:val="clear" w:color="auto" w:fill="EEECE1" w:themeFill="background2"/>
            <w:noWrap/>
          </w:tcPr>
          <w:p w14:paraId="7D7832D2"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2.445</w:t>
            </w:r>
          </w:p>
        </w:tc>
        <w:tc>
          <w:tcPr>
            <w:tcW w:w="900" w:type="dxa"/>
            <w:tcBorders>
              <w:top w:val="single" w:sz="4" w:space="0" w:color="auto"/>
              <w:left w:val="nil"/>
              <w:bottom w:val="nil"/>
              <w:right w:val="nil"/>
            </w:tcBorders>
            <w:shd w:val="clear" w:color="auto" w:fill="EEECE1" w:themeFill="background2"/>
            <w:noWrap/>
          </w:tcPr>
          <w:p w14:paraId="0742977B"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.015</w:t>
            </w:r>
          </w:p>
        </w:tc>
        <w:tc>
          <w:tcPr>
            <w:tcW w:w="990" w:type="dxa"/>
            <w:tcBorders>
              <w:top w:val="single" w:sz="4" w:space="0" w:color="auto"/>
              <w:left w:val="nil"/>
              <w:bottom w:val="nil"/>
              <w:right w:val="nil"/>
            </w:tcBorders>
            <w:shd w:val="clear" w:color="auto" w:fill="EEECE1" w:themeFill="background2"/>
          </w:tcPr>
          <w:p w14:paraId="20BA0075" w14:textId="77777777" w:rsidR="007C0420" w:rsidRPr="00997FF7" w:rsidRDefault="007C0420" w:rsidP="00DC1DF9">
            <w:pPr>
              <w:jc w:val="center"/>
              <w:rPr>
                <w:rFonts w:asciiTheme="majorBidi" w:hAnsiTheme="majorBidi" w:cstheme="majorBidi"/>
                <w:sz w:val="20"/>
              </w:rPr>
            </w:pPr>
          </w:p>
        </w:tc>
        <w:tc>
          <w:tcPr>
            <w:tcW w:w="810" w:type="dxa"/>
            <w:tcBorders>
              <w:top w:val="single" w:sz="4" w:space="0" w:color="auto"/>
              <w:left w:val="nil"/>
              <w:bottom w:val="nil"/>
              <w:right w:val="nil"/>
            </w:tcBorders>
            <w:shd w:val="clear" w:color="auto" w:fill="EEECE1" w:themeFill="background2"/>
          </w:tcPr>
          <w:p w14:paraId="1AB059E1" w14:textId="77777777" w:rsidR="007C0420" w:rsidRPr="00997FF7" w:rsidRDefault="007C0420" w:rsidP="00DC1DF9">
            <w:pPr>
              <w:jc w:val="center"/>
              <w:rPr>
                <w:rFonts w:asciiTheme="majorBidi" w:hAnsiTheme="majorBidi" w:cstheme="majorBidi"/>
                <w:color w:val="000000" w:themeColor="text1"/>
                <w:sz w:val="20"/>
              </w:rPr>
            </w:pPr>
            <w:r w:rsidRPr="00997FF7">
              <w:rPr>
                <w:rFonts w:asciiTheme="majorBidi" w:hAnsiTheme="majorBidi" w:cstheme="majorBidi"/>
                <w:color w:val="000000" w:themeColor="text1"/>
                <w:sz w:val="20"/>
              </w:rPr>
              <w:t>0.018</w:t>
            </w:r>
          </w:p>
        </w:tc>
        <w:tc>
          <w:tcPr>
            <w:tcW w:w="1102" w:type="dxa"/>
            <w:tcBorders>
              <w:top w:val="single" w:sz="4" w:space="0" w:color="auto"/>
              <w:left w:val="nil"/>
              <w:bottom w:val="nil"/>
              <w:right w:val="nil"/>
            </w:tcBorders>
            <w:shd w:val="clear" w:color="auto" w:fill="EEECE1" w:themeFill="background2"/>
          </w:tcPr>
          <w:p w14:paraId="7A74CA40" w14:textId="77777777" w:rsidR="007C0420" w:rsidRPr="00997FF7" w:rsidRDefault="007C0420" w:rsidP="00DC1DF9">
            <w:pPr>
              <w:jc w:val="center"/>
              <w:rPr>
                <w:rFonts w:asciiTheme="majorBidi" w:hAnsiTheme="majorBidi" w:cstheme="majorBidi"/>
                <w:color w:val="FF0000"/>
                <w:sz w:val="20"/>
              </w:rPr>
            </w:pPr>
            <w:r w:rsidRPr="00997FF7">
              <w:rPr>
                <w:rFonts w:asciiTheme="majorBidi" w:hAnsiTheme="majorBidi" w:cstheme="majorBidi"/>
                <w:color w:val="FF0000"/>
                <w:sz w:val="20"/>
              </w:rPr>
              <w:t>Significant</w:t>
            </w:r>
          </w:p>
        </w:tc>
      </w:tr>
      <w:tr w:rsidR="007C0420" w:rsidRPr="003A048D" w14:paraId="2A929A38" w14:textId="77777777" w:rsidTr="00DC1DF9">
        <w:trPr>
          <w:trHeight w:val="563"/>
        </w:trPr>
        <w:tc>
          <w:tcPr>
            <w:tcW w:w="2790" w:type="dxa"/>
            <w:tcBorders>
              <w:top w:val="nil"/>
              <w:left w:val="nil"/>
              <w:bottom w:val="nil"/>
              <w:right w:val="nil"/>
            </w:tcBorders>
            <w:shd w:val="clear" w:color="auto" w:fill="auto"/>
            <w:noWrap/>
          </w:tcPr>
          <w:p w14:paraId="624C8068" w14:textId="52B2AE36" w:rsidR="007C0420" w:rsidRPr="00997FF7" w:rsidRDefault="007C0420" w:rsidP="00F82928">
            <w:pPr>
              <w:jc w:val="lowKashida"/>
              <w:rPr>
                <w:rFonts w:asciiTheme="majorBidi" w:hAnsiTheme="majorBidi" w:cstheme="majorBidi"/>
                <w:b/>
                <w:bCs/>
                <w:sz w:val="20"/>
              </w:rPr>
            </w:pPr>
            <w:r w:rsidRPr="00997FF7">
              <w:rPr>
                <w:rFonts w:asciiTheme="majorBidi" w:hAnsiTheme="majorBidi" w:cstheme="majorBidi"/>
                <w:b/>
                <w:bCs/>
                <w:sz w:val="20"/>
              </w:rPr>
              <w:t xml:space="preserve">Knowledge Management Capabilities </w:t>
            </w:r>
            <w:r w:rsidR="00F82928">
              <w:rPr>
                <w:rFonts w:asciiTheme="majorBidi" w:hAnsiTheme="majorBidi" w:cstheme="majorBidi"/>
                <w:b/>
                <w:bCs/>
                <w:sz w:val="20"/>
              </w:rPr>
              <w:t>→</w:t>
            </w:r>
            <w:r w:rsidRPr="00997FF7">
              <w:rPr>
                <w:rFonts w:asciiTheme="majorBidi" w:hAnsiTheme="majorBidi" w:cstheme="majorBidi"/>
                <w:b/>
                <w:bCs/>
                <w:sz w:val="20"/>
              </w:rPr>
              <w:t xml:space="preserve"> Organizational Learning</w:t>
            </w:r>
          </w:p>
        </w:tc>
        <w:tc>
          <w:tcPr>
            <w:tcW w:w="900" w:type="dxa"/>
            <w:tcBorders>
              <w:top w:val="nil"/>
              <w:left w:val="nil"/>
              <w:bottom w:val="nil"/>
              <w:right w:val="nil"/>
            </w:tcBorders>
            <w:shd w:val="clear" w:color="auto" w:fill="auto"/>
            <w:noWrap/>
          </w:tcPr>
          <w:p w14:paraId="2BE6EFEC"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0.098</w:t>
            </w:r>
          </w:p>
        </w:tc>
        <w:tc>
          <w:tcPr>
            <w:tcW w:w="810" w:type="dxa"/>
            <w:tcBorders>
              <w:top w:val="nil"/>
              <w:left w:val="nil"/>
              <w:bottom w:val="nil"/>
              <w:right w:val="nil"/>
            </w:tcBorders>
            <w:shd w:val="clear" w:color="auto" w:fill="auto"/>
            <w:noWrap/>
          </w:tcPr>
          <w:p w14:paraId="558EF7EA"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0.032</w:t>
            </w:r>
          </w:p>
        </w:tc>
        <w:tc>
          <w:tcPr>
            <w:tcW w:w="1080" w:type="dxa"/>
            <w:tcBorders>
              <w:top w:val="nil"/>
              <w:left w:val="nil"/>
              <w:bottom w:val="nil"/>
              <w:right w:val="nil"/>
            </w:tcBorders>
            <w:shd w:val="clear" w:color="auto" w:fill="auto"/>
            <w:noWrap/>
          </w:tcPr>
          <w:p w14:paraId="68C9BB46"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3.02</w:t>
            </w:r>
            <w:r>
              <w:rPr>
                <w:rFonts w:asciiTheme="majorBidi" w:hAnsiTheme="majorBidi" w:cstheme="majorBidi"/>
                <w:sz w:val="20"/>
              </w:rPr>
              <w:t>0</w:t>
            </w:r>
          </w:p>
        </w:tc>
        <w:tc>
          <w:tcPr>
            <w:tcW w:w="900" w:type="dxa"/>
            <w:tcBorders>
              <w:top w:val="nil"/>
              <w:left w:val="nil"/>
              <w:bottom w:val="nil"/>
              <w:right w:val="nil"/>
            </w:tcBorders>
            <w:shd w:val="clear" w:color="auto" w:fill="auto"/>
            <w:noWrap/>
          </w:tcPr>
          <w:p w14:paraId="1E226285"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.003</w:t>
            </w:r>
          </w:p>
        </w:tc>
        <w:tc>
          <w:tcPr>
            <w:tcW w:w="990" w:type="dxa"/>
            <w:tcBorders>
              <w:top w:val="nil"/>
              <w:left w:val="nil"/>
              <w:bottom w:val="nil"/>
              <w:right w:val="nil"/>
            </w:tcBorders>
          </w:tcPr>
          <w:p w14:paraId="282A45FC" w14:textId="77777777" w:rsidR="007C0420" w:rsidRPr="00997FF7" w:rsidRDefault="007C0420" w:rsidP="00DC1DF9">
            <w:pPr>
              <w:jc w:val="center"/>
              <w:rPr>
                <w:rFonts w:asciiTheme="majorBidi" w:hAnsiTheme="majorBidi" w:cstheme="majorBidi"/>
                <w:sz w:val="20"/>
              </w:rPr>
            </w:pPr>
          </w:p>
        </w:tc>
        <w:tc>
          <w:tcPr>
            <w:tcW w:w="810" w:type="dxa"/>
            <w:tcBorders>
              <w:top w:val="nil"/>
              <w:left w:val="nil"/>
              <w:bottom w:val="nil"/>
              <w:right w:val="nil"/>
            </w:tcBorders>
            <w:shd w:val="clear" w:color="auto" w:fill="auto"/>
          </w:tcPr>
          <w:p w14:paraId="78CB9AD4" w14:textId="77777777" w:rsidR="007C0420" w:rsidRPr="00997FF7" w:rsidRDefault="007C0420" w:rsidP="00DC1DF9">
            <w:pPr>
              <w:jc w:val="center"/>
              <w:rPr>
                <w:rFonts w:asciiTheme="majorBidi" w:hAnsiTheme="majorBidi" w:cstheme="majorBidi"/>
                <w:color w:val="000000" w:themeColor="text1"/>
                <w:sz w:val="20"/>
              </w:rPr>
            </w:pPr>
            <w:r w:rsidRPr="00997FF7">
              <w:rPr>
                <w:rFonts w:asciiTheme="majorBidi" w:hAnsiTheme="majorBidi" w:cstheme="majorBidi"/>
                <w:color w:val="000000" w:themeColor="text1"/>
                <w:sz w:val="20"/>
              </w:rPr>
              <w:t>0.02</w:t>
            </w:r>
            <w:r>
              <w:rPr>
                <w:rFonts w:asciiTheme="majorBidi" w:hAnsiTheme="majorBidi" w:cstheme="majorBidi"/>
                <w:color w:val="000000" w:themeColor="text1"/>
                <w:sz w:val="20"/>
              </w:rPr>
              <w:t>0</w:t>
            </w:r>
          </w:p>
        </w:tc>
        <w:tc>
          <w:tcPr>
            <w:tcW w:w="1102" w:type="dxa"/>
            <w:tcBorders>
              <w:top w:val="nil"/>
              <w:left w:val="nil"/>
              <w:bottom w:val="nil"/>
              <w:right w:val="nil"/>
            </w:tcBorders>
          </w:tcPr>
          <w:p w14:paraId="35FF9F64" w14:textId="77777777" w:rsidR="007C0420" w:rsidRPr="00997FF7" w:rsidRDefault="007C0420" w:rsidP="00DC1DF9">
            <w:pPr>
              <w:jc w:val="center"/>
              <w:rPr>
                <w:rFonts w:asciiTheme="majorBidi" w:hAnsiTheme="majorBidi" w:cstheme="majorBidi"/>
                <w:color w:val="FF0000"/>
                <w:sz w:val="20"/>
              </w:rPr>
            </w:pPr>
            <w:r w:rsidRPr="00997FF7">
              <w:rPr>
                <w:rFonts w:asciiTheme="majorBidi" w:hAnsiTheme="majorBidi" w:cstheme="majorBidi"/>
                <w:color w:val="FF0000"/>
                <w:sz w:val="20"/>
              </w:rPr>
              <w:t>Significant</w:t>
            </w:r>
          </w:p>
        </w:tc>
      </w:tr>
      <w:tr w:rsidR="007C0420" w:rsidRPr="003A048D" w14:paraId="6F095638" w14:textId="77777777" w:rsidTr="00DC1DF9">
        <w:trPr>
          <w:trHeight w:val="563"/>
        </w:trPr>
        <w:tc>
          <w:tcPr>
            <w:tcW w:w="2790" w:type="dxa"/>
            <w:tcBorders>
              <w:top w:val="nil"/>
              <w:left w:val="nil"/>
              <w:bottom w:val="nil"/>
              <w:right w:val="nil"/>
            </w:tcBorders>
            <w:shd w:val="clear" w:color="auto" w:fill="EEECE1" w:themeFill="background2"/>
            <w:noWrap/>
            <w:hideMark/>
          </w:tcPr>
          <w:p w14:paraId="5533167B" w14:textId="2BD21CAB" w:rsidR="007C0420" w:rsidRPr="00997FF7" w:rsidRDefault="007C0420" w:rsidP="00F82928">
            <w:pPr>
              <w:jc w:val="lowKashida"/>
              <w:rPr>
                <w:rFonts w:asciiTheme="majorBidi" w:hAnsiTheme="majorBidi" w:cstheme="majorBidi"/>
                <w:b/>
                <w:bCs/>
                <w:sz w:val="20"/>
              </w:rPr>
            </w:pPr>
            <w:r w:rsidRPr="00997FF7">
              <w:rPr>
                <w:rFonts w:asciiTheme="majorBidi" w:hAnsiTheme="majorBidi" w:cstheme="majorBidi"/>
                <w:b/>
                <w:bCs/>
                <w:sz w:val="20"/>
              </w:rPr>
              <w:t xml:space="preserve">Extrinsic Motivation </w:t>
            </w:r>
            <w:r w:rsidR="00F82928">
              <w:rPr>
                <w:rFonts w:asciiTheme="majorBidi" w:hAnsiTheme="majorBidi" w:cstheme="majorBidi"/>
                <w:b/>
                <w:bCs/>
                <w:sz w:val="20"/>
              </w:rPr>
              <w:t xml:space="preserve">→ </w:t>
            </w:r>
            <w:r w:rsidRPr="00997FF7">
              <w:rPr>
                <w:rFonts w:asciiTheme="majorBidi" w:hAnsiTheme="majorBidi" w:cstheme="majorBidi"/>
                <w:b/>
                <w:bCs/>
                <w:sz w:val="20"/>
              </w:rPr>
              <w:t>Knowledge Management Benefits</w:t>
            </w:r>
          </w:p>
        </w:tc>
        <w:tc>
          <w:tcPr>
            <w:tcW w:w="900" w:type="dxa"/>
            <w:tcBorders>
              <w:top w:val="nil"/>
              <w:left w:val="nil"/>
              <w:bottom w:val="nil"/>
              <w:right w:val="nil"/>
            </w:tcBorders>
            <w:shd w:val="clear" w:color="auto" w:fill="EEECE1" w:themeFill="background2"/>
            <w:noWrap/>
            <w:hideMark/>
          </w:tcPr>
          <w:p w14:paraId="23F2591B"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-0.019</w:t>
            </w:r>
          </w:p>
        </w:tc>
        <w:tc>
          <w:tcPr>
            <w:tcW w:w="810" w:type="dxa"/>
            <w:tcBorders>
              <w:top w:val="nil"/>
              <w:left w:val="nil"/>
              <w:bottom w:val="nil"/>
              <w:right w:val="nil"/>
            </w:tcBorders>
            <w:shd w:val="clear" w:color="auto" w:fill="EEECE1" w:themeFill="background2"/>
            <w:noWrap/>
            <w:hideMark/>
          </w:tcPr>
          <w:p w14:paraId="23513448"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0.038</w:t>
            </w:r>
          </w:p>
        </w:tc>
        <w:tc>
          <w:tcPr>
            <w:tcW w:w="1080" w:type="dxa"/>
            <w:tcBorders>
              <w:top w:val="nil"/>
              <w:left w:val="nil"/>
              <w:bottom w:val="nil"/>
              <w:right w:val="nil"/>
            </w:tcBorders>
            <w:shd w:val="clear" w:color="auto" w:fill="EEECE1" w:themeFill="background2"/>
            <w:noWrap/>
            <w:hideMark/>
          </w:tcPr>
          <w:p w14:paraId="7D4F6EF7"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0.5</w:t>
            </w:r>
            <w:r>
              <w:rPr>
                <w:rFonts w:asciiTheme="majorBidi" w:hAnsiTheme="majorBidi" w:cstheme="majorBidi"/>
                <w:sz w:val="20"/>
              </w:rPr>
              <w:t>00</w:t>
            </w:r>
          </w:p>
        </w:tc>
        <w:tc>
          <w:tcPr>
            <w:tcW w:w="900" w:type="dxa"/>
            <w:tcBorders>
              <w:top w:val="nil"/>
              <w:left w:val="nil"/>
              <w:bottom w:val="nil"/>
              <w:right w:val="nil"/>
            </w:tcBorders>
            <w:shd w:val="clear" w:color="auto" w:fill="EEECE1" w:themeFill="background2"/>
            <w:noWrap/>
            <w:hideMark/>
          </w:tcPr>
          <w:p w14:paraId="6B60FE80"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.617</w:t>
            </w:r>
          </w:p>
        </w:tc>
        <w:tc>
          <w:tcPr>
            <w:tcW w:w="990" w:type="dxa"/>
            <w:tcBorders>
              <w:top w:val="nil"/>
              <w:left w:val="nil"/>
              <w:bottom w:val="nil"/>
              <w:right w:val="nil"/>
            </w:tcBorders>
            <w:shd w:val="clear" w:color="auto" w:fill="EEECE1" w:themeFill="background2"/>
          </w:tcPr>
          <w:p w14:paraId="03106F9C" w14:textId="77777777" w:rsidR="007C0420" w:rsidRPr="00997FF7" w:rsidRDefault="007C0420" w:rsidP="00DC1DF9">
            <w:pPr>
              <w:jc w:val="center"/>
              <w:rPr>
                <w:rFonts w:asciiTheme="majorBidi" w:hAnsiTheme="majorBidi" w:cstheme="majorBidi"/>
                <w:sz w:val="20"/>
              </w:rPr>
            </w:pPr>
          </w:p>
        </w:tc>
        <w:tc>
          <w:tcPr>
            <w:tcW w:w="810" w:type="dxa"/>
            <w:tcBorders>
              <w:top w:val="nil"/>
              <w:left w:val="nil"/>
              <w:bottom w:val="nil"/>
              <w:right w:val="nil"/>
            </w:tcBorders>
            <w:shd w:val="clear" w:color="auto" w:fill="EEECE1" w:themeFill="background2"/>
          </w:tcPr>
          <w:p w14:paraId="289677EF" w14:textId="77777777" w:rsidR="007C0420" w:rsidRPr="00997FF7" w:rsidRDefault="007C0420" w:rsidP="00DC1DF9">
            <w:pPr>
              <w:jc w:val="center"/>
              <w:rPr>
                <w:rFonts w:asciiTheme="majorBidi" w:hAnsiTheme="majorBidi" w:cstheme="majorBidi"/>
                <w:color w:val="000000" w:themeColor="text1"/>
                <w:sz w:val="20"/>
              </w:rPr>
            </w:pPr>
            <w:r>
              <w:rPr>
                <w:rFonts w:asciiTheme="majorBidi" w:hAnsiTheme="majorBidi" w:cstheme="majorBidi"/>
                <w:color w:val="000000" w:themeColor="text1"/>
                <w:sz w:val="20"/>
              </w:rPr>
              <w:t>0.</w:t>
            </w:r>
            <w:r w:rsidRPr="00997FF7">
              <w:rPr>
                <w:rFonts w:asciiTheme="majorBidi" w:hAnsiTheme="majorBidi" w:cstheme="majorBidi"/>
                <w:color w:val="000000" w:themeColor="text1"/>
                <w:sz w:val="20"/>
              </w:rPr>
              <w:t>0</w:t>
            </w:r>
            <w:r>
              <w:rPr>
                <w:rFonts w:asciiTheme="majorBidi" w:hAnsiTheme="majorBidi" w:cstheme="majorBidi"/>
                <w:color w:val="000000" w:themeColor="text1"/>
                <w:sz w:val="20"/>
              </w:rPr>
              <w:t>00</w:t>
            </w:r>
          </w:p>
        </w:tc>
        <w:tc>
          <w:tcPr>
            <w:tcW w:w="1102" w:type="dxa"/>
            <w:tcBorders>
              <w:top w:val="nil"/>
              <w:left w:val="nil"/>
              <w:bottom w:val="nil"/>
              <w:right w:val="nil"/>
            </w:tcBorders>
            <w:shd w:val="clear" w:color="auto" w:fill="EEECE1" w:themeFill="background2"/>
          </w:tcPr>
          <w:p w14:paraId="2F83D183"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Non-significant</w:t>
            </w:r>
          </w:p>
        </w:tc>
      </w:tr>
      <w:tr w:rsidR="007C0420" w:rsidRPr="003A048D" w14:paraId="10FF0F28" w14:textId="77777777" w:rsidTr="00DC1DF9">
        <w:trPr>
          <w:trHeight w:val="447"/>
        </w:trPr>
        <w:tc>
          <w:tcPr>
            <w:tcW w:w="2790" w:type="dxa"/>
            <w:tcBorders>
              <w:top w:val="nil"/>
              <w:left w:val="nil"/>
              <w:bottom w:val="nil"/>
              <w:right w:val="nil"/>
            </w:tcBorders>
            <w:shd w:val="clear" w:color="auto" w:fill="auto"/>
            <w:noWrap/>
            <w:hideMark/>
          </w:tcPr>
          <w:p w14:paraId="543D950F" w14:textId="36A297CD" w:rsidR="007C0420" w:rsidRPr="00997FF7" w:rsidRDefault="007C0420" w:rsidP="00F82928">
            <w:pPr>
              <w:jc w:val="lowKashida"/>
              <w:rPr>
                <w:rFonts w:asciiTheme="majorBidi" w:hAnsiTheme="majorBidi" w:cstheme="majorBidi"/>
                <w:b/>
                <w:bCs/>
                <w:sz w:val="20"/>
              </w:rPr>
            </w:pPr>
            <w:r w:rsidRPr="00997FF7">
              <w:rPr>
                <w:rFonts w:asciiTheme="majorBidi" w:hAnsiTheme="majorBidi" w:cstheme="majorBidi"/>
                <w:b/>
                <w:bCs/>
                <w:sz w:val="20"/>
              </w:rPr>
              <w:t xml:space="preserve">Extrinsic Motivation </w:t>
            </w:r>
            <w:r w:rsidR="00F82928">
              <w:rPr>
                <w:rFonts w:asciiTheme="majorBidi" w:hAnsiTheme="majorBidi" w:cstheme="majorBidi"/>
                <w:b/>
                <w:bCs/>
                <w:sz w:val="20"/>
              </w:rPr>
              <w:t>→</w:t>
            </w:r>
            <w:r w:rsidRPr="00997FF7">
              <w:rPr>
                <w:rFonts w:asciiTheme="majorBidi" w:hAnsiTheme="majorBidi" w:cstheme="majorBidi"/>
                <w:b/>
                <w:bCs/>
                <w:sz w:val="20"/>
              </w:rPr>
              <w:t xml:space="preserve"> Organizational Learning</w:t>
            </w:r>
          </w:p>
        </w:tc>
        <w:tc>
          <w:tcPr>
            <w:tcW w:w="900" w:type="dxa"/>
            <w:tcBorders>
              <w:top w:val="nil"/>
              <w:left w:val="nil"/>
              <w:bottom w:val="nil"/>
              <w:right w:val="nil"/>
            </w:tcBorders>
            <w:shd w:val="clear" w:color="auto" w:fill="auto"/>
            <w:noWrap/>
            <w:hideMark/>
          </w:tcPr>
          <w:p w14:paraId="598C3DE2"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0.126</w:t>
            </w:r>
          </w:p>
        </w:tc>
        <w:tc>
          <w:tcPr>
            <w:tcW w:w="810" w:type="dxa"/>
            <w:tcBorders>
              <w:top w:val="nil"/>
              <w:left w:val="nil"/>
              <w:bottom w:val="nil"/>
              <w:right w:val="nil"/>
            </w:tcBorders>
            <w:shd w:val="clear" w:color="auto" w:fill="auto"/>
            <w:noWrap/>
            <w:hideMark/>
          </w:tcPr>
          <w:p w14:paraId="742EF458"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0.031</w:t>
            </w:r>
          </w:p>
        </w:tc>
        <w:tc>
          <w:tcPr>
            <w:tcW w:w="1080" w:type="dxa"/>
            <w:tcBorders>
              <w:top w:val="nil"/>
              <w:left w:val="nil"/>
              <w:bottom w:val="nil"/>
              <w:right w:val="nil"/>
            </w:tcBorders>
            <w:shd w:val="clear" w:color="auto" w:fill="auto"/>
            <w:noWrap/>
            <w:hideMark/>
          </w:tcPr>
          <w:p w14:paraId="4860CDBA"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4.072</w:t>
            </w:r>
          </w:p>
        </w:tc>
        <w:tc>
          <w:tcPr>
            <w:tcW w:w="900" w:type="dxa"/>
            <w:tcBorders>
              <w:top w:val="nil"/>
              <w:left w:val="nil"/>
              <w:bottom w:val="nil"/>
              <w:right w:val="nil"/>
            </w:tcBorders>
            <w:shd w:val="clear" w:color="auto" w:fill="auto"/>
            <w:noWrap/>
            <w:hideMark/>
          </w:tcPr>
          <w:p w14:paraId="44C138DA" w14:textId="77777777" w:rsidR="007C0420" w:rsidRPr="00997FF7" w:rsidRDefault="007C0420" w:rsidP="00DC1DF9">
            <w:pPr>
              <w:jc w:val="center"/>
              <w:rPr>
                <w:rFonts w:asciiTheme="majorBidi" w:hAnsiTheme="majorBidi" w:cstheme="majorBidi"/>
                <w:sz w:val="20"/>
              </w:rPr>
            </w:pPr>
            <w:r>
              <w:rPr>
                <w:rFonts w:asciiTheme="majorBidi" w:hAnsiTheme="majorBidi" w:cstheme="majorBidi"/>
                <w:sz w:val="20"/>
              </w:rPr>
              <w:t>.</w:t>
            </w:r>
            <w:r w:rsidRPr="00997FF7">
              <w:rPr>
                <w:rFonts w:asciiTheme="majorBidi" w:hAnsiTheme="majorBidi" w:cstheme="majorBidi"/>
                <w:sz w:val="20"/>
              </w:rPr>
              <w:t>0</w:t>
            </w:r>
            <w:r>
              <w:rPr>
                <w:rFonts w:asciiTheme="majorBidi" w:hAnsiTheme="majorBidi" w:cstheme="majorBidi"/>
                <w:sz w:val="20"/>
              </w:rPr>
              <w:t>00</w:t>
            </w:r>
          </w:p>
        </w:tc>
        <w:tc>
          <w:tcPr>
            <w:tcW w:w="990" w:type="dxa"/>
            <w:tcBorders>
              <w:top w:val="nil"/>
              <w:left w:val="nil"/>
              <w:bottom w:val="nil"/>
              <w:right w:val="nil"/>
            </w:tcBorders>
          </w:tcPr>
          <w:p w14:paraId="43AEECB2" w14:textId="77777777" w:rsidR="007C0420" w:rsidRPr="00997FF7" w:rsidRDefault="007C0420" w:rsidP="00DC1DF9">
            <w:pPr>
              <w:jc w:val="center"/>
              <w:rPr>
                <w:rFonts w:asciiTheme="majorBidi" w:hAnsiTheme="majorBidi" w:cstheme="majorBidi"/>
                <w:sz w:val="20"/>
              </w:rPr>
            </w:pPr>
          </w:p>
        </w:tc>
        <w:tc>
          <w:tcPr>
            <w:tcW w:w="810" w:type="dxa"/>
            <w:tcBorders>
              <w:top w:val="nil"/>
              <w:left w:val="nil"/>
              <w:bottom w:val="nil"/>
              <w:right w:val="nil"/>
            </w:tcBorders>
            <w:shd w:val="clear" w:color="auto" w:fill="auto"/>
          </w:tcPr>
          <w:p w14:paraId="28BB38EA" w14:textId="77777777" w:rsidR="007C0420" w:rsidRPr="00997FF7" w:rsidRDefault="007C0420" w:rsidP="00DC1DF9">
            <w:pPr>
              <w:jc w:val="center"/>
              <w:rPr>
                <w:rFonts w:asciiTheme="majorBidi" w:hAnsiTheme="majorBidi" w:cstheme="majorBidi"/>
                <w:color w:val="000000" w:themeColor="text1"/>
                <w:sz w:val="20"/>
              </w:rPr>
            </w:pPr>
            <w:r w:rsidRPr="00997FF7">
              <w:rPr>
                <w:rFonts w:asciiTheme="majorBidi" w:hAnsiTheme="majorBidi" w:cstheme="majorBidi"/>
                <w:color w:val="000000" w:themeColor="text1"/>
                <w:sz w:val="20"/>
              </w:rPr>
              <w:t>0.035</w:t>
            </w:r>
          </w:p>
        </w:tc>
        <w:tc>
          <w:tcPr>
            <w:tcW w:w="1102" w:type="dxa"/>
            <w:tcBorders>
              <w:top w:val="nil"/>
              <w:left w:val="nil"/>
              <w:bottom w:val="nil"/>
              <w:right w:val="nil"/>
            </w:tcBorders>
          </w:tcPr>
          <w:p w14:paraId="31833117" w14:textId="77777777" w:rsidR="007C0420" w:rsidRPr="00997FF7" w:rsidRDefault="007C0420" w:rsidP="00DC1DF9">
            <w:pPr>
              <w:jc w:val="center"/>
              <w:rPr>
                <w:rFonts w:asciiTheme="majorBidi" w:hAnsiTheme="majorBidi" w:cstheme="majorBidi"/>
                <w:color w:val="FF0000"/>
                <w:sz w:val="20"/>
              </w:rPr>
            </w:pPr>
            <w:r w:rsidRPr="00997FF7">
              <w:rPr>
                <w:rFonts w:asciiTheme="majorBidi" w:hAnsiTheme="majorBidi" w:cstheme="majorBidi"/>
                <w:color w:val="FF0000"/>
                <w:sz w:val="20"/>
              </w:rPr>
              <w:t>Significant</w:t>
            </w:r>
          </w:p>
        </w:tc>
      </w:tr>
      <w:tr w:rsidR="007C0420" w:rsidRPr="003A048D" w14:paraId="493C4A62" w14:textId="77777777" w:rsidTr="00DC1DF9">
        <w:trPr>
          <w:trHeight w:val="563"/>
        </w:trPr>
        <w:tc>
          <w:tcPr>
            <w:tcW w:w="2790" w:type="dxa"/>
            <w:tcBorders>
              <w:top w:val="nil"/>
              <w:left w:val="nil"/>
              <w:bottom w:val="nil"/>
              <w:right w:val="nil"/>
            </w:tcBorders>
            <w:shd w:val="clear" w:color="auto" w:fill="EEECE1" w:themeFill="background2"/>
            <w:noWrap/>
            <w:hideMark/>
          </w:tcPr>
          <w:p w14:paraId="23F5362B" w14:textId="16A6587C" w:rsidR="007C0420" w:rsidRPr="00997FF7" w:rsidRDefault="007C0420" w:rsidP="00F82928">
            <w:pPr>
              <w:jc w:val="lowKashida"/>
              <w:rPr>
                <w:rFonts w:asciiTheme="majorBidi" w:hAnsiTheme="majorBidi" w:cstheme="majorBidi"/>
                <w:b/>
                <w:bCs/>
                <w:sz w:val="20"/>
              </w:rPr>
            </w:pPr>
            <w:r w:rsidRPr="00997FF7">
              <w:rPr>
                <w:rFonts w:asciiTheme="majorBidi" w:hAnsiTheme="majorBidi" w:cstheme="majorBidi"/>
                <w:b/>
                <w:bCs/>
                <w:sz w:val="20"/>
              </w:rPr>
              <w:t xml:space="preserve">Intrinsic Motivation </w:t>
            </w:r>
            <w:r w:rsidR="00F82928">
              <w:rPr>
                <w:rFonts w:asciiTheme="majorBidi" w:hAnsiTheme="majorBidi" w:cstheme="majorBidi"/>
                <w:b/>
                <w:bCs/>
                <w:sz w:val="20"/>
              </w:rPr>
              <w:t xml:space="preserve">→ </w:t>
            </w:r>
            <w:r w:rsidRPr="00997FF7">
              <w:rPr>
                <w:rFonts w:asciiTheme="majorBidi" w:hAnsiTheme="majorBidi" w:cstheme="majorBidi"/>
                <w:b/>
                <w:bCs/>
                <w:sz w:val="20"/>
              </w:rPr>
              <w:t>Knowledge Management Benefits</w:t>
            </w:r>
          </w:p>
        </w:tc>
        <w:tc>
          <w:tcPr>
            <w:tcW w:w="900" w:type="dxa"/>
            <w:tcBorders>
              <w:top w:val="nil"/>
              <w:left w:val="nil"/>
              <w:bottom w:val="nil"/>
              <w:right w:val="nil"/>
            </w:tcBorders>
            <w:shd w:val="clear" w:color="auto" w:fill="EEECE1" w:themeFill="background2"/>
            <w:noWrap/>
            <w:hideMark/>
          </w:tcPr>
          <w:p w14:paraId="112BD1C9"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0.119</w:t>
            </w:r>
          </w:p>
        </w:tc>
        <w:tc>
          <w:tcPr>
            <w:tcW w:w="810" w:type="dxa"/>
            <w:tcBorders>
              <w:top w:val="nil"/>
              <w:left w:val="nil"/>
              <w:bottom w:val="nil"/>
              <w:right w:val="nil"/>
            </w:tcBorders>
            <w:shd w:val="clear" w:color="auto" w:fill="EEECE1" w:themeFill="background2"/>
            <w:noWrap/>
            <w:hideMark/>
          </w:tcPr>
          <w:p w14:paraId="591BCE68"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0.054</w:t>
            </w:r>
          </w:p>
        </w:tc>
        <w:tc>
          <w:tcPr>
            <w:tcW w:w="1080" w:type="dxa"/>
            <w:tcBorders>
              <w:top w:val="nil"/>
              <w:left w:val="nil"/>
              <w:bottom w:val="nil"/>
              <w:right w:val="nil"/>
            </w:tcBorders>
            <w:shd w:val="clear" w:color="auto" w:fill="EEECE1" w:themeFill="background2"/>
            <w:noWrap/>
            <w:hideMark/>
          </w:tcPr>
          <w:p w14:paraId="1ACA4313"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2.215</w:t>
            </w:r>
          </w:p>
        </w:tc>
        <w:tc>
          <w:tcPr>
            <w:tcW w:w="900" w:type="dxa"/>
            <w:tcBorders>
              <w:top w:val="nil"/>
              <w:left w:val="nil"/>
              <w:bottom w:val="nil"/>
              <w:right w:val="nil"/>
            </w:tcBorders>
            <w:shd w:val="clear" w:color="auto" w:fill="EEECE1" w:themeFill="background2"/>
            <w:noWrap/>
            <w:hideMark/>
          </w:tcPr>
          <w:p w14:paraId="5C7BFAD4"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.027</w:t>
            </w:r>
          </w:p>
        </w:tc>
        <w:tc>
          <w:tcPr>
            <w:tcW w:w="990" w:type="dxa"/>
            <w:tcBorders>
              <w:top w:val="nil"/>
              <w:left w:val="nil"/>
              <w:bottom w:val="nil"/>
              <w:right w:val="nil"/>
            </w:tcBorders>
            <w:shd w:val="clear" w:color="auto" w:fill="EEECE1" w:themeFill="background2"/>
          </w:tcPr>
          <w:p w14:paraId="1B52896F" w14:textId="77777777" w:rsidR="007C0420" w:rsidRPr="00997FF7" w:rsidRDefault="007C0420" w:rsidP="00DC1DF9">
            <w:pPr>
              <w:jc w:val="center"/>
              <w:rPr>
                <w:rFonts w:asciiTheme="majorBidi" w:hAnsiTheme="majorBidi" w:cstheme="majorBidi"/>
                <w:sz w:val="20"/>
              </w:rPr>
            </w:pPr>
          </w:p>
        </w:tc>
        <w:tc>
          <w:tcPr>
            <w:tcW w:w="810" w:type="dxa"/>
            <w:tcBorders>
              <w:top w:val="nil"/>
              <w:left w:val="nil"/>
              <w:bottom w:val="nil"/>
              <w:right w:val="nil"/>
            </w:tcBorders>
            <w:shd w:val="clear" w:color="auto" w:fill="EEECE1" w:themeFill="background2"/>
          </w:tcPr>
          <w:p w14:paraId="486F28D0" w14:textId="77777777" w:rsidR="007C0420" w:rsidRPr="00997FF7" w:rsidRDefault="007C0420" w:rsidP="00DC1DF9">
            <w:pPr>
              <w:jc w:val="center"/>
              <w:rPr>
                <w:rFonts w:asciiTheme="majorBidi" w:hAnsiTheme="majorBidi" w:cstheme="majorBidi"/>
                <w:color w:val="000000" w:themeColor="text1"/>
                <w:sz w:val="20"/>
              </w:rPr>
            </w:pPr>
            <w:r w:rsidRPr="00997FF7">
              <w:rPr>
                <w:rFonts w:asciiTheme="majorBidi" w:hAnsiTheme="majorBidi" w:cstheme="majorBidi"/>
                <w:color w:val="000000" w:themeColor="text1"/>
                <w:sz w:val="20"/>
              </w:rPr>
              <w:t>0.013</w:t>
            </w:r>
          </w:p>
        </w:tc>
        <w:tc>
          <w:tcPr>
            <w:tcW w:w="1102" w:type="dxa"/>
            <w:tcBorders>
              <w:top w:val="nil"/>
              <w:left w:val="nil"/>
              <w:bottom w:val="nil"/>
              <w:right w:val="nil"/>
            </w:tcBorders>
            <w:shd w:val="clear" w:color="auto" w:fill="EEECE1" w:themeFill="background2"/>
          </w:tcPr>
          <w:p w14:paraId="6B7D83F5" w14:textId="77777777" w:rsidR="007C0420" w:rsidRPr="00997FF7" w:rsidRDefault="007C0420" w:rsidP="00DC1DF9">
            <w:pPr>
              <w:jc w:val="center"/>
              <w:rPr>
                <w:rFonts w:asciiTheme="majorBidi" w:hAnsiTheme="majorBidi" w:cstheme="majorBidi"/>
                <w:color w:val="FF0000"/>
                <w:sz w:val="20"/>
              </w:rPr>
            </w:pPr>
            <w:r w:rsidRPr="00997FF7">
              <w:rPr>
                <w:rFonts w:asciiTheme="majorBidi" w:hAnsiTheme="majorBidi" w:cstheme="majorBidi"/>
                <w:color w:val="FF0000"/>
                <w:sz w:val="20"/>
              </w:rPr>
              <w:t>Significant</w:t>
            </w:r>
          </w:p>
        </w:tc>
      </w:tr>
      <w:tr w:rsidR="007C0420" w:rsidRPr="003A048D" w14:paraId="6B3D404E" w14:textId="77777777" w:rsidTr="00DC1DF9">
        <w:trPr>
          <w:trHeight w:val="563"/>
        </w:trPr>
        <w:tc>
          <w:tcPr>
            <w:tcW w:w="2790" w:type="dxa"/>
            <w:tcBorders>
              <w:top w:val="nil"/>
              <w:left w:val="nil"/>
              <w:bottom w:val="nil"/>
              <w:right w:val="nil"/>
            </w:tcBorders>
            <w:shd w:val="clear" w:color="auto" w:fill="auto"/>
            <w:noWrap/>
            <w:hideMark/>
          </w:tcPr>
          <w:p w14:paraId="28FE7F86" w14:textId="5B6D7315" w:rsidR="007C0420" w:rsidRPr="00997FF7" w:rsidRDefault="007C0420" w:rsidP="00F82928">
            <w:pPr>
              <w:jc w:val="lowKashida"/>
              <w:rPr>
                <w:rFonts w:asciiTheme="majorBidi" w:hAnsiTheme="majorBidi" w:cstheme="majorBidi"/>
                <w:b/>
                <w:bCs/>
                <w:sz w:val="20"/>
              </w:rPr>
            </w:pPr>
            <w:r w:rsidRPr="00997FF7">
              <w:rPr>
                <w:rFonts w:asciiTheme="majorBidi" w:hAnsiTheme="majorBidi" w:cstheme="majorBidi"/>
                <w:b/>
                <w:bCs/>
                <w:sz w:val="20"/>
              </w:rPr>
              <w:t>Intrinsic Motivation</w:t>
            </w:r>
            <w:r w:rsidR="00F82928">
              <w:rPr>
                <w:rFonts w:asciiTheme="majorBidi" w:hAnsiTheme="majorBidi" w:cstheme="majorBidi"/>
                <w:b/>
                <w:bCs/>
                <w:sz w:val="20"/>
              </w:rPr>
              <w:t xml:space="preserve"> →</w:t>
            </w:r>
            <w:r w:rsidRPr="00997FF7">
              <w:rPr>
                <w:rFonts w:asciiTheme="majorBidi" w:hAnsiTheme="majorBidi" w:cstheme="majorBidi"/>
                <w:b/>
                <w:bCs/>
                <w:sz w:val="20"/>
              </w:rPr>
              <w:t xml:space="preserve"> Organizational Learning</w:t>
            </w:r>
          </w:p>
        </w:tc>
        <w:tc>
          <w:tcPr>
            <w:tcW w:w="900" w:type="dxa"/>
            <w:tcBorders>
              <w:top w:val="nil"/>
              <w:left w:val="nil"/>
              <w:bottom w:val="nil"/>
              <w:right w:val="nil"/>
            </w:tcBorders>
            <w:shd w:val="clear" w:color="auto" w:fill="auto"/>
            <w:noWrap/>
            <w:hideMark/>
          </w:tcPr>
          <w:p w14:paraId="466EFD10"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0.34</w:t>
            </w:r>
          </w:p>
        </w:tc>
        <w:tc>
          <w:tcPr>
            <w:tcW w:w="810" w:type="dxa"/>
            <w:tcBorders>
              <w:top w:val="nil"/>
              <w:left w:val="nil"/>
              <w:bottom w:val="nil"/>
              <w:right w:val="nil"/>
            </w:tcBorders>
            <w:shd w:val="clear" w:color="auto" w:fill="auto"/>
            <w:noWrap/>
            <w:hideMark/>
          </w:tcPr>
          <w:p w14:paraId="2AEF304C"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0.038</w:t>
            </w:r>
          </w:p>
        </w:tc>
        <w:tc>
          <w:tcPr>
            <w:tcW w:w="1080" w:type="dxa"/>
            <w:tcBorders>
              <w:top w:val="nil"/>
              <w:left w:val="nil"/>
              <w:bottom w:val="nil"/>
              <w:right w:val="nil"/>
            </w:tcBorders>
            <w:shd w:val="clear" w:color="auto" w:fill="auto"/>
            <w:noWrap/>
            <w:hideMark/>
          </w:tcPr>
          <w:p w14:paraId="351C9326"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8.947</w:t>
            </w:r>
          </w:p>
        </w:tc>
        <w:tc>
          <w:tcPr>
            <w:tcW w:w="900" w:type="dxa"/>
            <w:tcBorders>
              <w:top w:val="nil"/>
              <w:left w:val="nil"/>
              <w:bottom w:val="nil"/>
              <w:right w:val="nil"/>
            </w:tcBorders>
            <w:shd w:val="clear" w:color="auto" w:fill="auto"/>
            <w:noWrap/>
            <w:hideMark/>
          </w:tcPr>
          <w:p w14:paraId="2445F3D8" w14:textId="77777777" w:rsidR="007C0420" w:rsidRPr="00997FF7" w:rsidRDefault="007C0420" w:rsidP="00DC1DF9">
            <w:pPr>
              <w:jc w:val="center"/>
              <w:rPr>
                <w:rFonts w:asciiTheme="majorBidi" w:hAnsiTheme="majorBidi" w:cstheme="majorBidi"/>
                <w:sz w:val="20"/>
              </w:rPr>
            </w:pPr>
            <w:r>
              <w:rPr>
                <w:rFonts w:asciiTheme="majorBidi" w:hAnsiTheme="majorBidi" w:cstheme="majorBidi"/>
                <w:sz w:val="20"/>
              </w:rPr>
              <w:t>.</w:t>
            </w:r>
            <w:r w:rsidRPr="00997FF7">
              <w:rPr>
                <w:rFonts w:asciiTheme="majorBidi" w:hAnsiTheme="majorBidi" w:cstheme="majorBidi"/>
                <w:sz w:val="20"/>
              </w:rPr>
              <w:t>0</w:t>
            </w:r>
            <w:r>
              <w:rPr>
                <w:rFonts w:asciiTheme="majorBidi" w:hAnsiTheme="majorBidi" w:cstheme="majorBidi"/>
                <w:sz w:val="20"/>
              </w:rPr>
              <w:t>00</w:t>
            </w:r>
          </w:p>
        </w:tc>
        <w:tc>
          <w:tcPr>
            <w:tcW w:w="990" w:type="dxa"/>
            <w:tcBorders>
              <w:top w:val="nil"/>
              <w:left w:val="nil"/>
              <w:bottom w:val="nil"/>
              <w:right w:val="nil"/>
            </w:tcBorders>
          </w:tcPr>
          <w:p w14:paraId="2AA8738C" w14:textId="77777777" w:rsidR="007C0420" w:rsidRPr="00997FF7" w:rsidRDefault="007C0420" w:rsidP="00DC1DF9">
            <w:pPr>
              <w:jc w:val="center"/>
              <w:rPr>
                <w:rFonts w:asciiTheme="majorBidi" w:hAnsiTheme="majorBidi" w:cstheme="majorBidi"/>
                <w:sz w:val="20"/>
              </w:rPr>
            </w:pPr>
          </w:p>
        </w:tc>
        <w:tc>
          <w:tcPr>
            <w:tcW w:w="810" w:type="dxa"/>
            <w:tcBorders>
              <w:top w:val="nil"/>
              <w:left w:val="nil"/>
              <w:bottom w:val="nil"/>
              <w:right w:val="nil"/>
            </w:tcBorders>
            <w:shd w:val="clear" w:color="auto" w:fill="auto"/>
          </w:tcPr>
          <w:p w14:paraId="1B657FAE" w14:textId="77777777" w:rsidR="007C0420" w:rsidRPr="00997FF7" w:rsidRDefault="007C0420" w:rsidP="00DC1DF9">
            <w:pPr>
              <w:jc w:val="center"/>
              <w:rPr>
                <w:rFonts w:asciiTheme="majorBidi" w:hAnsiTheme="majorBidi" w:cstheme="majorBidi"/>
                <w:color w:val="000000" w:themeColor="text1"/>
                <w:sz w:val="20"/>
              </w:rPr>
            </w:pPr>
            <w:r w:rsidRPr="00997FF7">
              <w:rPr>
                <w:rFonts w:asciiTheme="majorBidi" w:hAnsiTheme="majorBidi" w:cstheme="majorBidi"/>
                <w:color w:val="000000" w:themeColor="text1"/>
                <w:sz w:val="20"/>
              </w:rPr>
              <w:t>0.22</w:t>
            </w:r>
            <w:r>
              <w:rPr>
                <w:rFonts w:asciiTheme="majorBidi" w:hAnsiTheme="majorBidi" w:cstheme="majorBidi"/>
                <w:color w:val="000000" w:themeColor="text1"/>
                <w:sz w:val="20"/>
              </w:rPr>
              <w:t>0</w:t>
            </w:r>
          </w:p>
        </w:tc>
        <w:tc>
          <w:tcPr>
            <w:tcW w:w="1102" w:type="dxa"/>
            <w:tcBorders>
              <w:top w:val="nil"/>
              <w:left w:val="nil"/>
              <w:bottom w:val="nil"/>
              <w:right w:val="nil"/>
            </w:tcBorders>
          </w:tcPr>
          <w:p w14:paraId="1FDFE412" w14:textId="77777777" w:rsidR="007C0420" w:rsidRPr="00997FF7" w:rsidRDefault="007C0420" w:rsidP="00DC1DF9">
            <w:pPr>
              <w:jc w:val="center"/>
              <w:rPr>
                <w:rFonts w:asciiTheme="majorBidi" w:hAnsiTheme="majorBidi" w:cstheme="majorBidi"/>
                <w:color w:val="FF0000"/>
                <w:sz w:val="20"/>
              </w:rPr>
            </w:pPr>
            <w:r w:rsidRPr="00997FF7">
              <w:rPr>
                <w:rFonts w:asciiTheme="majorBidi" w:hAnsiTheme="majorBidi" w:cstheme="majorBidi"/>
                <w:color w:val="FF0000"/>
                <w:sz w:val="20"/>
              </w:rPr>
              <w:t>Significant</w:t>
            </w:r>
          </w:p>
        </w:tc>
      </w:tr>
      <w:tr w:rsidR="007C0420" w:rsidRPr="003A048D" w14:paraId="24E07A69" w14:textId="77777777" w:rsidTr="00DC1DF9">
        <w:trPr>
          <w:trHeight w:val="563"/>
        </w:trPr>
        <w:tc>
          <w:tcPr>
            <w:tcW w:w="2790" w:type="dxa"/>
            <w:tcBorders>
              <w:top w:val="nil"/>
              <w:left w:val="nil"/>
              <w:bottom w:val="nil"/>
              <w:right w:val="nil"/>
            </w:tcBorders>
            <w:shd w:val="clear" w:color="auto" w:fill="EEECE1" w:themeFill="background2"/>
            <w:noWrap/>
            <w:hideMark/>
          </w:tcPr>
          <w:p w14:paraId="27D8F243" w14:textId="10E4C5CC" w:rsidR="007C0420" w:rsidRPr="00997FF7" w:rsidRDefault="007C0420" w:rsidP="00F82928">
            <w:pPr>
              <w:jc w:val="lowKashida"/>
              <w:rPr>
                <w:rFonts w:asciiTheme="majorBidi" w:hAnsiTheme="majorBidi" w:cstheme="majorBidi"/>
                <w:b/>
                <w:bCs/>
                <w:sz w:val="20"/>
              </w:rPr>
            </w:pPr>
            <w:r w:rsidRPr="00997FF7">
              <w:rPr>
                <w:rFonts w:asciiTheme="majorBidi" w:hAnsiTheme="majorBidi" w:cstheme="majorBidi"/>
                <w:b/>
                <w:bCs/>
                <w:sz w:val="20"/>
              </w:rPr>
              <w:t xml:space="preserve">Opportunities </w:t>
            </w:r>
            <w:r w:rsidR="00F82928">
              <w:rPr>
                <w:rFonts w:asciiTheme="majorBidi" w:hAnsiTheme="majorBidi" w:cstheme="majorBidi"/>
                <w:b/>
                <w:bCs/>
                <w:sz w:val="20"/>
              </w:rPr>
              <w:t>→</w:t>
            </w:r>
            <w:r w:rsidRPr="00997FF7">
              <w:rPr>
                <w:rFonts w:asciiTheme="majorBidi" w:hAnsiTheme="majorBidi" w:cstheme="majorBidi"/>
                <w:b/>
                <w:bCs/>
                <w:sz w:val="20"/>
              </w:rPr>
              <w:t xml:space="preserve"> Knowledge Management Benefits</w:t>
            </w:r>
          </w:p>
        </w:tc>
        <w:tc>
          <w:tcPr>
            <w:tcW w:w="900" w:type="dxa"/>
            <w:tcBorders>
              <w:top w:val="nil"/>
              <w:left w:val="nil"/>
              <w:bottom w:val="nil"/>
              <w:right w:val="nil"/>
            </w:tcBorders>
            <w:shd w:val="clear" w:color="auto" w:fill="EEECE1" w:themeFill="background2"/>
            <w:noWrap/>
            <w:hideMark/>
          </w:tcPr>
          <w:p w14:paraId="48D2CCFB"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-0.033</w:t>
            </w:r>
          </w:p>
        </w:tc>
        <w:tc>
          <w:tcPr>
            <w:tcW w:w="810" w:type="dxa"/>
            <w:tcBorders>
              <w:top w:val="nil"/>
              <w:left w:val="nil"/>
              <w:bottom w:val="nil"/>
              <w:right w:val="nil"/>
            </w:tcBorders>
            <w:shd w:val="clear" w:color="auto" w:fill="EEECE1" w:themeFill="background2"/>
            <w:noWrap/>
            <w:hideMark/>
          </w:tcPr>
          <w:p w14:paraId="5A0E8E73"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0.03</w:t>
            </w:r>
          </w:p>
        </w:tc>
        <w:tc>
          <w:tcPr>
            <w:tcW w:w="1080" w:type="dxa"/>
            <w:tcBorders>
              <w:top w:val="nil"/>
              <w:left w:val="nil"/>
              <w:bottom w:val="nil"/>
              <w:right w:val="nil"/>
            </w:tcBorders>
            <w:shd w:val="clear" w:color="auto" w:fill="EEECE1" w:themeFill="background2"/>
            <w:noWrap/>
            <w:hideMark/>
          </w:tcPr>
          <w:p w14:paraId="7B7BC6BD"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1.12</w:t>
            </w:r>
            <w:r>
              <w:rPr>
                <w:rFonts w:asciiTheme="majorBidi" w:hAnsiTheme="majorBidi" w:cstheme="majorBidi"/>
                <w:sz w:val="20"/>
              </w:rPr>
              <w:t>0</w:t>
            </w:r>
          </w:p>
        </w:tc>
        <w:tc>
          <w:tcPr>
            <w:tcW w:w="900" w:type="dxa"/>
            <w:tcBorders>
              <w:top w:val="nil"/>
              <w:left w:val="nil"/>
              <w:bottom w:val="nil"/>
              <w:right w:val="nil"/>
            </w:tcBorders>
            <w:shd w:val="clear" w:color="auto" w:fill="EEECE1" w:themeFill="background2"/>
            <w:noWrap/>
            <w:hideMark/>
          </w:tcPr>
          <w:p w14:paraId="56842F41"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.263</w:t>
            </w:r>
          </w:p>
        </w:tc>
        <w:tc>
          <w:tcPr>
            <w:tcW w:w="990" w:type="dxa"/>
            <w:tcBorders>
              <w:top w:val="nil"/>
              <w:left w:val="nil"/>
              <w:bottom w:val="nil"/>
              <w:right w:val="nil"/>
            </w:tcBorders>
            <w:shd w:val="clear" w:color="auto" w:fill="EEECE1" w:themeFill="background2"/>
          </w:tcPr>
          <w:p w14:paraId="2815AE5A" w14:textId="77777777" w:rsidR="007C0420" w:rsidRPr="00997FF7" w:rsidRDefault="007C0420" w:rsidP="00DC1DF9">
            <w:pPr>
              <w:jc w:val="center"/>
              <w:rPr>
                <w:rFonts w:asciiTheme="majorBidi" w:hAnsiTheme="majorBidi" w:cstheme="majorBidi"/>
                <w:sz w:val="20"/>
              </w:rPr>
            </w:pPr>
          </w:p>
        </w:tc>
        <w:tc>
          <w:tcPr>
            <w:tcW w:w="810" w:type="dxa"/>
            <w:tcBorders>
              <w:top w:val="nil"/>
              <w:left w:val="nil"/>
              <w:bottom w:val="nil"/>
              <w:right w:val="nil"/>
            </w:tcBorders>
            <w:shd w:val="clear" w:color="auto" w:fill="EEECE1" w:themeFill="background2"/>
          </w:tcPr>
          <w:p w14:paraId="62CE6F16" w14:textId="77777777" w:rsidR="007C0420" w:rsidRPr="00997FF7" w:rsidRDefault="007C0420" w:rsidP="00DC1DF9">
            <w:pPr>
              <w:jc w:val="center"/>
              <w:rPr>
                <w:rFonts w:asciiTheme="majorBidi" w:hAnsiTheme="majorBidi" w:cstheme="majorBidi"/>
                <w:color w:val="000000" w:themeColor="text1"/>
                <w:sz w:val="20"/>
              </w:rPr>
            </w:pPr>
            <w:r w:rsidRPr="00997FF7">
              <w:rPr>
                <w:rFonts w:asciiTheme="majorBidi" w:hAnsiTheme="majorBidi" w:cstheme="majorBidi"/>
                <w:color w:val="000000" w:themeColor="text1"/>
                <w:sz w:val="20"/>
              </w:rPr>
              <w:t>0.002</w:t>
            </w:r>
          </w:p>
        </w:tc>
        <w:tc>
          <w:tcPr>
            <w:tcW w:w="1102" w:type="dxa"/>
            <w:tcBorders>
              <w:top w:val="nil"/>
              <w:left w:val="nil"/>
              <w:bottom w:val="nil"/>
              <w:right w:val="nil"/>
            </w:tcBorders>
            <w:shd w:val="clear" w:color="auto" w:fill="EEECE1" w:themeFill="background2"/>
          </w:tcPr>
          <w:p w14:paraId="24888845"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Non-significant</w:t>
            </w:r>
          </w:p>
        </w:tc>
      </w:tr>
      <w:tr w:rsidR="007C0420" w:rsidRPr="003A048D" w14:paraId="7018A876" w14:textId="77777777" w:rsidTr="00DC1DF9">
        <w:trPr>
          <w:trHeight w:val="563"/>
        </w:trPr>
        <w:tc>
          <w:tcPr>
            <w:tcW w:w="2790" w:type="dxa"/>
            <w:tcBorders>
              <w:top w:val="nil"/>
              <w:left w:val="nil"/>
              <w:bottom w:val="nil"/>
              <w:right w:val="nil"/>
            </w:tcBorders>
            <w:shd w:val="clear" w:color="auto" w:fill="auto"/>
            <w:noWrap/>
            <w:hideMark/>
          </w:tcPr>
          <w:p w14:paraId="52C4E297" w14:textId="3384DC6E" w:rsidR="007C0420" w:rsidRPr="00997FF7" w:rsidRDefault="007C0420" w:rsidP="00F82928">
            <w:pPr>
              <w:jc w:val="lowKashida"/>
              <w:rPr>
                <w:rFonts w:asciiTheme="majorBidi" w:hAnsiTheme="majorBidi" w:cstheme="majorBidi"/>
                <w:b/>
                <w:bCs/>
                <w:sz w:val="20"/>
              </w:rPr>
            </w:pPr>
            <w:r w:rsidRPr="00997FF7">
              <w:rPr>
                <w:rFonts w:asciiTheme="majorBidi" w:hAnsiTheme="majorBidi" w:cstheme="majorBidi"/>
                <w:b/>
                <w:bCs/>
                <w:sz w:val="20"/>
              </w:rPr>
              <w:t xml:space="preserve">Opportunities </w:t>
            </w:r>
            <w:r w:rsidR="00F82928">
              <w:rPr>
                <w:rFonts w:asciiTheme="majorBidi" w:hAnsiTheme="majorBidi" w:cstheme="majorBidi"/>
                <w:b/>
                <w:bCs/>
                <w:sz w:val="20"/>
              </w:rPr>
              <w:t xml:space="preserve">→ </w:t>
            </w:r>
            <w:r w:rsidRPr="00997FF7">
              <w:rPr>
                <w:rFonts w:asciiTheme="majorBidi" w:hAnsiTheme="majorBidi" w:cstheme="majorBidi"/>
                <w:b/>
                <w:bCs/>
                <w:sz w:val="20"/>
              </w:rPr>
              <w:t>Organizational Learning</w:t>
            </w:r>
          </w:p>
        </w:tc>
        <w:tc>
          <w:tcPr>
            <w:tcW w:w="900" w:type="dxa"/>
            <w:tcBorders>
              <w:top w:val="nil"/>
              <w:left w:val="nil"/>
              <w:bottom w:val="nil"/>
              <w:right w:val="nil"/>
            </w:tcBorders>
            <w:shd w:val="clear" w:color="auto" w:fill="auto"/>
            <w:noWrap/>
            <w:hideMark/>
          </w:tcPr>
          <w:p w14:paraId="66358987"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0.025</w:t>
            </w:r>
          </w:p>
        </w:tc>
        <w:tc>
          <w:tcPr>
            <w:tcW w:w="810" w:type="dxa"/>
            <w:tcBorders>
              <w:top w:val="nil"/>
              <w:left w:val="nil"/>
              <w:bottom w:val="nil"/>
              <w:right w:val="nil"/>
            </w:tcBorders>
            <w:shd w:val="clear" w:color="auto" w:fill="auto"/>
            <w:noWrap/>
            <w:hideMark/>
          </w:tcPr>
          <w:p w14:paraId="2EE9F59B"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0.021</w:t>
            </w:r>
          </w:p>
        </w:tc>
        <w:tc>
          <w:tcPr>
            <w:tcW w:w="1080" w:type="dxa"/>
            <w:tcBorders>
              <w:top w:val="nil"/>
              <w:left w:val="nil"/>
              <w:bottom w:val="nil"/>
              <w:right w:val="nil"/>
            </w:tcBorders>
            <w:shd w:val="clear" w:color="auto" w:fill="auto"/>
            <w:noWrap/>
            <w:hideMark/>
          </w:tcPr>
          <w:p w14:paraId="608014EC"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1.217</w:t>
            </w:r>
          </w:p>
        </w:tc>
        <w:tc>
          <w:tcPr>
            <w:tcW w:w="900" w:type="dxa"/>
            <w:tcBorders>
              <w:top w:val="nil"/>
              <w:left w:val="nil"/>
              <w:bottom w:val="nil"/>
              <w:right w:val="nil"/>
            </w:tcBorders>
            <w:shd w:val="clear" w:color="auto" w:fill="auto"/>
            <w:noWrap/>
            <w:hideMark/>
          </w:tcPr>
          <w:p w14:paraId="2CAF84DE"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.224</w:t>
            </w:r>
          </w:p>
        </w:tc>
        <w:tc>
          <w:tcPr>
            <w:tcW w:w="990" w:type="dxa"/>
            <w:tcBorders>
              <w:top w:val="nil"/>
              <w:left w:val="nil"/>
              <w:bottom w:val="nil"/>
              <w:right w:val="nil"/>
            </w:tcBorders>
          </w:tcPr>
          <w:p w14:paraId="6488F809" w14:textId="77777777" w:rsidR="007C0420" w:rsidRPr="00997FF7" w:rsidRDefault="007C0420" w:rsidP="00DC1DF9">
            <w:pPr>
              <w:jc w:val="center"/>
              <w:rPr>
                <w:rFonts w:asciiTheme="majorBidi" w:hAnsiTheme="majorBidi" w:cstheme="majorBidi"/>
                <w:sz w:val="20"/>
              </w:rPr>
            </w:pPr>
          </w:p>
        </w:tc>
        <w:tc>
          <w:tcPr>
            <w:tcW w:w="810" w:type="dxa"/>
            <w:tcBorders>
              <w:top w:val="nil"/>
              <w:left w:val="nil"/>
              <w:bottom w:val="nil"/>
              <w:right w:val="nil"/>
            </w:tcBorders>
            <w:shd w:val="clear" w:color="auto" w:fill="auto"/>
          </w:tcPr>
          <w:p w14:paraId="75A064BB" w14:textId="77777777" w:rsidR="007C0420" w:rsidRPr="00997FF7" w:rsidRDefault="007C0420" w:rsidP="00DC1DF9">
            <w:pPr>
              <w:jc w:val="center"/>
              <w:rPr>
                <w:rFonts w:asciiTheme="majorBidi" w:hAnsiTheme="majorBidi" w:cstheme="majorBidi"/>
                <w:color w:val="000000" w:themeColor="text1"/>
                <w:sz w:val="20"/>
              </w:rPr>
            </w:pPr>
            <w:r w:rsidRPr="00997FF7">
              <w:rPr>
                <w:rFonts w:asciiTheme="majorBidi" w:hAnsiTheme="majorBidi" w:cstheme="majorBidi"/>
                <w:color w:val="000000" w:themeColor="text1"/>
                <w:sz w:val="20"/>
              </w:rPr>
              <w:t>0.002</w:t>
            </w:r>
          </w:p>
        </w:tc>
        <w:tc>
          <w:tcPr>
            <w:tcW w:w="1102" w:type="dxa"/>
            <w:tcBorders>
              <w:top w:val="nil"/>
              <w:left w:val="nil"/>
              <w:bottom w:val="nil"/>
              <w:right w:val="nil"/>
            </w:tcBorders>
          </w:tcPr>
          <w:p w14:paraId="2545569E"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Non-significant</w:t>
            </w:r>
          </w:p>
        </w:tc>
      </w:tr>
      <w:tr w:rsidR="007C0420" w:rsidRPr="003A048D" w14:paraId="63333EE7" w14:textId="77777777" w:rsidTr="00DC1DF9">
        <w:trPr>
          <w:trHeight w:val="652"/>
        </w:trPr>
        <w:tc>
          <w:tcPr>
            <w:tcW w:w="2790" w:type="dxa"/>
            <w:tcBorders>
              <w:top w:val="nil"/>
              <w:left w:val="nil"/>
              <w:bottom w:val="nil"/>
              <w:right w:val="nil"/>
            </w:tcBorders>
            <w:shd w:val="clear" w:color="auto" w:fill="EEECE1" w:themeFill="background2"/>
            <w:noWrap/>
          </w:tcPr>
          <w:p w14:paraId="7D03B87D" w14:textId="0B094015" w:rsidR="007C0420" w:rsidRPr="00997FF7" w:rsidRDefault="007C0420" w:rsidP="00F82928">
            <w:pPr>
              <w:jc w:val="lowKashida"/>
              <w:rPr>
                <w:rFonts w:asciiTheme="majorBidi" w:hAnsiTheme="majorBidi" w:cstheme="majorBidi"/>
                <w:b/>
                <w:bCs/>
                <w:sz w:val="20"/>
              </w:rPr>
            </w:pPr>
            <w:r w:rsidRPr="00997FF7">
              <w:rPr>
                <w:rFonts w:asciiTheme="majorBidi" w:hAnsiTheme="majorBidi" w:cstheme="majorBidi"/>
                <w:b/>
                <w:bCs/>
                <w:sz w:val="20"/>
              </w:rPr>
              <w:t xml:space="preserve">Abilities </w:t>
            </w:r>
            <w:r w:rsidR="00F82928">
              <w:rPr>
                <w:rFonts w:asciiTheme="majorBidi" w:hAnsiTheme="majorBidi" w:cstheme="majorBidi"/>
                <w:b/>
                <w:bCs/>
                <w:sz w:val="20"/>
              </w:rPr>
              <w:t>→</w:t>
            </w:r>
            <w:r w:rsidRPr="00997FF7">
              <w:rPr>
                <w:rFonts w:asciiTheme="majorBidi" w:hAnsiTheme="majorBidi" w:cstheme="majorBidi"/>
                <w:b/>
                <w:bCs/>
                <w:sz w:val="20"/>
              </w:rPr>
              <w:t xml:space="preserve"> Knowledge Management Benefits</w:t>
            </w:r>
          </w:p>
        </w:tc>
        <w:tc>
          <w:tcPr>
            <w:tcW w:w="900" w:type="dxa"/>
            <w:tcBorders>
              <w:top w:val="nil"/>
              <w:left w:val="nil"/>
              <w:bottom w:val="nil"/>
              <w:right w:val="nil"/>
            </w:tcBorders>
            <w:shd w:val="clear" w:color="auto" w:fill="EEECE1" w:themeFill="background2"/>
            <w:noWrap/>
          </w:tcPr>
          <w:p w14:paraId="12C99CE8"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0.105</w:t>
            </w:r>
          </w:p>
        </w:tc>
        <w:tc>
          <w:tcPr>
            <w:tcW w:w="810" w:type="dxa"/>
            <w:tcBorders>
              <w:top w:val="nil"/>
              <w:left w:val="nil"/>
              <w:bottom w:val="nil"/>
              <w:right w:val="nil"/>
            </w:tcBorders>
            <w:shd w:val="clear" w:color="auto" w:fill="EEECE1" w:themeFill="background2"/>
            <w:noWrap/>
          </w:tcPr>
          <w:p w14:paraId="5B952FBF"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0.056</w:t>
            </w:r>
          </w:p>
        </w:tc>
        <w:tc>
          <w:tcPr>
            <w:tcW w:w="1080" w:type="dxa"/>
            <w:tcBorders>
              <w:top w:val="nil"/>
              <w:left w:val="nil"/>
              <w:bottom w:val="nil"/>
              <w:right w:val="nil"/>
            </w:tcBorders>
            <w:shd w:val="clear" w:color="auto" w:fill="EEECE1" w:themeFill="background2"/>
            <w:noWrap/>
          </w:tcPr>
          <w:p w14:paraId="05558676"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1.874</w:t>
            </w:r>
          </w:p>
        </w:tc>
        <w:tc>
          <w:tcPr>
            <w:tcW w:w="900" w:type="dxa"/>
            <w:tcBorders>
              <w:top w:val="nil"/>
              <w:left w:val="nil"/>
              <w:bottom w:val="nil"/>
              <w:right w:val="nil"/>
            </w:tcBorders>
            <w:shd w:val="clear" w:color="auto" w:fill="EEECE1" w:themeFill="background2"/>
            <w:noWrap/>
          </w:tcPr>
          <w:p w14:paraId="3D1408B3"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.061</w:t>
            </w:r>
          </w:p>
        </w:tc>
        <w:tc>
          <w:tcPr>
            <w:tcW w:w="990" w:type="dxa"/>
            <w:tcBorders>
              <w:top w:val="nil"/>
              <w:left w:val="nil"/>
              <w:bottom w:val="nil"/>
              <w:right w:val="nil"/>
            </w:tcBorders>
            <w:shd w:val="clear" w:color="auto" w:fill="EEECE1" w:themeFill="background2"/>
          </w:tcPr>
          <w:p w14:paraId="449E9ED5"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0.49</w:t>
            </w:r>
            <w:r>
              <w:rPr>
                <w:rFonts w:asciiTheme="majorBidi" w:hAnsiTheme="majorBidi" w:cstheme="majorBidi"/>
                <w:sz w:val="20"/>
              </w:rPr>
              <w:t>0</w:t>
            </w:r>
          </w:p>
        </w:tc>
        <w:tc>
          <w:tcPr>
            <w:tcW w:w="810" w:type="dxa"/>
            <w:tcBorders>
              <w:top w:val="nil"/>
              <w:left w:val="nil"/>
              <w:bottom w:val="nil"/>
              <w:right w:val="nil"/>
            </w:tcBorders>
            <w:shd w:val="clear" w:color="auto" w:fill="EEECE1" w:themeFill="background2"/>
          </w:tcPr>
          <w:p w14:paraId="1440291F"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0.009</w:t>
            </w:r>
          </w:p>
        </w:tc>
        <w:tc>
          <w:tcPr>
            <w:tcW w:w="1102" w:type="dxa"/>
            <w:tcBorders>
              <w:top w:val="nil"/>
              <w:left w:val="nil"/>
              <w:bottom w:val="nil"/>
              <w:right w:val="nil"/>
            </w:tcBorders>
            <w:shd w:val="clear" w:color="auto" w:fill="EEECE1" w:themeFill="background2"/>
          </w:tcPr>
          <w:p w14:paraId="7C7658A2"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Non-significant</w:t>
            </w:r>
          </w:p>
        </w:tc>
      </w:tr>
      <w:tr w:rsidR="007C0420" w:rsidRPr="003A048D" w14:paraId="7A53BB81" w14:textId="77777777" w:rsidTr="00DC1DF9">
        <w:trPr>
          <w:trHeight w:val="652"/>
        </w:trPr>
        <w:tc>
          <w:tcPr>
            <w:tcW w:w="2790" w:type="dxa"/>
            <w:tcBorders>
              <w:top w:val="nil"/>
              <w:left w:val="nil"/>
              <w:bottom w:val="nil"/>
              <w:right w:val="nil"/>
            </w:tcBorders>
            <w:shd w:val="clear" w:color="auto" w:fill="EEECE1" w:themeFill="background2"/>
            <w:noWrap/>
          </w:tcPr>
          <w:p w14:paraId="40010E17" w14:textId="7CEC0A1E" w:rsidR="007C0420" w:rsidRPr="00997FF7" w:rsidRDefault="007C0420" w:rsidP="00F82928">
            <w:pPr>
              <w:jc w:val="lowKashida"/>
              <w:rPr>
                <w:rFonts w:asciiTheme="majorBidi" w:hAnsiTheme="majorBidi" w:cstheme="majorBidi"/>
                <w:b/>
                <w:bCs/>
                <w:sz w:val="20"/>
              </w:rPr>
            </w:pPr>
            <w:r w:rsidRPr="00997FF7">
              <w:rPr>
                <w:rFonts w:asciiTheme="majorBidi" w:hAnsiTheme="majorBidi" w:cstheme="majorBidi"/>
                <w:b/>
                <w:bCs/>
                <w:sz w:val="20"/>
              </w:rPr>
              <w:t xml:space="preserve">Abilities </w:t>
            </w:r>
            <w:r w:rsidR="00F82928">
              <w:rPr>
                <w:rFonts w:asciiTheme="majorBidi" w:hAnsiTheme="majorBidi" w:cstheme="majorBidi"/>
                <w:b/>
                <w:bCs/>
                <w:sz w:val="20"/>
              </w:rPr>
              <w:t>→</w:t>
            </w:r>
            <w:r w:rsidRPr="00997FF7">
              <w:rPr>
                <w:rFonts w:asciiTheme="majorBidi" w:hAnsiTheme="majorBidi" w:cstheme="majorBidi"/>
                <w:b/>
                <w:bCs/>
                <w:sz w:val="20"/>
              </w:rPr>
              <w:t xml:space="preserve"> Organizational Learning</w:t>
            </w:r>
          </w:p>
        </w:tc>
        <w:tc>
          <w:tcPr>
            <w:tcW w:w="900" w:type="dxa"/>
            <w:tcBorders>
              <w:top w:val="nil"/>
              <w:left w:val="nil"/>
              <w:bottom w:val="nil"/>
              <w:right w:val="nil"/>
            </w:tcBorders>
            <w:shd w:val="clear" w:color="auto" w:fill="EEECE1" w:themeFill="background2"/>
            <w:noWrap/>
          </w:tcPr>
          <w:p w14:paraId="038670F6"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0.447</w:t>
            </w:r>
          </w:p>
        </w:tc>
        <w:tc>
          <w:tcPr>
            <w:tcW w:w="810" w:type="dxa"/>
            <w:tcBorders>
              <w:top w:val="nil"/>
              <w:left w:val="nil"/>
              <w:bottom w:val="nil"/>
              <w:right w:val="nil"/>
            </w:tcBorders>
            <w:shd w:val="clear" w:color="auto" w:fill="EEECE1" w:themeFill="background2"/>
            <w:noWrap/>
          </w:tcPr>
          <w:p w14:paraId="57A8305C"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0.035</w:t>
            </w:r>
          </w:p>
        </w:tc>
        <w:tc>
          <w:tcPr>
            <w:tcW w:w="1080" w:type="dxa"/>
            <w:tcBorders>
              <w:top w:val="nil"/>
              <w:left w:val="nil"/>
              <w:bottom w:val="nil"/>
              <w:right w:val="nil"/>
            </w:tcBorders>
            <w:shd w:val="clear" w:color="auto" w:fill="EEECE1" w:themeFill="background2"/>
            <w:noWrap/>
          </w:tcPr>
          <w:p w14:paraId="6A540C97"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12.591</w:t>
            </w:r>
          </w:p>
        </w:tc>
        <w:tc>
          <w:tcPr>
            <w:tcW w:w="900" w:type="dxa"/>
            <w:tcBorders>
              <w:top w:val="nil"/>
              <w:left w:val="nil"/>
              <w:bottom w:val="nil"/>
              <w:right w:val="nil"/>
            </w:tcBorders>
            <w:shd w:val="clear" w:color="auto" w:fill="EEECE1" w:themeFill="background2"/>
            <w:noWrap/>
          </w:tcPr>
          <w:p w14:paraId="3573EE86" w14:textId="77777777" w:rsidR="007C0420" w:rsidRPr="00997FF7" w:rsidRDefault="007C0420" w:rsidP="00DC1DF9">
            <w:pPr>
              <w:jc w:val="center"/>
              <w:rPr>
                <w:rFonts w:asciiTheme="majorBidi" w:hAnsiTheme="majorBidi" w:cstheme="majorBidi"/>
                <w:sz w:val="20"/>
              </w:rPr>
            </w:pPr>
            <w:r>
              <w:rPr>
                <w:rFonts w:asciiTheme="majorBidi" w:hAnsiTheme="majorBidi" w:cstheme="majorBidi"/>
                <w:sz w:val="20"/>
              </w:rPr>
              <w:t>.</w:t>
            </w:r>
            <w:r w:rsidRPr="00997FF7">
              <w:rPr>
                <w:rFonts w:asciiTheme="majorBidi" w:hAnsiTheme="majorBidi" w:cstheme="majorBidi"/>
                <w:sz w:val="20"/>
              </w:rPr>
              <w:t>0</w:t>
            </w:r>
            <w:r>
              <w:rPr>
                <w:rFonts w:asciiTheme="majorBidi" w:hAnsiTheme="majorBidi" w:cstheme="majorBidi"/>
                <w:sz w:val="20"/>
              </w:rPr>
              <w:t>00</w:t>
            </w:r>
          </w:p>
        </w:tc>
        <w:tc>
          <w:tcPr>
            <w:tcW w:w="990" w:type="dxa"/>
            <w:tcBorders>
              <w:top w:val="nil"/>
              <w:left w:val="nil"/>
              <w:bottom w:val="nil"/>
              <w:right w:val="nil"/>
            </w:tcBorders>
            <w:shd w:val="clear" w:color="auto" w:fill="EEECE1" w:themeFill="background2"/>
          </w:tcPr>
          <w:p w14:paraId="3B925336"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0.708</w:t>
            </w:r>
          </w:p>
        </w:tc>
        <w:tc>
          <w:tcPr>
            <w:tcW w:w="810" w:type="dxa"/>
            <w:tcBorders>
              <w:top w:val="nil"/>
              <w:left w:val="nil"/>
              <w:bottom w:val="nil"/>
              <w:right w:val="nil"/>
            </w:tcBorders>
            <w:shd w:val="clear" w:color="auto" w:fill="EEECE1" w:themeFill="background2"/>
          </w:tcPr>
          <w:p w14:paraId="778F11DC" w14:textId="77777777" w:rsidR="007C0420" w:rsidRPr="00997FF7" w:rsidRDefault="007C0420" w:rsidP="00DC1DF9">
            <w:pPr>
              <w:jc w:val="center"/>
              <w:rPr>
                <w:rFonts w:asciiTheme="majorBidi" w:hAnsiTheme="majorBidi" w:cstheme="majorBidi"/>
                <w:color w:val="000000" w:themeColor="text1"/>
                <w:sz w:val="20"/>
              </w:rPr>
            </w:pPr>
            <w:r w:rsidRPr="00997FF7">
              <w:rPr>
                <w:rFonts w:asciiTheme="majorBidi" w:hAnsiTheme="majorBidi" w:cstheme="majorBidi"/>
                <w:color w:val="000000" w:themeColor="text1"/>
                <w:sz w:val="20"/>
              </w:rPr>
              <w:t>0.409</w:t>
            </w:r>
          </w:p>
        </w:tc>
        <w:tc>
          <w:tcPr>
            <w:tcW w:w="1102" w:type="dxa"/>
            <w:tcBorders>
              <w:top w:val="nil"/>
              <w:left w:val="nil"/>
              <w:bottom w:val="nil"/>
              <w:right w:val="nil"/>
            </w:tcBorders>
            <w:shd w:val="clear" w:color="auto" w:fill="EEECE1" w:themeFill="background2"/>
          </w:tcPr>
          <w:p w14:paraId="46AD1D8E" w14:textId="77777777" w:rsidR="007C0420" w:rsidRPr="00997FF7" w:rsidRDefault="007C0420" w:rsidP="00DC1DF9">
            <w:pPr>
              <w:jc w:val="center"/>
              <w:rPr>
                <w:rFonts w:asciiTheme="majorBidi" w:hAnsiTheme="majorBidi" w:cstheme="majorBidi"/>
                <w:color w:val="FF0000"/>
                <w:sz w:val="20"/>
              </w:rPr>
            </w:pPr>
            <w:r w:rsidRPr="00997FF7">
              <w:rPr>
                <w:rFonts w:asciiTheme="majorBidi" w:hAnsiTheme="majorBidi" w:cstheme="majorBidi"/>
                <w:color w:val="FF0000"/>
                <w:sz w:val="20"/>
              </w:rPr>
              <w:t>Significant</w:t>
            </w:r>
          </w:p>
        </w:tc>
      </w:tr>
      <w:tr w:rsidR="007C0420" w:rsidRPr="003A048D" w14:paraId="0247B668" w14:textId="77777777" w:rsidTr="00DC1DF9">
        <w:trPr>
          <w:trHeight w:val="652"/>
        </w:trPr>
        <w:tc>
          <w:tcPr>
            <w:tcW w:w="2790" w:type="dxa"/>
            <w:tcBorders>
              <w:top w:val="nil"/>
              <w:left w:val="nil"/>
              <w:bottom w:val="single" w:sz="4" w:space="0" w:color="auto"/>
              <w:right w:val="nil"/>
            </w:tcBorders>
            <w:shd w:val="clear" w:color="auto" w:fill="EEECE1" w:themeFill="background2"/>
            <w:noWrap/>
            <w:hideMark/>
          </w:tcPr>
          <w:p w14:paraId="794D4BC8" w14:textId="54DF7817" w:rsidR="007C0420" w:rsidRPr="00997FF7" w:rsidRDefault="007C0420">
            <w:pPr>
              <w:rPr>
                <w:rFonts w:asciiTheme="majorBidi" w:hAnsiTheme="majorBidi" w:cstheme="majorBidi"/>
                <w:b/>
                <w:bCs/>
                <w:sz w:val="20"/>
              </w:rPr>
            </w:pPr>
            <w:r w:rsidRPr="00997FF7">
              <w:rPr>
                <w:rFonts w:asciiTheme="majorBidi" w:hAnsiTheme="majorBidi" w:cstheme="majorBidi"/>
                <w:b/>
                <w:bCs/>
                <w:sz w:val="20"/>
              </w:rPr>
              <w:t xml:space="preserve">Organizational </w:t>
            </w:r>
            <w:r w:rsidR="00902DB0" w:rsidRPr="00997FF7">
              <w:rPr>
                <w:rFonts w:asciiTheme="majorBidi" w:hAnsiTheme="majorBidi" w:cstheme="majorBidi"/>
                <w:b/>
                <w:bCs/>
                <w:sz w:val="20"/>
              </w:rPr>
              <w:t>Learning</w:t>
            </w:r>
            <w:r w:rsidR="00902DB0">
              <w:rPr>
                <w:rFonts w:asciiTheme="majorBidi" w:hAnsiTheme="majorBidi" w:cstheme="majorBidi"/>
                <w:b/>
                <w:bCs/>
                <w:sz w:val="20"/>
              </w:rPr>
              <w:t xml:space="preserve"> </w:t>
            </w:r>
            <w:r w:rsidR="00F82928">
              <w:rPr>
                <w:rFonts w:asciiTheme="majorBidi" w:hAnsiTheme="majorBidi" w:cstheme="majorBidi"/>
                <w:b/>
                <w:bCs/>
                <w:sz w:val="20"/>
              </w:rPr>
              <w:t xml:space="preserve">→ </w:t>
            </w:r>
            <w:r w:rsidRPr="00997FF7">
              <w:rPr>
                <w:rFonts w:asciiTheme="majorBidi" w:hAnsiTheme="majorBidi" w:cstheme="majorBidi"/>
                <w:b/>
                <w:bCs/>
                <w:sz w:val="20"/>
              </w:rPr>
              <w:t>Knowledge Management Benefits</w:t>
            </w:r>
          </w:p>
        </w:tc>
        <w:tc>
          <w:tcPr>
            <w:tcW w:w="900" w:type="dxa"/>
            <w:tcBorders>
              <w:top w:val="nil"/>
              <w:left w:val="nil"/>
              <w:bottom w:val="single" w:sz="4" w:space="0" w:color="auto"/>
              <w:right w:val="nil"/>
            </w:tcBorders>
            <w:shd w:val="clear" w:color="auto" w:fill="EEECE1" w:themeFill="background2"/>
            <w:noWrap/>
            <w:hideMark/>
          </w:tcPr>
          <w:p w14:paraId="256124AE"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0.465</w:t>
            </w:r>
          </w:p>
        </w:tc>
        <w:tc>
          <w:tcPr>
            <w:tcW w:w="810" w:type="dxa"/>
            <w:tcBorders>
              <w:top w:val="nil"/>
              <w:left w:val="nil"/>
              <w:bottom w:val="single" w:sz="4" w:space="0" w:color="auto"/>
              <w:right w:val="nil"/>
            </w:tcBorders>
            <w:shd w:val="clear" w:color="auto" w:fill="EEECE1" w:themeFill="background2"/>
            <w:noWrap/>
            <w:hideMark/>
          </w:tcPr>
          <w:p w14:paraId="1AC8E5C7"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0.063</w:t>
            </w:r>
          </w:p>
        </w:tc>
        <w:tc>
          <w:tcPr>
            <w:tcW w:w="1080" w:type="dxa"/>
            <w:tcBorders>
              <w:top w:val="nil"/>
              <w:left w:val="nil"/>
              <w:bottom w:val="single" w:sz="4" w:space="0" w:color="auto"/>
              <w:right w:val="nil"/>
            </w:tcBorders>
            <w:shd w:val="clear" w:color="auto" w:fill="EEECE1" w:themeFill="background2"/>
            <w:noWrap/>
            <w:hideMark/>
          </w:tcPr>
          <w:p w14:paraId="2823D079" w14:textId="77777777" w:rsidR="007C0420" w:rsidRPr="00997FF7" w:rsidRDefault="007C0420" w:rsidP="00DC1DF9">
            <w:pPr>
              <w:jc w:val="center"/>
              <w:rPr>
                <w:rFonts w:asciiTheme="majorBidi" w:hAnsiTheme="majorBidi" w:cstheme="majorBidi"/>
                <w:sz w:val="20"/>
              </w:rPr>
            </w:pPr>
            <w:r w:rsidRPr="00997FF7">
              <w:rPr>
                <w:rFonts w:asciiTheme="majorBidi" w:hAnsiTheme="majorBidi" w:cstheme="majorBidi"/>
                <w:sz w:val="20"/>
              </w:rPr>
              <w:t>7.415</w:t>
            </w:r>
          </w:p>
        </w:tc>
        <w:tc>
          <w:tcPr>
            <w:tcW w:w="900" w:type="dxa"/>
            <w:tcBorders>
              <w:top w:val="nil"/>
              <w:left w:val="nil"/>
              <w:bottom w:val="single" w:sz="4" w:space="0" w:color="auto"/>
              <w:right w:val="nil"/>
            </w:tcBorders>
            <w:shd w:val="clear" w:color="auto" w:fill="EEECE1" w:themeFill="background2"/>
            <w:noWrap/>
            <w:hideMark/>
          </w:tcPr>
          <w:p w14:paraId="010168E2" w14:textId="77777777" w:rsidR="007C0420" w:rsidRPr="00997FF7" w:rsidRDefault="007C0420" w:rsidP="00DC1DF9">
            <w:pPr>
              <w:jc w:val="center"/>
              <w:rPr>
                <w:rFonts w:asciiTheme="majorBidi" w:hAnsiTheme="majorBidi" w:cstheme="majorBidi"/>
                <w:sz w:val="20"/>
              </w:rPr>
            </w:pPr>
            <w:r>
              <w:rPr>
                <w:rFonts w:asciiTheme="majorBidi" w:hAnsiTheme="majorBidi" w:cstheme="majorBidi"/>
                <w:sz w:val="20"/>
              </w:rPr>
              <w:t>.00</w:t>
            </w:r>
            <w:r w:rsidRPr="00997FF7">
              <w:rPr>
                <w:rFonts w:asciiTheme="majorBidi" w:hAnsiTheme="majorBidi" w:cstheme="majorBidi"/>
                <w:sz w:val="20"/>
              </w:rPr>
              <w:t>0</w:t>
            </w:r>
          </w:p>
        </w:tc>
        <w:tc>
          <w:tcPr>
            <w:tcW w:w="990" w:type="dxa"/>
            <w:tcBorders>
              <w:top w:val="nil"/>
              <w:left w:val="nil"/>
              <w:bottom w:val="single" w:sz="4" w:space="0" w:color="auto"/>
              <w:right w:val="nil"/>
            </w:tcBorders>
            <w:shd w:val="clear" w:color="auto" w:fill="EEECE1" w:themeFill="background2"/>
          </w:tcPr>
          <w:p w14:paraId="2E215F0C" w14:textId="77777777" w:rsidR="007C0420" w:rsidRPr="00997FF7" w:rsidRDefault="007C0420" w:rsidP="00DC1DF9">
            <w:pPr>
              <w:jc w:val="center"/>
              <w:rPr>
                <w:rFonts w:asciiTheme="majorBidi" w:hAnsiTheme="majorBidi" w:cstheme="majorBidi"/>
                <w:sz w:val="20"/>
              </w:rPr>
            </w:pPr>
          </w:p>
        </w:tc>
        <w:tc>
          <w:tcPr>
            <w:tcW w:w="810" w:type="dxa"/>
            <w:tcBorders>
              <w:top w:val="nil"/>
              <w:left w:val="nil"/>
              <w:bottom w:val="single" w:sz="4" w:space="0" w:color="auto"/>
              <w:right w:val="nil"/>
            </w:tcBorders>
            <w:shd w:val="clear" w:color="auto" w:fill="EEECE1" w:themeFill="background2"/>
          </w:tcPr>
          <w:p w14:paraId="51482AFF" w14:textId="77777777" w:rsidR="007C0420" w:rsidRPr="00997FF7" w:rsidRDefault="007C0420" w:rsidP="00DC1DF9">
            <w:pPr>
              <w:jc w:val="center"/>
              <w:rPr>
                <w:rFonts w:asciiTheme="majorBidi" w:hAnsiTheme="majorBidi" w:cstheme="majorBidi"/>
                <w:color w:val="000000" w:themeColor="text1"/>
                <w:sz w:val="20"/>
              </w:rPr>
            </w:pPr>
            <w:r w:rsidRPr="00997FF7">
              <w:rPr>
                <w:rFonts w:asciiTheme="majorBidi" w:hAnsiTheme="majorBidi" w:cstheme="majorBidi"/>
                <w:color w:val="000000" w:themeColor="text1"/>
                <w:sz w:val="20"/>
              </w:rPr>
              <w:t>0.124</w:t>
            </w:r>
          </w:p>
        </w:tc>
        <w:tc>
          <w:tcPr>
            <w:tcW w:w="1102" w:type="dxa"/>
            <w:tcBorders>
              <w:top w:val="nil"/>
              <w:left w:val="nil"/>
              <w:bottom w:val="single" w:sz="4" w:space="0" w:color="auto"/>
              <w:right w:val="nil"/>
            </w:tcBorders>
            <w:shd w:val="clear" w:color="auto" w:fill="EEECE1" w:themeFill="background2"/>
          </w:tcPr>
          <w:p w14:paraId="58A66398" w14:textId="77777777" w:rsidR="007C0420" w:rsidRPr="00997FF7" w:rsidRDefault="007C0420" w:rsidP="00DC1DF9">
            <w:pPr>
              <w:jc w:val="center"/>
              <w:rPr>
                <w:rFonts w:asciiTheme="majorBidi" w:hAnsiTheme="majorBidi" w:cstheme="majorBidi"/>
                <w:color w:val="FF0000"/>
                <w:sz w:val="20"/>
              </w:rPr>
            </w:pPr>
            <w:r w:rsidRPr="00997FF7">
              <w:rPr>
                <w:rFonts w:asciiTheme="majorBidi" w:hAnsiTheme="majorBidi" w:cstheme="majorBidi"/>
                <w:color w:val="FF0000"/>
                <w:sz w:val="20"/>
              </w:rPr>
              <w:t>Significant</w:t>
            </w:r>
          </w:p>
        </w:tc>
      </w:tr>
    </w:tbl>
    <w:p w14:paraId="142D74BF" w14:textId="77777777" w:rsidR="007C0420" w:rsidRDefault="007C0420" w:rsidP="007C0420">
      <w:pPr>
        <w:rPr>
          <w:lang w:bidi="fa-IR"/>
        </w:rPr>
      </w:pPr>
    </w:p>
    <w:p w14:paraId="2EE48960" w14:textId="047E77DC" w:rsidR="007C0420" w:rsidRPr="002A7627" w:rsidRDefault="007C0420" w:rsidP="007C0420">
      <w:pPr>
        <w:pStyle w:val="AAAAAAA"/>
        <w:rPr>
          <w:lang w:bidi="fa-IR"/>
        </w:rPr>
      </w:pPr>
      <w:r w:rsidRPr="002A7627">
        <w:rPr>
          <w:lang w:bidi="fa-IR"/>
        </w:rPr>
        <w:t>Table 23</w:t>
      </w:r>
      <w:r w:rsidR="00F82928">
        <w:rPr>
          <w:lang w:bidi="fa-IR"/>
        </w:rPr>
        <w:t xml:space="preserve"> shows that</w:t>
      </w:r>
      <w:r w:rsidRPr="002A7627">
        <w:rPr>
          <w:lang w:bidi="fa-IR"/>
        </w:rPr>
        <w:t xml:space="preserve"> the direct relationships </w:t>
      </w:r>
      <w:r w:rsidR="00F32C6C">
        <w:rPr>
          <w:lang w:bidi="fa-IR"/>
        </w:rPr>
        <w:t>between</w:t>
      </w:r>
      <w:r w:rsidR="00F82928" w:rsidRPr="002A7627">
        <w:rPr>
          <w:lang w:bidi="fa-IR"/>
        </w:rPr>
        <w:t xml:space="preserve"> </w:t>
      </w:r>
      <w:r w:rsidR="00F82928">
        <w:rPr>
          <w:lang w:bidi="fa-IR"/>
        </w:rPr>
        <w:t xml:space="preserve">knowledge management benefits </w:t>
      </w:r>
      <w:r w:rsidR="00F32C6C">
        <w:rPr>
          <w:lang w:bidi="fa-IR"/>
        </w:rPr>
        <w:t xml:space="preserve">and each </w:t>
      </w:r>
      <w:r w:rsidR="00F82928">
        <w:rPr>
          <w:lang w:bidi="fa-IR"/>
        </w:rPr>
        <w:t xml:space="preserve">of </w:t>
      </w:r>
      <w:r w:rsidR="00F82928" w:rsidRPr="002A7627">
        <w:rPr>
          <w:lang w:bidi="fa-IR"/>
        </w:rPr>
        <w:t>knowledge management capabilities (</w:t>
      </w:r>
      <w:r w:rsidR="00F82928" w:rsidRPr="00997FF7">
        <w:rPr>
          <w:i/>
          <w:lang w:bidi="fa-IR"/>
        </w:rPr>
        <w:t>β</w:t>
      </w:r>
      <w:r w:rsidR="00F82928" w:rsidRPr="002A7627">
        <w:rPr>
          <w:lang w:bidi="fa-IR"/>
        </w:rPr>
        <w:t xml:space="preserve"> = 0.122, </w:t>
      </w:r>
      <w:r w:rsidR="00F82928" w:rsidRPr="00997FF7">
        <w:rPr>
          <w:i/>
          <w:lang w:bidi="fa-IR"/>
        </w:rPr>
        <w:t>t</w:t>
      </w:r>
      <w:r w:rsidR="00F82928" w:rsidRPr="002A7627">
        <w:rPr>
          <w:lang w:bidi="fa-IR"/>
        </w:rPr>
        <w:t xml:space="preserve"> = 2.445, </w:t>
      </w:r>
      <w:r w:rsidR="00F82928" w:rsidRPr="00997FF7">
        <w:rPr>
          <w:i/>
          <w:lang w:bidi="fa-IR"/>
        </w:rPr>
        <w:t>p</w:t>
      </w:r>
      <w:r w:rsidR="00F82928">
        <w:rPr>
          <w:lang w:bidi="fa-IR"/>
        </w:rPr>
        <w:t xml:space="preserve"> </w:t>
      </w:r>
      <w:r w:rsidR="00F82928" w:rsidRPr="002A7627">
        <w:rPr>
          <w:lang w:bidi="fa-IR"/>
        </w:rPr>
        <w:t xml:space="preserve">&lt; 0.05, </w:t>
      </w:r>
      <w:r w:rsidR="00F82928" w:rsidRPr="00997FF7">
        <w:rPr>
          <w:i/>
          <w:lang w:bidi="fa-IR"/>
        </w:rPr>
        <w:t>f</w:t>
      </w:r>
      <w:r w:rsidR="00F82928" w:rsidRPr="00997FF7">
        <w:rPr>
          <w:i/>
          <w:vertAlign w:val="superscript"/>
          <w:lang w:bidi="fa-IR"/>
        </w:rPr>
        <w:t>2</w:t>
      </w:r>
      <w:r w:rsidR="00F82928" w:rsidRPr="002A7627">
        <w:rPr>
          <w:lang w:bidi="fa-IR"/>
        </w:rPr>
        <w:t xml:space="preserve"> = 0.018), intrinsic motivation (</w:t>
      </w:r>
      <w:r w:rsidR="00F82928" w:rsidRPr="00997FF7">
        <w:rPr>
          <w:i/>
          <w:lang w:bidi="fa-IR"/>
        </w:rPr>
        <w:t>β</w:t>
      </w:r>
      <w:r w:rsidR="00F82928" w:rsidRPr="002A7627">
        <w:rPr>
          <w:lang w:bidi="fa-IR"/>
        </w:rPr>
        <w:t xml:space="preserve"> = 0.126, </w:t>
      </w:r>
      <w:r w:rsidR="00F82928" w:rsidRPr="00997FF7">
        <w:rPr>
          <w:i/>
          <w:lang w:bidi="fa-IR"/>
        </w:rPr>
        <w:t>t</w:t>
      </w:r>
      <w:r w:rsidR="00F82928" w:rsidRPr="002A7627">
        <w:rPr>
          <w:lang w:bidi="fa-IR"/>
        </w:rPr>
        <w:t xml:space="preserve"> = 2.215, </w:t>
      </w:r>
      <w:r w:rsidR="00F82928" w:rsidRPr="00997FF7">
        <w:rPr>
          <w:i/>
          <w:lang w:bidi="fa-IR"/>
        </w:rPr>
        <w:t>p</w:t>
      </w:r>
      <w:r w:rsidR="00F82928">
        <w:rPr>
          <w:lang w:bidi="fa-IR"/>
        </w:rPr>
        <w:t xml:space="preserve"> </w:t>
      </w:r>
      <w:r w:rsidR="00F82928" w:rsidRPr="002A7627">
        <w:rPr>
          <w:lang w:bidi="fa-IR"/>
        </w:rPr>
        <w:t xml:space="preserve">&lt; 0.05, </w:t>
      </w:r>
      <w:r w:rsidR="00F82928" w:rsidRPr="00997FF7">
        <w:rPr>
          <w:i/>
          <w:lang w:bidi="fa-IR"/>
        </w:rPr>
        <w:t>f</w:t>
      </w:r>
      <w:r w:rsidR="00F82928" w:rsidRPr="002A7627">
        <w:rPr>
          <w:vertAlign w:val="superscript"/>
          <w:lang w:bidi="fa-IR"/>
        </w:rPr>
        <w:t>2</w:t>
      </w:r>
      <w:r w:rsidR="00F82928" w:rsidRPr="002A7627">
        <w:rPr>
          <w:lang w:bidi="fa-IR"/>
        </w:rPr>
        <w:t xml:space="preserve"> = 0.013), and organizational learning (</w:t>
      </w:r>
      <w:r w:rsidR="00F82928" w:rsidRPr="00997FF7">
        <w:rPr>
          <w:i/>
          <w:lang w:bidi="fa-IR"/>
        </w:rPr>
        <w:t>β</w:t>
      </w:r>
      <w:r w:rsidR="00F82928" w:rsidRPr="002A7627">
        <w:rPr>
          <w:lang w:bidi="fa-IR"/>
        </w:rPr>
        <w:t xml:space="preserve"> = 0.465, </w:t>
      </w:r>
      <w:r w:rsidR="00F82928" w:rsidRPr="00997FF7">
        <w:rPr>
          <w:i/>
          <w:lang w:bidi="fa-IR"/>
        </w:rPr>
        <w:t>t</w:t>
      </w:r>
      <w:r w:rsidR="00F82928" w:rsidRPr="002A7627">
        <w:rPr>
          <w:lang w:bidi="fa-IR"/>
        </w:rPr>
        <w:t xml:space="preserve"> = 7.415, </w:t>
      </w:r>
      <w:r w:rsidR="00F82928" w:rsidRPr="00997FF7">
        <w:rPr>
          <w:i/>
          <w:lang w:bidi="fa-IR"/>
        </w:rPr>
        <w:t>p</w:t>
      </w:r>
      <w:r w:rsidR="00F82928">
        <w:rPr>
          <w:lang w:bidi="fa-IR"/>
        </w:rPr>
        <w:t xml:space="preserve"> </w:t>
      </w:r>
      <w:r w:rsidR="00F82928" w:rsidRPr="002A7627">
        <w:rPr>
          <w:lang w:bidi="fa-IR"/>
        </w:rPr>
        <w:t xml:space="preserve">&lt; 0.01, </w:t>
      </w:r>
      <w:r w:rsidR="00F82928" w:rsidRPr="00997FF7">
        <w:rPr>
          <w:i/>
          <w:lang w:bidi="fa-IR"/>
        </w:rPr>
        <w:t>f</w:t>
      </w:r>
      <w:r w:rsidR="00F82928" w:rsidRPr="00997FF7">
        <w:rPr>
          <w:i/>
          <w:vertAlign w:val="superscript"/>
          <w:lang w:bidi="fa-IR"/>
        </w:rPr>
        <w:t>2</w:t>
      </w:r>
      <w:r w:rsidR="00F82928" w:rsidRPr="002A7627">
        <w:rPr>
          <w:lang w:bidi="fa-IR"/>
        </w:rPr>
        <w:t xml:space="preserve"> = 0.124) </w:t>
      </w:r>
      <w:r>
        <w:rPr>
          <w:lang w:bidi="fa-IR"/>
        </w:rPr>
        <w:t>were statistically</w:t>
      </w:r>
      <w:r w:rsidRPr="002A7627">
        <w:rPr>
          <w:lang w:bidi="fa-IR"/>
        </w:rPr>
        <w:t xml:space="preserve"> significan</w:t>
      </w:r>
      <w:r>
        <w:rPr>
          <w:lang w:bidi="fa-IR"/>
        </w:rPr>
        <w:t xml:space="preserve">t at a </w:t>
      </w:r>
      <w:r w:rsidR="00F82928">
        <w:rPr>
          <w:lang w:bidi="fa-IR"/>
        </w:rPr>
        <w:t xml:space="preserve">level of </w:t>
      </w:r>
      <w:r w:rsidR="00B111A8">
        <w:rPr>
          <w:lang w:bidi="fa-IR"/>
        </w:rPr>
        <w:t>0</w:t>
      </w:r>
      <w:r>
        <w:rPr>
          <w:lang w:bidi="fa-IR"/>
        </w:rPr>
        <w:t>.05, and so t</w:t>
      </w:r>
      <w:r w:rsidRPr="002A7627">
        <w:rPr>
          <w:lang w:bidi="fa-IR"/>
        </w:rPr>
        <w:t>h</w:t>
      </w:r>
      <w:r>
        <w:rPr>
          <w:lang w:bidi="fa-IR"/>
        </w:rPr>
        <w:t>ese</w:t>
      </w:r>
      <w:r w:rsidRPr="002A7627">
        <w:rPr>
          <w:lang w:bidi="fa-IR"/>
        </w:rPr>
        <w:t xml:space="preserve"> </w:t>
      </w:r>
      <w:r>
        <w:rPr>
          <w:lang w:bidi="fa-IR"/>
        </w:rPr>
        <w:t xml:space="preserve">findings </w:t>
      </w:r>
      <w:r w:rsidRPr="002A7627">
        <w:rPr>
          <w:lang w:bidi="fa-IR"/>
        </w:rPr>
        <w:t>support</w:t>
      </w:r>
      <w:r>
        <w:rPr>
          <w:lang w:bidi="fa-IR"/>
        </w:rPr>
        <w:t xml:space="preserve"> hypotheses</w:t>
      </w:r>
      <w:r w:rsidRPr="002A7627">
        <w:rPr>
          <w:lang w:bidi="fa-IR"/>
        </w:rPr>
        <w:t xml:space="preserve"> H1, H3</w:t>
      </w:r>
      <w:r>
        <w:rPr>
          <w:lang w:bidi="fa-IR"/>
        </w:rPr>
        <w:t>,</w:t>
      </w:r>
      <w:r w:rsidRPr="002A7627">
        <w:rPr>
          <w:lang w:bidi="fa-IR"/>
        </w:rPr>
        <w:t xml:space="preserve"> and H6. </w:t>
      </w:r>
      <w:r w:rsidR="00FD51EE">
        <w:rPr>
          <w:lang w:bidi="fa-IR"/>
        </w:rPr>
        <w:t>However</w:t>
      </w:r>
      <w:r w:rsidRPr="002A7627">
        <w:rPr>
          <w:lang w:bidi="fa-IR"/>
        </w:rPr>
        <w:t xml:space="preserve">, the direct relationships </w:t>
      </w:r>
      <w:r w:rsidR="00F32C6C">
        <w:rPr>
          <w:lang w:bidi="fa-IR"/>
        </w:rPr>
        <w:t>between</w:t>
      </w:r>
      <w:r w:rsidR="00F82928">
        <w:rPr>
          <w:lang w:bidi="fa-IR"/>
        </w:rPr>
        <w:t xml:space="preserve"> knowledge management benefits</w:t>
      </w:r>
      <w:r w:rsidR="00F32C6C">
        <w:rPr>
          <w:lang w:bidi="fa-IR"/>
        </w:rPr>
        <w:t xml:space="preserve"> and each</w:t>
      </w:r>
      <w:r w:rsidR="00F82928">
        <w:rPr>
          <w:lang w:bidi="fa-IR"/>
        </w:rPr>
        <w:t xml:space="preserve"> of </w:t>
      </w:r>
      <w:r w:rsidR="00F82928" w:rsidRPr="002A7627">
        <w:rPr>
          <w:lang w:bidi="fa-IR"/>
        </w:rPr>
        <w:t>extrinsic motivation (</w:t>
      </w:r>
      <w:r w:rsidR="00F82928" w:rsidRPr="00997FF7">
        <w:rPr>
          <w:i/>
          <w:lang w:bidi="fa-IR"/>
        </w:rPr>
        <w:t>β</w:t>
      </w:r>
      <w:r w:rsidR="00F82928" w:rsidRPr="002A7627">
        <w:rPr>
          <w:lang w:bidi="fa-IR"/>
        </w:rPr>
        <w:t xml:space="preserve"> = </w:t>
      </w:r>
      <w:r w:rsidR="00F82928">
        <w:rPr>
          <w:lang w:bidi="fa-IR"/>
        </w:rPr>
        <w:t>−</w:t>
      </w:r>
      <w:r w:rsidR="00F82928" w:rsidRPr="002A7627">
        <w:rPr>
          <w:lang w:bidi="fa-IR"/>
        </w:rPr>
        <w:t xml:space="preserve">0.019, </w:t>
      </w:r>
      <w:r w:rsidR="00F82928" w:rsidRPr="00997FF7">
        <w:rPr>
          <w:i/>
          <w:lang w:bidi="fa-IR"/>
        </w:rPr>
        <w:t>t</w:t>
      </w:r>
      <w:r w:rsidR="00F82928" w:rsidRPr="002A7627">
        <w:rPr>
          <w:lang w:bidi="fa-IR"/>
        </w:rPr>
        <w:t xml:space="preserve"> = 0.5, </w:t>
      </w:r>
      <w:r w:rsidR="00F82928" w:rsidRPr="00997FF7">
        <w:rPr>
          <w:i/>
          <w:lang w:bidi="fa-IR"/>
        </w:rPr>
        <w:t>p</w:t>
      </w:r>
      <w:r w:rsidR="00F82928" w:rsidRPr="002A7627">
        <w:rPr>
          <w:lang w:bidi="fa-IR"/>
        </w:rPr>
        <w:t xml:space="preserve"> = 0.617, </w:t>
      </w:r>
      <w:r w:rsidR="00F82928" w:rsidRPr="00997FF7">
        <w:rPr>
          <w:i/>
          <w:lang w:bidi="fa-IR"/>
        </w:rPr>
        <w:t>f</w:t>
      </w:r>
      <w:r w:rsidR="00F82928" w:rsidRPr="00997FF7">
        <w:rPr>
          <w:i/>
          <w:vertAlign w:val="superscript"/>
          <w:lang w:bidi="fa-IR"/>
        </w:rPr>
        <w:t>2</w:t>
      </w:r>
      <w:r w:rsidR="00F82928" w:rsidRPr="002A7627">
        <w:rPr>
          <w:lang w:bidi="fa-IR"/>
        </w:rPr>
        <w:t xml:space="preserve"> = 0),</w:t>
      </w:r>
      <w:r w:rsidR="00F82928" w:rsidRPr="002A7627">
        <w:t xml:space="preserve"> </w:t>
      </w:r>
      <w:r w:rsidR="00F82928" w:rsidRPr="002A7627">
        <w:rPr>
          <w:lang w:bidi="fa-IR"/>
        </w:rPr>
        <w:t>opportunities (</w:t>
      </w:r>
      <w:r w:rsidR="00F82928" w:rsidRPr="00997FF7">
        <w:rPr>
          <w:i/>
          <w:lang w:bidi="fa-IR"/>
        </w:rPr>
        <w:t>β</w:t>
      </w:r>
      <w:r w:rsidR="00F82928" w:rsidRPr="002A7627">
        <w:rPr>
          <w:lang w:bidi="fa-IR"/>
        </w:rPr>
        <w:t xml:space="preserve"> = </w:t>
      </w:r>
      <w:r w:rsidR="00F82928">
        <w:rPr>
          <w:lang w:bidi="fa-IR"/>
        </w:rPr>
        <w:t>−</w:t>
      </w:r>
      <w:r w:rsidR="00F82928" w:rsidRPr="002A7627">
        <w:rPr>
          <w:lang w:bidi="fa-IR"/>
        </w:rPr>
        <w:t xml:space="preserve">0.033, </w:t>
      </w:r>
      <w:r w:rsidR="00F82928" w:rsidRPr="00997FF7">
        <w:rPr>
          <w:i/>
          <w:lang w:bidi="fa-IR"/>
        </w:rPr>
        <w:t>t</w:t>
      </w:r>
      <w:r w:rsidR="00F82928" w:rsidRPr="002A7627">
        <w:rPr>
          <w:lang w:bidi="fa-IR"/>
        </w:rPr>
        <w:t xml:space="preserve"> = 1.12, </w:t>
      </w:r>
      <w:r w:rsidR="00F82928" w:rsidRPr="00997FF7">
        <w:rPr>
          <w:i/>
          <w:lang w:bidi="fa-IR"/>
        </w:rPr>
        <w:t>p</w:t>
      </w:r>
      <w:r w:rsidR="00F82928" w:rsidRPr="002A7627">
        <w:rPr>
          <w:lang w:bidi="fa-IR"/>
        </w:rPr>
        <w:t xml:space="preserve"> = 0.263, </w:t>
      </w:r>
      <w:r w:rsidR="00F82928" w:rsidRPr="00997FF7">
        <w:rPr>
          <w:i/>
          <w:lang w:bidi="fa-IR"/>
        </w:rPr>
        <w:t>f</w:t>
      </w:r>
      <w:r w:rsidR="00F82928" w:rsidRPr="00997FF7">
        <w:rPr>
          <w:i/>
          <w:vertAlign w:val="superscript"/>
          <w:lang w:bidi="fa-IR"/>
        </w:rPr>
        <w:t>2</w:t>
      </w:r>
      <w:r w:rsidR="00F82928" w:rsidRPr="002A7627">
        <w:rPr>
          <w:lang w:bidi="fa-IR"/>
        </w:rPr>
        <w:t xml:space="preserve"> = 0.002)</w:t>
      </w:r>
      <w:r w:rsidR="00F82928">
        <w:rPr>
          <w:lang w:bidi="fa-IR"/>
        </w:rPr>
        <w:t>,</w:t>
      </w:r>
      <w:r w:rsidR="00F82928" w:rsidRPr="002A7627">
        <w:rPr>
          <w:lang w:bidi="fa-IR"/>
        </w:rPr>
        <w:t xml:space="preserve"> and abilities (</w:t>
      </w:r>
      <w:r w:rsidR="00F82928" w:rsidRPr="00997FF7">
        <w:rPr>
          <w:i/>
          <w:lang w:bidi="fa-IR"/>
        </w:rPr>
        <w:t>β</w:t>
      </w:r>
      <w:r w:rsidR="00F82928" w:rsidRPr="002A7627">
        <w:rPr>
          <w:lang w:bidi="fa-IR"/>
        </w:rPr>
        <w:t xml:space="preserve"> = 0.105, </w:t>
      </w:r>
      <w:r w:rsidR="00F82928" w:rsidRPr="00997FF7">
        <w:rPr>
          <w:i/>
          <w:lang w:bidi="fa-IR"/>
        </w:rPr>
        <w:t>t</w:t>
      </w:r>
      <w:r w:rsidR="00F82928" w:rsidRPr="002A7627">
        <w:rPr>
          <w:lang w:bidi="fa-IR"/>
        </w:rPr>
        <w:t xml:space="preserve"> = 1.874, </w:t>
      </w:r>
      <w:r w:rsidR="00F82928" w:rsidRPr="00997FF7">
        <w:rPr>
          <w:i/>
          <w:lang w:bidi="fa-IR"/>
        </w:rPr>
        <w:t>p</w:t>
      </w:r>
      <w:r w:rsidR="00F82928" w:rsidRPr="002A7627">
        <w:rPr>
          <w:lang w:bidi="fa-IR"/>
        </w:rPr>
        <w:t xml:space="preserve"> = 0.061, </w:t>
      </w:r>
      <w:r w:rsidR="00F82928" w:rsidRPr="00997FF7">
        <w:rPr>
          <w:i/>
          <w:lang w:bidi="fa-IR"/>
        </w:rPr>
        <w:t>f</w:t>
      </w:r>
      <w:r w:rsidR="00F82928" w:rsidRPr="00997FF7">
        <w:rPr>
          <w:i/>
          <w:vertAlign w:val="superscript"/>
          <w:lang w:bidi="fa-IR"/>
        </w:rPr>
        <w:t>2</w:t>
      </w:r>
      <w:r w:rsidR="00F82928" w:rsidRPr="002A7627">
        <w:rPr>
          <w:lang w:bidi="fa-IR"/>
        </w:rPr>
        <w:t xml:space="preserve"> = 0.009) </w:t>
      </w:r>
      <w:r>
        <w:rPr>
          <w:lang w:bidi="fa-IR"/>
        </w:rPr>
        <w:t>we</w:t>
      </w:r>
      <w:r w:rsidRPr="002A7627">
        <w:rPr>
          <w:lang w:bidi="fa-IR"/>
        </w:rPr>
        <w:t xml:space="preserve">re not </w:t>
      </w:r>
      <w:r>
        <w:rPr>
          <w:lang w:bidi="fa-IR"/>
        </w:rPr>
        <w:t xml:space="preserve">statistically </w:t>
      </w:r>
      <w:r w:rsidRPr="002A7627">
        <w:rPr>
          <w:lang w:bidi="fa-IR"/>
        </w:rPr>
        <w:t>significant</w:t>
      </w:r>
      <w:r>
        <w:rPr>
          <w:lang w:bidi="fa-IR"/>
        </w:rPr>
        <w:t xml:space="preserve"> at </w:t>
      </w:r>
      <w:r w:rsidRPr="00997FF7">
        <w:rPr>
          <w:i/>
          <w:lang w:bidi="fa-IR"/>
        </w:rPr>
        <w:t>p</w:t>
      </w:r>
      <w:r>
        <w:rPr>
          <w:lang w:bidi="fa-IR"/>
        </w:rPr>
        <w:t xml:space="preserve"> = </w:t>
      </w:r>
      <w:r w:rsidR="00B111A8">
        <w:rPr>
          <w:lang w:bidi="fa-IR"/>
        </w:rPr>
        <w:t>0</w:t>
      </w:r>
      <w:r>
        <w:rPr>
          <w:lang w:bidi="fa-IR"/>
        </w:rPr>
        <w:t xml:space="preserve">.05, and so </w:t>
      </w:r>
      <w:r w:rsidR="00F82928">
        <w:rPr>
          <w:lang w:bidi="fa-IR"/>
        </w:rPr>
        <w:t>hypotheses</w:t>
      </w:r>
      <w:r w:rsidRPr="002A7627">
        <w:rPr>
          <w:lang w:bidi="fa-IR"/>
        </w:rPr>
        <w:t xml:space="preserve"> H2, H4 and H5</w:t>
      </w:r>
      <w:r>
        <w:rPr>
          <w:lang w:bidi="fa-IR"/>
        </w:rPr>
        <w:t xml:space="preserve"> were not supported</w:t>
      </w:r>
      <w:r w:rsidRPr="002A7627">
        <w:rPr>
          <w:lang w:bidi="fa-IR"/>
        </w:rPr>
        <w:t xml:space="preserve">. </w:t>
      </w:r>
    </w:p>
    <w:p w14:paraId="1076E505" w14:textId="7A620475" w:rsidR="007C0420" w:rsidRPr="002A7627" w:rsidRDefault="00DD3AB2" w:rsidP="007C0420">
      <w:pPr>
        <w:pStyle w:val="AAAAAAA"/>
        <w:rPr>
          <w:lang w:bidi="fa-IR"/>
        </w:rPr>
      </w:pPr>
      <w:r>
        <w:rPr>
          <w:lang w:bidi="fa-IR"/>
        </w:rPr>
        <w:t>T</w:t>
      </w:r>
      <w:r w:rsidR="007C0420" w:rsidRPr="002A7627">
        <w:rPr>
          <w:lang w:bidi="fa-IR"/>
        </w:rPr>
        <w:t xml:space="preserve">he </w:t>
      </w:r>
      <w:r>
        <w:rPr>
          <w:lang w:bidi="fa-IR"/>
        </w:rPr>
        <w:t xml:space="preserve">relationships between organizational learning and each of </w:t>
      </w:r>
      <w:r w:rsidRPr="002A7627">
        <w:rPr>
          <w:lang w:bidi="fa-IR"/>
        </w:rPr>
        <w:t>knowledge management capabilities (</w:t>
      </w:r>
      <w:r w:rsidRPr="007814DF">
        <w:rPr>
          <w:i/>
          <w:lang w:bidi="fa-IR"/>
        </w:rPr>
        <w:t>β</w:t>
      </w:r>
      <w:r w:rsidRPr="002A7627">
        <w:rPr>
          <w:lang w:bidi="fa-IR"/>
        </w:rPr>
        <w:t xml:space="preserve"> = 0.098, </w:t>
      </w:r>
      <w:r w:rsidRPr="007814DF">
        <w:rPr>
          <w:i/>
          <w:lang w:bidi="fa-IR"/>
        </w:rPr>
        <w:t>t</w:t>
      </w:r>
      <w:r w:rsidRPr="002A7627">
        <w:rPr>
          <w:lang w:bidi="fa-IR"/>
        </w:rPr>
        <w:t xml:space="preserve"> = 3.02, </w:t>
      </w:r>
      <w:r w:rsidRPr="007814DF">
        <w:rPr>
          <w:i/>
          <w:lang w:bidi="fa-IR"/>
        </w:rPr>
        <w:t>p</w:t>
      </w:r>
      <w:r>
        <w:rPr>
          <w:lang w:bidi="fa-IR"/>
        </w:rPr>
        <w:t xml:space="preserve"> </w:t>
      </w:r>
      <w:r w:rsidRPr="002A7627">
        <w:rPr>
          <w:lang w:bidi="fa-IR"/>
        </w:rPr>
        <w:t xml:space="preserve">&lt; 0.01, </w:t>
      </w:r>
      <w:r w:rsidRPr="007814DF">
        <w:rPr>
          <w:i/>
          <w:lang w:bidi="fa-IR"/>
        </w:rPr>
        <w:t>f</w:t>
      </w:r>
      <w:r w:rsidRPr="007814DF">
        <w:rPr>
          <w:i/>
          <w:vertAlign w:val="superscript"/>
          <w:lang w:bidi="fa-IR"/>
        </w:rPr>
        <w:t>2</w:t>
      </w:r>
      <w:r w:rsidRPr="002A7627">
        <w:rPr>
          <w:lang w:bidi="fa-IR"/>
        </w:rPr>
        <w:t xml:space="preserve"> = 0.02),</w:t>
      </w:r>
      <w:r w:rsidRPr="002A7627">
        <w:t xml:space="preserve"> </w:t>
      </w:r>
      <w:r w:rsidRPr="002A7627">
        <w:rPr>
          <w:lang w:bidi="fa-IR"/>
        </w:rPr>
        <w:t>extrinsic motivation (</w:t>
      </w:r>
      <w:r w:rsidRPr="007814DF">
        <w:rPr>
          <w:i/>
          <w:lang w:bidi="fa-IR"/>
        </w:rPr>
        <w:t>β</w:t>
      </w:r>
      <w:r w:rsidRPr="002A7627">
        <w:rPr>
          <w:lang w:bidi="fa-IR"/>
        </w:rPr>
        <w:t xml:space="preserve"> = 0.126, </w:t>
      </w:r>
      <w:r w:rsidRPr="007814DF">
        <w:rPr>
          <w:i/>
          <w:lang w:bidi="fa-IR"/>
        </w:rPr>
        <w:t>t</w:t>
      </w:r>
      <w:r w:rsidRPr="002A7627">
        <w:rPr>
          <w:lang w:bidi="fa-IR"/>
        </w:rPr>
        <w:t xml:space="preserve"> = 4.072, </w:t>
      </w:r>
      <w:r w:rsidRPr="007814DF">
        <w:rPr>
          <w:i/>
          <w:lang w:bidi="fa-IR"/>
        </w:rPr>
        <w:t>p</w:t>
      </w:r>
      <w:r>
        <w:rPr>
          <w:lang w:bidi="fa-IR"/>
        </w:rPr>
        <w:t xml:space="preserve"> </w:t>
      </w:r>
      <w:r w:rsidRPr="002A7627">
        <w:rPr>
          <w:lang w:bidi="fa-IR"/>
        </w:rPr>
        <w:t xml:space="preserve">&lt; 0.01, </w:t>
      </w:r>
      <w:r w:rsidRPr="007814DF">
        <w:rPr>
          <w:i/>
          <w:lang w:bidi="fa-IR"/>
        </w:rPr>
        <w:t>f</w:t>
      </w:r>
      <w:r w:rsidRPr="007814DF">
        <w:rPr>
          <w:i/>
          <w:vertAlign w:val="superscript"/>
          <w:lang w:bidi="fa-IR"/>
        </w:rPr>
        <w:t>2</w:t>
      </w:r>
      <w:r w:rsidRPr="002A7627">
        <w:rPr>
          <w:lang w:bidi="fa-IR"/>
        </w:rPr>
        <w:t xml:space="preserve"> = 0.035),</w:t>
      </w:r>
      <w:r w:rsidRPr="002A7627">
        <w:t xml:space="preserve"> </w:t>
      </w:r>
      <w:r w:rsidRPr="002A7627">
        <w:rPr>
          <w:lang w:bidi="fa-IR"/>
        </w:rPr>
        <w:t>intrinsic motivation (</w:t>
      </w:r>
      <w:r w:rsidRPr="007814DF">
        <w:rPr>
          <w:i/>
          <w:lang w:bidi="fa-IR"/>
        </w:rPr>
        <w:t>β</w:t>
      </w:r>
      <w:r w:rsidRPr="002A7627">
        <w:rPr>
          <w:lang w:bidi="fa-IR"/>
        </w:rPr>
        <w:t xml:space="preserve"> = 0.34, </w:t>
      </w:r>
      <w:r w:rsidRPr="007814DF">
        <w:rPr>
          <w:i/>
          <w:lang w:bidi="fa-IR"/>
        </w:rPr>
        <w:t>t</w:t>
      </w:r>
      <w:r w:rsidRPr="002A7627">
        <w:rPr>
          <w:lang w:bidi="fa-IR"/>
        </w:rPr>
        <w:t xml:space="preserve"> = 8.947, </w:t>
      </w:r>
      <w:r w:rsidRPr="007814DF">
        <w:rPr>
          <w:i/>
          <w:lang w:bidi="fa-IR"/>
        </w:rPr>
        <w:t>p</w:t>
      </w:r>
      <w:r>
        <w:rPr>
          <w:lang w:bidi="fa-IR"/>
        </w:rPr>
        <w:t xml:space="preserve"> </w:t>
      </w:r>
      <w:r w:rsidRPr="002A7627">
        <w:rPr>
          <w:lang w:bidi="fa-IR"/>
        </w:rPr>
        <w:t xml:space="preserve">&lt; 0.01, </w:t>
      </w:r>
      <w:r w:rsidRPr="007814DF">
        <w:rPr>
          <w:i/>
          <w:lang w:bidi="fa-IR"/>
        </w:rPr>
        <w:t>f</w:t>
      </w:r>
      <w:r w:rsidRPr="007814DF">
        <w:rPr>
          <w:i/>
          <w:vertAlign w:val="superscript"/>
          <w:lang w:bidi="fa-IR"/>
        </w:rPr>
        <w:t>2</w:t>
      </w:r>
      <w:r w:rsidRPr="002A7627">
        <w:rPr>
          <w:lang w:bidi="fa-IR"/>
        </w:rPr>
        <w:t xml:space="preserve"> = 0.22) and</w:t>
      </w:r>
      <w:r w:rsidRPr="002A7627">
        <w:t xml:space="preserve"> </w:t>
      </w:r>
      <w:r w:rsidRPr="002A7627">
        <w:rPr>
          <w:lang w:bidi="fa-IR"/>
        </w:rPr>
        <w:t>abilities (</w:t>
      </w:r>
      <w:r w:rsidRPr="007814DF">
        <w:rPr>
          <w:i/>
          <w:lang w:bidi="fa-IR"/>
        </w:rPr>
        <w:t>β</w:t>
      </w:r>
      <w:r w:rsidRPr="002A7627">
        <w:rPr>
          <w:lang w:bidi="fa-IR"/>
        </w:rPr>
        <w:t xml:space="preserve"> = 0.447, </w:t>
      </w:r>
      <w:r w:rsidRPr="007814DF">
        <w:rPr>
          <w:i/>
          <w:lang w:bidi="fa-IR"/>
        </w:rPr>
        <w:t>t</w:t>
      </w:r>
      <w:r w:rsidRPr="002A7627">
        <w:rPr>
          <w:lang w:bidi="fa-IR"/>
        </w:rPr>
        <w:t xml:space="preserve"> = 12.591, </w:t>
      </w:r>
      <w:r w:rsidRPr="007814DF">
        <w:rPr>
          <w:i/>
          <w:lang w:bidi="fa-IR"/>
        </w:rPr>
        <w:t>p</w:t>
      </w:r>
      <w:r>
        <w:rPr>
          <w:lang w:bidi="fa-IR"/>
        </w:rPr>
        <w:t xml:space="preserve"> </w:t>
      </w:r>
      <w:r w:rsidRPr="002A7627">
        <w:rPr>
          <w:lang w:bidi="fa-IR"/>
        </w:rPr>
        <w:t xml:space="preserve">&lt; 0.01, </w:t>
      </w:r>
      <w:r w:rsidRPr="007814DF">
        <w:rPr>
          <w:i/>
          <w:lang w:bidi="fa-IR"/>
        </w:rPr>
        <w:t>f</w:t>
      </w:r>
      <w:r w:rsidRPr="007814DF">
        <w:rPr>
          <w:i/>
          <w:vertAlign w:val="superscript"/>
          <w:lang w:bidi="fa-IR"/>
        </w:rPr>
        <w:t>2</w:t>
      </w:r>
      <w:r w:rsidRPr="002A7627">
        <w:rPr>
          <w:lang w:bidi="fa-IR"/>
        </w:rPr>
        <w:t xml:space="preserve"> = 0.409) </w:t>
      </w:r>
      <w:r>
        <w:rPr>
          <w:lang w:bidi="fa-IR"/>
        </w:rPr>
        <w:t>we</w:t>
      </w:r>
      <w:r w:rsidRPr="002A7627">
        <w:rPr>
          <w:lang w:bidi="fa-IR"/>
        </w:rPr>
        <w:t xml:space="preserve">re </w:t>
      </w:r>
      <w:r>
        <w:rPr>
          <w:lang w:bidi="fa-IR"/>
        </w:rPr>
        <w:t xml:space="preserve">statistically </w:t>
      </w:r>
      <w:r w:rsidRPr="002A7627">
        <w:rPr>
          <w:lang w:bidi="fa-IR"/>
        </w:rPr>
        <w:t>significant</w:t>
      </w:r>
      <w:r>
        <w:rPr>
          <w:lang w:bidi="fa-IR"/>
        </w:rPr>
        <w:t xml:space="preserve"> at a </w:t>
      </w:r>
      <w:r w:rsidRPr="007814DF">
        <w:rPr>
          <w:i/>
          <w:lang w:bidi="fa-IR"/>
        </w:rPr>
        <w:t>p</w:t>
      </w:r>
      <w:r>
        <w:rPr>
          <w:lang w:bidi="fa-IR"/>
        </w:rPr>
        <w:t xml:space="preserve"> = </w:t>
      </w:r>
      <w:r w:rsidR="00B111A8">
        <w:rPr>
          <w:lang w:bidi="fa-IR"/>
        </w:rPr>
        <w:t>0</w:t>
      </w:r>
      <w:r>
        <w:rPr>
          <w:lang w:bidi="fa-IR"/>
        </w:rPr>
        <w:t>.05</w:t>
      </w:r>
      <w:r w:rsidR="007C0420" w:rsidRPr="002A7627">
        <w:rPr>
          <w:lang w:bidi="fa-IR"/>
        </w:rPr>
        <w:t xml:space="preserve">. However, the relationship between </w:t>
      </w:r>
      <w:r>
        <w:rPr>
          <w:lang w:bidi="fa-IR"/>
        </w:rPr>
        <w:t>o</w:t>
      </w:r>
      <w:r w:rsidR="007C0420" w:rsidRPr="002A7627">
        <w:rPr>
          <w:lang w:bidi="fa-IR"/>
        </w:rPr>
        <w:t>pportunities (</w:t>
      </w:r>
      <w:r w:rsidR="007C0420" w:rsidRPr="007814DF">
        <w:rPr>
          <w:i/>
          <w:lang w:bidi="fa-IR"/>
        </w:rPr>
        <w:t>β</w:t>
      </w:r>
      <w:r w:rsidR="007C0420" w:rsidRPr="002A7627">
        <w:rPr>
          <w:lang w:bidi="fa-IR"/>
        </w:rPr>
        <w:t xml:space="preserve"> = 0.025, </w:t>
      </w:r>
      <w:r w:rsidR="007C0420" w:rsidRPr="007814DF">
        <w:rPr>
          <w:i/>
          <w:lang w:bidi="fa-IR"/>
        </w:rPr>
        <w:t>t</w:t>
      </w:r>
      <w:r w:rsidR="007C0420" w:rsidRPr="002A7627">
        <w:rPr>
          <w:lang w:bidi="fa-IR"/>
        </w:rPr>
        <w:t xml:space="preserve"> = 1.217, </w:t>
      </w:r>
      <w:r w:rsidR="007C0420" w:rsidRPr="007814DF">
        <w:rPr>
          <w:i/>
          <w:lang w:bidi="fa-IR"/>
        </w:rPr>
        <w:t>p</w:t>
      </w:r>
      <w:r w:rsidR="007C0420" w:rsidRPr="002A7627">
        <w:rPr>
          <w:lang w:bidi="fa-IR"/>
        </w:rPr>
        <w:t xml:space="preserve"> = 0.224, </w:t>
      </w:r>
      <w:r w:rsidR="007C0420" w:rsidRPr="007814DF">
        <w:rPr>
          <w:i/>
          <w:lang w:bidi="fa-IR"/>
        </w:rPr>
        <w:t>f</w:t>
      </w:r>
      <w:r w:rsidR="007C0420" w:rsidRPr="007814DF">
        <w:rPr>
          <w:i/>
          <w:vertAlign w:val="superscript"/>
          <w:lang w:bidi="fa-IR"/>
        </w:rPr>
        <w:t>2</w:t>
      </w:r>
      <w:r w:rsidR="007C0420" w:rsidRPr="002A7627">
        <w:rPr>
          <w:lang w:bidi="fa-IR"/>
        </w:rPr>
        <w:t xml:space="preserve"> = 0.002) and </w:t>
      </w:r>
      <w:r w:rsidRPr="002A7627">
        <w:rPr>
          <w:lang w:bidi="fa-IR"/>
        </w:rPr>
        <w:t xml:space="preserve">organizational learning </w:t>
      </w:r>
      <w:r w:rsidR="007C0420">
        <w:rPr>
          <w:lang w:bidi="fa-IR"/>
        </w:rPr>
        <w:t>wa</w:t>
      </w:r>
      <w:r w:rsidR="007C0420" w:rsidRPr="002A7627">
        <w:rPr>
          <w:lang w:bidi="fa-IR"/>
        </w:rPr>
        <w:t>s not significant</w:t>
      </w:r>
      <w:r w:rsidR="007C0420">
        <w:rPr>
          <w:lang w:bidi="fa-IR"/>
        </w:rPr>
        <w:t xml:space="preserve"> at this level</w:t>
      </w:r>
      <w:r w:rsidR="007C0420" w:rsidRPr="002A7627">
        <w:rPr>
          <w:lang w:bidi="fa-IR"/>
        </w:rPr>
        <w:t xml:space="preserve">. </w:t>
      </w:r>
    </w:p>
    <w:p w14:paraId="3C3CACAF" w14:textId="637A0BCD" w:rsidR="007C0420" w:rsidRDefault="007C0420" w:rsidP="007C0420">
      <w:pPr>
        <w:pStyle w:val="AAAAAAA"/>
        <w:rPr>
          <w:rStyle w:val="fontstyle01"/>
          <w:rFonts w:asciiTheme="majorBidi" w:hAnsiTheme="majorBidi" w:cstheme="majorBidi"/>
        </w:rPr>
      </w:pPr>
      <w:r w:rsidRPr="002A7627">
        <w:rPr>
          <w:lang w:bidi="fa-IR"/>
        </w:rPr>
        <w:t>After analyzing the direct relationships between exogenous and endogenous</w:t>
      </w:r>
      <w:r>
        <w:rPr>
          <w:lang w:bidi="fa-IR"/>
        </w:rPr>
        <w:t xml:space="preserve"> variables</w:t>
      </w:r>
      <w:r w:rsidRPr="002A7627">
        <w:rPr>
          <w:lang w:bidi="fa-IR"/>
        </w:rPr>
        <w:t>, the next analysis test</w:t>
      </w:r>
      <w:r w:rsidR="00DD3AB2">
        <w:rPr>
          <w:lang w:bidi="fa-IR"/>
        </w:rPr>
        <w:t>ed</w:t>
      </w:r>
      <w:r w:rsidRPr="002A7627">
        <w:rPr>
          <w:lang w:bidi="fa-IR"/>
        </w:rPr>
        <w:t xml:space="preserve"> the effect of the mediator on the model </w:t>
      </w:r>
      <w:r>
        <w:rPr>
          <w:lang w:bidi="fa-IR"/>
        </w:rPr>
        <w:t>using the</w:t>
      </w:r>
      <w:r w:rsidRPr="002A7627">
        <w:rPr>
          <w:lang w:bidi="fa-IR"/>
        </w:rPr>
        <w:t xml:space="preserve"> bootstrapping method. </w:t>
      </w:r>
      <w:r>
        <w:rPr>
          <w:rStyle w:val="fontstyle01"/>
          <w:rFonts w:asciiTheme="majorBidi" w:hAnsiTheme="majorBidi" w:cstheme="majorBidi"/>
        </w:rPr>
        <w:t>Measurement of i</w:t>
      </w:r>
      <w:r w:rsidRPr="002A7627">
        <w:rPr>
          <w:rStyle w:val="fontstyle01"/>
          <w:rFonts w:asciiTheme="majorBidi" w:hAnsiTheme="majorBidi" w:cstheme="majorBidi"/>
        </w:rPr>
        <w:t xml:space="preserve">ndirect effects </w:t>
      </w:r>
      <w:r>
        <w:rPr>
          <w:rStyle w:val="fontstyle01"/>
          <w:rFonts w:asciiTheme="majorBidi" w:hAnsiTheme="majorBidi" w:cstheme="majorBidi"/>
        </w:rPr>
        <w:t>through</w:t>
      </w:r>
      <w:r w:rsidRPr="002A7627">
        <w:rPr>
          <w:rStyle w:val="fontstyle01"/>
          <w:rFonts w:asciiTheme="majorBidi" w:hAnsiTheme="majorBidi" w:cstheme="majorBidi"/>
        </w:rPr>
        <w:t xml:space="preserve"> their inference statistics </w:t>
      </w:r>
      <w:r>
        <w:rPr>
          <w:rStyle w:val="fontstyle01"/>
          <w:rFonts w:asciiTheme="majorBidi" w:hAnsiTheme="majorBidi" w:cstheme="majorBidi"/>
        </w:rPr>
        <w:t>have been found to be</w:t>
      </w:r>
      <w:r w:rsidRPr="002A7627">
        <w:rPr>
          <w:rStyle w:val="fontstyle01"/>
          <w:rFonts w:asciiTheme="majorBidi" w:hAnsiTheme="majorBidi" w:cstheme="majorBidi"/>
        </w:rPr>
        <w:t xml:space="preserve"> important </w:t>
      </w:r>
      <w:r>
        <w:rPr>
          <w:rStyle w:val="fontstyle01"/>
          <w:rFonts w:asciiTheme="majorBidi" w:hAnsiTheme="majorBidi" w:cstheme="majorBidi"/>
        </w:rPr>
        <w:t>in</w:t>
      </w:r>
      <w:r w:rsidRPr="002A7627">
        <w:rPr>
          <w:rStyle w:val="fontstyle01"/>
          <w:rFonts w:asciiTheme="majorBidi" w:hAnsiTheme="majorBidi" w:cstheme="majorBidi"/>
        </w:rPr>
        <w:t xml:space="preserve"> mediation analysis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{"citationItems":[{"id":"ITEM-1","itemData":{"DOI":"10.1086/651257","ISBN":"00935301","abstract":"Baron and Kenny’s procedure for determining if an independent variable affects a dependent variable through some mediator is so well known that it is used by authors and requested by reviewers almost reflexively. Many research projects have been terminated early in a research program or later in the review process because the data did not conform to Baron and Kenny’s criteria, impeding theoretical development. While the technical literature has disputed some of Baron and Kenny’s tests, this literature has not diffused to practicing researchers. We present a nontechnical summary of the flaws in the Baron and Kenny logic, some of which have not been previously noted. We provide a decision tree and a step‐by‐step procedure for testing mediation, classifying its type, and interpreting the implications of findings for theory building and future research.","author":[{"dropping-particle":"","family":"Zhao","given":"Xinshu","non-dropping-particle":"","parse-names":false,"suffix":""},{"dropping-particle":"","family":"Lynch","given":"John G","non-dropping-particle":"","parse-names":false,"suffix":""},{"dropping-particle":"","family":"Chen","given":"Qimei","non-dropping-particle":"","parse-names":false,"suffix":""}],"container-title":"Journal of Consumer Research","id":"ITEM-1","issue":"2","issued":{"date-parts":[["2010"]]},"page":"197–206","title":"Reconsidering Baron and Kenny: Myths and truths about mediation analysis","type":"article-journal","volume":"37"},"uris":["http://www.mendeley.com/documents/?uuid=5606b03d-2d3e-4656-8c2e-19a26aba7355"]}],"mendeley":{"formattedCitation":"(Zhao, Lynch, &amp; Chen, 2010)","plainTextFormattedCitation":"(Zhao, Lynch, &amp; Chen, 2010)","previouslyFormattedCitation":"(Zhao, Lynch, &amp; Chen, 2010)"},"properties":{"noteIndex":0},"schema":"https://github.com/citation-style-language/schema/raw/master/csl-citation.json"}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(Zhao, Lynch, &amp; Chen, 2010)</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 xml:space="preserve">, and </w:t>
      </w:r>
      <w:r>
        <w:rPr>
          <w:rStyle w:val="fontstyle01"/>
          <w:rFonts w:asciiTheme="majorBidi" w:hAnsiTheme="majorBidi" w:cstheme="majorBidi"/>
        </w:rPr>
        <w:t xml:space="preserve">analysis of </w:t>
      </w:r>
      <w:r w:rsidRPr="002A7627">
        <w:rPr>
          <w:rStyle w:val="fontstyle01"/>
          <w:rFonts w:asciiTheme="majorBidi" w:hAnsiTheme="majorBidi" w:cstheme="majorBidi"/>
        </w:rPr>
        <w:t xml:space="preserve">total effects </w:t>
      </w:r>
      <w:r>
        <w:rPr>
          <w:rStyle w:val="fontstyle01"/>
          <w:rFonts w:asciiTheme="majorBidi" w:hAnsiTheme="majorBidi" w:cstheme="majorBidi"/>
        </w:rPr>
        <w:t>is</w:t>
      </w:r>
      <w:r w:rsidRPr="002A7627">
        <w:rPr>
          <w:rStyle w:val="fontstyle01"/>
          <w:rFonts w:asciiTheme="majorBidi" w:hAnsiTheme="majorBidi" w:cstheme="majorBidi"/>
        </w:rPr>
        <w:t xml:space="preserve"> useful for success factor analysis </w:t>
      </w:r>
      <w:r w:rsidRPr="002A7627">
        <w:rPr>
          <w:rStyle w:val="fontstyle01"/>
          <w:rFonts w:asciiTheme="majorBidi" w:hAnsiTheme="majorBidi" w:cstheme="majorBidi"/>
        </w:rPr>
        <w:fldChar w:fldCharType="begin" w:fldLock="1"/>
      </w:r>
      <w:r w:rsidRPr="002A7627">
        <w:rPr>
          <w:rStyle w:val="fontstyle01"/>
          <w:rFonts w:asciiTheme="majorBidi" w:hAnsiTheme="majorBidi" w:cstheme="majorBidi"/>
        </w:rPr>
        <w:instrText>ADDIN CSL_CITATION {"citationItems":[{"id":"ITEM-1","itemData":{"ISBN":"978-3-540-32825-4","ISSN":"978-3-540-32825-4","PMID":"15003161","abstract":"To date, multi-group comparison of Partial Least Square (PLS) models where differences in path estimates for different sampled populations have been relatively naive. Often, researchers simply examine and discuss the difference in magnitude of specific model path estimates from two or more data sets. When evaluating the significance of path differences, a t-test based on the pooled standard errors obtained via a resampling procedure such as bootstrapping from each data set is made. Yet problems can occur if the assumption of normal population or similar sample size is made. This paper provides an introduction to an alternative distribution free approach based on an approximate randomization test – where a subset of all possible data permutations between sample groups is made. The performance of this permutation procedure is tested on both simulated data and a study exploring the differences of factors that impact outsourcing between the countries of US and Germany. Furthermore, as an initial examination of the consistency of this new procedure, the outsourcing results are compared with those obtained from using covariance based SEM (AMOS 7).","author":[{"dropping-particle":"","family":"Albers","given":"S","non-dropping-particle":"","parse-names":false,"suffix":""}],"container-title":"Handbook of partial least squares","editor":[{"dropping-particle":"","family":"Vinzi","given":"V.E.","non-dropping-particle":"","parse-names":false,"suffix":""}],"id":"ITEM-1","issued":{"date-parts":[["2010"]]},"page":"409-425","publisher":"Springer","publisher-place":"Berlin, Germany","title":"PLS and success factor studies in marketing","type":"chapter"},"uris":["http://www.mendeley.com/documents/?uuid=5b929870-738e-4189-b236-1f9312d9a5ff"]}],"mendeley":{"formattedCitation":"(Albers, 2010)","plainTextFormattedCitation":"(Albers, 2010)","previouslyFormattedCitation":"(Albers, 2010)"},"properties":{"noteIndex":0},"schema":"https://github.com/citation-style-language/schema/raw/master/csl-citation.json"}</w:instrText>
      </w:r>
      <w:r w:rsidRPr="002A7627">
        <w:rPr>
          <w:rStyle w:val="fontstyle01"/>
          <w:rFonts w:asciiTheme="majorBidi" w:hAnsiTheme="majorBidi" w:cstheme="majorBidi"/>
        </w:rPr>
        <w:fldChar w:fldCharType="separate"/>
      </w:r>
      <w:r w:rsidRPr="002A7627">
        <w:rPr>
          <w:rStyle w:val="fontstyle01"/>
          <w:rFonts w:asciiTheme="majorBidi" w:hAnsiTheme="majorBidi" w:cstheme="majorBidi"/>
          <w:noProof/>
        </w:rPr>
        <w:t>(Albers, 2010)</w:t>
      </w:r>
      <w:r w:rsidRPr="002A7627">
        <w:rPr>
          <w:rStyle w:val="fontstyle01"/>
          <w:rFonts w:asciiTheme="majorBidi" w:hAnsiTheme="majorBidi" w:cstheme="majorBidi"/>
        </w:rPr>
        <w:fldChar w:fldCharType="end"/>
      </w:r>
      <w:r w:rsidRPr="002A7627">
        <w:rPr>
          <w:rStyle w:val="fontstyle01"/>
          <w:rFonts w:asciiTheme="majorBidi" w:hAnsiTheme="majorBidi" w:cstheme="majorBidi"/>
        </w:rPr>
        <w:t xml:space="preserve">. Figure </w:t>
      </w:r>
      <w:r w:rsidR="00C44F7F">
        <w:rPr>
          <w:rStyle w:val="fontstyle01"/>
          <w:rFonts w:asciiTheme="majorBidi" w:hAnsiTheme="majorBidi" w:cstheme="majorBidi"/>
        </w:rPr>
        <w:t>6</w:t>
      </w:r>
      <w:r w:rsidR="00C44F7F" w:rsidRPr="002A7627">
        <w:rPr>
          <w:rStyle w:val="fontstyle01"/>
          <w:rFonts w:asciiTheme="majorBidi" w:hAnsiTheme="majorBidi" w:cstheme="majorBidi"/>
        </w:rPr>
        <w:t xml:space="preserve"> </w:t>
      </w:r>
      <w:r w:rsidR="00DD3AB2">
        <w:rPr>
          <w:rStyle w:val="fontstyle01"/>
          <w:rFonts w:asciiTheme="majorBidi" w:hAnsiTheme="majorBidi" w:cstheme="majorBidi"/>
        </w:rPr>
        <w:t>shows</w:t>
      </w:r>
      <w:r w:rsidRPr="002A7627">
        <w:rPr>
          <w:rStyle w:val="fontstyle01"/>
          <w:rFonts w:asciiTheme="majorBidi" w:hAnsiTheme="majorBidi" w:cstheme="majorBidi"/>
        </w:rPr>
        <w:t xml:space="preserve"> the measurement model results in </w:t>
      </w:r>
      <w:r>
        <w:rPr>
          <w:rStyle w:val="fontstyle01"/>
          <w:rFonts w:asciiTheme="majorBidi" w:hAnsiTheme="majorBidi" w:cstheme="majorBidi"/>
        </w:rPr>
        <w:t xml:space="preserve">the </w:t>
      </w:r>
      <w:r w:rsidRPr="002A7627">
        <w:rPr>
          <w:rStyle w:val="fontstyle01"/>
          <w:rFonts w:asciiTheme="majorBidi" w:hAnsiTheme="majorBidi" w:cstheme="majorBidi"/>
        </w:rPr>
        <w:t>bootstrapping mode.</w:t>
      </w:r>
    </w:p>
    <w:p w14:paraId="5C23ABC3" w14:textId="77777777" w:rsidR="001708DA" w:rsidRDefault="001708DA" w:rsidP="007C0420">
      <w:pPr>
        <w:pStyle w:val="AAAAAAA"/>
        <w:rPr>
          <w:rStyle w:val="fontstyle01"/>
          <w:rFonts w:asciiTheme="majorBidi" w:hAnsiTheme="majorBidi" w:cstheme="majorBidi"/>
        </w:rPr>
      </w:pPr>
    </w:p>
    <w:p w14:paraId="0CC593AD" w14:textId="2570CE0B" w:rsidR="003325BB" w:rsidRPr="001D5F54" w:rsidRDefault="003325BB" w:rsidP="003325BB">
      <w:pPr>
        <w:pStyle w:val="Caption"/>
        <w:keepNext/>
        <w:rPr>
          <w:color w:val="000000"/>
          <w:szCs w:val="24"/>
        </w:rPr>
      </w:pPr>
      <w:bookmarkStart w:id="256" w:name="_Toc19478602"/>
      <w:bookmarkStart w:id="257" w:name="_Toc21074092"/>
      <w:r>
        <w:t xml:space="preserve">Table </w:t>
      </w:r>
      <w:r w:rsidR="00606D42">
        <w:rPr>
          <w:noProof/>
        </w:rPr>
        <w:fldChar w:fldCharType="begin"/>
      </w:r>
      <w:r w:rsidR="00606D42">
        <w:rPr>
          <w:noProof/>
        </w:rPr>
        <w:instrText xml:space="preserve"> SEQ Table \* ARABIC </w:instrText>
      </w:r>
      <w:r w:rsidR="00606D42">
        <w:rPr>
          <w:noProof/>
        </w:rPr>
        <w:fldChar w:fldCharType="separate"/>
      </w:r>
      <w:r w:rsidR="00972C3F">
        <w:rPr>
          <w:noProof/>
        </w:rPr>
        <w:t>24</w:t>
      </w:r>
      <w:r w:rsidR="00606D42">
        <w:rPr>
          <w:noProof/>
        </w:rPr>
        <w:fldChar w:fldCharType="end"/>
      </w:r>
      <w:r>
        <w:t xml:space="preserve">. </w:t>
      </w:r>
      <w:r w:rsidRPr="00C16D66">
        <w:t>The loading values of the observed variables on their related latent variables</w:t>
      </w:r>
      <w:bookmarkEnd w:id="256"/>
      <w:bookmarkEnd w:id="257"/>
    </w:p>
    <w:tbl>
      <w:tblPr>
        <w:tblStyle w:val="APAReport"/>
        <w:tblW w:w="0" w:type="auto"/>
        <w:tblLook w:val="04A0" w:firstRow="1" w:lastRow="0" w:firstColumn="1" w:lastColumn="0" w:noHBand="0" w:noVBand="1"/>
      </w:tblPr>
      <w:tblGrid>
        <w:gridCol w:w="3816"/>
        <w:gridCol w:w="2123"/>
        <w:gridCol w:w="1981"/>
      </w:tblGrid>
      <w:tr w:rsidR="003325BB" w:rsidRPr="002A7627" w14:paraId="5A2706E0" w14:textId="77777777" w:rsidTr="00776FE9">
        <w:trPr>
          <w:cnfStyle w:val="100000000000" w:firstRow="1" w:lastRow="0" w:firstColumn="0" w:lastColumn="0" w:oddVBand="0" w:evenVBand="0" w:oddHBand="0" w:evenHBand="0" w:firstRowFirstColumn="0" w:firstRowLastColumn="0" w:lastRowFirstColumn="0" w:lastRowLastColumn="0"/>
          <w:trHeight w:val="531"/>
        </w:trPr>
        <w:tc>
          <w:tcPr>
            <w:tcW w:w="3816" w:type="dxa"/>
            <w:tcBorders>
              <w:top w:val="single" w:sz="4" w:space="0" w:color="auto"/>
              <w:bottom w:val="single" w:sz="4" w:space="0" w:color="auto"/>
            </w:tcBorders>
            <w:hideMark/>
          </w:tcPr>
          <w:p w14:paraId="12BF1E7B" w14:textId="77777777" w:rsidR="003325BB" w:rsidRPr="002A7627" w:rsidRDefault="003325BB" w:rsidP="00776FE9">
            <w:pPr>
              <w:rPr>
                <w:rStyle w:val="fontstyle01"/>
                <w:rFonts w:asciiTheme="majorBidi" w:hAnsiTheme="majorBidi" w:cstheme="majorBidi"/>
                <w:b/>
                <w:bCs/>
                <w:sz w:val="22"/>
                <w:szCs w:val="22"/>
              </w:rPr>
            </w:pPr>
            <w:r w:rsidRPr="002A7627">
              <w:rPr>
                <w:rStyle w:val="fontstyle01"/>
                <w:rFonts w:asciiTheme="majorBidi" w:hAnsiTheme="majorBidi" w:cstheme="majorBidi"/>
                <w:b/>
                <w:bCs/>
                <w:sz w:val="22"/>
                <w:szCs w:val="22"/>
              </w:rPr>
              <w:t>Latent Variable</w:t>
            </w:r>
          </w:p>
        </w:tc>
        <w:tc>
          <w:tcPr>
            <w:tcW w:w="2123" w:type="dxa"/>
            <w:tcBorders>
              <w:top w:val="single" w:sz="4" w:space="0" w:color="auto"/>
              <w:bottom w:val="single" w:sz="4" w:space="0" w:color="auto"/>
            </w:tcBorders>
            <w:hideMark/>
          </w:tcPr>
          <w:p w14:paraId="490104DD" w14:textId="77777777" w:rsidR="003325BB" w:rsidRPr="002A7627" w:rsidRDefault="003325BB" w:rsidP="00776FE9">
            <w:pPr>
              <w:rPr>
                <w:rStyle w:val="fontstyle01"/>
                <w:rFonts w:asciiTheme="majorBidi" w:hAnsiTheme="majorBidi" w:cstheme="majorBidi"/>
                <w:b/>
                <w:bCs/>
                <w:sz w:val="22"/>
                <w:szCs w:val="22"/>
              </w:rPr>
            </w:pPr>
            <w:r w:rsidRPr="002A7627">
              <w:rPr>
                <w:rStyle w:val="fontstyle01"/>
                <w:rFonts w:asciiTheme="majorBidi" w:hAnsiTheme="majorBidi" w:cstheme="majorBidi"/>
                <w:b/>
                <w:bCs/>
                <w:sz w:val="22"/>
                <w:szCs w:val="22"/>
              </w:rPr>
              <w:t>Observed Variable</w:t>
            </w:r>
          </w:p>
        </w:tc>
        <w:tc>
          <w:tcPr>
            <w:tcW w:w="1981" w:type="dxa"/>
            <w:tcBorders>
              <w:top w:val="single" w:sz="4" w:space="0" w:color="auto"/>
              <w:bottom w:val="single" w:sz="4" w:space="0" w:color="auto"/>
            </w:tcBorders>
            <w:hideMark/>
          </w:tcPr>
          <w:p w14:paraId="47246442" w14:textId="77777777" w:rsidR="003325BB" w:rsidRPr="002A7627" w:rsidRDefault="003325BB" w:rsidP="00776FE9">
            <w:pPr>
              <w:rPr>
                <w:rStyle w:val="fontstyle01"/>
                <w:rFonts w:asciiTheme="majorBidi" w:hAnsiTheme="majorBidi" w:cstheme="majorBidi"/>
                <w:b/>
                <w:bCs/>
                <w:sz w:val="22"/>
                <w:szCs w:val="22"/>
              </w:rPr>
            </w:pPr>
            <w:r w:rsidRPr="002A7627">
              <w:rPr>
                <w:rStyle w:val="fontstyle01"/>
                <w:rFonts w:asciiTheme="majorBidi" w:hAnsiTheme="majorBidi" w:cstheme="majorBidi"/>
                <w:b/>
                <w:bCs/>
                <w:sz w:val="22"/>
                <w:szCs w:val="22"/>
              </w:rPr>
              <w:t>Loading Value</w:t>
            </w:r>
          </w:p>
        </w:tc>
      </w:tr>
      <w:tr w:rsidR="003325BB" w:rsidRPr="002A7627" w14:paraId="654A1D9A" w14:textId="77777777" w:rsidTr="00776FE9">
        <w:trPr>
          <w:trHeight w:val="141"/>
        </w:trPr>
        <w:tc>
          <w:tcPr>
            <w:tcW w:w="3816" w:type="dxa"/>
            <w:vMerge w:val="restart"/>
            <w:tcBorders>
              <w:top w:val="single" w:sz="4" w:space="0" w:color="auto"/>
            </w:tcBorders>
            <w:hideMark/>
          </w:tcPr>
          <w:p w14:paraId="263FA37B" w14:textId="77777777" w:rsidR="003325BB" w:rsidRPr="002A7627" w:rsidRDefault="003325BB" w:rsidP="00776FE9">
            <w:pPr>
              <w:rPr>
                <w:sz w:val="22"/>
                <w:szCs w:val="22"/>
              </w:rPr>
            </w:pPr>
            <w:r w:rsidRPr="002A7627">
              <w:rPr>
                <w:b/>
                <w:bCs/>
                <w:sz w:val="22"/>
                <w:szCs w:val="22"/>
              </w:rPr>
              <w:t>Knowledge Management Capabilities</w:t>
            </w:r>
          </w:p>
        </w:tc>
        <w:tc>
          <w:tcPr>
            <w:tcW w:w="2123" w:type="dxa"/>
            <w:tcBorders>
              <w:top w:val="single" w:sz="4" w:space="0" w:color="auto"/>
            </w:tcBorders>
            <w:hideMark/>
          </w:tcPr>
          <w:p w14:paraId="726F72EF"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KMC 1</w:t>
            </w:r>
          </w:p>
        </w:tc>
        <w:tc>
          <w:tcPr>
            <w:tcW w:w="1981" w:type="dxa"/>
            <w:tcBorders>
              <w:top w:val="single" w:sz="4" w:space="0" w:color="auto"/>
            </w:tcBorders>
            <w:hideMark/>
          </w:tcPr>
          <w:p w14:paraId="38991F14"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0.794</w:t>
            </w:r>
          </w:p>
        </w:tc>
      </w:tr>
      <w:tr w:rsidR="003325BB" w:rsidRPr="002A7627" w14:paraId="4094F11F" w14:textId="77777777" w:rsidTr="00776FE9">
        <w:trPr>
          <w:trHeight w:val="138"/>
        </w:trPr>
        <w:tc>
          <w:tcPr>
            <w:tcW w:w="0" w:type="auto"/>
            <w:vMerge/>
            <w:hideMark/>
          </w:tcPr>
          <w:p w14:paraId="675E86E4" w14:textId="77777777" w:rsidR="003325BB" w:rsidRPr="002A7627" w:rsidRDefault="003325BB" w:rsidP="00776FE9">
            <w:pPr>
              <w:rPr>
                <w:sz w:val="22"/>
                <w:szCs w:val="22"/>
              </w:rPr>
            </w:pPr>
          </w:p>
        </w:tc>
        <w:tc>
          <w:tcPr>
            <w:tcW w:w="2123" w:type="dxa"/>
            <w:hideMark/>
          </w:tcPr>
          <w:p w14:paraId="3069D2E3"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KMC 2</w:t>
            </w:r>
          </w:p>
        </w:tc>
        <w:tc>
          <w:tcPr>
            <w:tcW w:w="1981" w:type="dxa"/>
            <w:hideMark/>
          </w:tcPr>
          <w:p w14:paraId="66CC242E"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0.892</w:t>
            </w:r>
          </w:p>
        </w:tc>
      </w:tr>
      <w:tr w:rsidR="003325BB" w:rsidRPr="002A7627" w14:paraId="1B022D5E" w14:textId="77777777" w:rsidTr="00776FE9">
        <w:trPr>
          <w:trHeight w:val="138"/>
        </w:trPr>
        <w:tc>
          <w:tcPr>
            <w:tcW w:w="0" w:type="auto"/>
            <w:vMerge/>
            <w:hideMark/>
          </w:tcPr>
          <w:p w14:paraId="2CF30822" w14:textId="77777777" w:rsidR="003325BB" w:rsidRPr="002A7627" w:rsidRDefault="003325BB" w:rsidP="00776FE9">
            <w:pPr>
              <w:rPr>
                <w:sz w:val="22"/>
                <w:szCs w:val="22"/>
              </w:rPr>
            </w:pPr>
          </w:p>
        </w:tc>
        <w:tc>
          <w:tcPr>
            <w:tcW w:w="2123" w:type="dxa"/>
            <w:hideMark/>
          </w:tcPr>
          <w:p w14:paraId="028BB9FA"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KMC 3</w:t>
            </w:r>
          </w:p>
        </w:tc>
        <w:tc>
          <w:tcPr>
            <w:tcW w:w="1981" w:type="dxa"/>
            <w:hideMark/>
          </w:tcPr>
          <w:p w14:paraId="456A5315"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0.842</w:t>
            </w:r>
          </w:p>
        </w:tc>
      </w:tr>
      <w:tr w:rsidR="003325BB" w:rsidRPr="002A7627" w14:paraId="2BE192DD" w14:textId="77777777" w:rsidTr="00776FE9">
        <w:trPr>
          <w:trHeight w:val="127"/>
        </w:trPr>
        <w:tc>
          <w:tcPr>
            <w:tcW w:w="0" w:type="auto"/>
            <w:vMerge/>
            <w:hideMark/>
          </w:tcPr>
          <w:p w14:paraId="3D93265F" w14:textId="77777777" w:rsidR="003325BB" w:rsidRPr="002A7627" w:rsidRDefault="003325BB" w:rsidP="00776FE9">
            <w:pPr>
              <w:rPr>
                <w:sz w:val="22"/>
                <w:szCs w:val="22"/>
              </w:rPr>
            </w:pPr>
          </w:p>
        </w:tc>
        <w:tc>
          <w:tcPr>
            <w:tcW w:w="2123" w:type="dxa"/>
            <w:hideMark/>
          </w:tcPr>
          <w:p w14:paraId="5133DF54"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KMC 4</w:t>
            </w:r>
          </w:p>
        </w:tc>
        <w:tc>
          <w:tcPr>
            <w:tcW w:w="1981" w:type="dxa"/>
            <w:hideMark/>
          </w:tcPr>
          <w:p w14:paraId="4E0B8B08"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0.868</w:t>
            </w:r>
          </w:p>
        </w:tc>
      </w:tr>
      <w:tr w:rsidR="003325BB" w:rsidRPr="002A7627" w14:paraId="67C12AAF" w14:textId="77777777" w:rsidTr="00776FE9">
        <w:trPr>
          <w:trHeight w:val="185"/>
        </w:trPr>
        <w:tc>
          <w:tcPr>
            <w:tcW w:w="3816" w:type="dxa"/>
            <w:vMerge w:val="restart"/>
            <w:hideMark/>
          </w:tcPr>
          <w:p w14:paraId="07CC03C7" w14:textId="77777777" w:rsidR="003325BB" w:rsidRPr="002A7627" w:rsidRDefault="003325BB" w:rsidP="00776FE9">
            <w:pPr>
              <w:spacing w:before="240"/>
              <w:rPr>
                <w:b/>
                <w:bCs/>
                <w:sz w:val="22"/>
                <w:szCs w:val="22"/>
              </w:rPr>
            </w:pPr>
            <w:r w:rsidRPr="002A7627">
              <w:rPr>
                <w:b/>
                <w:bCs/>
                <w:sz w:val="22"/>
                <w:szCs w:val="22"/>
              </w:rPr>
              <w:t>Extrinsic Motivation</w:t>
            </w:r>
          </w:p>
        </w:tc>
        <w:tc>
          <w:tcPr>
            <w:tcW w:w="2123" w:type="dxa"/>
            <w:hideMark/>
          </w:tcPr>
          <w:p w14:paraId="38B99474" w14:textId="77777777" w:rsidR="003325BB" w:rsidRPr="002A7627" w:rsidRDefault="003325BB" w:rsidP="00776FE9">
            <w:pPr>
              <w:spacing w:before="240"/>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EMP 1</w:t>
            </w:r>
          </w:p>
        </w:tc>
        <w:tc>
          <w:tcPr>
            <w:tcW w:w="1981" w:type="dxa"/>
            <w:hideMark/>
          </w:tcPr>
          <w:p w14:paraId="4280F198" w14:textId="77777777" w:rsidR="003325BB" w:rsidRPr="002A7627" w:rsidRDefault="003325BB" w:rsidP="00776FE9">
            <w:pPr>
              <w:spacing w:before="240"/>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0.745</w:t>
            </w:r>
          </w:p>
        </w:tc>
      </w:tr>
      <w:tr w:rsidR="003325BB" w:rsidRPr="002A7627" w14:paraId="15AD1658" w14:textId="77777777" w:rsidTr="00776FE9">
        <w:trPr>
          <w:trHeight w:val="185"/>
        </w:trPr>
        <w:tc>
          <w:tcPr>
            <w:tcW w:w="0" w:type="auto"/>
            <w:vMerge/>
            <w:hideMark/>
          </w:tcPr>
          <w:p w14:paraId="788F6CF0" w14:textId="77777777" w:rsidR="003325BB" w:rsidRPr="002A7627" w:rsidRDefault="003325BB" w:rsidP="00776FE9">
            <w:pPr>
              <w:rPr>
                <w:b/>
                <w:bCs/>
                <w:sz w:val="22"/>
                <w:szCs w:val="22"/>
              </w:rPr>
            </w:pPr>
          </w:p>
        </w:tc>
        <w:tc>
          <w:tcPr>
            <w:tcW w:w="2123" w:type="dxa"/>
            <w:hideMark/>
          </w:tcPr>
          <w:p w14:paraId="31532C93"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EMP 2</w:t>
            </w:r>
          </w:p>
        </w:tc>
        <w:tc>
          <w:tcPr>
            <w:tcW w:w="1981" w:type="dxa"/>
            <w:hideMark/>
          </w:tcPr>
          <w:p w14:paraId="5EE1C0C4"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0.873</w:t>
            </w:r>
          </w:p>
        </w:tc>
      </w:tr>
      <w:tr w:rsidR="003325BB" w:rsidRPr="002A7627" w14:paraId="3947FEF5" w14:textId="77777777" w:rsidTr="00776FE9">
        <w:trPr>
          <w:trHeight w:val="70"/>
        </w:trPr>
        <w:tc>
          <w:tcPr>
            <w:tcW w:w="0" w:type="auto"/>
            <w:vMerge/>
            <w:hideMark/>
          </w:tcPr>
          <w:p w14:paraId="2C3EDA1A" w14:textId="77777777" w:rsidR="003325BB" w:rsidRPr="002A7627" w:rsidRDefault="003325BB" w:rsidP="00776FE9">
            <w:pPr>
              <w:rPr>
                <w:b/>
                <w:bCs/>
                <w:sz w:val="22"/>
                <w:szCs w:val="22"/>
              </w:rPr>
            </w:pPr>
          </w:p>
        </w:tc>
        <w:tc>
          <w:tcPr>
            <w:tcW w:w="2123" w:type="dxa"/>
            <w:hideMark/>
          </w:tcPr>
          <w:p w14:paraId="0241F0C4"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EMP 3</w:t>
            </w:r>
          </w:p>
        </w:tc>
        <w:tc>
          <w:tcPr>
            <w:tcW w:w="1981" w:type="dxa"/>
            <w:hideMark/>
          </w:tcPr>
          <w:p w14:paraId="36BE3019"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0.879</w:t>
            </w:r>
          </w:p>
        </w:tc>
      </w:tr>
      <w:tr w:rsidR="003325BB" w:rsidRPr="002A7627" w14:paraId="162ED5B2" w14:textId="77777777" w:rsidTr="00776FE9">
        <w:trPr>
          <w:trHeight w:val="185"/>
        </w:trPr>
        <w:tc>
          <w:tcPr>
            <w:tcW w:w="3816" w:type="dxa"/>
            <w:vMerge w:val="restart"/>
            <w:hideMark/>
          </w:tcPr>
          <w:p w14:paraId="1A0CDF9D" w14:textId="77777777" w:rsidR="003325BB" w:rsidRPr="002A7627" w:rsidRDefault="003325BB" w:rsidP="00776FE9">
            <w:pPr>
              <w:spacing w:before="240"/>
              <w:rPr>
                <w:b/>
                <w:bCs/>
                <w:sz w:val="22"/>
                <w:szCs w:val="22"/>
              </w:rPr>
            </w:pPr>
            <w:r w:rsidRPr="002A7627">
              <w:rPr>
                <w:b/>
                <w:bCs/>
                <w:sz w:val="22"/>
                <w:szCs w:val="22"/>
              </w:rPr>
              <w:t>Intrinsic Motivation</w:t>
            </w:r>
          </w:p>
        </w:tc>
        <w:tc>
          <w:tcPr>
            <w:tcW w:w="2123" w:type="dxa"/>
            <w:hideMark/>
          </w:tcPr>
          <w:p w14:paraId="7AEB3F02" w14:textId="77777777" w:rsidR="003325BB" w:rsidRPr="002A7627" w:rsidRDefault="003325BB" w:rsidP="00776FE9">
            <w:pPr>
              <w:spacing w:before="240"/>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IMP 1</w:t>
            </w:r>
          </w:p>
        </w:tc>
        <w:tc>
          <w:tcPr>
            <w:tcW w:w="1981" w:type="dxa"/>
            <w:hideMark/>
          </w:tcPr>
          <w:p w14:paraId="2DDD19AD" w14:textId="77777777" w:rsidR="003325BB" w:rsidRPr="002A7627" w:rsidRDefault="003325BB" w:rsidP="00776FE9">
            <w:pPr>
              <w:spacing w:before="240"/>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0.790</w:t>
            </w:r>
          </w:p>
        </w:tc>
      </w:tr>
      <w:tr w:rsidR="003325BB" w:rsidRPr="002A7627" w14:paraId="52B62BDD" w14:textId="77777777" w:rsidTr="00776FE9">
        <w:trPr>
          <w:trHeight w:val="185"/>
        </w:trPr>
        <w:tc>
          <w:tcPr>
            <w:tcW w:w="0" w:type="auto"/>
            <w:vMerge/>
            <w:hideMark/>
          </w:tcPr>
          <w:p w14:paraId="1DC8CAF5" w14:textId="77777777" w:rsidR="003325BB" w:rsidRPr="002A7627" w:rsidRDefault="003325BB" w:rsidP="00776FE9">
            <w:pPr>
              <w:rPr>
                <w:b/>
                <w:bCs/>
                <w:sz w:val="22"/>
                <w:szCs w:val="22"/>
              </w:rPr>
            </w:pPr>
          </w:p>
        </w:tc>
        <w:tc>
          <w:tcPr>
            <w:tcW w:w="2123" w:type="dxa"/>
            <w:hideMark/>
          </w:tcPr>
          <w:p w14:paraId="3B1EE2CF"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IMP 2</w:t>
            </w:r>
          </w:p>
        </w:tc>
        <w:tc>
          <w:tcPr>
            <w:tcW w:w="1981" w:type="dxa"/>
            <w:hideMark/>
          </w:tcPr>
          <w:p w14:paraId="2AEFF5D1"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0.893</w:t>
            </w:r>
          </w:p>
        </w:tc>
      </w:tr>
      <w:tr w:rsidR="003325BB" w:rsidRPr="002A7627" w14:paraId="7E079E48" w14:textId="77777777" w:rsidTr="00776FE9">
        <w:trPr>
          <w:trHeight w:val="185"/>
        </w:trPr>
        <w:tc>
          <w:tcPr>
            <w:tcW w:w="0" w:type="auto"/>
            <w:vMerge/>
            <w:hideMark/>
          </w:tcPr>
          <w:p w14:paraId="31BDAE6E" w14:textId="77777777" w:rsidR="003325BB" w:rsidRPr="002A7627" w:rsidRDefault="003325BB" w:rsidP="00776FE9">
            <w:pPr>
              <w:rPr>
                <w:b/>
                <w:bCs/>
                <w:sz w:val="22"/>
                <w:szCs w:val="22"/>
              </w:rPr>
            </w:pPr>
          </w:p>
        </w:tc>
        <w:tc>
          <w:tcPr>
            <w:tcW w:w="2123" w:type="dxa"/>
            <w:hideMark/>
          </w:tcPr>
          <w:p w14:paraId="54D97013"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IMP 3</w:t>
            </w:r>
          </w:p>
        </w:tc>
        <w:tc>
          <w:tcPr>
            <w:tcW w:w="1981" w:type="dxa"/>
            <w:hideMark/>
          </w:tcPr>
          <w:p w14:paraId="34AD78FF"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0.870</w:t>
            </w:r>
          </w:p>
        </w:tc>
      </w:tr>
      <w:tr w:rsidR="003325BB" w:rsidRPr="002A7627" w14:paraId="2CB85A0C" w14:textId="77777777" w:rsidTr="00776FE9">
        <w:trPr>
          <w:trHeight w:val="67"/>
        </w:trPr>
        <w:tc>
          <w:tcPr>
            <w:tcW w:w="3816" w:type="dxa"/>
            <w:vMerge w:val="restart"/>
            <w:hideMark/>
          </w:tcPr>
          <w:p w14:paraId="05503396" w14:textId="77777777" w:rsidR="003325BB" w:rsidRPr="002A7627" w:rsidRDefault="003325BB" w:rsidP="00776FE9">
            <w:pPr>
              <w:spacing w:before="240"/>
              <w:rPr>
                <w:b/>
                <w:bCs/>
                <w:sz w:val="22"/>
                <w:szCs w:val="22"/>
              </w:rPr>
            </w:pPr>
            <w:r w:rsidRPr="002A7627">
              <w:rPr>
                <w:b/>
                <w:bCs/>
                <w:sz w:val="22"/>
                <w:szCs w:val="22"/>
              </w:rPr>
              <w:t>Opportunities</w:t>
            </w:r>
          </w:p>
        </w:tc>
        <w:tc>
          <w:tcPr>
            <w:tcW w:w="2123" w:type="dxa"/>
            <w:hideMark/>
          </w:tcPr>
          <w:p w14:paraId="70D7A5AE" w14:textId="77777777" w:rsidR="003325BB" w:rsidRPr="002A7627" w:rsidRDefault="003325BB" w:rsidP="00776FE9">
            <w:pPr>
              <w:spacing w:before="240"/>
              <w:jc w:val="center"/>
              <w:rPr>
                <w:sz w:val="22"/>
                <w:szCs w:val="22"/>
              </w:rPr>
            </w:pPr>
            <w:r w:rsidRPr="002A7627">
              <w:rPr>
                <w:rStyle w:val="fontstyle01"/>
                <w:rFonts w:ascii="Times New Roman" w:hAnsi="Times New Roman" w:cs="Times New Roman"/>
                <w:sz w:val="22"/>
                <w:szCs w:val="22"/>
              </w:rPr>
              <w:t>OP 1</w:t>
            </w:r>
          </w:p>
        </w:tc>
        <w:tc>
          <w:tcPr>
            <w:tcW w:w="1981" w:type="dxa"/>
            <w:hideMark/>
          </w:tcPr>
          <w:p w14:paraId="1BFBFA27" w14:textId="77777777" w:rsidR="003325BB" w:rsidRPr="002A7627" w:rsidRDefault="003325BB" w:rsidP="00776FE9">
            <w:pPr>
              <w:spacing w:before="240"/>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0.759</w:t>
            </w:r>
          </w:p>
        </w:tc>
      </w:tr>
      <w:tr w:rsidR="003325BB" w:rsidRPr="002A7627" w14:paraId="117DC3B2" w14:textId="77777777" w:rsidTr="00776FE9">
        <w:trPr>
          <w:trHeight w:val="61"/>
        </w:trPr>
        <w:tc>
          <w:tcPr>
            <w:tcW w:w="0" w:type="auto"/>
            <w:vMerge/>
            <w:hideMark/>
          </w:tcPr>
          <w:p w14:paraId="37635AD2" w14:textId="77777777" w:rsidR="003325BB" w:rsidRPr="002A7627" w:rsidRDefault="003325BB" w:rsidP="00776FE9">
            <w:pPr>
              <w:rPr>
                <w:b/>
                <w:bCs/>
                <w:sz w:val="22"/>
                <w:szCs w:val="22"/>
              </w:rPr>
            </w:pPr>
          </w:p>
        </w:tc>
        <w:tc>
          <w:tcPr>
            <w:tcW w:w="2123" w:type="dxa"/>
            <w:hideMark/>
          </w:tcPr>
          <w:p w14:paraId="79A009AB"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OP 2</w:t>
            </w:r>
          </w:p>
        </w:tc>
        <w:tc>
          <w:tcPr>
            <w:tcW w:w="1981" w:type="dxa"/>
            <w:hideMark/>
          </w:tcPr>
          <w:p w14:paraId="0B9FEE18"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0.856</w:t>
            </w:r>
          </w:p>
        </w:tc>
      </w:tr>
      <w:tr w:rsidR="003325BB" w:rsidRPr="002A7627" w14:paraId="14F2CAE7" w14:textId="77777777" w:rsidTr="00776FE9">
        <w:trPr>
          <w:trHeight w:val="61"/>
        </w:trPr>
        <w:tc>
          <w:tcPr>
            <w:tcW w:w="0" w:type="auto"/>
            <w:vMerge/>
            <w:hideMark/>
          </w:tcPr>
          <w:p w14:paraId="20C94740" w14:textId="77777777" w:rsidR="003325BB" w:rsidRPr="002A7627" w:rsidRDefault="003325BB" w:rsidP="00776FE9">
            <w:pPr>
              <w:rPr>
                <w:b/>
                <w:bCs/>
                <w:sz w:val="22"/>
                <w:szCs w:val="22"/>
              </w:rPr>
            </w:pPr>
          </w:p>
        </w:tc>
        <w:tc>
          <w:tcPr>
            <w:tcW w:w="2123" w:type="dxa"/>
            <w:hideMark/>
          </w:tcPr>
          <w:p w14:paraId="64BF35F1"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OP 3</w:t>
            </w:r>
          </w:p>
        </w:tc>
        <w:tc>
          <w:tcPr>
            <w:tcW w:w="1981" w:type="dxa"/>
            <w:hideMark/>
          </w:tcPr>
          <w:p w14:paraId="16855AA3"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0.866</w:t>
            </w:r>
          </w:p>
        </w:tc>
      </w:tr>
      <w:tr w:rsidR="003325BB" w:rsidRPr="002A7627" w14:paraId="02A009D5" w14:textId="77777777" w:rsidTr="00776FE9">
        <w:trPr>
          <w:trHeight w:val="61"/>
        </w:trPr>
        <w:tc>
          <w:tcPr>
            <w:tcW w:w="0" w:type="auto"/>
            <w:vMerge/>
            <w:hideMark/>
          </w:tcPr>
          <w:p w14:paraId="415EAF6C" w14:textId="77777777" w:rsidR="003325BB" w:rsidRPr="002A7627" w:rsidRDefault="003325BB" w:rsidP="00776FE9">
            <w:pPr>
              <w:rPr>
                <w:b/>
                <w:bCs/>
                <w:sz w:val="22"/>
                <w:szCs w:val="22"/>
              </w:rPr>
            </w:pPr>
          </w:p>
        </w:tc>
        <w:tc>
          <w:tcPr>
            <w:tcW w:w="2123" w:type="dxa"/>
            <w:hideMark/>
          </w:tcPr>
          <w:p w14:paraId="687CA237"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OP 4</w:t>
            </w:r>
          </w:p>
        </w:tc>
        <w:tc>
          <w:tcPr>
            <w:tcW w:w="1981" w:type="dxa"/>
            <w:hideMark/>
          </w:tcPr>
          <w:p w14:paraId="10680BF9"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0.861</w:t>
            </w:r>
          </w:p>
        </w:tc>
      </w:tr>
      <w:tr w:rsidR="003325BB" w:rsidRPr="002A7627" w14:paraId="48C4BB10" w14:textId="77777777" w:rsidTr="00776FE9">
        <w:trPr>
          <w:trHeight w:val="61"/>
        </w:trPr>
        <w:tc>
          <w:tcPr>
            <w:tcW w:w="0" w:type="auto"/>
            <w:vMerge/>
            <w:hideMark/>
          </w:tcPr>
          <w:p w14:paraId="50A5D099" w14:textId="77777777" w:rsidR="003325BB" w:rsidRPr="002A7627" w:rsidRDefault="003325BB" w:rsidP="00776FE9">
            <w:pPr>
              <w:rPr>
                <w:b/>
                <w:bCs/>
                <w:sz w:val="22"/>
                <w:szCs w:val="22"/>
              </w:rPr>
            </w:pPr>
          </w:p>
        </w:tc>
        <w:tc>
          <w:tcPr>
            <w:tcW w:w="2123" w:type="dxa"/>
            <w:hideMark/>
          </w:tcPr>
          <w:p w14:paraId="04405B79"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OP 5</w:t>
            </w:r>
          </w:p>
        </w:tc>
        <w:tc>
          <w:tcPr>
            <w:tcW w:w="1981" w:type="dxa"/>
            <w:hideMark/>
          </w:tcPr>
          <w:p w14:paraId="3401EBED"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0.816</w:t>
            </w:r>
          </w:p>
        </w:tc>
      </w:tr>
      <w:tr w:rsidR="003325BB" w:rsidRPr="002A7627" w14:paraId="2142166A" w14:textId="77777777" w:rsidTr="00776FE9">
        <w:trPr>
          <w:trHeight w:val="61"/>
        </w:trPr>
        <w:tc>
          <w:tcPr>
            <w:tcW w:w="0" w:type="auto"/>
            <w:vMerge/>
            <w:hideMark/>
          </w:tcPr>
          <w:p w14:paraId="3E493818" w14:textId="77777777" w:rsidR="003325BB" w:rsidRPr="002A7627" w:rsidRDefault="003325BB" w:rsidP="00776FE9">
            <w:pPr>
              <w:rPr>
                <w:b/>
                <w:bCs/>
                <w:sz w:val="22"/>
                <w:szCs w:val="22"/>
              </w:rPr>
            </w:pPr>
          </w:p>
        </w:tc>
        <w:tc>
          <w:tcPr>
            <w:tcW w:w="2123" w:type="dxa"/>
            <w:hideMark/>
          </w:tcPr>
          <w:p w14:paraId="19F9BE0C"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OP 6</w:t>
            </w:r>
          </w:p>
        </w:tc>
        <w:tc>
          <w:tcPr>
            <w:tcW w:w="1981" w:type="dxa"/>
            <w:hideMark/>
          </w:tcPr>
          <w:p w14:paraId="1CFC9739"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0.742</w:t>
            </w:r>
          </w:p>
        </w:tc>
      </w:tr>
      <w:tr w:rsidR="003325BB" w:rsidRPr="002A7627" w14:paraId="0F8DA66B" w14:textId="77777777" w:rsidTr="00776FE9">
        <w:trPr>
          <w:trHeight w:val="61"/>
        </w:trPr>
        <w:tc>
          <w:tcPr>
            <w:tcW w:w="0" w:type="auto"/>
            <w:vMerge/>
            <w:hideMark/>
          </w:tcPr>
          <w:p w14:paraId="7F629687" w14:textId="77777777" w:rsidR="003325BB" w:rsidRPr="002A7627" w:rsidRDefault="003325BB" w:rsidP="00776FE9">
            <w:pPr>
              <w:rPr>
                <w:b/>
                <w:bCs/>
                <w:sz w:val="22"/>
                <w:szCs w:val="22"/>
              </w:rPr>
            </w:pPr>
          </w:p>
        </w:tc>
        <w:tc>
          <w:tcPr>
            <w:tcW w:w="2123" w:type="dxa"/>
            <w:hideMark/>
          </w:tcPr>
          <w:p w14:paraId="0435B7D3"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OP 7</w:t>
            </w:r>
          </w:p>
        </w:tc>
        <w:tc>
          <w:tcPr>
            <w:tcW w:w="1981" w:type="dxa"/>
            <w:hideMark/>
          </w:tcPr>
          <w:p w14:paraId="1BD9DA05"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0.726</w:t>
            </w:r>
          </w:p>
        </w:tc>
      </w:tr>
      <w:tr w:rsidR="003325BB" w:rsidRPr="002A7627" w14:paraId="0AC60C77" w14:textId="77777777" w:rsidTr="00776FE9">
        <w:trPr>
          <w:trHeight w:val="61"/>
        </w:trPr>
        <w:tc>
          <w:tcPr>
            <w:tcW w:w="0" w:type="auto"/>
            <w:vMerge/>
            <w:hideMark/>
          </w:tcPr>
          <w:p w14:paraId="48361DFA" w14:textId="77777777" w:rsidR="003325BB" w:rsidRPr="002A7627" w:rsidRDefault="003325BB" w:rsidP="00776FE9">
            <w:pPr>
              <w:rPr>
                <w:b/>
                <w:bCs/>
                <w:sz w:val="22"/>
                <w:szCs w:val="22"/>
              </w:rPr>
            </w:pPr>
          </w:p>
        </w:tc>
        <w:tc>
          <w:tcPr>
            <w:tcW w:w="2123" w:type="dxa"/>
            <w:hideMark/>
          </w:tcPr>
          <w:p w14:paraId="5F28E81E"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OP 8</w:t>
            </w:r>
          </w:p>
        </w:tc>
        <w:tc>
          <w:tcPr>
            <w:tcW w:w="1981" w:type="dxa"/>
            <w:hideMark/>
          </w:tcPr>
          <w:p w14:paraId="3F5DC11B"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0.772</w:t>
            </w:r>
          </w:p>
        </w:tc>
      </w:tr>
      <w:tr w:rsidR="003325BB" w:rsidRPr="002A7627" w14:paraId="331B7790" w14:textId="77777777" w:rsidTr="00776FE9">
        <w:trPr>
          <w:trHeight w:val="61"/>
        </w:trPr>
        <w:tc>
          <w:tcPr>
            <w:tcW w:w="0" w:type="auto"/>
            <w:vMerge/>
            <w:hideMark/>
          </w:tcPr>
          <w:p w14:paraId="6AD8FB08" w14:textId="77777777" w:rsidR="003325BB" w:rsidRPr="002A7627" w:rsidRDefault="003325BB" w:rsidP="00776FE9">
            <w:pPr>
              <w:rPr>
                <w:b/>
                <w:bCs/>
                <w:sz w:val="22"/>
                <w:szCs w:val="22"/>
              </w:rPr>
            </w:pPr>
          </w:p>
        </w:tc>
        <w:tc>
          <w:tcPr>
            <w:tcW w:w="2123" w:type="dxa"/>
            <w:hideMark/>
          </w:tcPr>
          <w:p w14:paraId="21235EE4"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OP 9</w:t>
            </w:r>
          </w:p>
        </w:tc>
        <w:tc>
          <w:tcPr>
            <w:tcW w:w="1981" w:type="dxa"/>
            <w:hideMark/>
          </w:tcPr>
          <w:p w14:paraId="64FC0367"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0.776</w:t>
            </w:r>
          </w:p>
        </w:tc>
      </w:tr>
      <w:tr w:rsidR="003325BB" w:rsidRPr="002A7627" w14:paraId="440E1657" w14:textId="77777777" w:rsidTr="00776FE9">
        <w:trPr>
          <w:trHeight w:val="185"/>
        </w:trPr>
        <w:tc>
          <w:tcPr>
            <w:tcW w:w="3816" w:type="dxa"/>
            <w:vMerge w:val="restart"/>
            <w:hideMark/>
          </w:tcPr>
          <w:p w14:paraId="3FC68D6E" w14:textId="77777777" w:rsidR="003325BB" w:rsidRPr="002A7627" w:rsidRDefault="003325BB" w:rsidP="00776FE9">
            <w:pPr>
              <w:spacing w:before="240"/>
              <w:rPr>
                <w:b/>
                <w:bCs/>
                <w:sz w:val="22"/>
                <w:szCs w:val="22"/>
              </w:rPr>
            </w:pPr>
            <w:r w:rsidRPr="002A7627">
              <w:rPr>
                <w:b/>
                <w:bCs/>
                <w:sz w:val="22"/>
                <w:szCs w:val="22"/>
              </w:rPr>
              <w:t>Abilities</w:t>
            </w:r>
          </w:p>
        </w:tc>
        <w:tc>
          <w:tcPr>
            <w:tcW w:w="2123" w:type="dxa"/>
            <w:hideMark/>
          </w:tcPr>
          <w:p w14:paraId="3F2C7EB1" w14:textId="77777777" w:rsidR="003325BB" w:rsidRPr="002A7627" w:rsidRDefault="003325BB" w:rsidP="00776FE9">
            <w:pPr>
              <w:spacing w:before="240"/>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AEP 1</w:t>
            </w:r>
          </w:p>
        </w:tc>
        <w:tc>
          <w:tcPr>
            <w:tcW w:w="1981" w:type="dxa"/>
            <w:hideMark/>
          </w:tcPr>
          <w:p w14:paraId="29051BF4" w14:textId="77777777" w:rsidR="003325BB" w:rsidRPr="002A7627" w:rsidRDefault="003325BB" w:rsidP="00776FE9">
            <w:pPr>
              <w:spacing w:before="240"/>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0.878</w:t>
            </w:r>
          </w:p>
        </w:tc>
      </w:tr>
      <w:tr w:rsidR="003325BB" w:rsidRPr="002A7627" w14:paraId="3947290F" w14:textId="77777777" w:rsidTr="00776FE9">
        <w:trPr>
          <w:trHeight w:val="185"/>
        </w:trPr>
        <w:tc>
          <w:tcPr>
            <w:tcW w:w="0" w:type="auto"/>
            <w:vMerge/>
            <w:hideMark/>
          </w:tcPr>
          <w:p w14:paraId="6B7BD202" w14:textId="77777777" w:rsidR="003325BB" w:rsidRPr="002A7627" w:rsidRDefault="003325BB" w:rsidP="00776FE9">
            <w:pPr>
              <w:rPr>
                <w:b/>
                <w:bCs/>
                <w:sz w:val="22"/>
                <w:szCs w:val="22"/>
              </w:rPr>
            </w:pPr>
          </w:p>
        </w:tc>
        <w:tc>
          <w:tcPr>
            <w:tcW w:w="2123" w:type="dxa"/>
            <w:hideMark/>
          </w:tcPr>
          <w:p w14:paraId="08347EBB"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AEP 2</w:t>
            </w:r>
          </w:p>
        </w:tc>
        <w:tc>
          <w:tcPr>
            <w:tcW w:w="1981" w:type="dxa"/>
            <w:hideMark/>
          </w:tcPr>
          <w:p w14:paraId="60EE83E7"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0.874</w:t>
            </w:r>
          </w:p>
        </w:tc>
      </w:tr>
      <w:tr w:rsidR="003325BB" w:rsidRPr="002A7627" w14:paraId="7A0EB398" w14:textId="77777777" w:rsidTr="00776FE9">
        <w:trPr>
          <w:trHeight w:val="185"/>
        </w:trPr>
        <w:tc>
          <w:tcPr>
            <w:tcW w:w="0" w:type="auto"/>
            <w:vMerge/>
            <w:hideMark/>
          </w:tcPr>
          <w:p w14:paraId="79FEECC0" w14:textId="77777777" w:rsidR="003325BB" w:rsidRPr="002A7627" w:rsidRDefault="003325BB" w:rsidP="00776FE9">
            <w:pPr>
              <w:rPr>
                <w:b/>
                <w:bCs/>
                <w:sz w:val="22"/>
                <w:szCs w:val="22"/>
              </w:rPr>
            </w:pPr>
          </w:p>
        </w:tc>
        <w:tc>
          <w:tcPr>
            <w:tcW w:w="2123" w:type="dxa"/>
            <w:hideMark/>
          </w:tcPr>
          <w:p w14:paraId="43CD8CD1"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AEP 3</w:t>
            </w:r>
          </w:p>
        </w:tc>
        <w:tc>
          <w:tcPr>
            <w:tcW w:w="1981" w:type="dxa"/>
            <w:hideMark/>
          </w:tcPr>
          <w:p w14:paraId="3FA00C90"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0.896</w:t>
            </w:r>
          </w:p>
        </w:tc>
      </w:tr>
      <w:tr w:rsidR="003325BB" w:rsidRPr="002A7627" w14:paraId="5D46395C" w14:textId="77777777" w:rsidTr="00776FE9">
        <w:trPr>
          <w:trHeight w:val="141"/>
        </w:trPr>
        <w:tc>
          <w:tcPr>
            <w:tcW w:w="3816" w:type="dxa"/>
            <w:vMerge w:val="restart"/>
            <w:hideMark/>
          </w:tcPr>
          <w:p w14:paraId="210CD2C5" w14:textId="77777777" w:rsidR="003325BB" w:rsidRPr="002A7627" w:rsidRDefault="003325BB" w:rsidP="00776FE9">
            <w:pPr>
              <w:spacing w:before="240"/>
              <w:rPr>
                <w:b/>
                <w:bCs/>
                <w:sz w:val="22"/>
                <w:szCs w:val="22"/>
              </w:rPr>
            </w:pPr>
            <w:r w:rsidRPr="002A7627">
              <w:rPr>
                <w:b/>
                <w:bCs/>
                <w:sz w:val="22"/>
                <w:szCs w:val="22"/>
              </w:rPr>
              <w:t>Organizational Learning</w:t>
            </w:r>
          </w:p>
        </w:tc>
        <w:tc>
          <w:tcPr>
            <w:tcW w:w="2123" w:type="dxa"/>
            <w:hideMark/>
          </w:tcPr>
          <w:p w14:paraId="03FE8F7C" w14:textId="77777777" w:rsidR="003325BB" w:rsidRPr="002A7627" w:rsidRDefault="003325BB" w:rsidP="00776FE9">
            <w:pPr>
              <w:spacing w:before="240"/>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OL 1</w:t>
            </w:r>
          </w:p>
        </w:tc>
        <w:tc>
          <w:tcPr>
            <w:tcW w:w="1981" w:type="dxa"/>
            <w:hideMark/>
          </w:tcPr>
          <w:p w14:paraId="57D33933" w14:textId="77777777" w:rsidR="003325BB" w:rsidRPr="002A7627" w:rsidRDefault="003325BB" w:rsidP="00776FE9">
            <w:pPr>
              <w:spacing w:before="240"/>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0.916</w:t>
            </w:r>
          </w:p>
        </w:tc>
      </w:tr>
      <w:tr w:rsidR="003325BB" w:rsidRPr="002A7627" w14:paraId="02525DF7" w14:textId="77777777" w:rsidTr="00776FE9">
        <w:trPr>
          <w:trHeight w:val="138"/>
        </w:trPr>
        <w:tc>
          <w:tcPr>
            <w:tcW w:w="0" w:type="auto"/>
            <w:vMerge/>
            <w:hideMark/>
          </w:tcPr>
          <w:p w14:paraId="6A136479" w14:textId="77777777" w:rsidR="003325BB" w:rsidRPr="002A7627" w:rsidRDefault="003325BB" w:rsidP="00776FE9">
            <w:pPr>
              <w:rPr>
                <w:b/>
                <w:bCs/>
                <w:sz w:val="22"/>
                <w:szCs w:val="22"/>
              </w:rPr>
            </w:pPr>
          </w:p>
        </w:tc>
        <w:tc>
          <w:tcPr>
            <w:tcW w:w="2123" w:type="dxa"/>
            <w:hideMark/>
          </w:tcPr>
          <w:p w14:paraId="05025EEF"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OL 2</w:t>
            </w:r>
          </w:p>
        </w:tc>
        <w:tc>
          <w:tcPr>
            <w:tcW w:w="1981" w:type="dxa"/>
            <w:hideMark/>
          </w:tcPr>
          <w:p w14:paraId="4700BCA8"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0.931</w:t>
            </w:r>
          </w:p>
        </w:tc>
      </w:tr>
      <w:tr w:rsidR="003325BB" w:rsidRPr="002A7627" w14:paraId="30B0AAAA" w14:textId="77777777" w:rsidTr="00776FE9">
        <w:trPr>
          <w:trHeight w:val="138"/>
        </w:trPr>
        <w:tc>
          <w:tcPr>
            <w:tcW w:w="0" w:type="auto"/>
            <w:vMerge/>
            <w:hideMark/>
          </w:tcPr>
          <w:p w14:paraId="2CEB738B" w14:textId="77777777" w:rsidR="003325BB" w:rsidRPr="002A7627" w:rsidRDefault="003325BB" w:rsidP="00776FE9">
            <w:pPr>
              <w:rPr>
                <w:b/>
                <w:bCs/>
                <w:sz w:val="22"/>
                <w:szCs w:val="22"/>
              </w:rPr>
            </w:pPr>
          </w:p>
        </w:tc>
        <w:tc>
          <w:tcPr>
            <w:tcW w:w="2123" w:type="dxa"/>
            <w:hideMark/>
          </w:tcPr>
          <w:p w14:paraId="5FBC78C8"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OL 3</w:t>
            </w:r>
          </w:p>
        </w:tc>
        <w:tc>
          <w:tcPr>
            <w:tcW w:w="1981" w:type="dxa"/>
            <w:hideMark/>
          </w:tcPr>
          <w:p w14:paraId="5C7286F7"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0.925</w:t>
            </w:r>
          </w:p>
        </w:tc>
      </w:tr>
      <w:tr w:rsidR="003325BB" w:rsidRPr="002A7627" w14:paraId="129B2108" w14:textId="77777777" w:rsidTr="00776FE9">
        <w:trPr>
          <w:trHeight w:val="138"/>
        </w:trPr>
        <w:tc>
          <w:tcPr>
            <w:tcW w:w="0" w:type="auto"/>
            <w:vMerge/>
            <w:hideMark/>
          </w:tcPr>
          <w:p w14:paraId="04901C0B" w14:textId="77777777" w:rsidR="003325BB" w:rsidRPr="002A7627" w:rsidRDefault="003325BB" w:rsidP="00776FE9">
            <w:pPr>
              <w:rPr>
                <w:b/>
                <w:bCs/>
                <w:sz w:val="22"/>
                <w:szCs w:val="22"/>
              </w:rPr>
            </w:pPr>
          </w:p>
        </w:tc>
        <w:tc>
          <w:tcPr>
            <w:tcW w:w="2123" w:type="dxa"/>
            <w:hideMark/>
          </w:tcPr>
          <w:p w14:paraId="27909522"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OL 4</w:t>
            </w:r>
          </w:p>
        </w:tc>
        <w:tc>
          <w:tcPr>
            <w:tcW w:w="1981" w:type="dxa"/>
            <w:hideMark/>
          </w:tcPr>
          <w:p w14:paraId="70B60999"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0.852</w:t>
            </w:r>
          </w:p>
        </w:tc>
      </w:tr>
      <w:tr w:rsidR="003325BB" w:rsidRPr="002A7627" w14:paraId="3BC8E1C0" w14:textId="77777777" w:rsidTr="00776FE9">
        <w:trPr>
          <w:trHeight w:val="81"/>
        </w:trPr>
        <w:tc>
          <w:tcPr>
            <w:tcW w:w="3816" w:type="dxa"/>
            <w:vMerge w:val="restart"/>
            <w:hideMark/>
          </w:tcPr>
          <w:p w14:paraId="644ED97D" w14:textId="77777777" w:rsidR="003325BB" w:rsidRPr="002A7627" w:rsidRDefault="003325BB" w:rsidP="00776FE9">
            <w:pPr>
              <w:spacing w:before="240"/>
              <w:rPr>
                <w:b/>
                <w:bCs/>
                <w:sz w:val="22"/>
                <w:szCs w:val="22"/>
              </w:rPr>
            </w:pPr>
            <w:r w:rsidRPr="002A7627">
              <w:rPr>
                <w:b/>
                <w:bCs/>
                <w:sz w:val="22"/>
                <w:szCs w:val="22"/>
              </w:rPr>
              <w:t>Knowledge Management Benefits</w:t>
            </w:r>
          </w:p>
        </w:tc>
        <w:tc>
          <w:tcPr>
            <w:tcW w:w="2123" w:type="dxa"/>
            <w:hideMark/>
          </w:tcPr>
          <w:p w14:paraId="3FFA8958" w14:textId="77777777" w:rsidR="003325BB" w:rsidRPr="002A7627" w:rsidRDefault="003325BB" w:rsidP="00776FE9">
            <w:pPr>
              <w:spacing w:before="240"/>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KMB 1</w:t>
            </w:r>
          </w:p>
        </w:tc>
        <w:tc>
          <w:tcPr>
            <w:tcW w:w="1981" w:type="dxa"/>
            <w:hideMark/>
          </w:tcPr>
          <w:p w14:paraId="0973D541" w14:textId="77777777" w:rsidR="003325BB" w:rsidRPr="002A7627" w:rsidRDefault="003325BB" w:rsidP="00776FE9">
            <w:pPr>
              <w:spacing w:before="240"/>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0.814</w:t>
            </w:r>
          </w:p>
        </w:tc>
      </w:tr>
      <w:tr w:rsidR="003325BB" w:rsidRPr="002A7627" w14:paraId="1B7EE899" w14:textId="77777777" w:rsidTr="00776FE9">
        <w:trPr>
          <w:trHeight w:val="79"/>
        </w:trPr>
        <w:tc>
          <w:tcPr>
            <w:tcW w:w="0" w:type="auto"/>
            <w:vMerge/>
            <w:hideMark/>
          </w:tcPr>
          <w:p w14:paraId="24895300" w14:textId="77777777" w:rsidR="003325BB" w:rsidRPr="002A7627" w:rsidRDefault="003325BB" w:rsidP="00776FE9">
            <w:pPr>
              <w:rPr>
                <w:b/>
                <w:bCs/>
                <w:sz w:val="22"/>
                <w:szCs w:val="22"/>
              </w:rPr>
            </w:pPr>
          </w:p>
        </w:tc>
        <w:tc>
          <w:tcPr>
            <w:tcW w:w="2123" w:type="dxa"/>
            <w:hideMark/>
          </w:tcPr>
          <w:p w14:paraId="4341EF15"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KMB 2</w:t>
            </w:r>
          </w:p>
        </w:tc>
        <w:tc>
          <w:tcPr>
            <w:tcW w:w="1981" w:type="dxa"/>
            <w:hideMark/>
          </w:tcPr>
          <w:p w14:paraId="537DC86D"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0.779</w:t>
            </w:r>
          </w:p>
        </w:tc>
      </w:tr>
      <w:tr w:rsidR="003325BB" w:rsidRPr="002A7627" w14:paraId="2F76A861" w14:textId="77777777" w:rsidTr="00776FE9">
        <w:trPr>
          <w:trHeight w:val="79"/>
        </w:trPr>
        <w:tc>
          <w:tcPr>
            <w:tcW w:w="0" w:type="auto"/>
            <w:vMerge/>
            <w:hideMark/>
          </w:tcPr>
          <w:p w14:paraId="6EADF7BE" w14:textId="77777777" w:rsidR="003325BB" w:rsidRPr="002A7627" w:rsidRDefault="003325BB" w:rsidP="00776FE9">
            <w:pPr>
              <w:rPr>
                <w:b/>
                <w:bCs/>
                <w:sz w:val="22"/>
                <w:szCs w:val="22"/>
              </w:rPr>
            </w:pPr>
          </w:p>
        </w:tc>
        <w:tc>
          <w:tcPr>
            <w:tcW w:w="2123" w:type="dxa"/>
            <w:hideMark/>
          </w:tcPr>
          <w:p w14:paraId="23061CC6"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KMB 3</w:t>
            </w:r>
          </w:p>
        </w:tc>
        <w:tc>
          <w:tcPr>
            <w:tcW w:w="1981" w:type="dxa"/>
            <w:hideMark/>
          </w:tcPr>
          <w:p w14:paraId="3C8AAF5F"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0.806</w:t>
            </w:r>
          </w:p>
        </w:tc>
      </w:tr>
      <w:tr w:rsidR="003325BB" w:rsidRPr="002A7627" w14:paraId="106CD761" w14:textId="77777777" w:rsidTr="00776FE9">
        <w:trPr>
          <w:trHeight w:val="79"/>
        </w:trPr>
        <w:tc>
          <w:tcPr>
            <w:tcW w:w="0" w:type="auto"/>
            <w:vMerge/>
            <w:hideMark/>
          </w:tcPr>
          <w:p w14:paraId="7626550C" w14:textId="77777777" w:rsidR="003325BB" w:rsidRPr="002A7627" w:rsidRDefault="003325BB" w:rsidP="00776FE9">
            <w:pPr>
              <w:rPr>
                <w:b/>
                <w:bCs/>
                <w:sz w:val="22"/>
                <w:szCs w:val="22"/>
              </w:rPr>
            </w:pPr>
          </w:p>
        </w:tc>
        <w:tc>
          <w:tcPr>
            <w:tcW w:w="2123" w:type="dxa"/>
            <w:hideMark/>
          </w:tcPr>
          <w:p w14:paraId="379995F6"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KMB 4</w:t>
            </w:r>
          </w:p>
        </w:tc>
        <w:tc>
          <w:tcPr>
            <w:tcW w:w="1981" w:type="dxa"/>
            <w:hideMark/>
          </w:tcPr>
          <w:p w14:paraId="1A1AC7BA"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0.797</w:t>
            </w:r>
          </w:p>
        </w:tc>
      </w:tr>
      <w:tr w:rsidR="003325BB" w:rsidRPr="002A7627" w14:paraId="70218AA7" w14:textId="77777777" w:rsidTr="00776FE9">
        <w:trPr>
          <w:trHeight w:val="79"/>
        </w:trPr>
        <w:tc>
          <w:tcPr>
            <w:tcW w:w="0" w:type="auto"/>
            <w:vMerge/>
            <w:hideMark/>
          </w:tcPr>
          <w:p w14:paraId="3A8F6F8B" w14:textId="77777777" w:rsidR="003325BB" w:rsidRPr="002A7627" w:rsidRDefault="003325BB" w:rsidP="00776FE9">
            <w:pPr>
              <w:rPr>
                <w:b/>
                <w:bCs/>
                <w:sz w:val="22"/>
                <w:szCs w:val="22"/>
              </w:rPr>
            </w:pPr>
          </w:p>
        </w:tc>
        <w:tc>
          <w:tcPr>
            <w:tcW w:w="2123" w:type="dxa"/>
            <w:hideMark/>
          </w:tcPr>
          <w:p w14:paraId="2BB6F007"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KMB 5</w:t>
            </w:r>
          </w:p>
        </w:tc>
        <w:tc>
          <w:tcPr>
            <w:tcW w:w="1981" w:type="dxa"/>
            <w:hideMark/>
          </w:tcPr>
          <w:p w14:paraId="24230FCA"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0.794</w:t>
            </w:r>
          </w:p>
        </w:tc>
      </w:tr>
      <w:tr w:rsidR="003325BB" w:rsidRPr="002A7627" w14:paraId="3A030FDB" w14:textId="77777777" w:rsidTr="00776FE9">
        <w:trPr>
          <w:trHeight w:val="79"/>
        </w:trPr>
        <w:tc>
          <w:tcPr>
            <w:tcW w:w="0" w:type="auto"/>
            <w:vMerge/>
            <w:hideMark/>
          </w:tcPr>
          <w:p w14:paraId="51D11371" w14:textId="77777777" w:rsidR="003325BB" w:rsidRPr="002A7627" w:rsidRDefault="003325BB" w:rsidP="00776FE9">
            <w:pPr>
              <w:rPr>
                <w:b/>
                <w:bCs/>
                <w:sz w:val="22"/>
                <w:szCs w:val="22"/>
              </w:rPr>
            </w:pPr>
          </w:p>
        </w:tc>
        <w:tc>
          <w:tcPr>
            <w:tcW w:w="2123" w:type="dxa"/>
            <w:hideMark/>
          </w:tcPr>
          <w:p w14:paraId="5CE3A9BF"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KMB 6</w:t>
            </w:r>
          </w:p>
        </w:tc>
        <w:tc>
          <w:tcPr>
            <w:tcW w:w="1981" w:type="dxa"/>
            <w:hideMark/>
          </w:tcPr>
          <w:p w14:paraId="24F3DA1B"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0.763</w:t>
            </w:r>
          </w:p>
        </w:tc>
      </w:tr>
      <w:tr w:rsidR="003325BB" w:rsidRPr="002A7627" w14:paraId="61C6E8D8" w14:textId="77777777" w:rsidTr="00776FE9">
        <w:trPr>
          <w:trHeight w:val="79"/>
        </w:trPr>
        <w:tc>
          <w:tcPr>
            <w:tcW w:w="0" w:type="auto"/>
            <w:vMerge/>
            <w:hideMark/>
          </w:tcPr>
          <w:p w14:paraId="22841A6E" w14:textId="77777777" w:rsidR="003325BB" w:rsidRPr="002A7627" w:rsidRDefault="003325BB" w:rsidP="00776FE9">
            <w:pPr>
              <w:rPr>
                <w:b/>
                <w:bCs/>
                <w:sz w:val="22"/>
                <w:szCs w:val="22"/>
              </w:rPr>
            </w:pPr>
          </w:p>
        </w:tc>
        <w:tc>
          <w:tcPr>
            <w:tcW w:w="2123" w:type="dxa"/>
            <w:hideMark/>
          </w:tcPr>
          <w:p w14:paraId="40F6A795" w14:textId="77777777" w:rsidR="003325BB" w:rsidRPr="002A7627" w:rsidRDefault="003325BB" w:rsidP="00776FE9">
            <w:pPr>
              <w:jc w:val="center"/>
              <w:rPr>
                <w:sz w:val="22"/>
                <w:szCs w:val="22"/>
              </w:rPr>
            </w:pPr>
            <w:r w:rsidRPr="002A7627">
              <w:rPr>
                <w:rStyle w:val="fontstyle01"/>
                <w:rFonts w:ascii="Times New Roman" w:hAnsi="Times New Roman" w:cs="Times New Roman"/>
                <w:sz w:val="22"/>
                <w:szCs w:val="22"/>
              </w:rPr>
              <w:t>KMB 7</w:t>
            </w:r>
          </w:p>
        </w:tc>
        <w:tc>
          <w:tcPr>
            <w:tcW w:w="1981" w:type="dxa"/>
            <w:hideMark/>
          </w:tcPr>
          <w:p w14:paraId="5187CCC1" w14:textId="77777777" w:rsidR="003325BB" w:rsidRPr="002A7627" w:rsidRDefault="003325BB" w:rsidP="00776FE9">
            <w:pPr>
              <w:jc w:val="center"/>
              <w:rPr>
                <w:rStyle w:val="fontstyle01"/>
                <w:rFonts w:ascii="Times New Roman" w:hAnsi="Times New Roman" w:cs="Times New Roman"/>
                <w:sz w:val="22"/>
                <w:szCs w:val="22"/>
              </w:rPr>
            </w:pPr>
            <w:r w:rsidRPr="002A7627">
              <w:rPr>
                <w:rStyle w:val="fontstyle01"/>
                <w:rFonts w:ascii="Times New Roman" w:hAnsi="Times New Roman" w:cs="Times New Roman"/>
                <w:sz w:val="22"/>
                <w:szCs w:val="22"/>
              </w:rPr>
              <w:t>0.744</w:t>
            </w:r>
          </w:p>
        </w:tc>
      </w:tr>
    </w:tbl>
    <w:p w14:paraId="26DF936B" w14:textId="77777777" w:rsidR="003325BB" w:rsidRPr="002A7627" w:rsidRDefault="003325BB" w:rsidP="003325BB">
      <w:pPr>
        <w:rPr>
          <w:lang w:bidi="fa-IR"/>
        </w:rPr>
      </w:pPr>
    </w:p>
    <w:p w14:paraId="34E6712F" w14:textId="30E4BFDB" w:rsidR="003325BB" w:rsidRDefault="003325BB" w:rsidP="003325BB">
      <w:pPr>
        <w:spacing w:line="480" w:lineRule="auto"/>
        <w:jc w:val="both"/>
        <w:rPr>
          <w:lang w:bidi="fa-IR"/>
        </w:rPr>
      </w:pPr>
      <w:r w:rsidRPr="002A7627">
        <w:rPr>
          <w:rStyle w:val="fontstyle01"/>
          <w:rFonts w:ascii="Times New Roman" w:hAnsi="Times New Roman" w:cs="Times New Roman"/>
        </w:rPr>
        <w:t xml:space="preserve">Table 24 </w:t>
      </w:r>
      <w:r w:rsidR="00DD3AB2">
        <w:rPr>
          <w:rStyle w:val="fontstyle01"/>
          <w:rFonts w:ascii="Times New Roman" w:hAnsi="Times New Roman" w:cs="Times New Roman"/>
        </w:rPr>
        <w:t>shows that</w:t>
      </w:r>
      <w:r w:rsidRPr="002A7627">
        <w:rPr>
          <w:rStyle w:val="fontstyle01"/>
          <w:rFonts w:ascii="Times New Roman" w:hAnsi="Times New Roman" w:cs="Times New Roman"/>
        </w:rPr>
        <w:t xml:space="preserve"> </w:t>
      </w:r>
      <w:r>
        <w:rPr>
          <w:rStyle w:val="fontstyle01"/>
          <w:rFonts w:ascii="Times New Roman" w:hAnsi="Times New Roman" w:cs="Times New Roman"/>
        </w:rPr>
        <w:t>all</w:t>
      </w:r>
      <w:r w:rsidRPr="002A7627">
        <w:rPr>
          <w:rStyle w:val="fontstyle01"/>
          <w:rFonts w:ascii="Times New Roman" w:hAnsi="Times New Roman" w:cs="Times New Roman"/>
        </w:rPr>
        <w:t xml:space="preserve"> loading values of </w:t>
      </w:r>
      <w:r w:rsidR="00DD3AB2">
        <w:rPr>
          <w:rStyle w:val="fontstyle01"/>
          <w:rFonts w:ascii="Times New Roman" w:hAnsi="Times New Roman" w:cs="Times New Roman"/>
        </w:rPr>
        <w:t xml:space="preserve">the </w:t>
      </w:r>
      <w:r w:rsidRPr="002A7627">
        <w:rPr>
          <w:rStyle w:val="fontstyle01"/>
          <w:rFonts w:ascii="Times New Roman" w:hAnsi="Times New Roman" w:cs="Times New Roman"/>
        </w:rPr>
        <w:t xml:space="preserve">observed variables on their related constructs </w:t>
      </w:r>
      <w:r>
        <w:rPr>
          <w:rStyle w:val="fontstyle01"/>
          <w:rFonts w:ascii="Times New Roman" w:hAnsi="Times New Roman" w:cs="Times New Roman"/>
        </w:rPr>
        <w:t>were</w:t>
      </w:r>
      <w:r w:rsidRPr="002A7627">
        <w:rPr>
          <w:rStyle w:val="fontstyle01"/>
          <w:rFonts w:ascii="Times New Roman" w:hAnsi="Times New Roman" w:cs="Times New Roman"/>
        </w:rPr>
        <w:t xml:space="preserve"> higher than 0.7, demonstrat</w:t>
      </w:r>
      <w:r>
        <w:rPr>
          <w:rStyle w:val="fontstyle01"/>
          <w:rFonts w:ascii="Times New Roman" w:hAnsi="Times New Roman" w:cs="Times New Roman"/>
        </w:rPr>
        <w:t>ing</w:t>
      </w:r>
      <w:r w:rsidRPr="002A7627">
        <w:rPr>
          <w:rStyle w:val="fontstyle01"/>
          <w:rFonts w:ascii="Times New Roman" w:hAnsi="Times New Roman" w:cs="Times New Roman"/>
        </w:rPr>
        <w:t xml:space="preserve"> the strength</w:t>
      </w:r>
      <w:r>
        <w:rPr>
          <w:rStyle w:val="fontstyle01"/>
          <w:rFonts w:ascii="Times New Roman" w:hAnsi="Times New Roman" w:cs="Times New Roman"/>
        </w:rPr>
        <w:t>s</w:t>
      </w:r>
      <w:r w:rsidRPr="002A7627">
        <w:rPr>
          <w:rStyle w:val="fontstyle01"/>
          <w:rFonts w:ascii="Times New Roman" w:hAnsi="Times New Roman" w:cs="Times New Roman"/>
        </w:rPr>
        <w:t xml:space="preserve"> of the</w:t>
      </w:r>
      <w:r>
        <w:rPr>
          <w:rStyle w:val="fontstyle01"/>
          <w:rFonts w:ascii="Times New Roman" w:hAnsi="Times New Roman" w:cs="Times New Roman"/>
        </w:rPr>
        <w:t>se</w:t>
      </w:r>
      <w:r w:rsidRPr="002A7627">
        <w:rPr>
          <w:rStyle w:val="fontstyle01"/>
          <w:rFonts w:ascii="Times New Roman" w:hAnsi="Times New Roman" w:cs="Times New Roman"/>
        </w:rPr>
        <w:t xml:space="preserve"> variables in predicting the related factors. </w:t>
      </w:r>
    </w:p>
    <w:p w14:paraId="7EB9946E" w14:textId="77777777" w:rsidR="007C0420" w:rsidRPr="002A7627" w:rsidRDefault="007C0420" w:rsidP="007C0420">
      <w:pPr>
        <w:keepNext/>
        <w:spacing w:line="360" w:lineRule="auto"/>
        <w:jc w:val="center"/>
      </w:pPr>
      <w:r w:rsidRPr="002A7627">
        <w:rPr>
          <w:noProof/>
          <w:lang w:val="en-GB" w:eastAsia="en-GB"/>
        </w:rPr>
        <w:drawing>
          <wp:inline distT="0" distB="0" distL="0" distR="0" wp14:anchorId="65C19678" wp14:editId="4EB67599">
            <wp:extent cx="5467350" cy="4749468"/>
            <wp:effectExtent l="19050" t="19050" r="19050" b="13335"/>
            <wp:docPr id="3" name="Picture 3" descr="D:\Research\Work\4. Pls wor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Work\4. Pls work\3.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72471" cy="4753916"/>
                    </a:xfrm>
                    <a:prstGeom prst="rect">
                      <a:avLst/>
                    </a:prstGeom>
                    <a:noFill/>
                    <a:ln>
                      <a:solidFill>
                        <a:sysClr val="windowText" lastClr="000000"/>
                      </a:solidFill>
                    </a:ln>
                  </pic:spPr>
                </pic:pic>
              </a:graphicData>
            </a:graphic>
          </wp:inline>
        </w:drawing>
      </w:r>
    </w:p>
    <w:p w14:paraId="30803E84" w14:textId="6EB94580" w:rsidR="007C0420" w:rsidRDefault="007C0420" w:rsidP="007C0420">
      <w:pPr>
        <w:pStyle w:val="Caption"/>
      </w:pPr>
      <w:bookmarkStart w:id="258" w:name="_Toc21074099"/>
      <w:r>
        <w:t xml:space="preserve">Figure </w:t>
      </w:r>
      <w:r w:rsidR="00606D42">
        <w:rPr>
          <w:noProof/>
        </w:rPr>
        <w:fldChar w:fldCharType="begin"/>
      </w:r>
      <w:r w:rsidR="00606D42">
        <w:rPr>
          <w:noProof/>
        </w:rPr>
        <w:instrText xml:space="preserve"> SEQ Figure \* ARABIC </w:instrText>
      </w:r>
      <w:r w:rsidR="00606D42">
        <w:rPr>
          <w:noProof/>
        </w:rPr>
        <w:fldChar w:fldCharType="separate"/>
      </w:r>
      <w:r w:rsidR="00972C3F">
        <w:rPr>
          <w:noProof/>
        </w:rPr>
        <w:t>6</w:t>
      </w:r>
      <w:r w:rsidR="00606D42">
        <w:rPr>
          <w:noProof/>
        </w:rPr>
        <w:fldChar w:fldCharType="end"/>
      </w:r>
      <w:r>
        <w:t xml:space="preserve">. </w:t>
      </w:r>
      <w:r w:rsidRPr="000E35D8">
        <w:t>Measurement model results for indirect relationships (bootstrapping mode)</w:t>
      </w:r>
      <w:bookmarkEnd w:id="258"/>
    </w:p>
    <w:p w14:paraId="42EB1FDA" w14:textId="5508D526" w:rsidR="007C0420" w:rsidRDefault="007C0420" w:rsidP="007C0420">
      <w:pPr>
        <w:pStyle w:val="AAAAAAA"/>
        <w:ind w:firstLine="0"/>
      </w:pPr>
      <w:r w:rsidRPr="002A7627">
        <w:rPr>
          <w:rStyle w:val="fontstyle01"/>
          <w:rFonts w:asciiTheme="majorBidi" w:hAnsiTheme="majorBidi" w:cstheme="majorBidi"/>
        </w:rPr>
        <w:t xml:space="preserve">Table </w:t>
      </w:r>
      <w:r w:rsidR="003325BB" w:rsidRPr="002A7627">
        <w:rPr>
          <w:rStyle w:val="fontstyle01"/>
          <w:rFonts w:asciiTheme="majorBidi" w:hAnsiTheme="majorBidi" w:cstheme="majorBidi"/>
        </w:rPr>
        <w:t>2</w:t>
      </w:r>
      <w:r w:rsidR="003325BB">
        <w:rPr>
          <w:rStyle w:val="fontstyle01"/>
          <w:rFonts w:asciiTheme="majorBidi" w:hAnsiTheme="majorBidi" w:cstheme="majorBidi"/>
        </w:rPr>
        <w:t>5</w:t>
      </w:r>
      <w:r w:rsidR="003325BB" w:rsidRPr="002A7627">
        <w:rPr>
          <w:rStyle w:val="fontstyle01"/>
          <w:rFonts w:asciiTheme="majorBidi" w:hAnsiTheme="majorBidi" w:cstheme="majorBidi"/>
        </w:rPr>
        <w:t xml:space="preserve"> </w:t>
      </w:r>
      <w:r w:rsidR="00DD3AB2">
        <w:rPr>
          <w:rStyle w:val="fontstyle01"/>
          <w:rFonts w:asciiTheme="majorBidi" w:hAnsiTheme="majorBidi" w:cstheme="majorBidi"/>
        </w:rPr>
        <w:t>shows</w:t>
      </w:r>
      <w:r w:rsidRPr="002A7627">
        <w:rPr>
          <w:rStyle w:val="fontstyle01"/>
          <w:rFonts w:asciiTheme="majorBidi" w:hAnsiTheme="majorBidi" w:cstheme="majorBidi"/>
        </w:rPr>
        <w:t xml:space="preserve"> the </w:t>
      </w:r>
      <w:r w:rsidRPr="002A7627">
        <w:t>structural model</w:t>
      </w:r>
      <w:r>
        <w:t>’s</w:t>
      </w:r>
      <w:r w:rsidRPr="002A7627">
        <w:t xml:space="preserve"> results for </w:t>
      </w:r>
      <w:r>
        <w:t xml:space="preserve">the </w:t>
      </w:r>
      <w:r w:rsidRPr="002A7627">
        <w:t>indirect relationships between the variables (</w:t>
      </w:r>
      <w:r>
        <w:t xml:space="preserve">i.e., </w:t>
      </w:r>
      <w:r w:rsidRPr="002A7627">
        <w:t>the mediating effect).</w:t>
      </w:r>
    </w:p>
    <w:p w14:paraId="5131B620" w14:textId="77777777" w:rsidR="007C0420" w:rsidRDefault="007C0420" w:rsidP="007C0420">
      <w:pPr>
        <w:pStyle w:val="AAAAAAA"/>
        <w:ind w:firstLine="0"/>
      </w:pPr>
    </w:p>
    <w:p w14:paraId="7B24D1D9" w14:textId="77777777" w:rsidR="007C0420" w:rsidRDefault="007C0420" w:rsidP="007C0420">
      <w:pPr>
        <w:pStyle w:val="AAAAAAA"/>
        <w:ind w:firstLine="0"/>
      </w:pPr>
    </w:p>
    <w:p w14:paraId="701A62BE" w14:textId="04FE9E63" w:rsidR="007C0420" w:rsidRPr="009D4D8C" w:rsidRDefault="007C0420" w:rsidP="007C0420">
      <w:pPr>
        <w:pStyle w:val="Caption"/>
        <w:jc w:val="lowKashida"/>
        <w:rPr>
          <w:rFonts w:asciiTheme="majorBidi" w:eastAsia="Times New Roman" w:hAnsiTheme="majorBidi" w:cstheme="majorBidi"/>
        </w:rPr>
      </w:pPr>
      <w:bookmarkStart w:id="259" w:name="_Toc19478603"/>
      <w:bookmarkStart w:id="260" w:name="_Toc21074093"/>
      <w:r w:rsidRPr="009D4D8C">
        <w:t xml:space="preserve">Table </w:t>
      </w:r>
      <w:r w:rsidR="00606D42">
        <w:rPr>
          <w:noProof/>
        </w:rPr>
        <w:fldChar w:fldCharType="begin"/>
      </w:r>
      <w:r w:rsidR="00606D42">
        <w:rPr>
          <w:noProof/>
        </w:rPr>
        <w:instrText xml:space="preserve"> SEQ Table \* ARABIC </w:instrText>
      </w:r>
      <w:r w:rsidR="00606D42">
        <w:rPr>
          <w:noProof/>
        </w:rPr>
        <w:fldChar w:fldCharType="separate"/>
      </w:r>
      <w:r w:rsidR="00972C3F">
        <w:rPr>
          <w:noProof/>
        </w:rPr>
        <w:t>25</w:t>
      </w:r>
      <w:r w:rsidR="00606D42">
        <w:rPr>
          <w:noProof/>
        </w:rPr>
        <w:fldChar w:fldCharType="end"/>
      </w:r>
      <w:r w:rsidRPr="009D4D8C">
        <w:t xml:space="preserve">. Structural model results for </w:t>
      </w:r>
      <w:r w:rsidR="003325BB">
        <w:t>in</w:t>
      </w:r>
      <w:r w:rsidRPr="009D4D8C">
        <w:t>direct relationships between the variables (the mediating effect)</w:t>
      </w:r>
      <w:bookmarkEnd w:id="259"/>
      <w:bookmarkEnd w:id="260"/>
    </w:p>
    <w:tbl>
      <w:tblPr>
        <w:tblW w:w="9270" w:type="dxa"/>
        <w:tblLook w:val="04A0" w:firstRow="1" w:lastRow="0" w:firstColumn="1" w:lastColumn="0" w:noHBand="0" w:noVBand="1"/>
      </w:tblPr>
      <w:tblGrid>
        <w:gridCol w:w="3510"/>
        <w:gridCol w:w="720"/>
        <w:gridCol w:w="810"/>
        <w:gridCol w:w="900"/>
        <w:gridCol w:w="990"/>
        <w:gridCol w:w="1170"/>
        <w:gridCol w:w="1170"/>
      </w:tblGrid>
      <w:tr w:rsidR="007C0420" w:rsidRPr="002C388A" w14:paraId="1E00330F" w14:textId="77777777" w:rsidTr="00DC1DF9">
        <w:trPr>
          <w:trHeight w:val="651"/>
        </w:trPr>
        <w:tc>
          <w:tcPr>
            <w:tcW w:w="3510" w:type="dxa"/>
            <w:tcBorders>
              <w:top w:val="single" w:sz="8" w:space="0" w:color="auto"/>
              <w:left w:val="nil"/>
              <w:bottom w:val="single" w:sz="8" w:space="0" w:color="auto"/>
              <w:right w:val="nil"/>
            </w:tcBorders>
            <w:shd w:val="clear" w:color="auto" w:fill="auto"/>
            <w:noWrap/>
            <w:hideMark/>
          </w:tcPr>
          <w:p w14:paraId="3F4B0CB5" w14:textId="77777777" w:rsidR="007C0420" w:rsidRPr="006300B7" w:rsidRDefault="007C0420" w:rsidP="00DC1DF9">
            <w:pPr>
              <w:jc w:val="center"/>
              <w:rPr>
                <w:b/>
                <w:bCs/>
                <w:sz w:val="20"/>
              </w:rPr>
            </w:pPr>
            <w:r w:rsidRPr="006300B7">
              <w:rPr>
                <w:b/>
                <w:bCs/>
                <w:sz w:val="20"/>
              </w:rPr>
              <w:t>Relationship</w:t>
            </w:r>
          </w:p>
        </w:tc>
        <w:tc>
          <w:tcPr>
            <w:tcW w:w="720" w:type="dxa"/>
            <w:tcBorders>
              <w:top w:val="single" w:sz="8" w:space="0" w:color="auto"/>
              <w:left w:val="nil"/>
              <w:bottom w:val="single" w:sz="8" w:space="0" w:color="auto"/>
              <w:right w:val="nil"/>
            </w:tcBorders>
            <w:shd w:val="clear" w:color="auto" w:fill="auto"/>
            <w:noWrap/>
            <w:hideMark/>
          </w:tcPr>
          <w:p w14:paraId="3D3354FE" w14:textId="77777777" w:rsidR="007C0420" w:rsidRPr="006300B7" w:rsidRDefault="007C0420" w:rsidP="00DC1DF9">
            <w:pPr>
              <w:jc w:val="center"/>
              <w:rPr>
                <w:b/>
                <w:bCs/>
                <w:sz w:val="20"/>
              </w:rPr>
            </w:pPr>
            <w:r w:rsidRPr="006300B7">
              <w:rPr>
                <w:b/>
                <w:bCs/>
                <w:sz w:val="20"/>
              </w:rPr>
              <w:t>Std. Beta (β)</w:t>
            </w:r>
          </w:p>
        </w:tc>
        <w:tc>
          <w:tcPr>
            <w:tcW w:w="810" w:type="dxa"/>
            <w:tcBorders>
              <w:top w:val="single" w:sz="8" w:space="0" w:color="auto"/>
              <w:left w:val="nil"/>
              <w:bottom w:val="single" w:sz="8" w:space="0" w:color="auto"/>
              <w:right w:val="nil"/>
            </w:tcBorders>
            <w:shd w:val="clear" w:color="auto" w:fill="auto"/>
            <w:noWrap/>
            <w:hideMark/>
          </w:tcPr>
          <w:p w14:paraId="75507AEC" w14:textId="52A10A20" w:rsidR="007C0420" w:rsidRPr="006300B7" w:rsidRDefault="007C0420">
            <w:pPr>
              <w:jc w:val="center"/>
              <w:rPr>
                <w:b/>
                <w:bCs/>
                <w:sz w:val="20"/>
              </w:rPr>
            </w:pPr>
            <w:r w:rsidRPr="006300B7">
              <w:rPr>
                <w:b/>
                <w:bCs/>
                <w:sz w:val="20"/>
              </w:rPr>
              <w:t>Std</w:t>
            </w:r>
            <w:r w:rsidR="00902DB0" w:rsidRPr="006300B7">
              <w:rPr>
                <w:b/>
                <w:bCs/>
                <w:sz w:val="20"/>
              </w:rPr>
              <w:t>.</w:t>
            </w:r>
            <w:r w:rsidR="00902DB0">
              <w:rPr>
                <w:b/>
                <w:bCs/>
                <w:sz w:val="20"/>
              </w:rPr>
              <w:t xml:space="preserve"> </w:t>
            </w:r>
            <w:r w:rsidRPr="006300B7">
              <w:rPr>
                <w:b/>
                <w:bCs/>
                <w:sz w:val="20"/>
              </w:rPr>
              <w:t>Dev</w:t>
            </w:r>
            <w:r>
              <w:rPr>
                <w:b/>
                <w:bCs/>
                <w:sz w:val="20"/>
              </w:rPr>
              <w:t>.</w:t>
            </w:r>
          </w:p>
        </w:tc>
        <w:tc>
          <w:tcPr>
            <w:tcW w:w="900" w:type="dxa"/>
            <w:tcBorders>
              <w:top w:val="single" w:sz="8" w:space="0" w:color="auto"/>
              <w:left w:val="nil"/>
              <w:bottom w:val="single" w:sz="8" w:space="0" w:color="auto"/>
              <w:right w:val="nil"/>
            </w:tcBorders>
            <w:shd w:val="clear" w:color="auto" w:fill="auto"/>
            <w:noWrap/>
            <w:hideMark/>
          </w:tcPr>
          <w:p w14:paraId="2B88AA18" w14:textId="77777777" w:rsidR="007C0420" w:rsidRPr="006300B7" w:rsidRDefault="007C0420" w:rsidP="00DC1DF9">
            <w:pPr>
              <w:jc w:val="center"/>
              <w:rPr>
                <w:b/>
                <w:bCs/>
                <w:sz w:val="20"/>
              </w:rPr>
            </w:pPr>
            <w:r w:rsidRPr="006300B7">
              <w:rPr>
                <w:b/>
                <w:bCs/>
                <w:i/>
                <w:sz w:val="20"/>
              </w:rPr>
              <w:t>t</w:t>
            </w:r>
            <w:r w:rsidRPr="006300B7">
              <w:rPr>
                <w:b/>
                <w:bCs/>
                <w:sz w:val="20"/>
              </w:rPr>
              <w:t xml:space="preserve"> -</w:t>
            </w:r>
            <w:r>
              <w:rPr>
                <w:b/>
                <w:bCs/>
                <w:sz w:val="20"/>
              </w:rPr>
              <w:t>v</w:t>
            </w:r>
            <w:r w:rsidRPr="006300B7">
              <w:rPr>
                <w:b/>
                <w:bCs/>
                <w:sz w:val="20"/>
              </w:rPr>
              <w:t>alue</w:t>
            </w:r>
          </w:p>
        </w:tc>
        <w:tc>
          <w:tcPr>
            <w:tcW w:w="990" w:type="dxa"/>
            <w:tcBorders>
              <w:top w:val="single" w:sz="8" w:space="0" w:color="auto"/>
              <w:left w:val="nil"/>
              <w:bottom w:val="single" w:sz="8" w:space="0" w:color="auto"/>
              <w:right w:val="nil"/>
            </w:tcBorders>
            <w:shd w:val="clear" w:color="auto" w:fill="auto"/>
            <w:noWrap/>
            <w:hideMark/>
          </w:tcPr>
          <w:p w14:paraId="34F22606" w14:textId="77777777" w:rsidR="007C0420" w:rsidRPr="006300B7" w:rsidRDefault="007C0420" w:rsidP="00DC1DF9">
            <w:pPr>
              <w:jc w:val="center"/>
              <w:rPr>
                <w:b/>
                <w:bCs/>
                <w:sz w:val="20"/>
              </w:rPr>
            </w:pPr>
            <w:r w:rsidRPr="006300B7">
              <w:rPr>
                <w:b/>
                <w:bCs/>
                <w:i/>
                <w:sz w:val="20"/>
              </w:rPr>
              <w:t>p</w:t>
            </w:r>
            <w:r w:rsidRPr="006300B7">
              <w:rPr>
                <w:b/>
                <w:bCs/>
                <w:sz w:val="20"/>
              </w:rPr>
              <w:t xml:space="preserve"> -</w:t>
            </w:r>
            <w:r>
              <w:rPr>
                <w:b/>
                <w:bCs/>
                <w:sz w:val="20"/>
              </w:rPr>
              <w:t>v</w:t>
            </w:r>
            <w:r w:rsidRPr="006300B7">
              <w:rPr>
                <w:b/>
                <w:bCs/>
                <w:sz w:val="20"/>
              </w:rPr>
              <w:t>alue</w:t>
            </w:r>
          </w:p>
        </w:tc>
        <w:tc>
          <w:tcPr>
            <w:tcW w:w="1170" w:type="dxa"/>
            <w:tcBorders>
              <w:top w:val="single" w:sz="8" w:space="0" w:color="auto"/>
              <w:left w:val="nil"/>
              <w:bottom w:val="single" w:sz="8" w:space="0" w:color="auto"/>
              <w:right w:val="nil"/>
            </w:tcBorders>
            <w:shd w:val="clear" w:color="auto" w:fill="auto"/>
            <w:hideMark/>
          </w:tcPr>
          <w:p w14:paraId="48A97CB6" w14:textId="77777777" w:rsidR="007C0420" w:rsidRPr="006300B7" w:rsidRDefault="007C0420" w:rsidP="00DC1DF9">
            <w:pPr>
              <w:jc w:val="center"/>
              <w:rPr>
                <w:b/>
                <w:bCs/>
                <w:sz w:val="20"/>
              </w:rPr>
            </w:pPr>
            <w:r w:rsidRPr="006300B7">
              <w:rPr>
                <w:b/>
                <w:bCs/>
                <w:sz w:val="20"/>
              </w:rPr>
              <w:t>Status</w:t>
            </w:r>
          </w:p>
        </w:tc>
        <w:tc>
          <w:tcPr>
            <w:tcW w:w="1170" w:type="dxa"/>
            <w:tcBorders>
              <w:top w:val="single" w:sz="8" w:space="0" w:color="auto"/>
              <w:left w:val="nil"/>
              <w:bottom w:val="single" w:sz="8" w:space="0" w:color="auto"/>
              <w:right w:val="nil"/>
            </w:tcBorders>
            <w:shd w:val="clear" w:color="auto" w:fill="auto"/>
            <w:hideMark/>
          </w:tcPr>
          <w:p w14:paraId="2922255D" w14:textId="77777777" w:rsidR="007C0420" w:rsidRPr="006300B7" w:rsidRDefault="007C0420" w:rsidP="00DC1DF9">
            <w:pPr>
              <w:jc w:val="center"/>
              <w:rPr>
                <w:b/>
                <w:bCs/>
                <w:sz w:val="20"/>
              </w:rPr>
            </w:pPr>
            <w:r w:rsidRPr="006300B7">
              <w:rPr>
                <w:b/>
                <w:bCs/>
                <w:sz w:val="20"/>
              </w:rPr>
              <w:t>Mediation Effect</w:t>
            </w:r>
          </w:p>
        </w:tc>
      </w:tr>
      <w:tr w:rsidR="007C0420" w:rsidRPr="002C388A" w14:paraId="2940D0D7" w14:textId="77777777" w:rsidTr="00DC1DF9">
        <w:trPr>
          <w:trHeight w:val="632"/>
        </w:trPr>
        <w:tc>
          <w:tcPr>
            <w:tcW w:w="3510" w:type="dxa"/>
            <w:tcBorders>
              <w:top w:val="nil"/>
              <w:left w:val="nil"/>
              <w:bottom w:val="nil"/>
              <w:right w:val="nil"/>
            </w:tcBorders>
            <w:shd w:val="clear" w:color="auto" w:fill="auto"/>
            <w:vAlign w:val="center"/>
            <w:hideMark/>
          </w:tcPr>
          <w:p w14:paraId="08B38ADD" w14:textId="18278F67" w:rsidR="007C0420" w:rsidRPr="006300B7" w:rsidRDefault="007C0420">
            <w:pPr>
              <w:jc w:val="lowKashida"/>
              <w:rPr>
                <w:b/>
                <w:bCs/>
                <w:sz w:val="20"/>
              </w:rPr>
            </w:pPr>
            <w:r w:rsidRPr="006300B7">
              <w:rPr>
                <w:b/>
                <w:bCs/>
                <w:sz w:val="20"/>
              </w:rPr>
              <w:t xml:space="preserve">Knowledge Management Capabilities </w:t>
            </w:r>
            <w:r w:rsidR="00DD3AB2">
              <w:rPr>
                <w:rFonts w:cs="Times New Roman"/>
                <w:b/>
                <w:bCs/>
                <w:sz w:val="20"/>
              </w:rPr>
              <w:t>→</w:t>
            </w:r>
            <w:r w:rsidR="00DD3AB2">
              <w:rPr>
                <w:b/>
                <w:bCs/>
                <w:sz w:val="20"/>
              </w:rPr>
              <w:t xml:space="preserve"> </w:t>
            </w:r>
            <w:r w:rsidRPr="006300B7">
              <w:rPr>
                <w:b/>
                <w:bCs/>
                <w:sz w:val="20"/>
              </w:rPr>
              <w:t>Organizational Learning</w:t>
            </w:r>
            <w:r w:rsidR="00902DB0">
              <w:rPr>
                <w:b/>
                <w:bCs/>
                <w:sz w:val="20"/>
              </w:rPr>
              <w:t xml:space="preserve"> </w:t>
            </w:r>
            <w:r w:rsidR="00DD3AB2">
              <w:rPr>
                <w:rFonts w:cs="Times New Roman"/>
                <w:b/>
                <w:bCs/>
                <w:sz w:val="20"/>
              </w:rPr>
              <w:t>→</w:t>
            </w:r>
            <w:r w:rsidRPr="006300B7">
              <w:rPr>
                <w:b/>
                <w:bCs/>
                <w:sz w:val="20"/>
              </w:rPr>
              <w:t xml:space="preserve"> Knowledge Management Benefits</w:t>
            </w:r>
          </w:p>
        </w:tc>
        <w:tc>
          <w:tcPr>
            <w:tcW w:w="720" w:type="dxa"/>
            <w:tcBorders>
              <w:top w:val="nil"/>
              <w:left w:val="nil"/>
              <w:bottom w:val="nil"/>
              <w:right w:val="nil"/>
            </w:tcBorders>
            <w:shd w:val="clear" w:color="auto" w:fill="auto"/>
            <w:noWrap/>
            <w:vAlign w:val="center"/>
            <w:hideMark/>
          </w:tcPr>
          <w:p w14:paraId="6AE2ED8A" w14:textId="77777777" w:rsidR="007C0420" w:rsidRPr="006300B7" w:rsidRDefault="007C0420" w:rsidP="00DC1DF9">
            <w:pPr>
              <w:jc w:val="center"/>
              <w:rPr>
                <w:sz w:val="20"/>
              </w:rPr>
            </w:pPr>
            <w:r w:rsidRPr="006300B7">
              <w:rPr>
                <w:sz w:val="20"/>
              </w:rPr>
              <w:t>0.045</w:t>
            </w:r>
          </w:p>
        </w:tc>
        <w:tc>
          <w:tcPr>
            <w:tcW w:w="810" w:type="dxa"/>
            <w:tcBorders>
              <w:top w:val="nil"/>
              <w:left w:val="nil"/>
              <w:bottom w:val="nil"/>
              <w:right w:val="nil"/>
            </w:tcBorders>
            <w:shd w:val="clear" w:color="auto" w:fill="auto"/>
            <w:noWrap/>
            <w:vAlign w:val="center"/>
            <w:hideMark/>
          </w:tcPr>
          <w:p w14:paraId="1EBFBC40" w14:textId="77777777" w:rsidR="007C0420" w:rsidRPr="006300B7" w:rsidRDefault="007C0420" w:rsidP="00DC1DF9">
            <w:pPr>
              <w:jc w:val="center"/>
              <w:rPr>
                <w:sz w:val="20"/>
              </w:rPr>
            </w:pPr>
            <w:r w:rsidRPr="006300B7">
              <w:rPr>
                <w:sz w:val="20"/>
              </w:rPr>
              <w:t>0.016</w:t>
            </w:r>
          </w:p>
        </w:tc>
        <w:tc>
          <w:tcPr>
            <w:tcW w:w="900" w:type="dxa"/>
            <w:tcBorders>
              <w:top w:val="nil"/>
              <w:left w:val="nil"/>
              <w:bottom w:val="nil"/>
              <w:right w:val="nil"/>
            </w:tcBorders>
            <w:shd w:val="clear" w:color="auto" w:fill="auto"/>
            <w:noWrap/>
            <w:vAlign w:val="center"/>
            <w:hideMark/>
          </w:tcPr>
          <w:p w14:paraId="3CA59321" w14:textId="77777777" w:rsidR="007C0420" w:rsidRPr="006300B7" w:rsidRDefault="007C0420" w:rsidP="00DC1DF9">
            <w:pPr>
              <w:jc w:val="center"/>
              <w:rPr>
                <w:sz w:val="20"/>
              </w:rPr>
            </w:pPr>
            <w:r w:rsidRPr="006300B7">
              <w:rPr>
                <w:sz w:val="20"/>
              </w:rPr>
              <w:t>2.932</w:t>
            </w:r>
          </w:p>
        </w:tc>
        <w:tc>
          <w:tcPr>
            <w:tcW w:w="990" w:type="dxa"/>
            <w:tcBorders>
              <w:top w:val="nil"/>
              <w:left w:val="nil"/>
              <w:bottom w:val="nil"/>
              <w:right w:val="nil"/>
            </w:tcBorders>
            <w:shd w:val="clear" w:color="auto" w:fill="auto"/>
            <w:noWrap/>
            <w:vAlign w:val="center"/>
            <w:hideMark/>
          </w:tcPr>
          <w:p w14:paraId="370A3573" w14:textId="77777777" w:rsidR="007C0420" w:rsidRPr="006300B7" w:rsidRDefault="007C0420" w:rsidP="00DC1DF9">
            <w:pPr>
              <w:jc w:val="center"/>
              <w:rPr>
                <w:sz w:val="20"/>
              </w:rPr>
            </w:pPr>
            <w:r w:rsidRPr="006300B7">
              <w:rPr>
                <w:sz w:val="20"/>
              </w:rPr>
              <w:t>.003</w:t>
            </w:r>
          </w:p>
        </w:tc>
        <w:tc>
          <w:tcPr>
            <w:tcW w:w="1170" w:type="dxa"/>
            <w:tcBorders>
              <w:top w:val="nil"/>
              <w:left w:val="nil"/>
              <w:bottom w:val="nil"/>
              <w:right w:val="nil"/>
            </w:tcBorders>
            <w:shd w:val="clear" w:color="auto" w:fill="auto"/>
            <w:vAlign w:val="center"/>
            <w:hideMark/>
          </w:tcPr>
          <w:p w14:paraId="1DB15C2A" w14:textId="77777777" w:rsidR="007C0420" w:rsidRPr="006300B7" w:rsidRDefault="007C0420" w:rsidP="00DC1DF9">
            <w:pPr>
              <w:jc w:val="center"/>
              <w:rPr>
                <w:sz w:val="20"/>
              </w:rPr>
            </w:pPr>
            <w:r w:rsidRPr="006300B7">
              <w:rPr>
                <w:sz w:val="20"/>
              </w:rPr>
              <w:t>Significant</w:t>
            </w:r>
          </w:p>
        </w:tc>
        <w:tc>
          <w:tcPr>
            <w:tcW w:w="1170" w:type="dxa"/>
            <w:tcBorders>
              <w:top w:val="nil"/>
              <w:left w:val="nil"/>
              <w:bottom w:val="nil"/>
              <w:right w:val="nil"/>
            </w:tcBorders>
            <w:shd w:val="clear" w:color="auto" w:fill="auto"/>
            <w:vAlign w:val="center"/>
            <w:hideMark/>
          </w:tcPr>
          <w:p w14:paraId="38297380" w14:textId="77777777" w:rsidR="007C0420" w:rsidRPr="006300B7" w:rsidRDefault="007C0420" w:rsidP="00DC1DF9">
            <w:pPr>
              <w:jc w:val="center"/>
              <w:rPr>
                <w:sz w:val="20"/>
              </w:rPr>
            </w:pPr>
            <w:r w:rsidRPr="006300B7">
              <w:rPr>
                <w:sz w:val="20"/>
              </w:rPr>
              <w:t xml:space="preserve">Partial </w:t>
            </w:r>
          </w:p>
        </w:tc>
      </w:tr>
      <w:tr w:rsidR="007C0420" w:rsidRPr="002C388A" w14:paraId="33797440" w14:textId="77777777" w:rsidTr="00DC1DF9">
        <w:trPr>
          <w:trHeight w:val="632"/>
        </w:trPr>
        <w:tc>
          <w:tcPr>
            <w:tcW w:w="3510" w:type="dxa"/>
            <w:tcBorders>
              <w:top w:val="nil"/>
              <w:left w:val="nil"/>
              <w:bottom w:val="nil"/>
              <w:right w:val="nil"/>
            </w:tcBorders>
            <w:shd w:val="clear" w:color="auto" w:fill="auto"/>
            <w:vAlign w:val="center"/>
            <w:hideMark/>
          </w:tcPr>
          <w:p w14:paraId="36988BB1" w14:textId="27783F7C" w:rsidR="007C0420" w:rsidRPr="006300B7" w:rsidRDefault="007C0420">
            <w:pPr>
              <w:jc w:val="lowKashida"/>
              <w:rPr>
                <w:b/>
                <w:bCs/>
                <w:sz w:val="20"/>
              </w:rPr>
            </w:pPr>
            <w:r w:rsidRPr="006300B7">
              <w:rPr>
                <w:b/>
                <w:bCs/>
                <w:sz w:val="20"/>
              </w:rPr>
              <w:t xml:space="preserve">Extrinsic Motivation </w:t>
            </w:r>
            <w:r w:rsidR="00DD3AB2">
              <w:rPr>
                <w:rFonts w:cs="Times New Roman"/>
                <w:b/>
                <w:bCs/>
                <w:sz w:val="20"/>
              </w:rPr>
              <w:t>→</w:t>
            </w:r>
            <w:r w:rsidRPr="006300B7">
              <w:rPr>
                <w:b/>
                <w:bCs/>
                <w:sz w:val="20"/>
              </w:rPr>
              <w:t xml:space="preserve"> Organizational </w:t>
            </w:r>
            <w:r w:rsidR="00902DB0" w:rsidRPr="006300B7">
              <w:rPr>
                <w:b/>
                <w:bCs/>
                <w:sz w:val="20"/>
              </w:rPr>
              <w:t>Learning</w:t>
            </w:r>
            <w:r w:rsidR="00902DB0">
              <w:rPr>
                <w:b/>
                <w:bCs/>
                <w:sz w:val="20"/>
              </w:rPr>
              <w:t xml:space="preserve"> </w:t>
            </w:r>
            <w:r w:rsidR="00DD3AB2">
              <w:rPr>
                <w:rFonts w:cs="Times New Roman"/>
                <w:b/>
                <w:bCs/>
                <w:sz w:val="20"/>
              </w:rPr>
              <w:t>→</w:t>
            </w:r>
            <w:r w:rsidR="00DD3AB2">
              <w:rPr>
                <w:b/>
                <w:bCs/>
                <w:sz w:val="20"/>
              </w:rPr>
              <w:t xml:space="preserve"> </w:t>
            </w:r>
            <w:r w:rsidRPr="006300B7">
              <w:rPr>
                <w:b/>
                <w:bCs/>
                <w:sz w:val="20"/>
              </w:rPr>
              <w:t>Knowledge Management Benefits</w:t>
            </w:r>
          </w:p>
        </w:tc>
        <w:tc>
          <w:tcPr>
            <w:tcW w:w="720" w:type="dxa"/>
            <w:tcBorders>
              <w:top w:val="nil"/>
              <w:left w:val="nil"/>
              <w:bottom w:val="nil"/>
              <w:right w:val="nil"/>
            </w:tcBorders>
            <w:shd w:val="clear" w:color="auto" w:fill="auto"/>
            <w:noWrap/>
            <w:vAlign w:val="center"/>
            <w:hideMark/>
          </w:tcPr>
          <w:p w14:paraId="1533D900" w14:textId="77777777" w:rsidR="007C0420" w:rsidRPr="006300B7" w:rsidRDefault="007C0420" w:rsidP="00DC1DF9">
            <w:pPr>
              <w:jc w:val="center"/>
              <w:rPr>
                <w:sz w:val="20"/>
              </w:rPr>
            </w:pPr>
            <w:r w:rsidRPr="006300B7">
              <w:rPr>
                <w:sz w:val="20"/>
              </w:rPr>
              <w:t>0.059</w:t>
            </w:r>
          </w:p>
        </w:tc>
        <w:tc>
          <w:tcPr>
            <w:tcW w:w="810" w:type="dxa"/>
            <w:tcBorders>
              <w:top w:val="nil"/>
              <w:left w:val="nil"/>
              <w:bottom w:val="nil"/>
              <w:right w:val="nil"/>
            </w:tcBorders>
            <w:shd w:val="clear" w:color="auto" w:fill="auto"/>
            <w:noWrap/>
            <w:vAlign w:val="center"/>
            <w:hideMark/>
          </w:tcPr>
          <w:p w14:paraId="0118845C" w14:textId="77777777" w:rsidR="007C0420" w:rsidRPr="006300B7" w:rsidRDefault="007C0420" w:rsidP="00DC1DF9">
            <w:pPr>
              <w:jc w:val="center"/>
              <w:rPr>
                <w:sz w:val="20"/>
              </w:rPr>
            </w:pPr>
            <w:r w:rsidRPr="006300B7">
              <w:rPr>
                <w:sz w:val="20"/>
              </w:rPr>
              <w:t>0.017</w:t>
            </w:r>
          </w:p>
        </w:tc>
        <w:tc>
          <w:tcPr>
            <w:tcW w:w="900" w:type="dxa"/>
            <w:tcBorders>
              <w:top w:val="nil"/>
              <w:left w:val="nil"/>
              <w:bottom w:val="nil"/>
              <w:right w:val="nil"/>
            </w:tcBorders>
            <w:shd w:val="clear" w:color="auto" w:fill="auto"/>
            <w:noWrap/>
            <w:vAlign w:val="center"/>
            <w:hideMark/>
          </w:tcPr>
          <w:p w14:paraId="249A691B" w14:textId="77777777" w:rsidR="007C0420" w:rsidRPr="006300B7" w:rsidRDefault="007C0420" w:rsidP="00DC1DF9">
            <w:pPr>
              <w:jc w:val="center"/>
              <w:rPr>
                <w:sz w:val="20"/>
              </w:rPr>
            </w:pPr>
            <w:r w:rsidRPr="006300B7">
              <w:rPr>
                <w:sz w:val="20"/>
              </w:rPr>
              <w:t>3.505</w:t>
            </w:r>
          </w:p>
        </w:tc>
        <w:tc>
          <w:tcPr>
            <w:tcW w:w="990" w:type="dxa"/>
            <w:tcBorders>
              <w:top w:val="nil"/>
              <w:left w:val="nil"/>
              <w:bottom w:val="nil"/>
              <w:right w:val="nil"/>
            </w:tcBorders>
            <w:shd w:val="clear" w:color="auto" w:fill="auto"/>
            <w:noWrap/>
            <w:vAlign w:val="center"/>
            <w:hideMark/>
          </w:tcPr>
          <w:p w14:paraId="52BF06AD" w14:textId="77777777" w:rsidR="007C0420" w:rsidRPr="006300B7" w:rsidRDefault="007C0420" w:rsidP="00DC1DF9">
            <w:pPr>
              <w:jc w:val="center"/>
              <w:rPr>
                <w:sz w:val="20"/>
              </w:rPr>
            </w:pPr>
            <w:r>
              <w:rPr>
                <w:sz w:val="20"/>
              </w:rPr>
              <w:t>.</w:t>
            </w:r>
            <w:r w:rsidRPr="006300B7">
              <w:rPr>
                <w:sz w:val="20"/>
              </w:rPr>
              <w:t>0</w:t>
            </w:r>
            <w:r>
              <w:rPr>
                <w:sz w:val="20"/>
              </w:rPr>
              <w:t>00</w:t>
            </w:r>
          </w:p>
        </w:tc>
        <w:tc>
          <w:tcPr>
            <w:tcW w:w="1170" w:type="dxa"/>
            <w:tcBorders>
              <w:top w:val="nil"/>
              <w:left w:val="nil"/>
              <w:bottom w:val="nil"/>
              <w:right w:val="nil"/>
            </w:tcBorders>
            <w:shd w:val="clear" w:color="auto" w:fill="auto"/>
            <w:vAlign w:val="center"/>
            <w:hideMark/>
          </w:tcPr>
          <w:p w14:paraId="05700656" w14:textId="77777777" w:rsidR="007C0420" w:rsidRPr="006300B7" w:rsidRDefault="007C0420" w:rsidP="00DC1DF9">
            <w:pPr>
              <w:jc w:val="center"/>
              <w:rPr>
                <w:sz w:val="20"/>
              </w:rPr>
            </w:pPr>
            <w:r w:rsidRPr="006300B7">
              <w:rPr>
                <w:sz w:val="20"/>
              </w:rPr>
              <w:t>Significant</w:t>
            </w:r>
          </w:p>
        </w:tc>
        <w:tc>
          <w:tcPr>
            <w:tcW w:w="1170" w:type="dxa"/>
            <w:tcBorders>
              <w:top w:val="nil"/>
              <w:left w:val="nil"/>
              <w:bottom w:val="nil"/>
              <w:right w:val="nil"/>
            </w:tcBorders>
            <w:shd w:val="clear" w:color="auto" w:fill="auto"/>
            <w:vAlign w:val="center"/>
            <w:hideMark/>
          </w:tcPr>
          <w:p w14:paraId="35AFC731" w14:textId="77777777" w:rsidR="007C0420" w:rsidRPr="006300B7" w:rsidRDefault="007C0420" w:rsidP="00DC1DF9">
            <w:pPr>
              <w:jc w:val="center"/>
              <w:rPr>
                <w:sz w:val="20"/>
              </w:rPr>
            </w:pPr>
            <w:r w:rsidRPr="006300B7">
              <w:rPr>
                <w:sz w:val="20"/>
              </w:rPr>
              <w:t xml:space="preserve">Full </w:t>
            </w:r>
          </w:p>
        </w:tc>
      </w:tr>
      <w:tr w:rsidR="007C0420" w:rsidRPr="002C388A" w14:paraId="56FEDE14" w14:textId="77777777" w:rsidTr="00DC1DF9">
        <w:trPr>
          <w:trHeight w:val="632"/>
        </w:trPr>
        <w:tc>
          <w:tcPr>
            <w:tcW w:w="3510" w:type="dxa"/>
            <w:tcBorders>
              <w:top w:val="nil"/>
              <w:left w:val="nil"/>
              <w:bottom w:val="nil"/>
              <w:right w:val="nil"/>
            </w:tcBorders>
            <w:shd w:val="clear" w:color="auto" w:fill="auto"/>
            <w:vAlign w:val="center"/>
            <w:hideMark/>
          </w:tcPr>
          <w:p w14:paraId="556D7FBC" w14:textId="4C1C6A24" w:rsidR="007C0420" w:rsidRPr="006300B7" w:rsidRDefault="007C0420">
            <w:pPr>
              <w:jc w:val="lowKashida"/>
              <w:rPr>
                <w:b/>
                <w:bCs/>
                <w:sz w:val="20"/>
              </w:rPr>
            </w:pPr>
            <w:r w:rsidRPr="006300B7">
              <w:rPr>
                <w:b/>
                <w:bCs/>
                <w:sz w:val="20"/>
              </w:rPr>
              <w:t xml:space="preserve">Intrinsic Motivation </w:t>
            </w:r>
            <w:r w:rsidR="00DD3AB2">
              <w:rPr>
                <w:rFonts w:cs="Times New Roman"/>
                <w:b/>
                <w:bCs/>
                <w:sz w:val="20"/>
              </w:rPr>
              <w:t>→</w:t>
            </w:r>
            <w:r w:rsidRPr="006300B7">
              <w:rPr>
                <w:b/>
                <w:bCs/>
                <w:sz w:val="20"/>
              </w:rPr>
              <w:t xml:space="preserve"> Organizational </w:t>
            </w:r>
            <w:r w:rsidR="00902DB0" w:rsidRPr="006300B7">
              <w:rPr>
                <w:b/>
                <w:bCs/>
                <w:sz w:val="20"/>
              </w:rPr>
              <w:t>Learning</w:t>
            </w:r>
            <w:r w:rsidR="00902DB0">
              <w:rPr>
                <w:b/>
                <w:bCs/>
                <w:sz w:val="20"/>
              </w:rPr>
              <w:t xml:space="preserve"> </w:t>
            </w:r>
            <w:r w:rsidR="00DD3AB2">
              <w:rPr>
                <w:rFonts w:cs="Times New Roman"/>
                <w:b/>
                <w:bCs/>
                <w:sz w:val="20"/>
              </w:rPr>
              <w:t>→</w:t>
            </w:r>
            <w:r w:rsidRPr="006300B7">
              <w:rPr>
                <w:b/>
                <w:bCs/>
                <w:sz w:val="20"/>
              </w:rPr>
              <w:t xml:space="preserve"> Knowledge Management Benefits</w:t>
            </w:r>
          </w:p>
        </w:tc>
        <w:tc>
          <w:tcPr>
            <w:tcW w:w="720" w:type="dxa"/>
            <w:tcBorders>
              <w:top w:val="nil"/>
              <w:left w:val="nil"/>
              <w:bottom w:val="nil"/>
              <w:right w:val="nil"/>
            </w:tcBorders>
            <w:shd w:val="clear" w:color="auto" w:fill="auto"/>
            <w:noWrap/>
            <w:vAlign w:val="center"/>
            <w:hideMark/>
          </w:tcPr>
          <w:p w14:paraId="64CA29E2" w14:textId="77777777" w:rsidR="007C0420" w:rsidRPr="006300B7" w:rsidRDefault="007C0420" w:rsidP="00DC1DF9">
            <w:pPr>
              <w:jc w:val="center"/>
              <w:rPr>
                <w:sz w:val="20"/>
              </w:rPr>
            </w:pPr>
            <w:r w:rsidRPr="006300B7">
              <w:rPr>
                <w:sz w:val="20"/>
              </w:rPr>
              <w:t>0.158</w:t>
            </w:r>
          </w:p>
        </w:tc>
        <w:tc>
          <w:tcPr>
            <w:tcW w:w="810" w:type="dxa"/>
            <w:tcBorders>
              <w:top w:val="nil"/>
              <w:left w:val="nil"/>
              <w:bottom w:val="nil"/>
              <w:right w:val="nil"/>
            </w:tcBorders>
            <w:shd w:val="clear" w:color="auto" w:fill="auto"/>
            <w:noWrap/>
            <w:vAlign w:val="center"/>
            <w:hideMark/>
          </w:tcPr>
          <w:p w14:paraId="3AB5B418" w14:textId="77777777" w:rsidR="007C0420" w:rsidRPr="006300B7" w:rsidRDefault="007C0420" w:rsidP="00DC1DF9">
            <w:pPr>
              <w:jc w:val="center"/>
              <w:rPr>
                <w:sz w:val="20"/>
              </w:rPr>
            </w:pPr>
            <w:r w:rsidRPr="006300B7">
              <w:rPr>
                <w:sz w:val="20"/>
              </w:rPr>
              <w:t>0.029</w:t>
            </w:r>
          </w:p>
        </w:tc>
        <w:tc>
          <w:tcPr>
            <w:tcW w:w="900" w:type="dxa"/>
            <w:tcBorders>
              <w:top w:val="nil"/>
              <w:left w:val="nil"/>
              <w:bottom w:val="nil"/>
              <w:right w:val="nil"/>
            </w:tcBorders>
            <w:shd w:val="clear" w:color="auto" w:fill="auto"/>
            <w:noWrap/>
            <w:vAlign w:val="center"/>
            <w:hideMark/>
          </w:tcPr>
          <w:p w14:paraId="67CAD342" w14:textId="77777777" w:rsidR="007C0420" w:rsidRPr="006300B7" w:rsidRDefault="007C0420" w:rsidP="00DC1DF9">
            <w:pPr>
              <w:jc w:val="center"/>
              <w:rPr>
                <w:sz w:val="20"/>
              </w:rPr>
            </w:pPr>
            <w:r w:rsidRPr="006300B7">
              <w:rPr>
                <w:sz w:val="20"/>
              </w:rPr>
              <w:t>5.457</w:t>
            </w:r>
          </w:p>
        </w:tc>
        <w:tc>
          <w:tcPr>
            <w:tcW w:w="990" w:type="dxa"/>
            <w:tcBorders>
              <w:top w:val="nil"/>
              <w:left w:val="nil"/>
              <w:bottom w:val="nil"/>
              <w:right w:val="nil"/>
            </w:tcBorders>
            <w:shd w:val="clear" w:color="auto" w:fill="auto"/>
            <w:noWrap/>
            <w:vAlign w:val="center"/>
            <w:hideMark/>
          </w:tcPr>
          <w:p w14:paraId="6B17834F" w14:textId="77777777" w:rsidR="007C0420" w:rsidRPr="006300B7" w:rsidRDefault="007C0420" w:rsidP="00DC1DF9">
            <w:pPr>
              <w:jc w:val="center"/>
              <w:rPr>
                <w:sz w:val="20"/>
              </w:rPr>
            </w:pPr>
            <w:r>
              <w:rPr>
                <w:sz w:val="20"/>
              </w:rPr>
              <w:t>.</w:t>
            </w:r>
            <w:r w:rsidRPr="006300B7">
              <w:rPr>
                <w:sz w:val="20"/>
              </w:rPr>
              <w:t>0</w:t>
            </w:r>
            <w:r>
              <w:rPr>
                <w:sz w:val="20"/>
              </w:rPr>
              <w:t>00</w:t>
            </w:r>
          </w:p>
        </w:tc>
        <w:tc>
          <w:tcPr>
            <w:tcW w:w="1170" w:type="dxa"/>
            <w:tcBorders>
              <w:top w:val="nil"/>
              <w:left w:val="nil"/>
              <w:bottom w:val="nil"/>
              <w:right w:val="nil"/>
            </w:tcBorders>
            <w:shd w:val="clear" w:color="auto" w:fill="auto"/>
            <w:vAlign w:val="center"/>
            <w:hideMark/>
          </w:tcPr>
          <w:p w14:paraId="001562F7" w14:textId="77777777" w:rsidR="007C0420" w:rsidRPr="006300B7" w:rsidRDefault="007C0420" w:rsidP="00DC1DF9">
            <w:pPr>
              <w:jc w:val="center"/>
              <w:rPr>
                <w:sz w:val="20"/>
              </w:rPr>
            </w:pPr>
            <w:r w:rsidRPr="006300B7">
              <w:rPr>
                <w:sz w:val="20"/>
              </w:rPr>
              <w:t>Significant</w:t>
            </w:r>
          </w:p>
        </w:tc>
        <w:tc>
          <w:tcPr>
            <w:tcW w:w="1170" w:type="dxa"/>
            <w:tcBorders>
              <w:top w:val="nil"/>
              <w:left w:val="nil"/>
              <w:bottom w:val="nil"/>
              <w:right w:val="nil"/>
            </w:tcBorders>
            <w:shd w:val="clear" w:color="auto" w:fill="auto"/>
            <w:vAlign w:val="center"/>
            <w:hideMark/>
          </w:tcPr>
          <w:p w14:paraId="4F825B8C" w14:textId="77777777" w:rsidR="007C0420" w:rsidRPr="006300B7" w:rsidRDefault="007C0420" w:rsidP="00DC1DF9">
            <w:pPr>
              <w:jc w:val="center"/>
              <w:rPr>
                <w:sz w:val="20"/>
              </w:rPr>
            </w:pPr>
            <w:r w:rsidRPr="006300B7">
              <w:rPr>
                <w:sz w:val="20"/>
              </w:rPr>
              <w:t>Partial</w:t>
            </w:r>
          </w:p>
        </w:tc>
      </w:tr>
      <w:tr w:rsidR="007C0420" w:rsidRPr="002C388A" w14:paraId="449F9D2B" w14:textId="77777777" w:rsidTr="00DC1DF9">
        <w:trPr>
          <w:trHeight w:val="632"/>
        </w:trPr>
        <w:tc>
          <w:tcPr>
            <w:tcW w:w="3510" w:type="dxa"/>
            <w:tcBorders>
              <w:top w:val="nil"/>
              <w:left w:val="nil"/>
              <w:bottom w:val="nil"/>
              <w:right w:val="nil"/>
            </w:tcBorders>
            <w:shd w:val="clear" w:color="auto" w:fill="auto"/>
            <w:vAlign w:val="center"/>
            <w:hideMark/>
          </w:tcPr>
          <w:p w14:paraId="0A9A930A" w14:textId="62B268A7" w:rsidR="007C0420" w:rsidRPr="006300B7" w:rsidRDefault="007C0420">
            <w:pPr>
              <w:jc w:val="lowKashida"/>
              <w:rPr>
                <w:b/>
                <w:bCs/>
                <w:sz w:val="20"/>
              </w:rPr>
            </w:pPr>
            <w:r w:rsidRPr="006300B7">
              <w:rPr>
                <w:b/>
                <w:bCs/>
                <w:sz w:val="20"/>
              </w:rPr>
              <w:t xml:space="preserve">Opportunities </w:t>
            </w:r>
            <w:r w:rsidR="00DD3AB2">
              <w:rPr>
                <w:rFonts w:cs="Times New Roman"/>
                <w:b/>
                <w:bCs/>
                <w:sz w:val="20"/>
              </w:rPr>
              <w:t>→</w:t>
            </w:r>
            <w:r w:rsidRPr="006300B7">
              <w:rPr>
                <w:b/>
                <w:bCs/>
                <w:sz w:val="20"/>
              </w:rPr>
              <w:t xml:space="preserve"> Organizational </w:t>
            </w:r>
            <w:r w:rsidR="00902DB0" w:rsidRPr="006300B7">
              <w:rPr>
                <w:b/>
                <w:bCs/>
                <w:sz w:val="20"/>
              </w:rPr>
              <w:t>Learning</w:t>
            </w:r>
            <w:r w:rsidR="00902DB0">
              <w:rPr>
                <w:b/>
                <w:bCs/>
                <w:sz w:val="20"/>
              </w:rPr>
              <w:t xml:space="preserve"> </w:t>
            </w:r>
            <w:r w:rsidR="00DD3AB2">
              <w:rPr>
                <w:rFonts w:cs="Times New Roman"/>
                <w:b/>
                <w:bCs/>
                <w:sz w:val="20"/>
              </w:rPr>
              <w:t>→</w:t>
            </w:r>
            <w:r w:rsidRPr="006300B7">
              <w:rPr>
                <w:b/>
                <w:bCs/>
                <w:sz w:val="20"/>
              </w:rPr>
              <w:t xml:space="preserve"> Knowledge Management Benefits</w:t>
            </w:r>
          </w:p>
        </w:tc>
        <w:tc>
          <w:tcPr>
            <w:tcW w:w="720" w:type="dxa"/>
            <w:tcBorders>
              <w:top w:val="nil"/>
              <w:left w:val="nil"/>
              <w:bottom w:val="nil"/>
              <w:right w:val="nil"/>
            </w:tcBorders>
            <w:shd w:val="clear" w:color="auto" w:fill="auto"/>
            <w:noWrap/>
            <w:vAlign w:val="center"/>
            <w:hideMark/>
          </w:tcPr>
          <w:p w14:paraId="67079E14" w14:textId="77777777" w:rsidR="007C0420" w:rsidRPr="006300B7" w:rsidRDefault="007C0420" w:rsidP="00DC1DF9">
            <w:pPr>
              <w:jc w:val="center"/>
              <w:rPr>
                <w:sz w:val="20"/>
              </w:rPr>
            </w:pPr>
            <w:r w:rsidRPr="006300B7">
              <w:rPr>
                <w:sz w:val="20"/>
              </w:rPr>
              <w:t>0.012</w:t>
            </w:r>
          </w:p>
        </w:tc>
        <w:tc>
          <w:tcPr>
            <w:tcW w:w="810" w:type="dxa"/>
            <w:tcBorders>
              <w:top w:val="nil"/>
              <w:left w:val="nil"/>
              <w:bottom w:val="nil"/>
              <w:right w:val="nil"/>
            </w:tcBorders>
            <w:shd w:val="clear" w:color="auto" w:fill="auto"/>
            <w:noWrap/>
            <w:vAlign w:val="center"/>
            <w:hideMark/>
          </w:tcPr>
          <w:p w14:paraId="2A484EFE" w14:textId="77777777" w:rsidR="007C0420" w:rsidRPr="006300B7" w:rsidRDefault="007C0420" w:rsidP="00DC1DF9">
            <w:pPr>
              <w:jc w:val="center"/>
              <w:rPr>
                <w:sz w:val="20"/>
              </w:rPr>
            </w:pPr>
            <w:r w:rsidRPr="006300B7">
              <w:rPr>
                <w:sz w:val="20"/>
              </w:rPr>
              <w:t>0.01</w:t>
            </w:r>
          </w:p>
        </w:tc>
        <w:tc>
          <w:tcPr>
            <w:tcW w:w="900" w:type="dxa"/>
            <w:tcBorders>
              <w:top w:val="nil"/>
              <w:left w:val="nil"/>
              <w:bottom w:val="nil"/>
              <w:right w:val="nil"/>
            </w:tcBorders>
            <w:shd w:val="clear" w:color="auto" w:fill="auto"/>
            <w:noWrap/>
            <w:vAlign w:val="center"/>
            <w:hideMark/>
          </w:tcPr>
          <w:p w14:paraId="330B2511" w14:textId="77777777" w:rsidR="007C0420" w:rsidRPr="006300B7" w:rsidRDefault="007C0420" w:rsidP="00DC1DF9">
            <w:pPr>
              <w:jc w:val="center"/>
              <w:rPr>
                <w:sz w:val="20"/>
              </w:rPr>
            </w:pPr>
            <w:r w:rsidRPr="006300B7">
              <w:rPr>
                <w:sz w:val="20"/>
              </w:rPr>
              <w:t>1.199</w:t>
            </w:r>
          </w:p>
        </w:tc>
        <w:tc>
          <w:tcPr>
            <w:tcW w:w="990" w:type="dxa"/>
            <w:tcBorders>
              <w:top w:val="nil"/>
              <w:left w:val="nil"/>
              <w:bottom w:val="nil"/>
              <w:right w:val="nil"/>
            </w:tcBorders>
            <w:shd w:val="clear" w:color="auto" w:fill="auto"/>
            <w:noWrap/>
            <w:vAlign w:val="center"/>
            <w:hideMark/>
          </w:tcPr>
          <w:p w14:paraId="4D99B8E5" w14:textId="77777777" w:rsidR="007C0420" w:rsidRPr="006300B7" w:rsidRDefault="007C0420" w:rsidP="00DC1DF9">
            <w:pPr>
              <w:jc w:val="center"/>
              <w:rPr>
                <w:sz w:val="20"/>
              </w:rPr>
            </w:pPr>
            <w:r w:rsidRPr="006300B7">
              <w:rPr>
                <w:sz w:val="20"/>
              </w:rPr>
              <w:t>.231</w:t>
            </w:r>
          </w:p>
        </w:tc>
        <w:tc>
          <w:tcPr>
            <w:tcW w:w="1170" w:type="dxa"/>
            <w:tcBorders>
              <w:top w:val="nil"/>
              <w:left w:val="nil"/>
              <w:bottom w:val="nil"/>
              <w:right w:val="nil"/>
            </w:tcBorders>
            <w:shd w:val="clear" w:color="auto" w:fill="auto"/>
            <w:vAlign w:val="center"/>
            <w:hideMark/>
          </w:tcPr>
          <w:p w14:paraId="1D56FA1E" w14:textId="77777777" w:rsidR="007C0420" w:rsidRPr="006300B7" w:rsidRDefault="007C0420" w:rsidP="00DC1DF9">
            <w:pPr>
              <w:jc w:val="center"/>
              <w:rPr>
                <w:sz w:val="20"/>
              </w:rPr>
            </w:pPr>
            <w:r w:rsidRPr="006300B7">
              <w:rPr>
                <w:sz w:val="20"/>
              </w:rPr>
              <w:t>Non-significant</w:t>
            </w:r>
          </w:p>
        </w:tc>
        <w:tc>
          <w:tcPr>
            <w:tcW w:w="1170" w:type="dxa"/>
            <w:tcBorders>
              <w:top w:val="nil"/>
              <w:left w:val="nil"/>
              <w:bottom w:val="nil"/>
              <w:right w:val="nil"/>
            </w:tcBorders>
            <w:shd w:val="clear" w:color="auto" w:fill="auto"/>
            <w:vAlign w:val="center"/>
            <w:hideMark/>
          </w:tcPr>
          <w:p w14:paraId="2CC60AF8" w14:textId="77777777" w:rsidR="007C0420" w:rsidRPr="006300B7" w:rsidRDefault="007C0420" w:rsidP="00DC1DF9">
            <w:pPr>
              <w:jc w:val="center"/>
              <w:rPr>
                <w:sz w:val="20"/>
              </w:rPr>
            </w:pPr>
            <w:r w:rsidRPr="006300B7">
              <w:rPr>
                <w:sz w:val="20"/>
              </w:rPr>
              <w:t>No effect</w:t>
            </w:r>
          </w:p>
        </w:tc>
      </w:tr>
      <w:tr w:rsidR="007C0420" w:rsidRPr="002C388A" w14:paraId="375C2B47" w14:textId="77777777" w:rsidTr="00DC1DF9">
        <w:trPr>
          <w:trHeight w:val="651"/>
        </w:trPr>
        <w:tc>
          <w:tcPr>
            <w:tcW w:w="3510" w:type="dxa"/>
            <w:tcBorders>
              <w:top w:val="nil"/>
              <w:left w:val="nil"/>
              <w:bottom w:val="single" w:sz="8" w:space="0" w:color="auto"/>
              <w:right w:val="nil"/>
            </w:tcBorders>
            <w:shd w:val="clear" w:color="auto" w:fill="auto"/>
            <w:vAlign w:val="center"/>
            <w:hideMark/>
          </w:tcPr>
          <w:p w14:paraId="3A5D42A1" w14:textId="34857175" w:rsidR="007C0420" w:rsidRPr="006300B7" w:rsidRDefault="007C0420">
            <w:pPr>
              <w:jc w:val="lowKashida"/>
              <w:rPr>
                <w:b/>
                <w:bCs/>
                <w:sz w:val="20"/>
              </w:rPr>
            </w:pPr>
            <w:r w:rsidRPr="006300B7">
              <w:rPr>
                <w:b/>
                <w:bCs/>
                <w:sz w:val="20"/>
              </w:rPr>
              <w:t xml:space="preserve">Abilities </w:t>
            </w:r>
            <w:r w:rsidR="00DD3AB2">
              <w:rPr>
                <w:rFonts w:cs="Times New Roman"/>
                <w:b/>
                <w:bCs/>
                <w:sz w:val="20"/>
              </w:rPr>
              <w:t>→</w:t>
            </w:r>
            <w:r w:rsidRPr="006300B7">
              <w:rPr>
                <w:b/>
                <w:bCs/>
                <w:sz w:val="20"/>
              </w:rPr>
              <w:t xml:space="preserve"> Organizational </w:t>
            </w:r>
            <w:r w:rsidR="00902DB0" w:rsidRPr="006300B7">
              <w:rPr>
                <w:b/>
                <w:bCs/>
                <w:sz w:val="20"/>
              </w:rPr>
              <w:t>Learning</w:t>
            </w:r>
            <w:r w:rsidR="00902DB0">
              <w:rPr>
                <w:b/>
                <w:bCs/>
                <w:sz w:val="20"/>
              </w:rPr>
              <w:t xml:space="preserve"> </w:t>
            </w:r>
            <w:r w:rsidR="00DD3AB2">
              <w:rPr>
                <w:rFonts w:cs="Times New Roman"/>
                <w:b/>
                <w:bCs/>
                <w:sz w:val="20"/>
              </w:rPr>
              <w:t>→</w:t>
            </w:r>
            <w:r w:rsidRPr="006300B7">
              <w:rPr>
                <w:b/>
                <w:bCs/>
                <w:sz w:val="20"/>
              </w:rPr>
              <w:t xml:space="preserve"> Knowledge Management Benefits</w:t>
            </w:r>
          </w:p>
        </w:tc>
        <w:tc>
          <w:tcPr>
            <w:tcW w:w="720" w:type="dxa"/>
            <w:tcBorders>
              <w:top w:val="nil"/>
              <w:left w:val="nil"/>
              <w:bottom w:val="single" w:sz="8" w:space="0" w:color="auto"/>
              <w:right w:val="nil"/>
            </w:tcBorders>
            <w:shd w:val="clear" w:color="auto" w:fill="auto"/>
            <w:noWrap/>
            <w:vAlign w:val="center"/>
            <w:hideMark/>
          </w:tcPr>
          <w:p w14:paraId="26D1E352" w14:textId="77777777" w:rsidR="007C0420" w:rsidRPr="006300B7" w:rsidRDefault="007C0420" w:rsidP="00DC1DF9">
            <w:pPr>
              <w:jc w:val="center"/>
              <w:rPr>
                <w:sz w:val="20"/>
              </w:rPr>
            </w:pPr>
            <w:r w:rsidRPr="006300B7">
              <w:rPr>
                <w:sz w:val="20"/>
              </w:rPr>
              <w:t>0.207</w:t>
            </w:r>
          </w:p>
        </w:tc>
        <w:tc>
          <w:tcPr>
            <w:tcW w:w="810" w:type="dxa"/>
            <w:tcBorders>
              <w:top w:val="nil"/>
              <w:left w:val="nil"/>
              <w:bottom w:val="single" w:sz="8" w:space="0" w:color="auto"/>
              <w:right w:val="nil"/>
            </w:tcBorders>
            <w:shd w:val="clear" w:color="auto" w:fill="auto"/>
            <w:noWrap/>
            <w:vAlign w:val="center"/>
            <w:hideMark/>
          </w:tcPr>
          <w:p w14:paraId="5D0A898B" w14:textId="77777777" w:rsidR="007C0420" w:rsidRPr="006300B7" w:rsidRDefault="007C0420" w:rsidP="00DC1DF9">
            <w:pPr>
              <w:jc w:val="center"/>
              <w:rPr>
                <w:sz w:val="20"/>
              </w:rPr>
            </w:pPr>
            <w:r w:rsidRPr="006300B7">
              <w:rPr>
                <w:sz w:val="20"/>
              </w:rPr>
              <w:t>0.032</w:t>
            </w:r>
          </w:p>
        </w:tc>
        <w:tc>
          <w:tcPr>
            <w:tcW w:w="900" w:type="dxa"/>
            <w:tcBorders>
              <w:top w:val="nil"/>
              <w:left w:val="nil"/>
              <w:bottom w:val="single" w:sz="8" w:space="0" w:color="auto"/>
              <w:right w:val="nil"/>
            </w:tcBorders>
            <w:shd w:val="clear" w:color="auto" w:fill="auto"/>
            <w:noWrap/>
            <w:vAlign w:val="center"/>
            <w:hideMark/>
          </w:tcPr>
          <w:p w14:paraId="784B81A5" w14:textId="77777777" w:rsidR="007C0420" w:rsidRPr="006300B7" w:rsidRDefault="007C0420" w:rsidP="00DC1DF9">
            <w:pPr>
              <w:jc w:val="center"/>
              <w:rPr>
                <w:sz w:val="20"/>
              </w:rPr>
            </w:pPr>
            <w:r w:rsidRPr="006300B7">
              <w:rPr>
                <w:sz w:val="20"/>
              </w:rPr>
              <w:t>6.524</w:t>
            </w:r>
          </w:p>
        </w:tc>
        <w:tc>
          <w:tcPr>
            <w:tcW w:w="990" w:type="dxa"/>
            <w:tcBorders>
              <w:top w:val="nil"/>
              <w:left w:val="nil"/>
              <w:bottom w:val="single" w:sz="8" w:space="0" w:color="auto"/>
              <w:right w:val="nil"/>
            </w:tcBorders>
            <w:shd w:val="clear" w:color="auto" w:fill="auto"/>
            <w:noWrap/>
            <w:vAlign w:val="center"/>
            <w:hideMark/>
          </w:tcPr>
          <w:p w14:paraId="03B98338" w14:textId="77777777" w:rsidR="007C0420" w:rsidRPr="006300B7" w:rsidRDefault="007C0420" w:rsidP="00DC1DF9">
            <w:pPr>
              <w:jc w:val="center"/>
              <w:rPr>
                <w:sz w:val="20"/>
              </w:rPr>
            </w:pPr>
            <w:r>
              <w:rPr>
                <w:sz w:val="20"/>
              </w:rPr>
              <w:t>.</w:t>
            </w:r>
            <w:r w:rsidRPr="006300B7">
              <w:rPr>
                <w:sz w:val="20"/>
              </w:rPr>
              <w:t>0</w:t>
            </w:r>
            <w:r>
              <w:rPr>
                <w:sz w:val="20"/>
              </w:rPr>
              <w:t>00</w:t>
            </w:r>
          </w:p>
        </w:tc>
        <w:tc>
          <w:tcPr>
            <w:tcW w:w="1170" w:type="dxa"/>
            <w:tcBorders>
              <w:top w:val="nil"/>
              <w:left w:val="nil"/>
              <w:bottom w:val="single" w:sz="8" w:space="0" w:color="auto"/>
              <w:right w:val="nil"/>
            </w:tcBorders>
            <w:shd w:val="clear" w:color="auto" w:fill="auto"/>
            <w:vAlign w:val="center"/>
            <w:hideMark/>
          </w:tcPr>
          <w:p w14:paraId="7EEB9A96" w14:textId="77777777" w:rsidR="007C0420" w:rsidRPr="006300B7" w:rsidRDefault="007C0420" w:rsidP="00DC1DF9">
            <w:pPr>
              <w:jc w:val="center"/>
              <w:rPr>
                <w:sz w:val="20"/>
              </w:rPr>
            </w:pPr>
            <w:r w:rsidRPr="006300B7">
              <w:rPr>
                <w:sz w:val="20"/>
              </w:rPr>
              <w:t>Significant</w:t>
            </w:r>
          </w:p>
        </w:tc>
        <w:tc>
          <w:tcPr>
            <w:tcW w:w="1170" w:type="dxa"/>
            <w:tcBorders>
              <w:top w:val="nil"/>
              <w:left w:val="nil"/>
              <w:bottom w:val="single" w:sz="8" w:space="0" w:color="auto"/>
              <w:right w:val="nil"/>
            </w:tcBorders>
            <w:shd w:val="clear" w:color="auto" w:fill="auto"/>
            <w:vAlign w:val="center"/>
            <w:hideMark/>
          </w:tcPr>
          <w:p w14:paraId="2F9662E1" w14:textId="77777777" w:rsidR="007C0420" w:rsidRPr="006300B7" w:rsidRDefault="007C0420" w:rsidP="00DC1DF9">
            <w:pPr>
              <w:jc w:val="center"/>
              <w:rPr>
                <w:sz w:val="20"/>
              </w:rPr>
            </w:pPr>
            <w:r w:rsidRPr="006300B7">
              <w:rPr>
                <w:sz w:val="20"/>
              </w:rPr>
              <w:t xml:space="preserve">Full </w:t>
            </w:r>
          </w:p>
        </w:tc>
      </w:tr>
    </w:tbl>
    <w:p w14:paraId="65F51EF4" w14:textId="77777777" w:rsidR="007C0420" w:rsidRPr="002A7627" w:rsidRDefault="007C0420" w:rsidP="007C0420"/>
    <w:p w14:paraId="07B16085" w14:textId="1CCE8666" w:rsidR="007C0420" w:rsidRPr="002A7627" w:rsidRDefault="007C0420" w:rsidP="007C0420">
      <w:pPr>
        <w:pStyle w:val="AAAAAAA"/>
        <w:rPr>
          <w:lang w:bidi="fa-IR"/>
        </w:rPr>
      </w:pPr>
      <w:r w:rsidRPr="002A7627">
        <w:rPr>
          <w:lang w:bidi="fa-IR"/>
        </w:rPr>
        <w:t xml:space="preserve">Table </w:t>
      </w:r>
      <w:r w:rsidR="003325BB">
        <w:rPr>
          <w:lang w:bidi="fa-IR"/>
        </w:rPr>
        <w:t>25</w:t>
      </w:r>
      <w:r w:rsidR="003325BB" w:rsidRPr="002A7627">
        <w:rPr>
          <w:lang w:bidi="fa-IR"/>
        </w:rPr>
        <w:t xml:space="preserve"> </w:t>
      </w:r>
      <w:r>
        <w:rPr>
          <w:lang w:bidi="fa-IR"/>
        </w:rPr>
        <w:t>shows</w:t>
      </w:r>
      <w:r w:rsidR="00DD3AB2">
        <w:rPr>
          <w:lang w:bidi="fa-IR"/>
        </w:rPr>
        <w:t xml:space="preserve"> that</w:t>
      </w:r>
      <w:r w:rsidRPr="002A7627">
        <w:rPr>
          <w:lang w:bidi="fa-IR"/>
        </w:rPr>
        <w:t xml:space="preserve"> there </w:t>
      </w:r>
      <w:r w:rsidR="00DD3AB2">
        <w:rPr>
          <w:lang w:bidi="fa-IR"/>
        </w:rPr>
        <w:t>was</w:t>
      </w:r>
      <w:r w:rsidR="00DD3AB2" w:rsidRPr="002A7627">
        <w:rPr>
          <w:lang w:bidi="fa-IR"/>
        </w:rPr>
        <w:t xml:space="preserve"> </w:t>
      </w:r>
      <w:r w:rsidRPr="002A7627">
        <w:rPr>
          <w:lang w:bidi="fa-IR"/>
        </w:rPr>
        <w:t xml:space="preserve">a significant indirect relationship between </w:t>
      </w:r>
      <w:r w:rsidR="00DD3AB2" w:rsidRPr="002A7627">
        <w:rPr>
          <w:lang w:bidi="fa-IR"/>
        </w:rPr>
        <w:t>knowledge management capabilities and knowledge management benefits through the mediating role of organizational learning (</w:t>
      </w:r>
      <w:r w:rsidR="00DD3AB2" w:rsidRPr="006300B7">
        <w:rPr>
          <w:i/>
          <w:lang w:bidi="fa-IR"/>
        </w:rPr>
        <w:t>β</w:t>
      </w:r>
      <w:r w:rsidR="00DD3AB2" w:rsidRPr="002A7627">
        <w:rPr>
          <w:lang w:bidi="fa-IR"/>
        </w:rPr>
        <w:t xml:space="preserve"> = 0.045, </w:t>
      </w:r>
      <w:r w:rsidR="00DD3AB2" w:rsidRPr="006300B7">
        <w:rPr>
          <w:i/>
          <w:lang w:bidi="fa-IR"/>
        </w:rPr>
        <w:t>t</w:t>
      </w:r>
      <w:r w:rsidR="00DD3AB2" w:rsidRPr="002A7627">
        <w:rPr>
          <w:lang w:bidi="fa-IR"/>
        </w:rPr>
        <w:t xml:space="preserve"> = 2.932, </w:t>
      </w:r>
      <w:r w:rsidR="00DD3AB2" w:rsidRPr="006300B7">
        <w:rPr>
          <w:i/>
          <w:lang w:bidi="fa-IR"/>
        </w:rPr>
        <w:t>p</w:t>
      </w:r>
      <w:r w:rsidR="00DD3AB2">
        <w:rPr>
          <w:lang w:bidi="fa-IR"/>
        </w:rPr>
        <w:t xml:space="preserve"> </w:t>
      </w:r>
      <w:r w:rsidR="00DD3AB2" w:rsidRPr="002A7627">
        <w:rPr>
          <w:lang w:bidi="fa-IR"/>
        </w:rPr>
        <w:t xml:space="preserve">&lt; 0.01). </w:t>
      </w:r>
      <w:r w:rsidR="00E37DF3">
        <w:rPr>
          <w:lang w:bidi="fa-IR"/>
        </w:rPr>
        <w:t>T</w:t>
      </w:r>
      <w:r w:rsidR="00DD3AB2" w:rsidRPr="002A7627">
        <w:rPr>
          <w:lang w:bidi="fa-IR"/>
        </w:rPr>
        <w:t>he significant direct relationship between knowledge management capabilities and knowledge management benefits (</w:t>
      </w:r>
      <w:r w:rsidR="00DD3AB2" w:rsidRPr="006300B7">
        <w:rPr>
          <w:i/>
          <w:lang w:bidi="fa-IR"/>
        </w:rPr>
        <w:t>β</w:t>
      </w:r>
      <w:r w:rsidR="00DD3AB2" w:rsidRPr="002A7627">
        <w:rPr>
          <w:lang w:bidi="fa-IR"/>
        </w:rPr>
        <w:t xml:space="preserve"> = 0.122, </w:t>
      </w:r>
      <w:r w:rsidR="00DD3AB2" w:rsidRPr="006300B7">
        <w:rPr>
          <w:i/>
          <w:lang w:bidi="fa-IR"/>
        </w:rPr>
        <w:t>t</w:t>
      </w:r>
      <w:r w:rsidR="00DD3AB2" w:rsidRPr="002A7627">
        <w:rPr>
          <w:lang w:bidi="fa-IR"/>
        </w:rPr>
        <w:t xml:space="preserve"> = 2.445, </w:t>
      </w:r>
      <w:r w:rsidR="00DD3AB2" w:rsidRPr="006300B7">
        <w:rPr>
          <w:i/>
          <w:lang w:bidi="fa-IR"/>
        </w:rPr>
        <w:t>p</w:t>
      </w:r>
      <w:r w:rsidR="00DD3AB2">
        <w:rPr>
          <w:lang w:bidi="fa-IR"/>
        </w:rPr>
        <w:t xml:space="preserve"> </w:t>
      </w:r>
      <w:r w:rsidR="00DD3AB2" w:rsidRPr="002A7627">
        <w:rPr>
          <w:lang w:bidi="fa-IR"/>
        </w:rPr>
        <w:t xml:space="preserve">&lt; 0.05, </w:t>
      </w:r>
      <w:r w:rsidR="00DD3AB2" w:rsidRPr="006300B7">
        <w:rPr>
          <w:i/>
          <w:lang w:bidi="fa-IR"/>
        </w:rPr>
        <w:t>f</w:t>
      </w:r>
      <w:r w:rsidR="00DD3AB2" w:rsidRPr="006300B7">
        <w:rPr>
          <w:i/>
          <w:vertAlign w:val="superscript"/>
          <w:lang w:bidi="fa-IR"/>
        </w:rPr>
        <w:t>2</w:t>
      </w:r>
      <w:r w:rsidR="00DD3AB2" w:rsidRPr="002A7627">
        <w:rPr>
          <w:lang w:bidi="fa-IR"/>
        </w:rPr>
        <w:t xml:space="preserve"> = 0.018)</w:t>
      </w:r>
      <w:r w:rsidR="00E37DF3">
        <w:rPr>
          <w:lang w:bidi="fa-IR"/>
        </w:rPr>
        <w:t xml:space="preserve"> suggests</w:t>
      </w:r>
      <w:r w:rsidR="00DD3AB2" w:rsidRPr="002A7627">
        <w:rPr>
          <w:lang w:bidi="fa-IR"/>
        </w:rPr>
        <w:t xml:space="preserve"> that organizational learning </w:t>
      </w:r>
      <w:r w:rsidR="00E37DF3">
        <w:rPr>
          <w:lang w:bidi="fa-IR"/>
        </w:rPr>
        <w:t xml:space="preserve">only </w:t>
      </w:r>
      <w:r w:rsidR="00DD3AB2" w:rsidRPr="002A7627">
        <w:rPr>
          <w:lang w:bidi="fa-IR"/>
        </w:rPr>
        <w:t xml:space="preserve">partially mediates this relationship. </w:t>
      </w:r>
      <w:r w:rsidRPr="002A7627">
        <w:rPr>
          <w:lang w:bidi="fa-IR"/>
        </w:rPr>
        <w:t>This relationship supports H7 of the research.</w:t>
      </w:r>
    </w:p>
    <w:p w14:paraId="3AD074AE" w14:textId="09C0C124" w:rsidR="007C0420" w:rsidRPr="002A7627" w:rsidRDefault="00E37DF3" w:rsidP="007C0420">
      <w:pPr>
        <w:pStyle w:val="AAAAAAA"/>
        <w:rPr>
          <w:lang w:bidi="fa-IR"/>
        </w:rPr>
      </w:pPr>
      <w:r>
        <w:rPr>
          <w:lang w:bidi="fa-IR"/>
        </w:rPr>
        <w:t>The</w:t>
      </w:r>
      <w:r w:rsidR="007C0420" w:rsidRPr="002A7627">
        <w:rPr>
          <w:lang w:bidi="fa-IR"/>
        </w:rPr>
        <w:t xml:space="preserve"> same situation </w:t>
      </w:r>
      <w:r>
        <w:rPr>
          <w:lang w:bidi="fa-IR"/>
        </w:rPr>
        <w:t xml:space="preserve">is seen </w:t>
      </w:r>
      <w:r w:rsidR="007C0420" w:rsidRPr="002A7627">
        <w:rPr>
          <w:lang w:bidi="fa-IR"/>
        </w:rPr>
        <w:t xml:space="preserve">for the indirect relationship between </w:t>
      </w:r>
      <w:r w:rsidRPr="002A7627">
        <w:rPr>
          <w:lang w:bidi="fa-IR"/>
        </w:rPr>
        <w:t>extrinsic motivation and knowledge management benefit</w:t>
      </w:r>
      <w:r w:rsidR="007C0420" w:rsidRPr="002A7627">
        <w:rPr>
          <w:lang w:bidi="fa-IR"/>
        </w:rPr>
        <w:t>s</w:t>
      </w:r>
      <w:r>
        <w:rPr>
          <w:lang w:bidi="fa-IR"/>
        </w:rPr>
        <w:t>, where</w:t>
      </w:r>
      <w:r w:rsidR="007C0420" w:rsidRPr="002A7627">
        <w:rPr>
          <w:lang w:bidi="fa-IR"/>
        </w:rPr>
        <w:t xml:space="preserve"> </w:t>
      </w:r>
      <w:r w:rsidR="00FD51EE">
        <w:rPr>
          <w:lang w:bidi="fa-IR"/>
        </w:rPr>
        <w:t xml:space="preserve">organizational learning </w:t>
      </w:r>
      <w:r w:rsidR="003F25BD">
        <w:rPr>
          <w:lang w:bidi="fa-IR"/>
        </w:rPr>
        <w:t>was</w:t>
      </w:r>
      <w:r>
        <w:rPr>
          <w:lang w:bidi="fa-IR"/>
        </w:rPr>
        <w:t xml:space="preserve"> again a significant </w:t>
      </w:r>
      <w:r w:rsidR="00FD51EE">
        <w:rPr>
          <w:lang w:bidi="fa-IR"/>
        </w:rPr>
        <w:t>mediator</w:t>
      </w:r>
      <w:r>
        <w:rPr>
          <w:lang w:bidi="fa-IR"/>
        </w:rPr>
        <w:t xml:space="preserve"> </w:t>
      </w:r>
      <w:r w:rsidR="007C0420" w:rsidRPr="002A7627">
        <w:rPr>
          <w:lang w:bidi="fa-IR"/>
        </w:rPr>
        <w:t>(</w:t>
      </w:r>
      <w:r w:rsidR="007C0420" w:rsidRPr="006300B7">
        <w:rPr>
          <w:i/>
          <w:lang w:bidi="fa-IR"/>
        </w:rPr>
        <w:t>β</w:t>
      </w:r>
      <w:r w:rsidR="007C0420" w:rsidRPr="002A7627">
        <w:rPr>
          <w:lang w:bidi="fa-IR"/>
        </w:rPr>
        <w:t xml:space="preserve"> = 0.059, </w:t>
      </w:r>
      <w:r w:rsidR="007C0420" w:rsidRPr="006300B7">
        <w:rPr>
          <w:i/>
          <w:lang w:bidi="fa-IR"/>
        </w:rPr>
        <w:t>t</w:t>
      </w:r>
      <w:r w:rsidR="007C0420" w:rsidRPr="002A7627">
        <w:rPr>
          <w:lang w:bidi="fa-IR"/>
        </w:rPr>
        <w:t xml:space="preserve"> = 3.505, </w:t>
      </w:r>
      <w:r w:rsidR="007C0420" w:rsidRPr="006300B7">
        <w:rPr>
          <w:i/>
          <w:lang w:bidi="fa-IR"/>
        </w:rPr>
        <w:t>p</w:t>
      </w:r>
      <w:r w:rsidR="007C0420">
        <w:rPr>
          <w:lang w:bidi="fa-IR"/>
        </w:rPr>
        <w:t xml:space="preserve"> </w:t>
      </w:r>
      <w:r w:rsidR="007C0420" w:rsidRPr="002A7627">
        <w:rPr>
          <w:lang w:bidi="fa-IR"/>
        </w:rPr>
        <w:t xml:space="preserve">&lt; 0.01). </w:t>
      </w:r>
      <w:r>
        <w:rPr>
          <w:lang w:bidi="fa-IR"/>
        </w:rPr>
        <w:t>T</w:t>
      </w:r>
      <w:r w:rsidR="007C0420" w:rsidRPr="002A7627">
        <w:rPr>
          <w:lang w:bidi="fa-IR"/>
        </w:rPr>
        <w:t xml:space="preserve">he non-significant direct relationship between </w:t>
      </w:r>
      <w:r w:rsidRPr="002A7627">
        <w:rPr>
          <w:lang w:bidi="fa-IR"/>
        </w:rPr>
        <w:t>extrinsic motivation and knowledge management benefits</w:t>
      </w:r>
      <w:r w:rsidR="007C0420" w:rsidRPr="002A7627">
        <w:rPr>
          <w:lang w:bidi="fa-IR"/>
        </w:rPr>
        <w:t xml:space="preserve"> (</w:t>
      </w:r>
      <w:r w:rsidR="007C0420" w:rsidRPr="006300B7">
        <w:rPr>
          <w:i/>
          <w:lang w:bidi="fa-IR"/>
        </w:rPr>
        <w:t>β</w:t>
      </w:r>
      <w:r w:rsidR="007C0420" w:rsidRPr="002A7627">
        <w:rPr>
          <w:lang w:bidi="fa-IR"/>
        </w:rPr>
        <w:t xml:space="preserve"> = </w:t>
      </w:r>
      <w:r>
        <w:rPr>
          <w:lang w:bidi="fa-IR"/>
        </w:rPr>
        <w:t>−</w:t>
      </w:r>
      <w:r w:rsidR="007C0420" w:rsidRPr="002A7627">
        <w:rPr>
          <w:lang w:bidi="fa-IR"/>
        </w:rPr>
        <w:t xml:space="preserve">0.019, </w:t>
      </w:r>
      <w:r w:rsidR="007C0420" w:rsidRPr="006300B7">
        <w:rPr>
          <w:i/>
          <w:lang w:bidi="fa-IR"/>
        </w:rPr>
        <w:t>t</w:t>
      </w:r>
      <w:r w:rsidR="007C0420" w:rsidRPr="002A7627">
        <w:rPr>
          <w:lang w:bidi="fa-IR"/>
        </w:rPr>
        <w:t xml:space="preserve"> = 0.5, </w:t>
      </w:r>
      <w:r w:rsidR="007C0420" w:rsidRPr="006300B7">
        <w:rPr>
          <w:i/>
          <w:lang w:bidi="fa-IR"/>
        </w:rPr>
        <w:t>p</w:t>
      </w:r>
      <w:r w:rsidR="007C0420" w:rsidRPr="002A7627">
        <w:rPr>
          <w:lang w:bidi="fa-IR"/>
        </w:rPr>
        <w:t xml:space="preserve"> = 0.617, </w:t>
      </w:r>
      <w:r w:rsidR="007C0420" w:rsidRPr="006300B7">
        <w:rPr>
          <w:i/>
          <w:lang w:bidi="fa-IR"/>
        </w:rPr>
        <w:t>f</w:t>
      </w:r>
      <w:r w:rsidR="007C0420" w:rsidRPr="006300B7">
        <w:rPr>
          <w:i/>
          <w:vertAlign w:val="superscript"/>
          <w:lang w:bidi="fa-IR"/>
        </w:rPr>
        <w:t>2</w:t>
      </w:r>
      <w:r w:rsidR="007C0420" w:rsidRPr="002A7627">
        <w:rPr>
          <w:lang w:bidi="fa-IR"/>
        </w:rPr>
        <w:t xml:space="preserve"> = 0)</w:t>
      </w:r>
      <w:r>
        <w:rPr>
          <w:lang w:bidi="fa-IR"/>
        </w:rPr>
        <w:t xml:space="preserve"> means </w:t>
      </w:r>
      <w:r w:rsidR="007C0420" w:rsidRPr="002A7627">
        <w:rPr>
          <w:lang w:bidi="fa-IR"/>
        </w:rPr>
        <w:t xml:space="preserve">that </w:t>
      </w:r>
      <w:r w:rsidRPr="002A7627">
        <w:rPr>
          <w:lang w:bidi="fa-IR"/>
        </w:rPr>
        <w:t xml:space="preserve">organizational learning </w:t>
      </w:r>
      <w:r w:rsidR="007C0420" w:rsidRPr="002A7627">
        <w:rPr>
          <w:lang w:bidi="fa-IR"/>
        </w:rPr>
        <w:t>fully mediate</w:t>
      </w:r>
      <w:r w:rsidR="003F25BD">
        <w:rPr>
          <w:lang w:bidi="fa-IR"/>
        </w:rPr>
        <w:t>d</w:t>
      </w:r>
      <w:r w:rsidR="007C0420" w:rsidRPr="002A7627">
        <w:rPr>
          <w:lang w:bidi="fa-IR"/>
        </w:rPr>
        <w:t xml:space="preserve"> this relationship. This relationship supports </w:t>
      </w:r>
      <w:r>
        <w:rPr>
          <w:lang w:bidi="fa-IR"/>
        </w:rPr>
        <w:t xml:space="preserve">hypothesis </w:t>
      </w:r>
      <w:r w:rsidR="007C0420" w:rsidRPr="002A7627">
        <w:rPr>
          <w:lang w:bidi="fa-IR"/>
        </w:rPr>
        <w:t xml:space="preserve">H8. </w:t>
      </w:r>
    </w:p>
    <w:p w14:paraId="6A19110C" w14:textId="529E003C" w:rsidR="007C0420" w:rsidRPr="002A7627" w:rsidRDefault="007C0420" w:rsidP="007C0420">
      <w:pPr>
        <w:pStyle w:val="AAAAAAA"/>
        <w:rPr>
          <w:lang w:bidi="fa-IR"/>
        </w:rPr>
      </w:pPr>
      <w:r w:rsidRPr="002A7627">
        <w:rPr>
          <w:lang w:bidi="fa-IR"/>
        </w:rPr>
        <w:t xml:space="preserve">There </w:t>
      </w:r>
      <w:r w:rsidR="00E37DF3">
        <w:rPr>
          <w:lang w:bidi="fa-IR"/>
        </w:rPr>
        <w:t>was</w:t>
      </w:r>
      <w:r w:rsidR="00E37DF3" w:rsidRPr="002A7627">
        <w:rPr>
          <w:lang w:bidi="fa-IR"/>
        </w:rPr>
        <w:t xml:space="preserve"> </w:t>
      </w:r>
      <w:r w:rsidRPr="002A7627">
        <w:rPr>
          <w:lang w:bidi="fa-IR"/>
        </w:rPr>
        <w:t xml:space="preserve">a significant indirect relationship between </w:t>
      </w:r>
      <w:r w:rsidR="00E37DF3" w:rsidRPr="002A7627">
        <w:rPr>
          <w:lang w:bidi="fa-IR"/>
        </w:rPr>
        <w:t>intrinsic motivation and knowledge management benefits through the mediating role of organizational learning</w:t>
      </w:r>
      <w:r w:rsidRPr="002A7627">
        <w:rPr>
          <w:lang w:bidi="fa-IR"/>
        </w:rPr>
        <w:t xml:space="preserve"> (</w:t>
      </w:r>
      <w:r w:rsidRPr="006300B7">
        <w:rPr>
          <w:i/>
          <w:lang w:bidi="fa-IR"/>
        </w:rPr>
        <w:t>β</w:t>
      </w:r>
      <w:r w:rsidRPr="002A7627">
        <w:rPr>
          <w:lang w:bidi="fa-IR"/>
        </w:rPr>
        <w:t xml:space="preserve"> = 0.158, </w:t>
      </w:r>
      <w:r w:rsidRPr="006300B7">
        <w:rPr>
          <w:i/>
          <w:lang w:bidi="fa-IR"/>
        </w:rPr>
        <w:t>t</w:t>
      </w:r>
      <w:r w:rsidRPr="002A7627">
        <w:rPr>
          <w:lang w:bidi="fa-IR"/>
        </w:rPr>
        <w:t xml:space="preserve"> = 5.457, </w:t>
      </w:r>
      <w:r w:rsidRPr="006300B7">
        <w:rPr>
          <w:i/>
          <w:lang w:bidi="fa-IR"/>
        </w:rPr>
        <w:t>p</w:t>
      </w:r>
      <w:r>
        <w:rPr>
          <w:lang w:bidi="fa-IR"/>
        </w:rPr>
        <w:t xml:space="preserve"> </w:t>
      </w:r>
      <w:r w:rsidRPr="002A7627">
        <w:rPr>
          <w:lang w:bidi="fa-IR"/>
        </w:rPr>
        <w:t xml:space="preserve">&lt; 0.01). </w:t>
      </w:r>
      <w:r w:rsidR="00E37DF3">
        <w:rPr>
          <w:lang w:bidi="fa-IR"/>
        </w:rPr>
        <w:t>T</w:t>
      </w:r>
      <w:r w:rsidRPr="002A7627">
        <w:rPr>
          <w:lang w:bidi="fa-IR"/>
        </w:rPr>
        <w:t xml:space="preserve">he significant direct relationship between </w:t>
      </w:r>
      <w:r w:rsidR="00E37DF3" w:rsidRPr="002A7627">
        <w:rPr>
          <w:lang w:bidi="fa-IR"/>
        </w:rPr>
        <w:t>intrinsic motivation and knowledge management benefits (</w:t>
      </w:r>
      <w:r w:rsidR="00E37DF3" w:rsidRPr="006300B7">
        <w:rPr>
          <w:i/>
          <w:lang w:bidi="fa-IR"/>
        </w:rPr>
        <w:t>β</w:t>
      </w:r>
      <w:r w:rsidR="00E37DF3" w:rsidRPr="002A7627">
        <w:rPr>
          <w:lang w:bidi="fa-IR"/>
        </w:rPr>
        <w:t xml:space="preserve"> = 0.126, </w:t>
      </w:r>
      <w:r w:rsidR="00E37DF3" w:rsidRPr="006300B7">
        <w:rPr>
          <w:i/>
          <w:lang w:bidi="fa-IR"/>
        </w:rPr>
        <w:t>t</w:t>
      </w:r>
      <w:r w:rsidR="00E37DF3" w:rsidRPr="002A7627">
        <w:rPr>
          <w:lang w:bidi="fa-IR"/>
        </w:rPr>
        <w:t xml:space="preserve"> = 2.215, </w:t>
      </w:r>
      <w:r w:rsidR="00E37DF3" w:rsidRPr="006300B7">
        <w:rPr>
          <w:i/>
          <w:lang w:bidi="fa-IR"/>
        </w:rPr>
        <w:t>p</w:t>
      </w:r>
      <w:r w:rsidR="00E37DF3">
        <w:rPr>
          <w:lang w:bidi="fa-IR"/>
        </w:rPr>
        <w:t xml:space="preserve"> </w:t>
      </w:r>
      <w:r w:rsidR="00E37DF3" w:rsidRPr="002A7627">
        <w:rPr>
          <w:lang w:bidi="fa-IR"/>
        </w:rPr>
        <w:t xml:space="preserve">&lt; 0.05, </w:t>
      </w:r>
      <w:r w:rsidR="00E37DF3" w:rsidRPr="006300B7">
        <w:rPr>
          <w:i/>
          <w:lang w:bidi="fa-IR"/>
        </w:rPr>
        <w:t>f</w:t>
      </w:r>
      <w:r w:rsidR="00E37DF3" w:rsidRPr="006300B7">
        <w:rPr>
          <w:i/>
          <w:vertAlign w:val="superscript"/>
          <w:lang w:bidi="fa-IR"/>
        </w:rPr>
        <w:t>2</w:t>
      </w:r>
      <w:r w:rsidR="00E37DF3" w:rsidRPr="002A7627">
        <w:rPr>
          <w:lang w:bidi="fa-IR"/>
        </w:rPr>
        <w:t xml:space="preserve"> = 0.013)</w:t>
      </w:r>
      <w:r w:rsidR="00E37DF3">
        <w:rPr>
          <w:lang w:bidi="fa-IR"/>
        </w:rPr>
        <w:t xml:space="preserve"> means </w:t>
      </w:r>
      <w:r w:rsidR="00E37DF3" w:rsidRPr="002A7627">
        <w:rPr>
          <w:lang w:bidi="fa-IR"/>
        </w:rPr>
        <w:t>that organizational learning</w:t>
      </w:r>
      <w:r w:rsidR="00E37DF3">
        <w:rPr>
          <w:lang w:bidi="fa-IR"/>
        </w:rPr>
        <w:t xml:space="preserve"> only</w:t>
      </w:r>
      <w:r w:rsidR="00E37DF3" w:rsidRPr="002A7627">
        <w:rPr>
          <w:lang w:bidi="fa-IR"/>
        </w:rPr>
        <w:t xml:space="preserve"> </w:t>
      </w:r>
      <w:r w:rsidRPr="002A7627">
        <w:rPr>
          <w:lang w:bidi="fa-IR"/>
        </w:rPr>
        <w:t>partially mediate</w:t>
      </w:r>
      <w:r w:rsidR="003F25BD">
        <w:rPr>
          <w:lang w:bidi="fa-IR"/>
        </w:rPr>
        <w:t>d</w:t>
      </w:r>
      <w:r w:rsidRPr="002A7627">
        <w:rPr>
          <w:lang w:bidi="fa-IR"/>
        </w:rPr>
        <w:t xml:space="preserve"> this relationship. This relationship supports </w:t>
      </w:r>
      <w:r w:rsidR="00E37DF3">
        <w:rPr>
          <w:lang w:bidi="fa-IR"/>
        </w:rPr>
        <w:t xml:space="preserve">hypothesis </w:t>
      </w:r>
      <w:r w:rsidRPr="002A7627">
        <w:rPr>
          <w:lang w:bidi="fa-IR"/>
        </w:rPr>
        <w:t>H9.</w:t>
      </w:r>
    </w:p>
    <w:p w14:paraId="5EAFF165" w14:textId="42A8A7C1" w:rsidR="007C0420" w:rsidRPr="002A7627" w:rsidRDefault="00E37DF3" w:rsidP="007C0420">
      <w:pPr>
        <w:pStyle w:val="AAAAAAA"/>
        <w:rPr>
          <w:lang w:bidi="fa-IR"/>
        </w:rPr>
      </w:pPr>
      <w:r>
        <w:rPr>
          <w:lang w:bidi="fa-IR"/>
        </w:rPr>
        <w:t>T</w:t>
      </w:r>
      <w:r w:rsidR="007C0420" w:rsidRPr="002A7627">
        <w:rPr>
          <w:lang w:bidi="fa-IR"/>
        </w:rPr>
        <w:t xml:space="preserve">he indirect relationship between </w:t>
      </w:r>
      <w:r w:rsidRPr="002A7627">
        <w:rPr>
          <w:lang w:bidi="fa-IR"/>
        </w:rPr>
        <w:t xml:space="preserve">opportunities and knowledge management benefits through organizational learning </w:t>
      </w:r>
      <w:r>
        <w:rPr>
          <w:lang w:bidi="fa-IR"/>
        </w:rPr>
        <w:t>was</w:t>
      </w:r>
      <w:r w:rsidRPr="002A7627">
        <w:rPr>
          <w:lang w:bidi="fa-IR"/>
        </w:rPr>
        <w:t xml:space="preserve"> </w:t>
      </w:r>
      <w:r w:rsidR="007C0420" w:rsidRPr="002A7627">
        <w:rPr>
          <w:lang w:bidi="fa-IR"/>
        </w:rPr>
        <w:t>not significant (</w:t>
      </w:r>
      <w:r w:rsidR="007C0420" w:rsidRPr="006300B7">
        <w:rPr>
          <w:i/>
          <w:lang w:bidi="fa-IR"/>
        </w:rPr>
        <w:t>β</w:t>
      </w:r>
      <w:r w:rsidR="007C0420" w:rsidRPr="002A7627">
        <w:rPr>
          <w:lang w:bidi="fa-IR"/>
        </w:rPr>
        <w:t xml:space="preserve"> = 0.012, </w:t>
      </w:r>
      <w:r w:rsidR="007C0420" w:rsidRPr="006300B7">
        <w:rPr>
          <w:i/>
          <w:lang w:bidi="fa-IR"/>
        </w:rPr>
        <w:t>t</w:t>
      </w:r>
      <w:r w:rsidR="007C0420" w:rsidRPr="002A7627">
        <w:rPr>
          <w:lang w:bidi="fa-IR"/>
        </w:rPr>
        <w:t xml:space="preserve"> = 1.199, </w:t>
      </w:r>
      <w:r w:rsidR="007C0420" w:rsidRPr="006300B7">
        <w:rPr>
          <w:i/>
          <w:lang w:bidi="fa-IR"/>
        </w:rPr>
        <w:t>p</w:t>
      </w:r>
      <w:r w:rsidR="007C0420" w:rsidRPr="002A7627">
        <w:rPr>
          <w:lang w:bidi="fa-IR"/>
        </w:rPr>
        <w:t xml:space="preserve"> = 0.231). </w:t>
      </w:r>
      <w:r>
        <w:rPr>
          <w:lang w:bidi="fa-IR"/>
        </w:rPr>
        <w:t>There was also an</w:t>
      </w:r>
      <w:r w:rsidR="007C0420" w:rsidRPr="002A7627">
        <w:rPr>
          <w:lang w:bidi="fa-IR"/>
        </w:rPr>
        <w:t xml:space="preserve"> insignificant direct relationship between </w:t>
      </w:r>
      <w:r w:rsidRPr="002A7627">
        <w:rPr>
          <w:lang w:bidi="fa-IR"/>
        </w:rPr>
        <w:t xml:space="preserve">opportunities and knowledge management benefits </w:t>
      </w:r>
      <w:r w:rsidR="007C0420" w:rsidRPr="002A7627">
        <w:rPr>
          <w:lang w:bidi="fa-IR"/>
        </w:rPr>
        <w:t>(</w:t>
      </w:r>
      <w:r w:rsidR="007C0420" w:rsidRPr="006300B7">
        <w:rPr>
          <w:i/>
          <w:lang w:bidi="fa-IR"/>
        </w:rPr>
        <w:t>β</w:t>
      </w:r>
      <w:r w:rsidR="007C0420" w:rsidRPr="002A7627">
        <w:rPr>
          <w:lang w:bidi="fa-IR"/>
        </w:rPr>
        <w:t xml:space="preserve"> = </w:t>
      </w:r>
      <w:r>
        <w:rPr>
          <w:lang w:bidi="fa-IR"/>
        </w:rPr>
        <w:t>−</w:t>
      </w:r>
      <w:r w:rsidR="007C0420" w:rsidRPr="002A7627">
        <w:rPr>
          <w:lang w:bidi="fa-IR"/>
        </w:rPr>
        <w:t xml:space="preserve">0.033, </w:t>
      </w:r>
      <w:r w:rsidR="007C0420" w:rsidRPr="006300B7">
        <w:rPr>
          <w:i/>
          <w:lang w:bidi="fa-IR"/>
        </w:rPr>
        <w:t>t</w:t>
      </w:r>
      <w:r w:rsidR="007C0420" w:rsidRPr="002A7627">
        <w:rPr>
          <w:lang w:bidi="fa-IR"/>
        </w:rPr>
        <w:t xml:space="preserve"> = 1.12, </w:t>
      </w:r>
      <w:r w:rsidR="007C0420" w:rsidRPr="006300B7">
        <w:rPr>
          <w:i/>
          <w:lang w:bidi="fa-IR"/>
        </w:rPr>
        <w:t>p</w:t>
      </w:r>
      <w:r w:rsidR="007C0420" w:rsidRPr="002A7627">
        <w:rPr>
          <w:lang w:bidi="fa-IR"/>
        </w:rPr>
        <w:t xml:space="preserve"> = 0.263, </w:t>
      </w:r>
      <w:r w:rsidR="007C0420" w:rsidRPr="006300B7">
        <w:rPr>
          <w:i/>
          <w:lang w:bidi="fa-IR"/>
        </w:rPr>
        <w:t>f</w:t>
      </w:r>
      <w:r w:rsidR="007C0420" w:rsidRPr="006300B7">
        <w:rPr>
          <w:i/>
          <w:vertAlign w:val="superscript"/>
          <w:lang w:bidi="fa-IR"/>
        </w:rPr>
        <w:t>2</w:t>
      </w:r>
      <w:r w:rsidR="007C0420" w:rsidRPr="002A7627">
        <w:rPr>
          <w:lang w:bidi="fa-IR"/>
        </w:rPr>
        <w:t xml:space="preserve"> = 0.002)</w:t>
      </w:r>
      <w:r>
        <w:rPr>
          <w:lang w:bidi="fa-IR"/>
        </w:rPr>
        <w:t>.</w:t>
      </w:r>
      <w:r w:rsidR="007C0420" w:rsidRPr="002A7627">
        <w:rPr>
          <w:lang w:bidi="fa-IR"/>
        </w:rPr>
        <w:t xml:space="preserve"> Organizational </w:t>
      </w:r>
      <w:r>
        <w:rPr>
          <w:lang w:bidi="fa-IR"/>
        </w:rPr>
        <w:t>l</w:t>
      </w:r>
      <w:r w:rsidR="007C0420" w:rsidRPr="002A7627">
        <w:rPr>
          <w:lang w:bidi="fa-IR"/>
        </w:rPr>
        <w:t xml:space="preserve">earning </w:t>
      </w:r>
      <w:r>
        <w:rPr>
          <w:lang w:bidi="fa-IR"/>
        </w:rPr>
        <w:t xml:space="preserve">therefore </w:t>
      </w:r>
      <w:r w:rsidR="007C0420" w:rsidRPr="002A7627">
        <w:rPr>
          <w:lang w:bidi="fa-IR"/>
        </w:rPr>
        <w:t>does not mediate this relationship</w:t>
      </w:r>
      <w:r>
        <w:rPr>
          <w:lang w:bidi="fa-IR"/>
        </w:rPr>
        <w:t xml:space="preserve"> in whole or part, and hypothesis</w:t>
      </w:r>
      <w:r w:rsidR="007C0420" w:rsidRPr="002A7627">
        <w:rPr>
          <w:lang w:bidi="fa-IR"/>
        </w:rPr>
        <w:t xml:space="preserve"> H10 </w:t>
      </w:r>
      <w:r>
        <w:rPr>
          <w:lang w:bidi="fa-IR"/>
        </w:rPr>
        <w:t>wa</w:t>
      </w:r>
      <w:r w:rsidR="007C0420" w:rsidRPr="002A7627">
        <w:rPr>
          <w:lang w:bidi="fa-IR"/>
        </w:rPr>
        <w:t xml:space="preserve">s rejected. </w:t>
      </w:r>
    </w:p>
    <w:p w14:paraId="2E673B93" w14:textId="7D9029BC" w:rsidR="00507D55" w:rsidRDefault="007C0420">
      <w:pPr>
        <w:pStyle w:val="AAAAAAA"/>
        <w:rPr>
          <w:lang w:bidi="fa-IR"/>
        </w:rPr>
      </w:pPr>
      <w:r w:rsidRPr="002A7627">
        <w:rPr>
          <w:lang w:bidi="fa-IR"/>
        </w:rPr>
        <w:t xml:space="preserve">Finally, there </w:t>
      </w:r>
      <w:r w:rsidR="00E37DF3">
        <w:rPr>
          <w:lang w:bidi="fa-IR"/>
        </w:rPr>
        <w:t>was</w:t>
      </w:r>
      <w:r w:rsidR="00E37DF3" w:rsidRPr="002A7627">
        <w:rPr>
          <w:lang w:bidi="fa-IR"/>
        </w:rPr>
        <w:t xml:space="preserve"> </w:t>
      </w:r>
      <w:r w:rsidRPr="002A7627">
        <w:rPr>
          <w:lang w:bidi="fa-IR"/>
        </w:rPr>
        <w:t xml:space="preserve">a significant indirect relationship between </w:t>
      </w:r>
      <w:r w:rsidR="00E37DF3" w:rsidRPr="002A7627">
        <w:rPr>
          <w:lang w:bidi="fa-IR"/>
        </w:rPr>
        <w:t>abilities and knowledge management benefits through organizational learning</w:t>
      </w:r>
      <w:r w:rsidRPr="002A7627">
        <w:rPr>
          <w:lang w:bidi="fa-IR"/>
        </w:rPr>
        <w:t xml:space="preserve"> (</w:t>
      </w:r>
      <w:r w:rsidRPr="006300B7">
        <w:rPr>
          <w:i/>
          <w:lang w:bidi="fa-IR"/>
        </w:rPr>
        <w:t>β</w:t>
      </w:r>
      <w:r w:rsidRPr="002A7627">
        <w:rPr>
          <w:lang w:bidi="fa-IR"/>
        </w:rPr>
        <w:t xml:space="preserve"> = 0.207, </w:t>
      </w:r>
      <w:r w:rsidRPr="006300B7">
        <w:rPr>
          <w:i/>
          <w:lang w:bidi="fa-IR"/>
        </w:rPr>
        <w:t>t</w:t>
      </w:r>
      <w:r w:rsidRPr="002A7627">
        <w:rPr>
          <w:lang w:bidi="fa-IR"/>
        </w:rPr>
        <w:t xml:space="preserve"> = 6.524, </w:t>
      </w:r>
      <w:r w:rsidRPr="006300B7">
        <w:rPr>
          <w:i/>
          <w:lang w:bidi="fa-IR"/>
        </w:rPr>
        <w:t>p</w:t>
      </w:r>
      <w:r>
        <w:rPr>
          <w:lang w:bidi="fa-IR"/>
        </w:rPr>
        <w:t xml:space="preserve"> </w:t>
      </w:r>
      <w:r w:rsidRPr="002A7627">
        <w:rPr>
          <w:lang w:bidi="fa-IR"/>
        </w:rPr>
        <w:t xml:space="preserve">&lt; 0.01). </w:t>
      </w:r>
      <w:r w:rsidR="00E37DF3">
        <w:rPr>
          <w:lang w:bidi="fa-IR"/>
        </w:rPr>
        <w:t>There was a</w:t>
      </w:r>
      <w:r w:rsidRPr="002A7627">
        <w:rPr>
          <w:lang w:bidi="fa-IR"/>
        </w:rPr>
        <w:t xml:space="preserve"> non-significant direct relationship between </w:t>
      </w:r>
      <w:r w:rsidR="00417D4E">
        <w:rPr>
          <w:lang w:bidi="fa-IR"/>
        </w:rPr>
        <w:t>these two</w:t>
      </w:r>
      <w:r w:rsidR="00E37DF3" w:rsidRPr="002A7627">
        <w:rPr>
          <w:lang w:bidi="fa-IR"/>
        </w:rPr>
        <w:t xml:space="preserve"> </w:t>
      </w:r>
      <w:r w:rsidRPr="002A7627">
        <w:rPr>
          <w:lang w:bidi="fa-IR"/>
        </w:rPr>
        <w:t>(</w:t>
      </w:r>
      <w:r w:rsidRPr="006300B7">
        <w:rPr>
          <w:i/>
          <w:lang w:bidi="fa-IR"/>
        </w:rPr>
        <w:t>β</w:t>
      </w:r>
      <w:r w:rsidRPr="002A7627">
        <w:rPr>
          <w:lang w:bidi="fa-IR"/>
        </w:rPr>
        <w:t xml:space="preserve"> = 0.105, </w:t>
      </w:r>
      <w:r w:rsidRPr="006300B7">
        <w:rPr>
          <w:i/>
          <w:lang w:bidi="fa-IR"/>
        </w:rPr>
        <w:t>t</w:t>
      </w:r>
      <w:r w:rsidRPr="002A7627">
        <w:rPr>
          <w:lang w:bidi="fa-IR"/>
        </w:rPr>
        <w:t xml:space="preserve"> = 1.874, </w:t>
      </w:r>
      <w:r w:rsidRPr="006300B7">
        <w:rPr>
          <w:i/>
          <w:lang w:bidi="fa-IR"/>
        </w:rPr>
        <w:t>p</w:t>
      </w:r>
      <w:r w:rsidRPr="002A7627">
        <w:rPr>
          <w:lang w:bidi="fa-IR"/>
        </w:rPr>
        <w:t xml:space="preserve"> = 0.061, </w:t>
      </w:r>
      <w:r w:rsidRPr="006300B7">
        <w:rPr>
          <w:i/>
          <w:lang w:bidi="fa-IR"/>
        </w:rPr>
        <w:t>f</w:t>
      </w:r>
      <w:r w:rsidRPr="006300B7">
        <w:rPr>
          <w:i/>
          <w:vertAlign w:val="superscript"/>
          <w:lang w:bidi="fa-IR"/>
        </w:rPr>
        <w:t>2</w:t>
      </w:r>
      <w:r w:rsidRPr="002A7627">
        <w:rPr>
          <w:lang w:bidi="fa-IR"/>
        </w:rPr>
        <w:t xml:space="preserve"> = 0.009), </w:t>
      </w:r>
      <w:r w:rsidR="00E37DF3">
        <w:rPr>
          <w:lang w:bidi="fa-IR"/>
        </w:rPr>
        <w:t xml:space="preserve">so </w:t>
      </w:r>
      <w:r w:rsidR="00E37DF3" w:rsidRPr="002A7627">
        <w:rPr>
          <w:lang w:bidi="fa-IR"/>
        </w:rPr>
        <w:t xml:space="preserve">organizational learning </w:t>
      </w:r>
      <w:r w:rsidRPr="002A7627">
        <w:rPr>
          <w:lang w:bidi="fa-IR"/>
        </w:rPr>
        <w:t>fully mediates this relationship</w:t>
      </w:r>
      <w:r w:rsidR="00E37DF3">
        <w:rPr>
          <w:lang w:bidi="fa-IR"/>
        </w:rPr>
        <w:t xml:space="preserve">, and hypothesis </w:t>
      </w:r>
      <w:r w:rsidRPr="002A7627">
        <w:rPr>
          <w:lang w:bidi="fa-IR"/>
        </w:rPr>
        <w:t xml:space="preserve">H11 </w:t>
      </w:r>
      <w:r w:rsidR="00E37DF3">
        <w:rPr>
          <w:lang w:bidi="fa-IR"/>
        </w:rPr>
        <w:t>was supported</w:t>
      </w:r>
      <w:r w:rsidRPr="002A7627">
        <w:rPr>
          <w:lang w:bidi="fa-IR"/>
        </w:rPr>
        <w:t>.</w:t>
      </w:r>
    </w:p>
    <w:p w14:paraId="1E9E1A58" w14:textId="32655DFD" w:rsidR="001708DA" w:rsidRDefault="001708DA">
      <w:pPr>
        <w:pStyle w:val="AAAAAAA"/>
        <w:rPr>
          <w:lang w:bidi="fa-IR"/>
        </w:rPr>
      </w:pPr>
    </w:p>
    <w:p w14:paraId="75D37957" w14:textId="1552B6B5" w:rsidR="001708DA" w:rsidRDefault="001708DA">
      <w:pPr>
        <w:pStyle w:val="AAAAAAA"/>
        <w:rPr>
          <w:lang w:bidi="fa-IR"/>
        </w:rPr>
      </w:pPr>
    </w:p>
    <w:p w14:paraId="2137FCC5" w14:textId="77777777" w:rsidR="001708DA" w:rsidRDefault="001708DA">
      <w:pPr>
        <w:pStyle w:val="AAAAAAA"/>
        <w:rPr>
          <w:lang w:bidi="fa-IR"/>
        </w:rPr>
      </w:pPr>
    </w:p>
    <w:p w14:paraId="1C9C27B8" w14:textId="746C11FD" w:rsidR="007B2ED1" w:rsidRPr="002A7627" w:rsidRDefault="007B2ED1" w:rsidP="007B2ED1">
      <w:pPr>
        <w:pStyle w:val="Heading1"/>
        <w:rPr>
          <w:rFonts w:cs="Times New Roman"/>
          <w:color w:val="000000"/>
        </w:rPr>
      </w:pPr>
      <w:bookmarkStart w:id="261" w:name="_Toc22331711"/>
      <w:r>
        <w:rPr>
          <w:color w:val="000000"/>
        </w:rPr>
        <w:t>5.4. Conclusion</w:t>
      </w:r>
      <w:bookmarkEnd w:id="261"/>
    </w:p>
    <w:p w14:paraId="65D4426B" w14:textId="77777777" w:rsidR="00C822B2" w:rsidRDefault="0016141C" w:rsidP="00F16031">
      <w:pPr>
        <w:spacing w:line="480" w:lineRule="auto"/>
        <w:jc w:val="lowKashida"/>
        <w:rPr>
          <w:rFonts w:asciiTheme="majorBidi" w:hAnsiTheme="majorBidi" w:cstheme="majorBidi"/>
          <w:szCs w:val="24"/>
        </w:rPr>
      </w:pPr>
      <w:r w:rsidRPr="00A76879">
        <w:rPr>
          <w:rFonts w:asciiTheme="majorBidi" w:hAnsiTheme="majorBidi" w:cstheme="majorBidi"/>
          <w:szCs w:val="24"/>
        </w:rPr>
        <w:t xml:space="preserve">In conclusion, this chapter has provided the results of the descriptive analysis and PLS SEM to explain the relationships between knowledge management capabilities, HR practices for knowledge sharing, organizational learning, and knowledge management benefits. It has also set out a proposed theoretical framework drawing on these results, and linked the research findings to the hypotheses. </w:t>
      </w:r>
    </w:p>
    <w:p w14:paraId="2987AAC2" w14:textId="77777777" w:rsidR="00C822B2" w:rsidRDefault="00C822B2" w:rsidP="00F16031">
      <w:pPr>
        <w:spacing w:line="480" w:lineRule="auto"/>
        <w:jc w:val="lowKashida"/>
        <w:rPr>
          <w:rFonts w:asciiTheme="majorBidi" w:hAnsiTheme="majorBidi" w:cstheme="majorBidi"/>
          <w:szCs w:val="24"/>
        </w:rPr>
      </w:pPr>
    </w:p>
    <w:p w14:paraId="674470BA" w14:textId="1B04FDC2" w:rsidR="00E37DF3" w:rsidRPr="00F16031" w:rsidRDefault="0016141C" w:rsidP="00F16031">
      <w:pPr>
        <w:spacing w:line="480" w:lineRule="auto"/>
        <w:jc w:val="lowKashida"/>
        <w:rPr>
          <w:rFonts w:asciiTheme="majorBidi" w:hAnsiTheme="majorBidi" w:cstheme="majorBidi"/>
          <w:szCs w:val="24"/>
        </w:rPr>
      </w:pPr>
      <w:r w:rsidRPr="00A76879">
        <w:rPr>
          <w:rFonts w:asciiTheme="majorBidi" w:hAnsiTheme="majorBidi" w:cstheme="majorBidi"/>
          <w:szCs w:val="24"/>
        </w:rPr>
        <w:t xml:space="preserve"> </w:t>
      </w:r>
      <w:r w:rsidR="007C0420" w:rsidRPr="002A7627">
        <w:rPr>
          <w:lang w:bidi="fa-IR"/>
        </w:rPr>
        <w:t xml:space="preserve"> </w:t>
      </w:r>
      <w:bookmarkStart w:id="262" w:name="_Toc511286672"/>
      <w:bookmarkStart w:id="263" w:name="_Toc13959669"/>
      <w:r w:rsidR="00E37DF3">
        <w:br w:type="page"/>
      </w:r>
    </w:p>
    <w:p w14:paraId="29C43F43" w14:textId="77777777" w:rsidR="00C822B2" w:rsidRDefault="00C822B2" w:rsidP="00C537A0">
      <w:pPr>
        <w:pStyle w:val="Title"/>
        <w:rPr>
          <w:color w:val="000000"/>
        </w:rPr>
        <w:sectPr w:rsidR="00C822B2" w:rsidSect="001708DA">
          <w:footerReference w:type="default" r:id="rId37"/>
          <w:pgSz w:w="12240" w:h="15840"/>
          <w:pgMar w:top="1800" w:right="2160" w:bottom="1800" w:left="2160" w:header="720" w:footer="720" w:gutter="0"/>
          <w:cols w:space="720"/>
          <w:docGrid w:linePitch="381"/>
        </w:sectPr>
      </w:pPr>
      <w:bookmarkStart w:id="264" w:name="_Toc22331712"/>
    </w:p>
    <w:p w14:paraId="0261ABFD" w14:textId="18AC6C52" w:rsidR="00D727A2" w:rsidRPr="002A7627" w:rsidRDefault="00B56693" w:rsidP="00C537A0">
      <w:pPr>
        <w:pStyle w:val="Title"/>
        <w:rPr>
          <w:color w:val="000000"/>
        </w:rPr>
      </w:pPr>
      <w:r>
        <w:rPr>
          <w:color w:val="000000"/>
        </w:rPr>
        <w:t>CHAPTER 6: DISCUSSION</w:t>
      </w:r>
      <w:r w:rsidR="006356A5">
        <w:rPr>
          <w:color w:val="000000"/>
        </w:rPr>
        <w:t xml:space="preserve"> OF THE RESULTS</w:t>
      </w:r>
      <w:bookmarkStart w:id="265" w:name="_Toc485631265"/>
      <w:bookmarkStart w:id="266" w:name="_Toc488144921"/>
      <w:bookmarkStart w:id="267" w:name="_Toc495919992"/>
      <w:bookmarkStart w:id="268" w:name="_Toc495929578"/>
      <w:bookmarkStart w:id="269" w:name="_Toc496006792"/>
      <w:bookmarkStart w:id="270" w:name="_Toc510959035"/>
      <w:bookmarkStart w:id="271" w:name="_Toc511286673"/>
      <w:bookmarkEnd w:id="262"/>
      <w:bookmarkEnd w:id="263"/>
      <w:bookmarkEnd w:id="264"/>
      <w:bookmarkEnd w:id="265"/>
      <w:bookmarkEnd w:id="266"/>
      <w:bookmarkEnd w:id="267"/>
      <w:bookmarkEnd w:id="268"/>
      <w:bookmarkEnd w:id="269"/>
      <w:bookmarkEnd w:id="270"/>
      <w:bookmarkEnd w:id="271"/>
    </w:p>
    <w:p w14:paraId="780FAB39" w14:textId="7FAAA9CF" w:rsidR="00D727A2" w:rsidRPr="002A7627" w:rsidRDefault="00B56693" w:rsidP="00C537A0">
      <w:pPr>
        <w:pStyle w:val="Heading1"/>
        <w:rPr>
          <w:color w:val="000000"/>
        </w:rPr>
      </w:pPr>
      <w:bookmarkStart w:id="272" w:name="_Toc511286674"/>
      <w:bookmarkStart w:id="273" w:name="_Toc13959670"/>
      <w:bookmarkStart w:id="274" w:name="_Toc22331713"/>
      <w:r>
        <w:rPr>
          <w:color w:val="000000"/>
        </w:rPr>
        <w:t xml:space="preserve">6.1. </w:t>
      </w:r>
      <w:r w:rsidR="00D727A2" w:rsidRPr="002A7627">
        <w:rPr>
          <w:color w:val="000000"/>
        </w:rPr>
        <w:t>Introduction</w:t>
      </w:r>
      <w:bookmarkEnd w:id="272"/>
      <w:bookmarkEnd w:id="273"/>
      <w:bookmarkEnd w:id="274"/>
    </w:p>
    <w:p w14:paraId="0C28B142" w14:textId="0AE38DCF" w:rsidR="00D727A2" w:rsidRPr="002A7627" w:rsidRDefault="00D727A2" w:rsidP="00C537A0">
      <w:pPr>
        <w:pStyle w:val="AAAAAAA"/>
      </w:pPr>
      <w:r w:rsidRPr="002A7627">
        <w:t>The main goal of this research was to understand the relationships between knowledge management capabilities, human resources practices to enhance knowledge sharing and knowledge management benefits</w:t>
      </w:r>
      <w:r w:rsidR="00417D4E">
        <w:t>,</w:t>
      </w:r>
      <w:r w:rsidRPr="002A7627">
        <w:t xml:space="preserve"> and to examine the impact of organizational learning on these relationships. This </w:t>
      </w:r>
      <w:r w:rsidR="00416760">
        <w:t xml:space="preserve">section </w:t>
      </w:r>
      <w:r w:rsidR="00417D4E">
        <w:t>discusses</w:t>
      </w:r>
      <w:r w:rsidRPr="002A7627">
        <w:t xml:space="preserve"> the results and evaluates the research questions in the light of the findings.</w:t>
      </w:r>
    </w:p>
    <w:p w14:paraId="1024EBA6" w14:textId="08298801" w:rsidR="00D727A2" w:rsidRPr="002A7627" w:rsidRDefault="00D727A2" w:rsidP="00C537A0">
      <w:pPr>
        <w:pStyle w:val="AAAAAAA"/>
      </w:pPr>
      <w:r w:rsidRPr="002A7627">
        <w:t xml:space="preserve">This study is one of the few known to make a comprehensive quantitative investigation of the factors influencing the adoption of knowledge management and </w:t>
      </w:r>
      <w:r w:rsidR="00440923">
        <w:t>their</w:t>
      </w:r>
      <w:r w:rsidR="00440923" w:rsidRPr="002A7627">
        <w:t xml:space="preserve"> </w:t>
      </w:r>
      <w:r w:rsidRPr="002A7627">
        <w:t xml:space="preserve">impact on knowledge management benefits in a policing organization in the UAE. The study found differences from previous </w:t>
      </w:r>
      <w:r w:rsidR="00417D4E">
        <w:t>research</w:t>
      </w:r>
      <w:r w:rsidR="00417D4E" w:rsidRPr="002A7627">
        <w:t xml:space="preserve"> </w:t>
      </w:r>
      <w:r w:rsidRPr="002A7627">
        <w:t xml:space="preserve">on knowledge management capabilities and the </w:t>
      </w:r>
      <w:r w:rsidR="00416760" w:rsidRPr="002A7627">
        <w:t>implementation</w:t>
      </w:r>
      <w:r w:rsidRPr="002A7627">
        <w:t xml:space="preserve"> of HR practices enhancing knowledge sharing. The impact of both factors changed after adding organizational learning as a mediator. </w:t>
      </w:r>
    </w:p>
    <w:p w14:paraId="7370FB65" w14:textId="6AE818CF" w:rsidR="00D727A2" w:rsidRPr="002A7627" w:rsidRDefault="00D727A2" w:rsidP="00C537A0">
      <w:pPr>
        <w:pStyle w:val="AAAAAAA"/>
      </w:pPr>
      <w:r w:rsidRPr="002A7627">
        <w:t xml:space="preserve">The five research questions that </w:t>
      </w:r>
      <w:r w:rsidR="00417D4E">
        <w:t>were developed</w:t>
      </w:r>
      <w:r w:rsidRPr="002A7627">
        <w:t xml:space="preserve"> based on the gaps in the </w:t>
      </w:r>
      <w:r w:rsidR="00416760">
        <w:t>previous studies</w:t>
      </w:r>
      <w:r w:rsidR="00416760" w:rsidRPr="002A7627">
        <w:t xml:space="preserve"> </w:t>
      </w:r>
      <w:r w:rsidRPr="002A7627">
        <w:t xml:space="preserve">were examined to identify the </w:t>
      </w:r>
      <w:r w:rsidR="00416760">
        <w:t>effect</w:t>
      </w:r>
      <w:r w:rsidR="00416760" w:rsidRPr="002A7627">
        <w:t xml:space="preserve"> </w:t>
      </w:r>
      <w:r w:rsidRPr="002A7627">
        <w:t xml:space="preserve">of knowledge management capabilities, HR practices enhancing knowledge sharing, organizational learning, and knowledge management benefits. </w:t>
      </w:r>
      <w:r w:rsidR="00417D4E">
        <w:t>The research questions were:</w:t>
      </w:r>
    </w:p>
    <w:p w14:paraId="6F487497" w14:textId="18C6648B" w:rsidR="00C822B2" w:rsidRPr="00C822B2" w:rsidRDefault="00D727A2" w:rsidP="00C822B2">
      <w:pPr>
        <w:pStyle w:val="NormalWeb"/>
        <w:numPr>
          <w:ilvl w:val="0"/>
          <w:numId w:val="19"/>
        </w:numPr>
        <w:spacing w:before="0" w:beforeAutospacing="0" w:after="200" w:afterAutospacing="0" w:line="360" w:lineRule="auto"/>
        <w:ind w:left="720"/>
        <w:jc w:val="lowKashida"/>
        <w:rPr>
          <w:rFonts w:asciiTheme="majorBidi" w:eastAsiaTheme="minorHAnsi" w:hAnsiTheme="majorBidi" w:cstheme="majorBidi"/>
          <w:color w:val="000000"/>
          <w:sz w:val="24"/>
          <w:szCs w:val="24"/>
        </w:rPr>
      </w:pPr>
      <w:r w:rsidRPr="002A7627">
        <w:rPr>
          <w:rFonts w:asciiTheme="majorBidi" w:hAnsiTheme="majorBidi" w:cstheme="majorBidi"/>
          <w:color w:val="000000"/>
          <w:sz w:val="24"/>
          <w:szCs w:val="24"/>
        </w:rPr>
        <w:t xml:space="preserve">How do knowledge management capabilities affect </w:t>
      </w:r>
      <w:r w:rsidRPr="002A7627">
        <w:rPr>
          <w:rFonts w:asciiTheme="majorBidi" w:eastAsiaTheme="minorHAnsi" w:hAnsiTheme="majorBidi" w:cstheme="majorBidi"/>
          <w:color w:val="000000"/>
          <w:sz w:val="24"/>
          <w:szCs w:val="24"/>
        </w:rPr>
        <w:t>knowledge management benefits?</w:t>
      </w:r>
    </w:p>
    <w:p w14:paraId="41E2AB6E" w14:textId="77777777" w:rsidR="002D539D" w:rsidRPr="002A7627" w:rsidRDefault="002D539D" w:rsidP="00C822B2">
      <w:pPr>
        <w:pStyle w:val="NormalWeb"/>
        <w:spacing w:before="0" w:beforeAutospacing="0" w:after="200" w:afterAutospacing="0" w:line="360" w:lineRule="auto"/>
        <w:jc w:val="lowKashida"/>
        <w:rPr>
          <w:rFonts w:asciiTheme="majorBidi" w:hAnsiTheme="majorBidi" w:cstheme="majorBidi"/>
          <w:color w:val="000000"/>
          <w:sz w:val="24"/>
          <w:szCs w:val="24"/>
        </w:rPr>
        <w:sectPr w:rsidR="002D539D" w:rsidRPr="002A7627" w:rsidSect="001708DA">
          <w:pgSz w:w="12240" w:h="15840"/>
          <w:pgMar w:top="2880" w:right="2160" w:bottom="1800" w:left="2160" w:header="720" w:footer="720" w:gutter="0"/>
          <w:cols w:space="720"/>
          <w:docGrid w:linePitch="381"/>
        </w:sectPr>
      </w:pPr>
    </w:p>
    <w:p w14:paraId="719A6567" w14:textId="73DEB56A" w:rsidR="00D727A2" w:rsidRPr="002A7627" w:rsidRDefault="00D727A2" w:rsidP="00C537A0">
      <w:pPr>
        <w:pStyle w:val="NormalWeb"/>
        <w:numPr>
          <w:ilvl w:val="0"/>
          <w:numId w:val="19"/>
        </w:numPr>
        <w:spacing w:before="0" w:beforeAutospacing="0" w:after="200" w:afterAutospacing="0" w:line="360" w:lineRule="auto"/>
        <w:ind w:left="720"/>
        <w:jc w:val="lowKashida"/>
        <w:rPr>
          <w:rFonts w:asciiTheme="majorBidi" w:eastAsiaTheme="minorHAnsi" w:hAnsiTheme="majorBidi" w:cstheme="majorBidi"/>
          <w:color w:val="000000"/>
          <w:sz w:val="24"/>
          <w:szCs w:val="24"/>
        </w:rPr>
      </w:pPr>
      <w:r w:rsidRPr="002A7627">
        <w:rPr>
          <w:rFonts w:asciiTheme="majorBidi" w:hAnsiTheme="majorBidi" w:cstheme="majorBidi"/>
          <w:color w:val="000000"/>
          <w:sz w:val="24"/>
          <w:szCs w:val="24"/>
        </w:rPr>
        <w:t>How do HR practices affect knowledge sharing and knowledge management benefits?</w:t>
      </w:r>
    </w:p>
    <w:p w14:paraId="4B3120B2" w14:textId="2EBD8F1C" w:rsidR="00D727A2" w:rsidRPr="001D5F54" w:rsidRDefault="00D727A2" w:rsidP="00C537A0">
      <w:pPr>
        <w:pStyle w:val="NormalWeb"/>
        <w:numPr>
          <w:ilvl w:val="0"/>
          <w:numId w:val="19"/>
        </w:numPr>
        <w:spacing w:before="0" w:beforeAutospacing="0" w:after="200" w:afterAutospacing="0" w:line="360" w:lineRule="auto"/>
        <w:ind w:left="720"/>
        <w:jc w:val="lowKashida"/>
        <w:rPr>
          <w:rFonts w:asciiTheme="majorBidi" w:eastAsiaTheme="minorHAnsi" w:hAnsiTheme="majorBidi" w:cstheme="majorBidi"/>
          <w:color w:val="000000"/>
          <w:sz w:val="24"/>
          <w:szCs w:val="24"/>
        </w:rPr>
      </w:pPr>
      <w:r w:rsidRPr="002A7627">
        <w:rPr>
          <w:rFonts w:asciiTheme="majorBidi" w:hAnsiTheme="majorBidi" w:cstheme="majorBidi"/>
          <w:color w:val="000000"/>
          <w:sz w:val="24"/>
          <w:szCs w:val="24"/>
        </w:rPr>
        <w:t>How does organizational learning affect knowledge management benefits?</w:t>
      </w:r>
    </w:p>
    <w:p w14:paraId="02171D35" w14:textId="2FD18362" w:rsidR="00B56693" w:rsidRDefault="00B56693" w:rsidP="001D5F54">
      <w:pPr>
        <w:pStyle w:val="NormalWeb"/>
        <w:numPr>
          <w:ilvl w:val="3"/>
          <w:numId w:val="42"/>
        </w:numPr>
        <w:spacing w:before="0" w:beforeAutospacing="0" w:after="0" w:afterAutospacing="0" w:line="480" w:lineRule="auto"/>
        <w:ind w:left="720"/>
        <w:jc w:val="lowKashida"/>
        <w:rPr>
          <w:rFonts w:asciiTheme="majorBidi" w:hAnsiTheme="majorBidi" w:cstheme="majorBidi"/>
          <w:color w:val="000000"/>
          <w:sz w:val="24"/>
          <w:szCs w:val="24"/>
        </w:rPr>
      </w:pPr>
      <w:r w:rsidRPr="000D0BFD">
        <w:rPr>
          <w:rFonts w:asciiTheme="majorBidi" w:hAnsiTheme="majorBidi" w:cstheme="majorBidi"/>
          <w:color w:val="000000"/>
          <w:sz w:val="24"/>
          <w:szCs w:val="24"/>
        </w:rPr>
        <w:t xml:space="preserve">What is the role of organizational learning in mediating </w:t>
      </w:r>
      <w:r w:rsidR="00417D4E">
        <w:rPr>
          <w:rFonts w:asciiTheme="majorBidi" w:hAnsiTheme="majorBidi" w:cstheme="majorBidi"/>
          <w:color w:val="000000"/>
          <w:sz w:val="24"/>
          <w:szCs w:val="24"/>
        </w:rPr>
        <w:t>the</w:t>
      </w:r>
      <w:r w:rsidR="00417D4E" w:rsidRPr="000D0BFD">
        <w:rPr>
          <w:rFonts w:asciiTheme="majorBidi" w:hAnsiTheme="majorBidi" w:cstheme="majorBidi"/>
          <w:color w:val="000000"/>
          <w:sz w:val="24"/>
          <w:szCs w:val="24"/>
        </w:rPr>
        <w:t xml:space="preserve"> </w:t>
      </w:r>
      <w:r w:rsidRPr="000D0BFD">
        <w:rPr>
          <w:rFonts w:asciiTheme="majorBidi" w:hAnsiTheme="majorBidi" w:cstheme="majorBidi"/>
          <w:color w:val="000000"/>
          <w:sz w:val="24"/>
          <w:szCs w:val="24"/>
        </w:rPr>
        <w:t>relationship between knowledge management capabilities and benefits</w:t>
      </w:r>
      <w:r>
        <w:rPr>
          <w:rFonts w:asciiTheme="majorBidi" w:hAnsiTheme="majorBidi" w:cstheme="majorBidi"/>
          <w:color w:val="000000"/>
          <w:sz w:val="24"/>
          <w:szCs w:val="24"/>
        </w:rPr>
        <w:t>?</w:t>
      </w:r>
    </w:p>
    <w:p w14:paraId="4BC8293C" w14:textId="13AA102F" w:rsidR="00B56693" w:rsidRPr="000D0BFD" w:rsidRDefault="00B56693" w:rsidP="001D5F54">
      <w:pPr>
        <w:pStyle w:val="NormalWeb"/>
        <w:numPr>
          <w:ilvl w:val="3"/>
          <w:numId w:val="42"/>
        </w:numPr>
        <w:spacing w:before="0" w:beforeAutospacing="0" w:after="0" w:afterAutospacing="0" w:line="480" w:lineRule="auto"/>
        <w:ind w:left="720"/>
        <w:jc w:val="lowKashida"/>
        <w:rPr>
          <w:rFonts w:asciiTheme="majorBidi" w:hAnsiTheme="majorBidi" w:cstheme="majorBidi"/>
          <w:color w:val="000000"/>
          <w:sz w:val="24"/>
          <w:szCs w:val="24"/>
        </w:rPr>
      </w:pPr>
      <w:r w:rsidRPr="000D0BFD">
        <w:rPr>
          <w:rFonts w:asciiTheme="majorBidi" w:hAnsiTheme="majorBidi" w:cstheme="majorBidi"/>
          <w:color w:val="000000"/>
          <w:sz w:val="24"/>
          <w:szCs w:val="24"/>
        </w:rPr>
        <w:t xml:space="preserve">What is the role of organizational learning in mediating </w:t>
      </w:r>
      <w:r w:rsidR="00417D4E">
        <w:rPr>
          <w:rFonts w:asciiTheme="majorBidi" w:hAnsiTheme="majorBidi" w:cstheme="majorBidi"/>
          <w:color w:val="000000"/>
          <w:sz w:val="24"/>
          <w:szCs w:val="24"/>
        </w:rPr>
        <w:t>the</w:t>
      </w:r>
      <w:r w:rsidR="00417D4E" w:rsidRPr="000D0BFD">
        <w:rPr>
          <w:rFonts w:asciiTheme="majorBidi" w:hAnsiTheme="majorBidi" w:cstheme="majorBidi"/>
          <w:color w:val="000000"/>
          <w:sz w:val="24"/>
          <w:szCs w:val="24"/>
        </w:rPr>
        <w:t xml:space="preserve"> </w:t>
      </w:r>
      <w:r w:rsidRPr="000D0BFD">
        <w:rPr>
          <w:rFonts w:asciiTheme="majorBidi" w:hAnsiTheme="majorBidi" w:cstheme="majorBidi"/>
          <w:color w:val="000000"/>
          <w:sz w:val="24"/>
          <w:szCs w:val="24"/>
        </w:rPr>
        <w:t xml:space="preserve">relationship between </w:t>
      </w:r>
      <w:r>
        <w:rPr>
          <w:rFonts w:asciiTheme="majorBidi" w:hAnsiTheme="majorBidi" w:cstheme="majorBidi"/>
          <w:color w:val="000000"/>
          <w:sz w:val="24"/>
          <w:szCs w:val="24"/>
        </w:rPr>
        <w:t>HR practices on knowledge sharing</w:t>
      </w:r>
      <w:r w:rsidRPr="000D0BFD">
        <w:rPr>
          <w:rFonts w:asciiTheme="majorBidi" w:hAnsiTheme="majorBidi" w:cstheme="majorBidi"/>
          <w:color w:val="000000"/>
          <w:sz w:val="24"/>
          <w:szCs w:val="24"/>
        </w:rPr>
        <w:t xml:space="preserve"> and </w:t>
      </w:r>
      <w:r>
        <w:rPr>
          <w:rFonts w:asciiTheme="majorBidi" w:hAnsiTheme="majorBidi" w:cstheme="majorBidi"/>
          <w:color w:val="000000"/>
          <w:sz w:val="24"/>
          <w:szCs w:val="24"/>
        </w:rPr>
        <w:t>knowledge management benefits?</w:t>
      </w:r>
    </w:p>
    <w:p w14:paraId="09F866E9" w14:textId="77777777" w:rsidR="00D727A2" w:rsidRPr="002A7627" w:rsidRDefault="00D727A2" w:rsidP="0084184C">
      <w:pPr>
        <w:pStyle w:val="AAAAAAA"/>
        <w:ind w:firstLine="0"/>
      </w:pPr>
      <w:r w:rsidRPr="002A7627">
        <w:t xml:space="preserve">These are discussed in the rest of this chapter. </w:t>
      </w:r>
    </w:p>
    <w:p w14:paraId="1990C0E1" w14:textId="73E75487" w:rsidR="00D727A2" w:rsidRPr="002A7627" w:rsidRDefault="00B56693" w:rsidP="0017121F">
      <w:pPr>
        <w:pStyle w:val="Heading1"/>
        <w:rPr>
          <w:color w:val="000000"/>
        </w:rPr>
      </w:pPr>
      <w:bookmarkStart w:id="275" w:name="_Toc13959671"/>
      <w:bookmarkStart w:id="276" w:name="_Toc22331714"/>
      <w:bookmarkStart w:id="277" w:name="_Toc511286675"/>
      <w:r>
        <w:rPr>
          <w:color w:val="000000"/>
        </w:rPr>
        <w:t>6.2. RQ</w:t>
      </w:r>
      <w:r w:rsidR="00D727A2" w:rsidRPr="002A7627">
        <w:rPr>
          <w:color w:val="000000"/>
        </w:rPr>
        <w:t xml:space="preserve"> 1: Knowledge </w:t>
      </w:r>
      <w:r w:rsidR="0084184C" w:rsidRPr="002A7627">
        <w:rPr>
          <w:color w:val="000000"/>
        </w:rPr>
        <w:t>Management Capabilities</w:t>
      </w:r>
      <w:bookmarkEnd w:id="275"/>
      <w:bookmarkEnd w:id="276"/>
      <w:r w:rsidR="0084184C" w:rsidRPr="002A7627">
        <w:rPr>
          <w:color w:val="000000"/>
        </w:rPr>
        <w:t xml:space="preserve"> </w:t>
      </w:r>
      <w:bookmarkEnd w:id="277"/>
    </w:p>
    <w:p w14:paraId="61442F1C" w14:textId="37B7BD8E" w:rsidR="00D727A2" w:rsidRPr="002A7627" w:rsidRDefault="00D727A2" w:rsidP="0084184C">
      <w:pPr>
        <w:pStyle w:val="AAAAAAA"/>
        <w:rPr>
          <w:rFonts w:asciiTheme="majorBidi" w:hAnsiTheme="majorBidi" w:cstheme="majorBidi"/>
        </w:rPr>
      </w:pPr>
      <w:r w:rsidRPr="002A7627">
        <w:t xml:space="preserve">In this study, technological capabilities were considered the most important element in building knowledge management </w:t>
      </w:r>
      <w:r w:rsidRPr="002A7627">
        <w:fldChar w:fldCharType="begin" w:fldLock="1"/>
      </w:r>
      <w:r w:rsidR="00C41F2A" w:rsidRPr="002A7627">
        <w:instrText>ADDIN CSL_CITATION {"citationItems":[{"id":"ITEM-1","itemData":{"DOI":"10.1080/09585192.2017.1416655","ISBN":"978-3-319-71690-9","ISSN":"0958-5192","PMID":"42012058","abstract":"Partial least squares structural equation modeling (PLS-SEM) has become a key multivariate analysis technique that human resource management (HRM) researchers frequently use. While most disciplines undertake regular critical reflections on the use of important methods to ensure rigorous research and publication practices, the use of PLS-SEM in HRM has not been analyzed so far. To address this gap in HRM literature, this paper presents a critical review of PLS-SEM use in 77 HRM studies published over a 30-year period in leading journals. By contrasting the review results with state-of-the-art guidelines for use of the method, we identify several areas that offer room of improvement when applying PLS-SEM in HRM studies. Our findings offer important guidance for future use of the PLS-SEM method in HRM and related fields.","author":[{"dropping-particle":"","family":"Ringle","given":"C.M.","non-dropping-particle":"","parse-names":false,"suffix":""},{"dropping-particle":"","family":"Sarstedt","given":"Marko","non-dropping-particle":"","parse-names":false,"suffix":""},{"dropping-particle":"","family":"Mitchell","given":"Rebecca","non-dropping-particle":"","parse-names":false,"suffix":""},{"dropping-particle":"","family":"Gudergan","given":"Siegfried P.","non-dropping-particle":"","parse-names":false,"suffix":""}],"container-title":"The International Journal of Human Resource Management","id":"ITEM-1","issued":{"date-parts":[["2018","1","7"]]},"page":"1-27","title":"Partial least squares structural equation modeling in HRM research","type":"article-journal","volume":"5192"},"uris":["http://www.mendeley.com/documents/?uuid=751863a4-ee82-4b4d-813b-afbf6fb857be"]},{"id":"ITEM-2","itemData":{"DOI":"10.2307/25148681","ISSN":"02767783","abstract":"Business value of information technology is an enduring research question. The elusive link between IT and financial firm performance calls for further research into intermediate organizational variables through which IT may influence firm performance. This study proposes that knowledge management (KM) is a critical organizational capability through which IT influences firm performance. In the context of multibusiness firms, the study examines how the IT resources of a firm should be organized and managed to enhance the firm's KM capability, and whether and how KM capability influences firm performance. The study develops two hypothesizes: (1) IT relatedness of the firm's business units enhances cross-unit KM capability: (2) KM capability, in turn, leads to superior firm performance. Data from 250 Fortune 1000 firms provide empirical support for these hypotheses. IT relatedness of business units enhances the cross-unit KM capability of the firm. The KM capability creates and exploits cross-unit synergies from the product, customer, and managerial knowledge resources of the firm. These synergies increase the financial performance of the firm. IT relatedness also has significant indirect effects on firm performance through the mediation of KM capability.ABSTRACT FROM AUTHOR","author":[{"dropping-particle":"","family":"Tanriverdi","given":"","non-dropping-particle":"","parse-names":false,"suffix":""}],"container-title":"MIS Quarterly","id":"ITEM-2","issue":"2","issued":{"date-parts":[["2005"]]},"page":"311","title":"Information technology relatedness, knowledge management capability, and performance of multibusiness firms","type":"article-journal","volume":"29"},"uris":["http://www.mendeley.com/documents/?uuid=8aa43bc9-341a-41be-a7e2-362e8f137bb3"]}],"mendeley":{"formattedCitation":"(Ringle, Sarstedt, Mitchell, &amp; Gudergan, 2018; Tanriverdi, 2005)","manualFormatting":"(Tanriverdi, 2017)","plainTextFormattedCitation":"(Ringle, Sarstedt, Mitchell, &amp; Gudergan, 2018; Tanriverdi, 2005)","previouslyFormattedCitation":"(Ringle, Sarstedt, Mitchell, &amp; Gudergan, 2018; Tanriverdi, 2005)"},"properties":{"noteIndex":0},"schema":"https://github.com/citation-style-language/schema/raw/master/csl-citation.json"}</w:instrText>
      </w:r>
      <w:r w:rsidRPr="002A7627">
        <w:fldChar w:fldCharType="separate"/>
      </w:r>
      <w:r w:rsidRPr="002A7627">
        <w:rPr>
          <w:noProof/>
        </w:rPr>
        <w:t>(Tanriverdi, 2017)</w:t>
      </w:r>
      <w:r w:rsidRPr="002A7627">
        <w:fldChar w:fldCharType="end"/>
      </w:r>
      <w:r w:rsidRPr="002A7627">
        <w:t>. These capabilities had a direct positive relationship with knowledge management benefits, in line with Hypothesis 1 (</w:t>
      </w:r>
      <w:r w:rsidRPr="007B2ED1">
        <w:rPr>
          <w:i/>
        </w:rPr>
        <w:t>β</w:t>
      </w:r>
      <w:r w:rsidRPr="002A7627">
        <w:t xml:space="preserve"> = 0.122, </w:t>
      </w:r>
      <w:r w:rsidRPr="007B2ED1">
        <w:rPr>
          <w:i/>
        </w:rPr>
        <w:t>t</w:t>
      </w:r>
      <w:r w:rsidRPr="002A7627">
        <w:t xml:space="preserve"> = 2.445, </w:t>
      </w:r>
      <w:r w:rsidRPr="007B2ED1">
        <w:rPr>
          <w:i/>
        </w:rPr>
        <w:t>p</w:t>
      </w:r>
      <w:r w:rsidRPr="002A7627">
        <w:t xml:space="preserve"> &lt; 0.05, </w:t>
      </w:r>
      <w:r w:rsidRPr="007B2ED1">
        <w:rPr>
          <w:i/>
        </w:rPr>
        <w:t>f</w:t>
      </w:r>
      <w:r w:rsidRPr="007B2ED1">
        <w:rPr>
          <w:i/>
          <w:vertAlign w:val="superscript"/>
        </w:rPr>
        <w:t>2</w:t>
      </w:r>
      <w:r w:rsidRPr="002A7627">
        <w:t xml:space="preserve"> = 0.018). This was consistent with previous studies </w:t>
      </w:r>
      <w:r w:rsidRPr="002A7627">
        <w:fldChar w:fldCharType="begin" w:fldLock="1"/>
      </w:r>
      <w:r w:rsidR="004C27D4" w:rsidRPr="002A7627">
        <w:instrText>ADDIN CSL_CITATION {"citationItems":[{"id":"ITEM-1","itemData":{"DOI":"10.1109/ICARCV.2016.7838750","ISSN":"10870091","abstract":"OBJECTIVES:\\nTo examine five areas that we will be central to informatics research in the years to come: changing provider behavior and improving outcomes, secondary uses of clinical data, using health information technology to improve patient safety, personal health records, and clinical data exchange.\\nMETHODS:\\nPotential articles were identified through Medline and Internet searches and were selected for inclusion in this review by the authors.\\nRESULTS:\\nWe review highlights from the literature in these areas over the past year, drawing attention to key points and opportunities for future work.\\nCONCLUSIONS:\\nInformatics may be a key tool for helping to improve patient care quality, safety, and efficiency. However, questions remain about how best to use existing technologies, deploy new ones, and to evaluate the effects. A great deal of research has been done on changing provider behavior, but most work to date has shown that process benefits are easier to achieve than outcomes benefits, especially for chronic diseases. Use of secondary data (data warehouses and disease registries) has enormous potential, though published research is scarce. It is now clear in most nations that one of the key tools for improving patient safety will be information technology--many more studies of different approaches are needed in this area. Finally, both personal health records and clinical data exchange appear to be potentially transformative developments, but much of the published research to date on these topics appears to be taking place in the U.S.--more research from other nations is needed.","author":[{"dropping-particle":"","family":"Harrison","given":"J. P.","non-dropping-particle":"","parse-names":false,"suffix":""},{"dropping-particle":"","family":"Daly","given":"M. A.","non-dropping-particle":"","parse-names":false,"suffix":""}],"container-title":"Public Administration and Management","id":"ITEM-1","issue":"1","issued":{"date-parts":[["2009"]]},"page":"218-237","title":"Leveraging health information technology to improve patient safety","type":"article-journal","volume":"14"},"uris":["http://www.mendeley.com/documents/?uuid=ea6564a2-11e5-3375-87a5-0f1a0146abed"]},{"id":"ITEM-2","itemData":{"DOI":"10.1108/10662241211199942","ISSN":"1066-2243","abstract":"Purpose – The purpose of this study is to propose a conceptual structural equation model to, first, investigate the relationships among knowledge management (KM) system quality, employees' self-perceived social identification, trust at workplace as well as online knowledge sharing behaviors, and, second, demonstrate the direct and indirect effect of social identification and trust at workplace on online knowledge sharing from the perspective of KM system quality. Design/methodology/approach – A questionnaire was distributed to 437 full-time employees (n ¼ 437) from three technology companies in Taiwan. These companies have had years of experience in implementing KM systems. Data were analyzed by employing structural equation modeling. Findings – The results show that: social identification and trust at workplace have a mediating effect on online knowledge sharing within organizations; trust at workplace is the stronger mediator than social identification; social identification has a positive and significant impact on trust at workplace; and there is significant correlation between KM system quality and social identification as well as trust. Practical implications – Based on these findings, organizations in Taiwan that aim to maximize the effectiveness and efficiency of KM systems should find ways to enhance employees' self-awareness on social identification and trust in the workplace. Originality/value – The conceptual model provides useful information for managers to enhance knowledge sharing through the formation of social identification and promotion of trust at workplaces.","author":[{"dropping-particle":"","family":"Ho","given":"Li‐An","non-dropping-particle":"","parse-names":false,"suffix":""},{"dropping-particle":"","family":"Kuo","given":"Tsung‐Hsien","non-dropping-particle":"","parse-names":false,"suffix":""},{"dropping-particle":"","family":"Lin","given":"Binshan","non-dropping-particle":"","parse-names":false,"suffix":""}],"container-title":"Internet Research","id":"ITEM-2","issue":"1","issued":{"date-parts":[["2012","1","27"]]},"page":"4-28","title":"How social identification and trust influence organizational online knowledge sharing","type":"article-journal","volume":"22"},"uris":["http://www.mendeley.com/documents/?uuid=51a492cf-54ed-4692-b151-0e6e518e990a"]}],"mendeley":{"formattedCitation":"(Harrison &amp; Daly, 2009; Ho et al., 2012)","plainTextFormattedCitation":"(Harrison &amp; Daly, 2009; Ho et al., 2012)","previouslyFormattedCitation":"(Harrison &amp; Daly, 2009; Ho et al., 2012)"},"properties":{"noteIndex":0},"schema":"https://github.com/citation-style-language/schema/raw/master/csl-citation.json"}</w:instrText>
      </w:r>
      <w:r w:rsidRPr="002A7627">
        <w:fldChar w:fldCharType="separate"/>
      </w:r>
      <w:r w:rsidR="00E24626" w:rsidRPr="002A7627">
        <w:rPr>
          <w:noProof/>
        </w:rPr>
        <w:t>(Harrison &amp; Daly, 2009; Ho et al., 2012)</w:t>
      </w:r>
      <w:r w:rsidRPr="002A7627">
        <w:fldChar w:fldCharType="end"/>
      </w:r>
      <w:r w:rsidRPr="002A7627">
        <w:t xml:space="preserve"> that found knowledge management capabilities helped to leverage innovation because they enabled better storage and retrieval of information </w:t>
      </w:r>
      <w:r w:rsidRPr="002A7627">
        <w:rPr>
          <w:rFonts w:asciiTheme="majorBidi" w:eastAsia="Times New Roman" w:hAnsiTheme="majorBidi" w:cstheme="majorBidi"/>
          <w:noProof/>
        </w:rPr>
        <w:t xml:space="preserve">(Lee &amp; Choi, 2003; </w:t>
      </w:r>
      <w:r w:rsidR="0069071B" w:rsidRPr="002A7627">
        <w:rPr>
          <w:rFonts w:eastAsia="Times New Roman"/>
          <w:noProof/>
        </w:rPr>
        <w:t>Soon et al.</w:t>
      </w:r>
      <w:r w:rsidR="0069071B">
        <w:rPr>
          <w:rFonts w:eastAsia="Times New Roman"/>
          <w:noProof/>
        </w:rPr>
        <w:t>,</w:t>
      </w:r>
      <w:r w:rsidRPr="002A7627">
        <w:rPr>
          <w:rFonts w:asciiTheme="majorBidi" w:eastAsia="Times New Roman" w:hAnsiTheme="majorBidi" w:cstheme="majorBidi"/>
          <w:noProof/>
        </w:rPr>
        <w:t xml:space="preserve"> </w:t>
      </w:r>
      <w:r w:rsidR="0069071B" w:rsidRPr="002A7627">
        <w:rPr>
          <w:rFonts w:asciiTheme="majorBidi" w:eastAsia="Times New Roman" w:hAnsiTheme="majorBidi" w:cstheme="majorBidi"/>
          <w:noProof/>
        </w:rPr>
        <w:t>201</w:t>
      </w:r>
      <w:r w:rsidR="0069071B">
        <w:rPr>
          <w:rFonts w:asciiTheme="majorBidi" w:eastAsia="Times New Roman" w:hAnsiTheme="majorBidi" w:cstheme="majorBidi"/>
          <w:noProof/>
        </w:rPr>
        <w:t>7</w:t>
      </w:r>
      <w:r w:rsidRPr="002A7627">
        <w:rPr>
          <w:rFonts w:asciiTheme="majorBidi" w:eastAsia="Times New Roman" w:hAnsiTheme="majorBidi" w:cstheme="majorBidi"/>
          <w:noProof/>
        </w:rPr>
        <w:t>; Veer Ramjeawon &amp; Rowley, 2017)</w:t>
      </w:r>
      <w:r w:rsidRPr="002A7627">
        <w:rPr>
          <w:rFonts w:asciiTheme="majorBidi" w:eastAsia="Times New Roman" w:hAnsiTheme="majorBidi" w:cstheme="majorBidi"/>
        </w:rPr>
        <w:t xml:space="preserve">. Harrison and Daly </w:t>
      </w:r>
      <w:r w:rsidR="00E24626" w:rsidRPr="002A7627">
        <w:rPr>
          <w:rFonts w:asciiTheme="majorBidi" w:eastAsia="Times New Roman" w:hAnsiTheme="majorBidi" w:cstheme="majorBidi"/>
          <w:noProof/>
        </w:rPr>
        <w:t>(2009)</w:t>
      </w:r>
      <w:r w:rsidRPr="002A7627">
        <w:rPr>
          <w:rFonts w:asciiTheme="majorBidi" w:eastAsia="Times New Roman" w:hAnsiTheme="majorBidi" w:cstheme="majorBidi"/>
        </w:rPr>
        <w:t xml:space="preserve"> found that timely use of IT can facilitate decision making. Akram et al. </w:t>
      </w:r>
      <w:r w:rsidRPr="002A7627">
        <w:rPr>
          <w:rFonts w:asciiTheme="majorBidi" w:eastAsia="Times New Roman" w:hAnsiTheme="majorBidi" w:cstheme="majorBidi"/>
        </w:rPr>
        <w:fldChar w:fldCharType="begin" w:fldLock="1"/>
      </w:r>
      <w:r w:rsidR="00E24626" w:rsidRPr="002A7627">
        <w:rPr>
          <w:rFonts w:asciiTheme="majorBidi" w:eastAsia="Times New Roman" w:hAnsiTheme="majorBidi" w:cstheme="majorBidi"/>
        </w:rPr>
        <w:instrText>ADDIN CSL_CITATION {"citationItems":[{"id":"ITEM-1","itemData":{"DOI":"10.3390/su10103816","ISSN":"2071-1050","abstract":"This study explores the effects of organizational information technology (IT) capability in determining organizational performance and sustainable competitive advantage. Building on the resource-based and knowledge-based views of a firm, the study proposes a theoretical framework. In this framework, organizational IT capability is theorized to strengthen organizational performance and sustainable competitive advantage, directly and indirectly, through organizational knowledge management capabilities. Data collected from the middle and senior managers of diverse organizations in an emerging economy have been used to test the relationships in the framework. To estimate the proposed relationships in the conceptual model, we use structural equation modeling through SmartPLS 3.2. The results confirm that organizational IT capability significantly impacts organizational performance and sustainable competitive advantage. Additionally, organizational knowledge management capabilities partially mediate the relationship between IT capability and the outcomes (i.e., organizational performance and sustainable competitive advantage). The study concludes with a discussion of the implications for academicians and managers.","author":[{"dropping-particle":"","family":"Akram","given":"M.","non-dropping-particle":"","parse-names":false,"suffix":""},{"dropping-particle":"","family":"Goraya","given":"M.","non-dropping-particle":"","parse-names":false,"suffix":""},{"dropping-particle":"","family":"Malik","given":"Aneela","non-dropping-particle":"","parse-names":false,"suffix":""},{"dropping-particle":"","family":"Aljarallah","given":"Amer","non-dropping-particle":"","parse-names":false,"suffix":""}],"container-title":"Sustainability","id":"ITEM-1","issue":"10","issued":{"date-parts":[["2018","10","22"]]},"page":"3816","title":"Organizational performance and sustainability: Exploring the roles of it capabilities and knowledge management capabilities","type":"article-journal","volume":"10"},"suppress-author":1,"uris":["http://www.mendeley.com/documents/?uuid=5f42a3d1-f971-4d54-8ee0-56c1e0d2d72f"]}],"mendeley":{"formattedCitation":"(2018)","plainTextFormattedCitation":"(2018)","previouslyFormattedCitation":"(2018)"},"properties":{"noteIndex":0},"schema":"https://github.com/citation-style-language/schema/raw/master/csl-citation.json"}</w:instrText>
      </w:r>
      <w:r w:rsidRPr="002A7627">
        <w:rPr>
          <w:rFonts w:asciiTheme="majorBidi" w:eastAsia="Times New Roman" w:hAnsiTheme="majorBidi" w:cstheme="majorBidi"/>
        </w:rPr>
        <w:fldChar w:fldCharType="separate"/>
      </w:r>
      <w:r w:rsidRPr="002A7627">
        <w:rPr>
          <w:rFonts w:asciiTheme="majorBidi" w:eastAsia="Times New Roman" w:hAnsiTheme="majorBidi" w:cstheme="majorBidi"/>
          <w:noProof/>
        </w:rPr>
        <w:t>(2018)</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xml:space="preserve"> conﬁrmed that organizational IT capability signiﬁcantly affected organizational performance and sustainable competitive advantage in Pakistan. Better use of IT also supports decision-making because it gives access to more information </w:t>
      </w:r>
      <w:r w:rsidRPr="002A7627">
        <w:rPr>
          <w:rFonts w:asciiTheme="majorBidi" w:eastAsia="Times New Roman" w:hAnsiTheme="majorBidi" w:cstheme="majorBidi"/>
          <w:noProof/>
        </w:rPr>
        <w:t>(</w:t>
      </w:r>
      <w:r w:rsidR="00483795" w:rsidRPr="002A7627">
        <w:rPr>
          <w:noProof/>
        </w:rPr>
        <w:t>Wang, Shi, Nevo, Li, &amp; Chen, 2015</w:t>
      </w:r>
      <w:r w:rsidRPr="002A7627">
        <w:rPr>
          <w:rFonts w:asciiTheme="majorBidi" w:eastAsia="Times New Roman" w:hAnsiTheme="majorBidi" w:cstheme="majorBidi"/>
          <w:noProof/>
        </w:rPr>
        <w:t>; Rodrigues, Sarabdeen, &amp; Balasubramanian, 2016</w:t>
      </w:r>
      <w:r w:rsidR="00A200C2" w:rsidRPr="002A7627">
        <w:rPr>
          <w:rFonts w:asciiTheme="majorBidi" w:eastAsia="Times New Roman" w:hAnsiTheme="majorBidi" w:cstheme="majorBidi"/>
        </w:rPr>
        <w:t>)</w:t>
      </w:r>
      <w:r w:rsidRPr="002A7627">
        <w:rPr>
          <w:rFonts w:asciiTheme="majorBidi" w:eastAsia="Times New Roman" w:hAnsiTheme="majorBidi" w:cstheme="majorBidi"/>
        </w:rPr>
        <w:t xml:space="preserve">. </w:t>
      </w:r>
      <w:r w:rsidRPr="002A7627">
        <w:rPr>
          <w:rFonts w:asciiTheme="majorBidi" w:hAnsiTheme="majorBidi" w:cstheme="majorBidi"/>
        </w:rPr>
        <w:t xml:space="preserve">Most of these studies were in private sector organizations, however, and this study’s findings suggest that use of technology to support knowledge sharing can improve performance in both the private and public sectors. </w:t>
      </w:r>
    </w:p>
    <w:p w14:paraId="0FD027EE" w14:textId="618FB2E1" w:rsidR="00D727A2" w:rsidRPr="002A7627" w:rsidRDefault="00D727A2" w:rsidP="0084184C">
      <w:pPr>
        <w:pStyle w:val="AAAAAAA"/>
      </w:pPr>
      <w:r w:rsidRPr="002A7627">
        <w:t xml:space="preserve">However, this study contradicts </w:t>
      </w:r>
      <w:r w:rsidR="00416760">
        <w:t>other</w:t>
      </w:r>
      <w:r w:rsidRPr="002A7627">
        <w:t xml:space="preserve"> studies that </w:t>
      </w:r>
      <w:r w:rsidR="00417D4E">
        <w:t>were unable</w:t>
      </w:r>
      <w:r w:rsidR="00416760" w:rsidRPr="002A7627">
        <w:t xml:space="preserve"> </w:t>
      </w:r>
      <w:r w:rsidRPr="002A7627">
        <w:t xml:space="preserve">to find a positive relationship between IT and organizational performance </w:t>
      </w:r>
      <w:r w:rsidRPr="002A7627">
        <w:fldChar w:fldCharType="begin" w:fldLock="1"/>
      </w:r>
      <w:r w:rsidR="00E24626" w:rsidRPr="002A7627">
        <w:instrText>ADDIN CSL_CITATION {"citationItems":[{"id":"ITEM-1","itemData":{"DOI":"10.1016/j.im.2017.10.001","ISSN":"03787206","abstract":"Despite several calls for considering industry in the IS value research, few studies investigated the relationship between benefits of IT and industries. This study extends Chae et al. (2014) by investigating how industry influences the relationship between IT capability and business performance. Unexpectedly, it finds that the control group in the industries in which the “transform” IT strategic role dominates showed superior performance than the IT leader. Also, the IT leaders in the “automate” IT strategic industry did not exhibit better business performance than the control firms. We discuss the implications of these findings.","author":[{"dropping-particle":"","family":"Chae","given":"Ho-Chang","non-dropping-particle":"","parse-names":false,"suffix":""},{"dropping-particle":"","family":"Koh","given":"Chang E.","non-dropping-particle":"","parse-names":false,"suffix":""},{"dropping-particle":"","family":"Park","given":"Kwang O.","non-dropping-particle":"","parse-names":false,"suffix":""}],"container-title":"Information and Management","id":"ITEM-1","issue":"5","issued":{"date-parts":[["2018","7"]]},"page":"525-546","title":"Information technology capability and firm performance: Role of industry","type":"article-journal","volume":"55"},"uris":["http://www.mendeley.com/documents/?uuid=707f5a29-eb95-4b97-933f-0c0c0ab0836c"]}],"mendeley":{"formattedCitation":"(Chae et al., 2018)","plainTextFormattedCitation":"(Chae et al., 2018)","previouslyFormattedCitation":"(Chae et al., 2018)"},"properties":{"noteIndex":0},"schema":"https://github.com/citation-style-language/schema/raw/master/csl-citation.json"}</w:instrText>
      </w:r>
      <w:r w:rsidRPr="002A7627">
        <w:fldChar w:fldCharType="separate"/>
      </w:r>
      <w:r w:rsidR="00F31753" w:rsidRPr="002A7627">
        <w:rPr>
          <w:noProof/>
        </w:rPr>
        <w:t>(Chae et al., 2018)</w:t>
      </w:r>
      <w:r w:rsidRPr="002A7627">
        <w:fldChar w:fldCharType="end"/>
      </w:r>
      <w:r w:rsidRPr="002A7627">
        <w:t xml:space="preserve">. </w:t>
      </w:r>
      <w:r w:rsidRPr="002A7627">
        <w:rPr>
          <w:noProof/>
        </w:rPr>
        <w:t>Jääskelä et al.</w:t>
      </w:r>
      <w:r w:rsidRPr="002A7627">
        <w:t xml:space="preserve"> </w:t>
      </w:r>
      <w:r w:rsidRPr="002A7627">
        <w:fldChar w:fldCharType="begin" w:fldLock="1"/>
      </w:r>
      <w:r w:rsidR="00E24626" w:rsidRPr="002A7627">
        <w:instrText>ADDIN CSL_CITATION {"citationItems":[{"id":"ITEM-1","itemData":{"DOI":"10.1080/15391523.2017.1343691","ISBN":"1051-7200","ISSN":"1539-1523","abstract":"This study examines university teachers' beliefs about the role of technology in achieving the pedagogical aims of learning within teaching development initiatives at a Finnish university. The initiatives targeted technology adoption in teaching and learning and were enhanced within teacher groups, with support from a university-level network program. Thematic interviews were conducted with the members of 11 initiative groups, covering 18 teachers from various disciplines. The qualitative content analysis revealed diverse belief groups. Technology was perceived as a tool for the promotion of self-paced studying without explicit learning aims; for active and interactive learning; for integrative learning with continuous assessment; and for meaningful learning. The study highlights the need for a more systematic explication of teacher beliefs and the acknowledgment of alternative ways of thinking in teacher developmental programs.","author":[{"dropping-particle":"","family":"Jääskelä","given":"Päivikki","non-dropping-particle":"","parse-names":false,"suffix":""},{"dropping-particle":"","family":"Häkkinen","given":"Päivi","non-dropping-particle":"","parse-names":false,"suffix":""},{"dropping-particle":"","family":"Rasku-Puttonen","given":"Helena","non-dropping-particle":"","parse-names":false,"suffix":""}],"container-title":"Journal of Research on Technology in Education","id":"ITEM-1","issue":"3-4","issued":{"date-parts":[["2017","10","2"]]},"page":"198-211","title":"Teacher beliefs regarding learning, pedagogy, and the use of technology in higher education","type":"article-journal","volume":"49"},"suppress-author":1,"uris":["http://www.mendeley.com/documents/?uuid=2c8296a8-7f15-46c3-8256-9fac3a461947"]}],"mendeley":{"formattedCitation":"(2017)","plainTextFormattedCitation":"(2017)","previouslyFormattedCitation":"(2017)"},"properties":{"noteIndex":0},"schema":"https://github.com/citation-style-language/schema/raw/master/csl-citation.json"}</w:instrText>
      </w:r>
      <w:r w:rsidRPr="002A7627">
        <w:fldChar w:fldCharType="separate"/>
      </w:r>
      <w:r w:rsidRPr="002A7627">
        <w:rPr>
          <w:noProof/>
        </w:rPr>
        <w:t>(2017)</w:t>
      </w:r>
      <w:r w:rsidRPr="002A7627">
        <w:fldChar w:fldCharType="end"/>
      </w:r>
      <w:r w:rsidRPr="002A7627">
        <w:t xml:space="preserve"> found that technology can be a barrier if the employees lack the required skills to use the information-sharing system</w:t>
      </w:r>
      <w:r w:rsidR="00417D4E">
        <w:t>,</w:t>
      </w:r>
      <w:r w:rsidRPr="002A7627">
        <w:t xml:space="preserve"> when they struggle to deliver results </w:t>
      </w:r>
      <w:r w:rsidRPr="002A7627">
        <w:fldChar w:fldCharType="begin" w:fldLock="1"/>
      </w:r>
      <w:r w:rsidR="00E24626" w:rsidRPr="002A7627">
        <w:instrText>ADDIN CSL_CITATION {"citationItems":[{"id":"ITEM-1","itemData":{"DOI":"10.1080/1475939X.2016.1174730","ISBN":"1475-939X","ISSN":"1475-939X","abstract":"This study examines if and how five teacher education institutes are helping students to develop the technological pedagogical content knowledge needed to effectively use technology for early literacy. Focus group discussions were held with teacher educators in which their responses to expert recommendations were probed. Findings indicate that, currently, very little attention is specifically given to the knowledge that teachers need to foster early literacy through the use of technology. This is due to multiple factors, including the conviction that many new technologies (e.g. tablets) are not used much in schools. Additionally, teacher educators themselves struggle with effective use of technology in their own courses. And although technological and early literacy specialists are available in teacher training colleges, pre-service educators note a distinct lack of integrated expertise in their institutions. Based on these findings, recommendations are given for research, policy and practice.","author":[{"dropping-particle":"","family":"Voogt","given":"Joke","non-dropping-particle":"","parse-names":false,"suffix":""},{"dropping-particle":"","family":"McKenney","given":"Susan","non-dropping-particle":"","parse-names":false,"suffix":""}],"container-title":"Technology, Pedagogy and Education","id":"ITEM-1","issue":"1","issued":{"date-parts":[["2017","1","4"]]},"page":"69-83","title":"TPACK in teacher education: Are we preparing teachers to use technology for early literacy?","type":"article-journal","volume":"26"},"uris":["http://www.mendeley.com/documents/?uuid=577c627a-b0a9-488c-8d09-cb144ac75d83"]}],"mendeley":{"formattedCitation":"(Voogt &amp; McKenney, 2017)","plainTextFormattedCitation":"(Voogt &amp; McKenney, 2017)","previouslyFormattedCitation":"(Voogt &amp; McKenney, 2017)"},"properties":{"noteIndex":0},"schema":"https://github.com/citation-style-language/schema/raw/master/csl-citation.json"}</w:instrText>
      </w:r>
      <w:r w:rsidRPr="002A7627">
        <w:fldChar w:fldCharType="separate"/>
      </w:r>
      <w:r w:rsidRPr="002A7627">
        <w:rPr>
          <w:noProof/>
        </w:rPr>
        <w:t>(Voogt &amp; McKenney, 2017)</w:t>
      </w:r>
      <w:r w:rsidRPr="002A7627">
        <w:fldChar w:fldCharType="end"/>
      </w:r>
      <w:r w:rsidRPr="002A7627">
        <w:t>.</w:t>
      </w:r>
    </w:p>
    <w:p w14:paraId="3F98985F" w14:textId="4A19EFDA" w:rsidR="00D727A2" w:rsidRPr="002A7627" w:rsidRDefault="00D727A2" w:rsidP="0084184C">
      <w:pPr>
        <w:pStyle w:val="AAAAAAA"/>
      </w:pPr>
      <w:r w:rsidRPr="002A7627">
        <w:t xml:space="preserve">Knowledge management capabilities in Abu Dhabi Police probably play a role in allowing efficient distribution and access to knowledge through IT resources </w:t>
      </w:r>
      <w:r w:rsidRPr="002A7627">
        <w:fldChar w:fldCharType="begin" w:fldLock="1"/>
      </w:r>
      <w:r w:rsidR="00E24626" w:rsidRPr="002A7627">
        <w:instrText>ADDIN CSL_CITATION {"citationItems":[{"id":"ITEM-1","itemData":{"DOI":"10.1142/S0219622007002551","ISSN":"0219-6220","abstract":"In this paper, we propose a new approach to support information-sharing and activation of human networks in an organization. In this approach, someone who wants to know about something displays \"what I want to know\" on a large screen in a public space to let other people see it. This allows other people near the display to find out what he/she is interested in. If a person who knows about that sees the display by chance, they can talk about it on the spot in a face-to-face manner. Thus, smooth information-sharing can be achieved through spontaneous informal communications, and \"know-who\" knowledge is gradually accumulated. Based on experiments using a prototype system, we confirmed that this approach is effective for information-sharing and activating human networks.","author":[{"dropping-particle":"","family":"Nishimoto","given":"K.","non-dropping-particle":"","parse-names":false,"suffix":""},{"dropping-particle":"","family":"Matsuda","given":"K.","non-dropping-particle":"","parse-names":false,"suffix":""}],"container-title":"International Journal of Information Technology and Decision Making","id":"ITEM-1","issue":"03","issued":{"date-parts":[["2007","9","20"]]},"page":"411-426","title":"Informal communication support media for encouraging knowledge-sharing and creation in a community","type":"article-journal","volume":"06"},"uris":["http://www.mendeley.com/documents/?uuid=f073e36c-6605-4f80-a4c8-cfb621dccb4a"]}],"mendeley":{"formattedCitation":"(Nishimoto &amp; Matsuda, 2007)","plainTextFormattedCitation":"(Nishimoto &amp; Matsuda, 2007)","previouslyFormattedCitation":"(Nishimoto &amp; Matsuda, 2007)"},"properties":{"noteIndex":0},"schema":"https://github.com/citation-style-language/schema/raw/master/csl-citation.json"}</w:instrText>
      </w:r>
      <w:r w:rsidRPr="002A7627">
        <w:fldChar w:fldCharType="separate"/>
      </w:r>
      <w:r w:rsidRPr="002A7627">
        <w:rPr>
          <w:noProof/>
        </w:rPr>
        <w:t>(Nishimoto &amp; Matsuda, 2007)</w:t>
      </w:r>
      <w:r w:rsidRPr="002A7627">
        <w:fldChar w:fldCharType="end"/>
      </w:r>
      <w:r w:rsidRPr="002A7627">
        <w:t xml:space="preserve">. They certainly support and help to deliver the knowledge management benefits investigated in this study: delivering strategy, solving problems, diffusing best practice, improving knowledge embedded in services, enhancing innovation, and enabling the organization to stay ahead </w:t>
      </w:r>
      <w:r w:rsidR="00417D4E">
        <w:t>by</w:t>
      </w:r>
      <w:r w:rsidRPr="002A7627">
        <w:t xml:space="preserve"> achieving </w:t>
      </w:r>
      <w:r w:rsidR="00417D4E">
        <w:t>its</w:t>
      </w:r>
      <w:r w:rsidR="00417D4E" w:rsidRPr="002A7627">
        <w:t xml:space="preserve"> </w:t>
      </w:r>
      <w:r w:rsidRPr="002A7627">
        <w:t>strategic objectives. To leverage knowledge management benefits, this organization should</w:t>
      </w:r>
      <w:r w:rsidR="00054373" w:rsidRPr="002A7627">
        <w:t xml:space="preserve">, therefore, </w:t>
      </w:r>
      <w:r w:rsidRPr="002A7627">
        <w:t>concentrate on developing its knowledge management capabilities</w:t>
      </w:r>
      <w:r w:rsidR="00417D4E">
        <w:t>. This may also be important in the wider</w:t>
      </w:r>
      <w:r w:rsidRPr="002A7627">
        <w:t xml:space="preserve"> public sector, which plays an important role in enhancing global knowledge indicators. For instance, </w:t>
      </w:r>
      <w:r w:rsidR="00FD1B5E" w:rsidRPr="002A7627">
        <w:rPr>
          <w:rFonts w:asciiTheme="majorBidi" w:hAnsiTheme="majorBidi" w:cstheme="majorBidi"/>
        </w:rPr>
        <w:t xml:space="preserve">the World Economic Forum </w:t>
      </w:r>
      <w:r w:rsidR="00FD1B5E">
        <w:rPr>
          <w:rFonts w:asciiTheme="majorBidi" w:hAnsiTheme="majorBidi" w:cstheme="majorBidi"/>
        </w:rPr>
        <w:t xml:space="preserve">figures </w:t>
      </w:r>
      <w:r w:rsidR="00FD1B5E" w:rsidRPr="002A7627">
        <w:rPr>
          <w:rFonts w:asciiTheme="majorBidi" w:hAnsiTheme="majorBidi" w:cstheme="majorBidi"/>
        </w:rPr>
        <w:t xml:space="preserve">published </w:t>
      </w:r>
      <w:r w:rsidR="00FD1B5E">
        <w:rPr>
          <w:rFonts w:asciiTheme="majorBidi" w:hAnsiTheme="majorBidi" w:cstheme="majorBidi"/>
        </w:rPr>
        <w:t>in the Global Competitiveness Report (2018)</w:t>
      </w:r>
      <w:r w:rsidR="00FD1B5E" w:rsidRPr="002A7627">
        <w:rPr>
          <w:rFonts w:asciiTheme="majorBidi" w:hAnsiTheme="majorBidi" w:cstheme="majorBidi"/>
        </w:rPr>
        <w:t xml:space="preserve"> ranked the UAE </w:t>
      </w:r>
      <w:r w:rsidR="00FD1B5E">
        <w:rPr>
          <w:rFonts w:asciiTheme="majorBidi" w:hAnsiTheme="majorBidi" w:cstheme="majorBidi"/>
        </w:rPr>
        <w:t>6</w:t>
      </w:r>
      <w:r w:rsidR="00FD1B5E" w:rsidRPr="002F0822">
        <w:rPr>
          <w:rFonts w:asciiTheme="majorBidi" w:hAnsiTheme="majorBidi" w:cstheme="majorBidi"/>
          <w:vertAlign w:val="superscript"/>
        </w:rPr>
        <w:t>th</w:t>
      </w:r>
      <w:r w:rsidR="00FD1B5E">
        <w:rPr>
          <w:rFonts w:asciiTheme="majorBidi" w:hAnsiTheme="majorBidi" w:cstheme="majorBidi"/>
        </w:rPr>
        <w:t xml:space="preserve"> in ICT adoption </w:t>
      </w:r>
      <w:r w:rsidR="00FD1B5E" w:rsidRPr="002A7627">
        <w:rPr>
          <w:rFonts w:asciiTheme="majorBidi" w:hAnsiTheme="majorBidi" w:cstheme="majorBidi"/>
        </w:rPr>
        <w:fldChar w:fldCharType="begin" w:fldLock="1"/>
      </w:r>
      <w:r w:rsidR="00FD1B5E" w:rsidRPr="002A7627">
        <w:rPr>
          <w:rFonts w:asciiTheme="majorBidi" w:hAnsiTheme="majorBidi" w:cstheme="majorBidi"/>
        </w:rPr>
        <w:instrText>ADDIN CSL_CITATION {"citationItems":[{"id":"ITEM-1","itemData":{"author":[{"dropping-particle":"","family":"INSEAD","given":"","non-dropping-particle":"","parse-names":false,"suffix":""}],"id":"ITEM-1","issued":{"date-parts":[["2016"]]},"number-of-pages":"43","publisher":"World Economic Forum","publisher-place":"Geneva, Switzerland","title":"The global information technology report 2016","type":"report"},"uris":["http://www.mendeley.com/documents/?uuid=776cef8c-877d-4b9a-8c80-bec1c67ec7c6"]}],"mendeley":{"formattedCitation":"(INSEAD, 2016)","plainTextFormattedCitation":"(INSEAD, 2016)","previouslyFormattedCitation":"(INSEAD, 2016)"},"properties":{"noteIndex":0},"schema":"https://github.com/citation-style-language/schema/raw/master/csl-citation.json"}</w:instrText>
      </w:r>
      <w:r w:rsidR="00FD1B5E" w:rsidRPr="002A7627">
        <w:rPr>
          <w:rFonts w:asciiTheme="majorBidi" w:hAnsiTheme="majorBidi" w:cstheme="majorBidi"/>
        </w:rPr>
        <w:fldChar w:fldCharType="separate"/>
      </w:r>
      <w:r w:rsidR="00FD1B5E" w:rsidRPr="002A7627">
        <w:rPr>
          <w:rFonts w:asciiTheme="majorBidi" w:hAnsiTheme="majorBidi" w:cstheme="majorBidi"/>
          <w:noProof/>
        </w:rPr>
        <w:t>(</w:t>
      </w:r>
      <w:r w:rsidR="00FD1B5E" w:rsidRPr="00CA01C7">
        <w:rPr>
          <w:rFonts w:asciiTheme="majorBidi" w:hAnsiTheme="majorBidi" w:cstheme="majorBidi"/>
          <w:noProof/>
        </w:rPr>
        <w:t>The</w:t>
      </w:r>
      <w:r w:rsidR="00FD1B5E">
        <w:rPr>
          <w:rFonts w:asciiTheme="majorBidi" w:hAnsiTheme="majorBidi" w:cstheme="majorBidi"/>
          <w:noProof/>
        </w:rPr>
        <w:t xml:space="preserve"> </w:t>
      </w:r>
      <w:r w:rsidR="00FD1B5E" w:rsidRPr="00CA01C7">
        <w:rPr>
          <w:rFonts w:asciiTheme="majorBidi" w:hAnsiTheme="majorBidi" w:cstheme="majorBidi"/>
          <w:noProof/>
        </w:rPr>
        <w:t>Global</w:t>
      </w:r>
      <w:r w:rsidR="00FD1B5E">
        <w:rPr>
          <w:rFonts w:asciiTheme="majorBidi" w:hAnsiTheme="majorBidi" w:cstheme="majorBidi"/>
          <w:noProof/>
        </w:rPr>
        <w:t xml:space="preserve"> </w:t>
      </w:r>
      <w:r w:rsidR="00FD1B5E" w:rsidRPr="00CA01C7">
        <w:rPr>
          <w:rFonts w:asciiTheme="majorBidi" w:hAnsiTheme="majorBidi" w:cstheme="majorBidi"/>
          <w:noProof/>
        </w:rPr>
        <w:t>Competitiveness</w:t>
      </w:r>
      <w:r w:rsidR="00FD1B5E">
        <w:rPr>
          <w:rFonts w:asciiTheme="majorBidi" w:hAnsiTheme="majorBidi" w:cstheme="majorBidi"/>
          <w:noProof/>
        </w:rPr>
        <w:t xml:space="preserve"> </w:t>
      </w:r>
      <w:r w:rsidR="00FD1B5E" w:rsidRPr="00CA01C7">
        <w:rPr>
          <w:rFonts w:asciiTheme="majorBidi" w:hAnsiTheme="majorBidi" w:cstheme="majorBidi"/>
          <w:noProof/>
        </w:rPr>
        <w:t>Report</w:t>
      </w:r>
      <w:r w:rsidR="00FD1B5E">
        <w:rPr>
          <w:rFonts w:asciiTheme="majorBidi" w:hAnsiTheme="majorBidi" w:cstheme="majorBidi"/>
          <w:noProof/>
        </w:rPr>
        <w:t xml:space="preserve">, </w:t>
      </w:r>
      <w:r w:rsidR="00FD1B5E" w:rsidRPr="00CA01C7">
        <w:rPr>
          <w:rFonts w:asciiTheme="majorBidi" w:hAnsiTheme="majorBidi" w:cstheme="majorBidi"/>
          <w:noProof/>
        </w:rPr>
        <w:t>2018</w:t>
      </w:r>
      <w:r w:rsidR="00FD1B5E" w:rsidRPr="002A7627">
        <w:rPr>
          <w:rFonts w:asciiTheme="majorBidi" w:hAnsiTheme="majorBidi" w:cstheme="majorBidi"/>
          <w:noProof/>
        </w:rPr>
        <w:t>)</w:t>
      </w:r>
      <w:r w:rsidR="00FD1B5E" w:rsidRPr="002A7627">
        <w:rPr>
          <w:rFonts w:asciiTheme="majorBidi" w:hAnsiTheme="majorBidi" w:cstheme="majorBidi"/>
        </w:rPr>
        <w:fldChar w:fldCharType="end"/>
      </w:r>
      <w:r w:rsidRPr="002A7627">
        <w:t xml:space="preserve">, and </w:t>
      </w:r>
      <w:r w:rsidR="00417D4E">
        <w:t>second</w:t>
      </w:r>
      <w:r w:rsidR="00417D4E" w:rsidRPr="002A7627">
        <w:t xml:space="preserve"> </w:t>
      </w:r>
      <w:r w:rsidRPr="002A7627">
        <w:t>in terms of government usage</w:t>
      </w:r>
      <w:r w:rsidR="00417D4E">
        <w:t xml:space="preserve"> of technology</w:t>
      </w:r>
      <w:r w:rsidRPr="002A7627">
        <w:t xml:space="preserve"> </w:t>
      </w:r>
      <w:r w:rsidRPr="002A7627">
        <w:fldChar w:fldCharType="begin" w:fldLock="1"/>
      </w:r>
      <w:r w:rsidR="00E24626" w:rsidRPr="002A7627">
        <w:instrText>ADDIN CSL_CITATION {"citationItems":[{"id":"ITEM-1","itemData":{"author":[{"dropping-particle":"","family":"INSEAD","given":"","non-dropping-particle":"","parse-names":false,"suffix":""}],"id":"ITEM-1","issued":{"date-parts":[["2016"]]},"number-of-pages":"43","publisher":"World Economic Forum","publisher-place":"Geneva, Switzerland","title":"The global information technology report 2016","type":"report"},"uris":["http://www.mendeley.com/documents/?uuid=776cef8c-877d-4b9a-8c80-bec1c67ec7c6"]}],"mendeley":{"formattedCitation":"(INSEAD, 2016)","plainTextFormattedCitation":"(INSEAD, 2016)","previouslyFormattedCitation":"(INSEAD, 2016)"},"properties":{"noteIndex":0},"schema":"https://github.com/citation-style-language/schema/raw/master/csl-citation.json"}</w:instrText>
      </w:r>
      <w:r w:rsidRPr="002A7627">
        <w:fldChar w:fldCharType="separate"/>
      </w:r>
      <w:r w:rsidRPr="002A7627">
        <w:rPr>
          <w:noProof/>
        </w:rPr>
        <w:t>(INSEAD, 2016)</w:t>
      </w:r>
      <w:r w:rsidRPr="002A7627">
        <w:fldChar w:fldCharType="end"/>
      </w:r>
      <w:r w:rsidRPr="002A7627">
        <w:t>.</w:t>
      </w:r>
    </w:p>
    <w:p w14:paraId="5C1A5638" w14:textId="4C8894F9" w:rsidR="00D727A2" w:rsidRPr="002A7627" w:rsidRDefault="00B56693" w:rsidP="0084184C">
      <w:pPr>
        <w:pStyle w:val="Heading1"/>
        <w:rPr>
          <w:color w:val="000000"/>
        </w:rPr>
      </w:pPr>
      <w:bookmarkStart w:id="278" w:name="_Toc13959672"/>
      <w:bookmarkStart w:id="279" w:name="_Toc22331715"/>
      <w:r>
        <w:rPr>
          <w:color w:val="000000"/>
        </w:rPr>
        <w:t>6.3. RQ</w:t>
      </w:r>
      <w:r w:rsidR="00D727A2" w:rsidRPr="002A7627">
        <w:rPr>
          <w:color w:val="000000"/>
        </w:rPr>
        <w:t xml:space="preserve"> 2: HR </w:t>
      </w:r>
      <w:r w:rsidR="0084184C" w:rsidRPr="002A7627">
        <w:rPr>
          <w:color w:val="000000"/>
        </w:rPr>
        <w:t>Practices Enhancing Knowledge Sharing</w:t>
      </w:r>
      <w:bookmarkEnd w:id="278"/>
      <w:bookmarkEnd w:id="279"/>
      <w:r w:rsidR="0084184C" w:rsidRPr="002A7627">
        <w:rPr>
          <w:color w:val="000000"/>
        </w:rPr>
        <w:t xml:space="preserve"> </w:t>
      </w:r>
    </w:p>
    <w:p w14:paraId="796A76C9" w14:textId="58675983" w:rsidR="00D727A2" w:rsidRPr="002A7627" w:rsidRDefault="00D727A2" w:rsidP="0084184C">
      <w:pPr>
        <w:pStyle w:val="AAAAAAA"/>
        <w:rPr>
          <w:rFonts w:asciiTheme="majorBidi" w:eastAsia="Times New Roman" w:hAnsiTheme="majorBidi" w:cstheme="majorBidi"/>
        </w:rPr>
      </w:pPr>
      <w:r w:rsidRPr="002A7627">
        <w:t xml:space="preserve">The researcher investigated the relationship between a series of HR practices affecting knowledge sharing and knowledge management benefits </w:t>
      </w:r>
      <w:r w:rsidRPr="002A7627">
        <w:fldChar w:fldCharType="begin" w:fldLock="1"/>
      </w:r>
      <w:r w:rsidRPr="002A7627">
        <w:instrText>ADDIN CSL_CITATION {"citationItems":[{"id":"ITEM-1","itemData":{"DOI":"10.1111/1748-8583.12100","ISSN":"17488583","abstract":"This article examines how individual-level antecedents such as motivation and ability to share knowledge mediate the relationship between HR practices and knowledge-sharing behaviour. The results of a survey of 329 secondary school teachers reveal the contradictory effects of different HR practices on the mediating roles of intrinsic and extrinsic motivation to share knowledge and subsequent knowledge-sharing behaviour of teachers. The study demonstrates that opportunity-enhancing HR practices act as a moderating condition that activates either intrinsic or extrinsic motivation to share knowledge and may completely offset the effect of motivation-enhancing HR practices. The study makes a distinctive contribution by demonstrating how certain combinations of HR practices aimed to enhance knowledge sharing might in fact be a costly solution for organisations, as they activate different mediating mechanisms in the HRM–knowledge-sharing behaviour link.","author":[{"dropping-particle":"","family":"Andreeva","given":"Tatiana","non-dropping-particle":"","parse-names":false,"suffix":""},{"dropping-particle":"","family":"Sergeeva","given":"Anastasia","non-dropping-particle":"","parse-names":false,"suffix":""}],"container-title":"Human Resource Management Journal","id":"ITEM-1","issue":"2","issued":{"date-parts":[["2016","4","1"]]},"page":"151-171","publisher":"Blackwell Publishing Ltd","title":"The more the better .. or is it? The contradictory effects of HR practices on knowledge-sharing motivation and behaviour","type":"article-journal","volume":"26"},"uris":["http://www.mendeley.com/documents/?uuid=3fc63dfe-0dba-33b3-8a6d-3e39ff842349"]}],"mendeley":{"formattedCitation":"(Andreeva &amp; Sergeeva, 2016)","plainTextFormattedCitation":"(Andreeva &amp; Sergeeva, 2016)","previouslyFormattedCitation":"(Andreeva &amp; Sergeeva, 2016)"},"properties":{"noteIndex":0},"schema":"https://github.com/citation-style-language/schema/raw/master/csl-citation.json"}</w:instrText>
      </w:r>
      <w:r w:rsidRPr="002A7627">
        <w:fldChar w:fldCharType="separate"/>
      </w:r>
      <w:r w:rsidRPr="002A7627">
        <w:rPr>
          <w:noProof/>
        </w:rPr>
        <w:t>(Andreeva &amp; Sergeeva, 2016)</w:t>
      </w:r>
      <w:r w:rsidRPr="002A7627">
        <w:fldChar w:fldCharType="end"/>
      </w:r>
      <w:r w:rsidRPr="002A7627">
        <w:t xml:space="preserve">. HR practices were examined across four categories: </w:t>
      </w:r>
      <w:r w:rsidRPr="002A7627">
        <w:rPr>
          <w:rFonts w:asciiTheme="majorBidi" w:eastAsia="Times New Roman" w:hAnsiTheme="majorBidi" w:cstheme="majorBidi"/>
        </w:rPr>
        <w:t xml:space="preserve">fostering extrinsic and intrinsic motivation, providing opportunities, and enhancing employees’ abilities </w:t>
      </w:r>
      <w:r w:rsidRPr="002A7627">
        <w:rPr>
          <w:rFonts w:asciiTheme="majorBidi" w:eastAsia="Times New Roman" w:hAnsiTheme="majorBidi" w:cstheme="majorBidi"/>
          <w:noProof/>
        </w:rPr>
        <w:t>(</w:t>
      </w:r>
      <w:r w:rsidR="00F936C2" w:rsidRPr="002A7627">
        <w:rPr>
          <w:noProof/>
        </w:rPr>
        <w:t>Andreeva &amp; Sergeeva, 2016</w:t>
      </w:r>
      <w:r w:rsidRPr="002A7627">
        <w:rPr>
          <w:rFonts w:asciiTheme="majorBidi" w:eastAsia="Times New Roman" w:hAnsiTheme="majorBidi" w:cstheme="majorBidi"/>
          <w:noProof/>
        </w:rPr>
        <w:t>; Jiang, Lepak, Hu</w:t>
      </w:r>
      <w:r w:rsidR="00151878" w:rsidRPr="002A7627">
        <w:rPr>
          <w:rFonts w:asciiTheme="majorBidi" w:eastAsia="Times New Roman" w:hAnsiTheme="majorBidi" w:cstheme="majorBidi"/>
          <w:noProof/>
        </w:rPr>
        <w:t xml:space="preserve"> et al.</w:t>
      </w:r>
      <w:r w:rsidRPr="002A7627">
        <w:rPr>
          <w:rFonts w:asciiTheme="majorBidi" w:eastAsia="Times New Roman" w:hAnsiTheme="majorBidi" w:cstheme="majorBidi"/>
          <w:noProof/>
        </w:rPr>
        <w:t>, 2012; Lepak</w:t>
      </w:r>
      <w:r w:rsidR="00A200C2" w:rsidRPr="002A7627">
        <w:rPr>
          <w:rFonts w:asciiTheme="majorBidi" w:eastAsia="Times New Roman" w:hAnsiTheme="majorBidi" w:cstheme="majorBidi"/>
          <w:noProof/>
        </w:rPr>
        <w:t xml:space="preserve"> </w:t>
      </w:r>
      <w:r w:rsidR="00A200C2" w:rsidRPr="002A7627">
        <w:rPr>
          <w:noProof/>
          <w:lang w:bidi="fa-IR"/>
        </w:rPr>
        <w:t>et al.</w:t>
      </w:r>
      <w:r w:rsidRPr="002A7627">
        <w:rPr>
          <w:rFonts w:asciiTheme="majorBidi" w:eastAsia="Times New Roman" w:hAnsiTheme="majorBidi" w:cstheme="majorBidi"/>
          <w:noProof/>
        </w:rPr>
        <w:t>, 2006)</w:t>
      </w:r>
      <w:r w:rsidRPr="002A7627">
        <w:rPr>
          <w:rFonts w:asciiTheme="majorBidi" w:eastAsia="Times New Roman" w:hAnsiTheme="majorBidi" w:cstheme="majorBidi"/>
        </w:rPr>
        <w:t xml:space="preserve">. The study found that practices designed to increase intrinsic motivation had a positive relationship with knowledge management benefits </w:t>
      </w:r>
      <w:r w:rsidRPr="002A7627">
        <w:rPr>
          <w:lang w:bidi="fa-IR"/>
        </w:rPr>
        <w:t>(</w:t>
      </w:r>
      <w:r w:rsidRPr="007B2ED1">
        <w:rPr>
          <w:i/>
          <w:lang w:bidi="fa-IR"/>
        </w:rPr>
        <w:t xml:space="preserve">β </w:t>
      </w:r>
      <w:r w:rsidRPr="002A7627">
        <w:rPr>
          <w:lang w:bidi="fa-IR"/>
        </w:rPr>
        <w:t xml:space="preserve">= 0.126, </w:t>
      </w:r>
      <w:r w:rsidRPr="007B2ED1">
        <w:rPr>
          <w:i/>
          <w:lang w:bidi="fa-IR"/>
        </w:rPr>
        <w:t>t</w:t>
      </w:r>
      <w:r w:rsidRPr="002A7627">
        <w:rPr>
          <w:lang w:bidi="fa-IR"/>
        </w:rPr>
        <w:t xml:space="preserve"> = 2.215, </w:t>
      </w:r>
      <w:r w:rsidRPr="007B2ED1">
        <w:rPr>
          <w:i/>
          <w:lang w:bidi="fa-IR"/>
        </w:rPr>
        <w:t>p</w:t>
      </w:r>
      <w:r w:rsidRPr="002A7627">
        <w:rPr>
          <w:lang w:bidi="fa-IR"/>
        </w:rPr>
        <w:t xml:space="preserve"> &lt; 0.05, </w:t>
      </w:r>
      <w:r w:rsidRPr="007B2ED1">
        <w:rPr>
          <w:i/>
          <w:lang w:bidi="fa-IR"/>
        </w:rPr>
        <w:t>f</w:t>
      </w:r>
      <w:r w:rsidRPr="007B2ED1">
        <w:rPr>
          <w:i/>
          <w:vertAlign w:val="superscript"/>
          <w:lang w:bidi="fa-IR"/>
        </w:rPr>
        <w:t>2</w:t>
      </w:r>
      <w:r w:rsidRPr="002A7627">
        <w:rPr>
          <w:lang w:bidi="fa-IR"/>
        </w:rPr>
        <w:t xml:space="preserve"> = 0.013), but those related to extrinsic motivation had no relationship with knowledge management benefits (</w:t>
      </w:r>
      <w:r w:rsidRPr="007B2ED1">
        <w:rPr>
          <w:i/>
          <w:lang w:bidi="fa-IR"/>
        </w:rPr>
        <w:t>β</w:t>
      </w:r>
      <w:r w:rsidRPr="002A7627">
        <w:rPr>
          <w:lang w:bidi="fa-IR"/>
        </w:rPr>
        <w:t xml:space="preserve"> = −0.019, </w:t>
      </w:r>
      <w:r w:rsidRPr="007B2ED1">
        <w:rPr>
          <w:i/>
          <w:lang w:bidi="fa-IR"/>
        </w:rPr>
        <w:t>t</w:t>
      </w:r>
      <w:r w:rsidRPr="002A7627">
        <w:rPr>
          <w:lang w:bidi="fa-IR"/>
        </w:rPr>
        <w:t xml:space="preserve"> = 0.5, </w:t>
      </w:r>
      <w:r w:rsidRPr="007B2ED1">
        <w:rPr>
          <w:i/>
          <w:lang w:bidi="fa-IR"/>
        </w:rPr>
        <w:t>p</w:t>
      </w:r>
      <w:r w:rsidRPr="002A7627">
        <w:rPr>
          <w:lang w:bidi="fa-IR"/>
        </w:rPr>
        <w:t xml:space="preserve"> = 0.617, </w:t>
      </w:r>
      <w:r w:rsidRPr="007B2ED1">
        <w:rPr>
          <w:i/>
          <w:lang w:bidi="fa-IR"/>
        </w:rPr>
        <w:t>f</w:t>
      </w:r>
      <w:r w:rsidRPr="007B2ED1">
        <w:rPr>
          <w:i/>
          <w:vertAlign w:val="superscript"/>
          <w:lang w:bidi="fa-IR"/>
        </w:rPr>
        <w:t>2</w:t>
      </w:r>
      <w:r w:rsidRPr="002A7627">
        <w:rPr>
          <w:lang w:bidi="fa-IR"/>
        </w:rPr>
        <w:t xml:space="preserve"> = 0). Practices to increase intrinsic motivation included providing the freedom to choose how to complete work, opportunities for suggesting work improvement initiatives, job variety, and informal meetings to share knowledge. This result supports other studies that investigated intrinsic motivation in relation to knowledge sharing such as </w:t>
      </w:r>
      <w:r w:rsidRPr="002A7627">
        <w:rPr>
          <w:rFonts w:asciiTheme="majorBidi" w:eastAsia="Times New Roman" w:hAnsiTheme="majorBidi" w:cstheme="majorBidi"/>
        </w:rPr>
        <w:fldChar w:fldCharType="begin"/>
      </w:r>
      <w:r w:rsidRPr="002A7627">
        <w:rPr>
          <w:rFonts w:asciiTheme="majorBidi" w:eastAsia="Times New Roman" w:hAnsiTheme="majorBidi" w:cstheme="majorBidi"/>
        </w:rPr>
        <w:instrText>ADDIN RW.CITE{{204 Mansor, Zuraina 2015}}</w:instrText>
      </w:r>
      <w:r w:rsidRPr="002A7627">
        <w:rPr>
          <w:rFonts w:asciiTheme="majorBidi" w:eastAsia="Times New Roman" w:hAnsiTheme="majorBidi" w:cstheme="majorBidi"/>
        </w:rPr>
        <w:fldChar w:fldCharType="separate"/>
      </w:r>
      <w:r w:rsidRPr="002A7627">
        <w:rPr>
          <w:rFonts w:asciiTheme="majorBidi" w:eastAsia="Times New Roman" w:hAnsiTheme="majorBidi" w:cstheme="majorBidi"/>
        </w:rPr>
        <w:t xml:space="preserve">Mansor and Sapardin </w:t>
      </w:r>
      <w:r w:rsidRPr="002A7627">
        <w:rPr>
          <w:rFonts w:asciiTheme="majorBidi" w:eastAsia="Times New Roman" w:hAnsiTheme="majorBidi" w:cstheme="majorBidi"/>
        </w:rPr>
        <w:fldChar w:fldCharType="begin" w:fldLock="1"/>
      </w:r>
      <w:r w:rsidRPr="002A7627">
        <w:rPr>
          <w:rFonts w:asciiTheme="majorBidi" w:eastAsia="Times New Roman" w:hAnsiTheme="majorBidi" w:cstheme="majorBidi"/>
        </w:rPr>
        <w:instrText>ADDIN CSL_CITATION {"citationItems":[{"id":"ITEM-1","itemData":{"ISSN":"0128-7702","author":[{"dropping-particle":"","family":"Mansor","given":"Z D","non-dropping-particle":"","parse-names":false,"suffix":""},{"dropping-particle":"","family":"Saparudin","given":"I N","non-dropping-particle":"","parse-names":false,"suffix":""}],"container-title":"Pertanika Journal of Social Sciences and Humanities","id":"ITEM-1","issued":{"date-parts":[["2015"]]},"page":"101-116","title":"Motivational factors for academicians in private universities to participate in knowledge-sharing activities","type":"article-journal","volume":"23"},"suppress-author":1,"uris":["http://www.mendeley.com/documents/?uuid=61a19ee7-f7bd-40ec-85e7-ab81366c14dc"]}],"mendeley":{"formattedCitation":"(2015)","plainTextFormattedCitation":"(2015)","previouslyFormattedCitation":"(2015)"},"properties":{"noteIndex":0},"schema":"https://github.com/citation-style-language/schema/raw/master/csl-citation.json"}</w:instrText>
      </w:r>
      <w:r w:rsidRPr="002A7627">
        <w:rPr>
          <w:rFonts w:asciiTheme="majorBidi" w:eastAsia="Times New Roman" w:hAnsiTheme="majorBidi" w:cstheme="majorBidi"/>
        </w:rPr>
        <w:fldChar w:fldCharType="separate"/>
      </w:r>
      <w:r w:rsidRPr="002A7627">
        <w:rPr>
          <w:rFonts w:asciiTheme="majorBidi" w:eastAsia="Times New Roman" w:hAnsiTheme="majorBidi" w:cstheme="majorBidi"/>
          <w:noProof/>
        </w:rPr>
        <w:t>(2015)</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xml:space="preserve">, </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xml:space="preserve">who found that enjoyment in helping others </w:t>
      </w:r>
      <w:r w:rsidR="00416760">
        <w:rPr>
          <w:rFonts w:asciiTheme="majorBidi" w:eastAsia="Times New Roman" w:hAnsiTheme="majorBidi" w:cstheme="majorBidi"/>
        </w:rPr>
        <w:t xml:space="preserve">and </w:t>
      </w:r>
      <w:r w:rsidR="00416760" w:rsidRPr="002A7627">
        <w:rPr>
          <w:rFonts w:asciiTheme="majorBidi" w:eastAsia="Times New Roman" w:hAnsiTheme="majorBidi" w:cstheme="majorBidi"/>
        </w:rPr>
        <w:t xml:space="preserve">knowledge self-efficacy </w:t>
      </w:r>
      <w:r w:rsidRPr="002A7627">
        <w:rPr>
          <w:rFonts w:asciiTheme="majorBidi" w:eastAsia="Times New Roman" w:hAnsiTheme="majorBidi" w:cstheme="majorBidi"/>
        </w:rPr>
        <w:t xml:space="preserve">were positively associated with knowledge sharing behavior in a private university in Malaysia. This may be because knowledge sharing will contribute to increased productivity in the enterprise social network </w:t>
      </w:r>
      <w:r w:rsidRPr="002A7627">
        <w:rPr>
          <w:rFonts w:asciiTheme="majorBidi" w:eastAsia="Times New Roman" w:hAnsiTheme="majorBidi" w:cstheme="majorBidi"/>
        </w:rPr>
        <w:fldChar w:fldCharType="begin" w:fldLock="1"/>
      </w:r>
      <w:r w:rsidR="00E24626" w:rsidRPr="002A7627">
        <w:rPr>
          <w:rFonts w:asciiTheme="majorBidi" w:eastAsia="Times New Roman" w:hAnsiTheme="majorBidi" w:cstheme="majorBidi"/>
        </w:rPr>
        <w:instrText>ADDIN CSL_CITATION {"citationItems":[{"id":"ITEM-1","itemData":{"DOI":"10.1108/JKM-05-2017-0188","ISSN":"1367-3270","abstract":"© 2018, Emerald Publishing Limited. Purpose: This study aims to predict the impact of utilitarian and hedonic motivations on using enterprise social network (ESN) systems for sharing internal and external knowledge, as well as their effects on employee productivity. Design/methodology/approach: Responses of 115 ESN system users from a wide spectrum of firms have been validated and analysed by means of structural equation modelling using partial least squires (PLS-SEM) method. Findings: The results indicate that using ESN to share internal and external knowledge has a positive significant impact on employee productivity. Surprisingly, empirical analysis reveals that using ESN tends to be significantly influenced by hedonic rather than utilitarian motivations. Originality/value: The study is an early empirical attempt that examines using ESN for knowledge sharing, emphasizing its upstream motivational influence and downstream business impact. It also offers managers and ESN vendors a frame of reference to maximize the use of ESN in the workplace to boost employees’ productivity within various contexts.","author":[{"dropping-particle":"","family":"Aboelmaged","given":"Mohamed Gamal","non-dropping-particle":"","parse-names":false,"suffix":""}],"container-title":"Journal of Knowledge Management","id":"ITEM-1","issue":"2","issued":{"date-parts":[["2018","3","12"]]},"page":"362-383","title":"Knowledge sharing through enterprise social network (ESN) systems: Motivational drivers and their impact on employees’ productivity","type":"article-journal","volume":"22"},"uris":["http://www.mendeley.com/documents/?uuid=f3219ce3-154d-404e-a858-80cfaf7030ee"]}],"mendeley":{"formattedCitation":"(Aboelmaged, 2018)","plainTextFormattedCitation":"(Aboelmaged, 2018)","previouslyFormattedCitation":"(Aboelmaged, 2018)"},"properties":{"noteIndex":0},"schema":"https://github.com/citation-style-language/schema/raw/master/csl-citation.json"}</w:instrText>
      </w:r>
      <w:r w:rsidRPr="002A7627">
        <w:rPr>
          <w:rFonts w:asciiTheme="majorBidi" w:eastAsia="Times New Roman" w:hAnsiTheme="majorBidi" w:cstheme="majorBidi"/>
        </w:rPr>
        <w:fldChar w:fldCharType="separate"/>
      </w:r>
      <w:r w:rsidRPr="002A7627">
        <w:rPr>
          <w:rFonts w:asciiTheme="majorBidi" w:eastAsia="Times New Roman" w:hAnsiTheme="majorBidi" w:cstheme="majorBidi"/>
          <w:noProof/>
        </w:rPr>
        <w:t>(Aboelmaged, 2018)</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xml:space="preserve">. Another study among three organizations in Norway found that employees had high intrinsic motivation and showed positive attitudes towards knowledge sharing, without considering any extrinsic rewards </w:t>
      </w:r>
      <w:r w:rsidRPr="002A7627">
        <w:rPr>
          <w:rFonts w:asciiTheme="majorBidi" w:eastAsia="Times New Roman" w:hAnsiTheme="majorBidi" w:cstheme="majorBidi"/>
        </w:rPr>
        <w:fldChar w:fldCharType="begin" w:fldLock="1"/>
      </w:r>
      <w:r w:rsidR="00F31753" w:rsidRPr="002A7627">
        <w:rPr>
          <w:rFonts w:asciiTheme="majorBidi" w:eastAsia="Times New Roman" w:hAnsiTheme="majorBidi" w:cstheme="majorBidi"/>
        </w:rPr>
        <w:instrText>ADDIN CSL_CITATION {"citationItems":[{"id":"ITEM-1","itemData":{"DOI":"10.1002/hrm.21464","ISSN":"00904848","author":[{"dropping-particle":"","family":"Kuvaas","given":"Bård","non-dropping-particle":"","parse-names":false,"suffix":""},{"dropping-particle":"","family":"Buch","given":"Robert","non-dropping-particle":"","parse-names":false,"suffix":""},{"dropping-particle":"","family":"Dysvik","given":"Anders","non-dropping-particle":"","parse-names":false,"suffix":""}],"container-title":"Human Resource Management","id":"ITEM-1","issue":"2","issued":{"date-parts":[["2012","3"]]},"page":"167-187","title":"Perceived training intensity and knowledge sharing: Sharing for intrinsic and prosocial reasons","type":"article-journal","volume":"51"},"uris":["http://www.mendeley.com/documents/?uuid=f14bfd1c-e11e-4a76-b810-0d418d656618"]}],"mendeley":{"formattedCitation":"(Kuvaas et al., 2012)","plainTextFormattedCitation":"(Kuvaas et al., 2012)","previouslyFormattedCitation":"(Kuvaas et al., 2012)"},"properties":{"noteIndex":0},"schema":"https://github.com/citation-style-language/schema/raw/master/csl-citation.json"}</w:instrText>
      </w:r>
      <w:r w:rsidRPr="002A7627">
        <w:rPr>
          <w:rFonts w:asciiTheme="majorBidi" w:eastAsia="Times New Roman" w:hAnsiTheme="majorBidi" w:cstheme="majorBidi"/>
        </w:rPr>
        <w:fldChar w:fldCharType="separate"/>
      </w:r>
      <w:r w:rsidR="003B7CD2" w:rsidRPr="002A7627">
        <w:rPr>
          <w:rFonts w:asciiTheme="majorBidi" w:eastAsia="Times New Roman" w:hAnsiTheme="majorBidi" w:cstheme="majorBidi"/>
          <w:noProof/>
        </w:rPr>
        <w:t>(Kuvaas et al., 2012)</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xml:space="preserve">. Together with the </w:t>
      </w:r>
      <w:r w:rsidR="00416760">
        <w:rPr>
          <w:rFonts w:asciiTheme="majorBidi" w:eastAsia="Times New Roman" w:hAnsiTheme="majorBidi" w:cstheme="majorBidi"/>
        </w:rPr>
        <w:t>results</w:t>
      </w:r>
      <w:r w:rsidR="00416760" w:rsidRPr="002A7627">
        <w:rPr>
          <w:rFonts w:asciiTheme="majorBidi" w:eastAsia="Times New Roman" w:hAnsiTheme="majorBidi" w:cstheme="majorBidi"/>
        </w:rPr>
        <w:t xml:space="preserve"> </w:t>
      </w:r>
      <w:r w:rsidRPr="002A7627">
        <w:rPr>
          <w:rFonts w:asciiTheme="majorBidi" w:eastAsia="Times New Roman" w:hAnsiTheme="majorBidi" w:cstheme="majorBidi"/>
        </w:rPr>
        <w:t xml:space="preserve">of this </w:t>
      </w:r>
      <w:r w:rsidR="00416760">
        <w:rPr>
          <w:rFonts w:asciiTheme="majorBidi" w:eastAsia="Times New Roman" w:hAnsiTheme="majorBidi" w:cstheme="majorBidi"/>
        </w:rPr>
        <w:t>research</w:t>
      </w:r>
      <w:r w:rsidRPr="002A7627">
        <w:rPr>
          <w:rFonts w:asciiTheme="majorBidi" w:eastAsia="Times New Roman" w:hAnsiTheme="majorBidi" w:cstheme="majorBidi"/>
        </w:rPr>
        <w:t>, these findings support social exchange theory.</w:t>
      </w:r>
    </w:p>
    <w:p w14:paraId="045BF210" w14:textId="21BAE422" w:rsidR="00D727A2" w:rsidRPr="002A7627" w:rsidRDefault="00416760" w:rsidP="0084184C">
      <w:pPr>
        <w:pStyle w:val="AAAAAAA"/>
      </w:pPr>
      <w:r>
        <w:t>The results of this study</w:t>
      </w:r>
      <w:r w:rsidR="00D727A2" w:rsidRPr="002A7627">
        <w:t xml:space="preserve"> are also similar to </w:t>
      </w:r>
      <w:r w:rsidR="007868B2">
        <w:t xml:space="preserve">a recent </w:t>
      </w:r>
      <w:r w:rsidR="00D727A2" w:rsidRPr="002A7627">
        <w:t>study</w:t>
      </w:r>
      <w:r>
        <w:t xml:space="preserve"> </w:t>
      </w:r>
      <w:r w:rsidR="00D727A2" w:rsidRPr="002A7627">
        <w:t xml:space="preserve">by </w:t>
      </w:r>
      <w:r w:rsidR="00D727A2" w:rsidRPr="002A7627">
        <w:fldChar w:fldCharType="begin" w:fldLock="1"/>
      </w:r>
      <w:r w:rsidR="00F4281A" w:rsidRPr="002A7627">
        <w:instrText>ADDIN CSL_CITATION {"citationItems":[{"id":"ITEM-1","itemData":{"DOI":"10.3389/fpsyg.2019.00137","ISSN":"1664-1078","abstract":"Despite the vast amount of research focusing on intrinsic and extrinsic motivation, the effects of extrinsic motivators on creativity and innovation have been scarcely investigated. Extrinsic factors can be seen as synergistic extrinsic motivators when they have a positive effect on the outcome. The present study investigates synergistic extrinsic motivators that organizations can use to foster creativity and innovation of their intrinsically motivated knowledge workers. The analysis is based on Amabile and Pratt's dynamic componential model of creativity and innovation in organizations combined with elements from Ryan and Deci's self-determination theory. The quantitative data stemmed from 90 knowledge workers of an international consulting company who participated in an online self-assessment. In exploratory factor analyses, extrinsic motivation items consolidated two factors \"relational rewards\" and \"transactional rewards\", while creativity and innovation items resulted in a one-factor solution, called \"creativity/innovation performance\". The results of hierarchical regression analyses confirmed the widely found positive effects of intrinsic motivation on creative and innovative performance. Moreover, the results supported the hypothesis that the extrinsic motivator, relational rewards, moderated the relationship between intrinsic motivation and creativity/innovation performance significantly and positively. The findings showed the higher the perceived probability of receiving relational rewards and the higher the intrinsic motivation, the greater the positive effect on creative/innovative outcomes. At the same time, the results did not confirm the hypothesis, that the moderator transactional rewards had a statistically significant effect on the relationship between intrinsic motivation and creative/innovative performance. Finally, the empirical evidence provided practical implications on how to stimulate the creativity/innovation performance of knowledge workers within organizations.","author":[{"dropping-particle":"","family":"Fischer","given":"Carmen","non-dropping-particle":"","parse-names":false,"suffix":""},{"dropping-particle":"","family":"Malycha","given":"Charlotte P.","non-dropping-particle":"","parse-names":false,"suffix":""},{"dropping-particle":"","family":"Schafmann","given":"Ernestine","non-dropping-particle":"","parse-names":false,"suffix":""}],"container-title":"Frontiers in Psychology","id":"ITEM-1","issued":{"date-parts":[["2019","2","4"]]},"title":"The influence of intrinsic motivation and synergistic extrinsic motivators on creativity and innovation","type":"article-journal","volume":"10"},"suppress-author":1,"uris":["http://www.mendeley.com/documents/?uuid=d621e99a-d3e6-44e3-9a50-77a0aa67f801"]}],"mendeley":{"formattedCitation":"(2019)","manualFormatting":"Fischer et al. (2019)","plainTextFormattedCitation":"(2019)","previouslyFormattedCitation":"(2019)"},"properties":{"noteIndex":0},"schema":"https://github.com/citation-style-language/schema/raw/master/csl-citation.json"}</w:instrText>
      </w:r>
      <w:r w:rsidR="00D727A2" w:rsidRPr="002A7627">
        <w:fldChar w:fldCharType="separate"/>
      </w:r>
      <w:r w:rsidR="00D727A2" w:rsidRPr="002A7627">
        <w:rPr>
          <w:noProof/>
        </w:rPr>
        <w:t>Fischer</w:t>
      </w:r>
      <w:r w:rsidR="00135247" w:rsidRPr="002A7627">
        <w:rPr>
          <w:noProof/>
        </w:rPr>
        <w:t xml:space="preserve"> et al.</w:t>
      </w:r>
      <w:r w:rsidR="00D727A2" w:rsidRPr="002A7627">
        <w:rPr>
          <w:noProof/>
        </w:rPr>
        <w:t xml:space="preserve"> (2019)</w:t>
      </w:r>
      <w:r w:rsidR="00D727A2" w:rsidRPr="002A7627">
        <w:fldChar w:fldCharType="end"/>
      </w:r>
      <w:r w:rsidR="00D727A2" w:rsidRPr="002A7627">
        <w:t xml:space="preserve">, who examined intrinsic and extrinsic motivation in an international consulting company, drawing on self-determination theory. Intrinsic motivation had a positive </w:t>
      </w:r>
      <w:r>
        <w:t>relationship with</w:t>
      </w:r>
      <w:r w:rsidR="00D727A2" w:rsidRPr="002A7627">
        <w:t xml:space="preserve"> innovation, and extrinsic motivation did not moderate the relationship between intrinsic motivation and innovation in knowledge workers. The effects of rewards were also consistent with another study </w:t>
      </w:r>
      <w:r w:rsidR="00D727A2" w:rsidRPr="002A7627">
        <w:fldChar w:fldCharType="begin" w:fldLock="1"/>
      </w:r>
      <w:r w:rsidR="007C79F2" w:rsidRPr="002A7627">
        <w:instrText>ADDIN CSL_CITATION {"citationItems":[{"id":"ITEM-1","itemData":{"author":[{"dropping-particle":"","family":"Deci","given":"EL","non-dropping-particle":"","parse-names":false,"suffix":""},{"dropping-particle":"","family":"RM Ryan","given":"","non-dropping-particle":"","parse-names":false,"suffix":""}],"id":"ITEM-1","issued":{"date-parts":[["2014"]]},"number-of-pages":"13-32.","publisher":"Oxford University Press","publisher-place":"New York, NY","title":"The importance of universal psychological needs for understanding motivation in the workplace","type":"book"},"uris":["http://www.mendeley.com/documents/?uuid=056972ca-1763-3349-bc9e-72f2814cf9f0"]}],"mendeley":{"formattedCitation":"(E. Deci &amp; RM Ryan, 2014)","manualFormatting":"(Deci &amp; Ryan, 2014)","plainTextFormattedCitation":"(E. Deci &amp; RM Ryan, 2014)","previouslyFormattedCitation":"(E. Deci &amp; RM Ryan, 2014)"},"properties":{"noteIndex":0},"schema":"https://github.com/citation-style-language/schema/raw/master/csl-citation.json"}</w:instrText>
      </w:r>
      <w:r w:rsidR="00D727A2" w:rsidRPr="002A7627">
        <w:fldChar w:fldCharType="separate"/>
      </w:r>
      <w:r w:rsidR="00D727A2" w:rsidRPr="002A7627">
        <w:rPr>
          <w:noProof/>
        </w:rPr>
        <w:t xml:space="preserve">(Deci </w:t>
      </w:r>
      <w:r w:rsidR="0083144E" w:rsidRPr="002A7627">
        <w:rPr>
          <w:noProof/>
        </w:rPr>
        <w:t>&amp; Ryan, 2014</w:t>
      </w:r>
      <w:r w:rsidR="00D727A2" w:rsidRPr="002A7627">
        <w:rPr>
          <w:noProof/>
        </w:rPr>
        <w:t>)</w:t>
      </w:r>
      <w:r w:rsidR="00D727A2" w:rsidRPr="002A7627">
        <w:fldChar w:fldCharType="end"/>
      </w:r>
      <w:r w:rsidR="00D727A2" w:rsidRPr="002A7627">
        <w:t xml:space="preserve">, which found that bonuses were effective when workers expected them. Relational (non-financial) rewards had a positive impact on innovation if there </w:t>
      </w:r>
      <w:r w:rsidR="00E72A61">
        <w:t>was</w:t>
      </w:r>
      <w:r w:rsidR="00E72A61" w:rsidRPr="002A7627">
        <w:t xml:space="preserve"> </w:t>
      </w:r>
      <w:r w:rsidR="00D727A2" w:rsidRPr="002A7627">
        <w:t xml:space="preserve">supportive feedback and an environment of recognition, but a negative impact on innovation in a controlled motivational environment </w:t>
      </w:r>
      <w:r w:rsidR="00D727A2" w:rsidRPr="002A7627">
        <w:rPr>
          <w:noProof/>
        </w:rPr>
        <w:t xml:space="preserve">(Byron </w:t>
      </w:r>
      <w:r w:rsidR="0083144E" w:rsidRPr="002A7627">
        <w:rPr>
          <w:noProof/>
        </w:rPr>
        <w:t>&amp; Khazanchi, 2012</w:t>
      </w:r>
      <w:r w:rsidR="00D727A2" w:rsidRPr="002A7627">
        <w:rPr>
          <w:noProof/>
        </w:rPr>
        <w:t>; Zhang</w:t>
      </w:r>
      <w:r w:rsidR="00DB0AF8">
        <w:rPr>
          <w:noProof/>
        </w:rPr>
        <w:t xml:space="preserve"> et al.</w:t>
      </w:r>
      <w:r w:rsidR="00D727A2" w:rsidRPr="002A7627">
        <w:rPr>
          <w:noProof/>
        </w:rPr>
        <w:t xml:space="preserve">, </w:t>
      </w:r>
      <w:r w:rsidR="0083144E" w:rsidRPr="002A7627">
        <w:rPr>
          <w:noProof/>
        </w:rPr>
        <w:t>2017</w:t>
      </w:r>
      <w:r w:rsidR="00D727A2" w:rsidRPr="002A7627">
        <w:rPr>
          <w:noProof/>
        </w:rPr>
        <w:t>)</w:t>
      </w:r>
      <w:r w:rsidR="00D727A2" w:rsidRPr="002A7627">
        <w:t xml:space="preserve">. Another study showed the importance of encouraging self-determination among police officers to enhance organizational performance </w:t>
      </w:r>
      <w:r w:rsidR="00D727A2" w:rsidRPr="002A7627">
        <w:fldChar w:fldCharType="begin" w:fldLock="1"/>
      </w:r>
      <w:r w:rsidR="00E24626" w:rsidRPr="002A7627">
        <w:instrText>ADDIN CSL_CITATION {"citationItems":[{"id":"ITEM-1","itemData":{"DOI":"10.1037/a0030066","ISSN":"1939-1323","abstract":"Using self-determination theory (Deci &amp; Ryan, 2008) as a guiding theoretical framework, the present research tested a model that incorporates (a) police officers' perceptions of organizational and supervisor support (i.e., the degree to which organizations or supervisors value the police officers' contributions and care about their well-being); (b) global, domain specific (i.e., work) and situational (i.e., in a training session) motivation; and (c) engagement. The hypothesized model was tested using two samples of police officers. In Study 1, results revealed that work motivation was significantly related to both intraindividual (global motivation) and contextual (organizational support) factors. In addition, self-determined work motivation was positively related to work engagement. Using a cross-sectional design with multiple measurement points, these results were replicated at the situational level (i.e., in a training session) in Study 2. The present results underscore the importance of understanding the mechanisms through which work engagement can be enhanced. Specifically, to improve police officers' work engagement, organizations and supervisors must attempt to promote the police officers' self-determined motivation. © 2012 American Psychological Association.","author":[{"dropping-particle":"","family":"Gillet","given":"Nicolas","non-dropping-particle":"","parse-names":false,"suffix":""},{"dropping-particle":"","family":"Huart","given":"Isabelle","non-dropping-particle":"","parse-names":false,"suffix":""},{"dropping-particle":"","family":"Colombat","given":"Philippe","non-dropping-particle":"","parse-names":false,"suffix":""},{"dropping-particle":"","family":"Fouquereau","given":"Evelyne","non-dropping-particle":"","parse-names":false,"suffix":""}],"container-title":"Professional Psychology: Research and Practice","id":"ITEM-1","issue":"1","issued":{"date-parts":[["2013"]]},"page":"46-55","title":"Perceived organizational support, motivation, and engagement among police officers.","type":"article-journal","volume":"44"},"uris":["http://www.mendeley.com/documents/?uuid=da68a41d-afa3-440d-bbd2-fd1a49531d88"]}],"mendeley":{"formattedCitation":"(Gillet et al., 2013)","plainTextFormattedCitation":"(Gillet et al., 2013)","previouslyFormattedCitation":"(Gillet et al., 2013)"},"properties":{"noteIndex":0},"schema":"https://github.com/citation-style-language/schema/raw/master/csl-citation.json"}</w:instrText>
      </w:r>
      <w:r w:rsidR="00D727A2" w:rsidRPr="002A7627">
        <w:fldChar w:fldCharType="separate"/>
      </w:r>
      <w:r w:rsidR="00F31753" w:rsidRPr="002A7627">
        <w:rPr>
          <w:noProof/>
        </w:rPr>
        <w:t>(Gillet et al., 2013)</w:t>
      </w:r>
      <w:r w:rsidR="00D727A2" w:rsidRPr="002A7627">
        <w:fldChar w:fldCharType="end"/>
      </w:r>
      <w:r w:rsidR="00D727A2" w:rsidRPr="002A7627">
        <w:t xml:space="preserve">. </w:t>
      </w:r>
    </w:p>
    <w:p w14:paraId="5661F8CC" w14:textId="62C3B33F" w:rsidR="00D727A2" w:rsidRPr="002A7627" w:rsidRDefault="00D727A2" w:rsidP="0084184C">
      <w:pPr>
        <w:pStyle w:val="AAAAAAA"/>
        <w:rPr>
          <w:rtl/>
          <w:lang w:bidi="ar-AE"/>
        </w:rPr>
      </w:pPr>
      <w:r w:rsidRPr="002A7627">
        <w:t>This study had similar results to previous studies in the UAE. Aboelma</w:t>
      </w:r>
      <w:r w:rsidR="00440923">
        <w:t>g</w:t>
      </w:r>
      <w:r w:rsidRPr="002A7627">
        <w:t xml:space="preserve">ed </w:t>
      </w:r>
      <w:r w:rsidRPr="002A7627">
        <w:fldChar w:fldCharType="begin" w:fldLock="1"/>
      </w:r>
      <w:r w:rsidR="00E24626" w:rsidRPr="002A7627">
        <w:instrText>ADDIN CSL_CITATION {"citationItems":[{"id":"ITEM-1","itemData":{"DOI":"10.1108/JKM-05-2017-0188","ISSN":"1367-3270","abstract":"© 2018, Emerald Publishing Limited. Purpose: This study aims to predict the impact of utilitarian and hedonic motivations on using enterprise social network (ESN) systems for sharing internal and external knowledge, as well as their effects on employee productivity. Design/methodology/approach: Responses of 115 ESN system users from a wide spectrum of firms have been validated and analysed by means of structural equation modelling using partial least squires (PLS-SEM) method. Findings: The results indicate that using ESN to share internal and external knowledge has a positive significant impact on employee productivity. Surprisingly, empirical analysis reveals that using ESN tends to be significantly influenced by hedonic rather than utilitarian motivations. Originality/value: The study is an early empirical attempt that examines using ESN for knowledge sharing, emphasizing its upstream motivational influence and downstream business impact. It also offers managers and ESN vendors a frame of reference to maximize the use of ESN in the workplace to boost employees’ productivity within various contexts.","author":[{"dropping-particle":"","family":"Aboelmaged","given":"Mohamed Gamal","non-dropping-particle":"","parse-names":false,"suffix":""}],"container-title":"Journal of Knowledge Management","id":"ITEM-1","issue":"2","issued":{"date-parts":[["2018","3","12"]]},"page":"362-383","title":"Knowledge sharing through enterprise social network (ESN) systems: Motivational drivers and their impact on employees’ productivity","type":"article-journal","volume":"22"},"suppress-author":1,"uris":["http://www.mendeley.com/documents/?uuid=f3219ce3-154d-404e-a858-80cfaf7030ee"]}],"mendeley":{"formattedCitation":"(2018)","plainTextFormattedCitation":"(2018)","previouslyFormattedCitation":"(2018)"},"properties":{"noteIndex":0},"schema":"https://github.com/citation-style-language/schema/raw/master/csl-citation.json"}</w:instrText>
      </w:r>
      <w:r w:rsidRPr="002A7627">
        <w:fldChar w:fldCharType="separate"/>
      </w:r>
      <w:r w:rsidRPr="002A7627">
        <w:rPr>
          <w:noProof/>
        </w:rPr>
        <w:t>(2018)</w:t>
      </w:r>
      <w:r w:rsidRPr="002A7627">
        <w:fldChar w:fldCharType="end"/>
      </w:r>
      <w:r w:rsidRPr="002A7627">
        <w:t xml:space="preserve"> found that using a social network to share knowledge and improve employee productivity was enhanced by hedonic rather than utilitarian motivation. Another study found that rewards affected the knowledge-sharing contribution</w:t>
      </w:r>
      <w:r w:rsidRPr="002A7627">
        <w:rPr>
          <w:rFonts w:hint="cs"/>
        </w:rPr>
        <w:t xml:space="preserve"> </w:t>
      </w:r>
      <w:r w:rsidRPr="002A7627">
        <w:t xml:space="preserve">in a law enforcement organization, with knowledge-sharing practices as a mediator </w:t>
      </w:r>
      <w:r w:rsidRPr="002A7627">
        <w:rPr>
          <w:noProof/>
        </w:rPr>
        <w:t>(Al Dari</w:t>
      </w:r>
      <w:r w:rsidR="00E72A61">
        <w:rPr>
          <w:noProof/>
        </w:rPr>
        <w:t xml:space="preserve"> et al.</w:t>
      </w:r>
      <w:r w:rsidRPr="002A7627">
        <w:rPr>
          <w:noProof/>
        </w:rPr>
        <w:t>,</w:t>
      </w:r>
      <w:r w:rsidR="00E72A61" w:rsidRPr="002A7627" w:rsidDel="00E72A61">
        <w:rPr>
          <w:noProof/>
        </w:rPr>
        <w:t xml:space="preserve"> </w:t>
      </w:r>
      <w:r w:rsidR="0083144E" w:rsidRPr="002A7627">
        <w:rPr>
          <w:noProof/>
        </w:rPr>
        <w:t>2018</w:t>
      </w:r>
      <w:r w:rsidRPr="002A7627">
        <w:rPr>
          <w:noProof/>
        </w:rPr>
        <w:t>)</w:t>
      </w:r>
      <w:r w:rsidRPr="002A7627">
        <w:t xml:space="preserve">. </w:t>
      </w:r>
    </w:p>
    <w:p w14:paraId="079291AA" w14:textId="582211D3" w:rsidR="00D727A2" w:rsidRPr="002A7627" w:rsidRDefault="00D727A2" w:rsidP="00362C9B">
      <w:pPr>
        <w:pStyle w:val="AAAAAAA"/>
      </w:pPr>
      <w:r w:rsidRPr="002A7627">
        <w:t xml:space="preserve">These findings and others suggest that employees in policing organizations are highly intrinsically motivated, confirming the social </w:t>
      </w:r>
      <w:r w:rsidR="00362C9B">
        <w:t>exchange</w:t>
      </w:r>
      <w:r w:rsidRPr="002A7627">
        <w:t xml:space="preserve"> theory </w:t>
      </w:r>
      <w:r w:rsidR="00907ACC" w:rsidRPr="002A7627">
        <w:fldChar w:fldCharType="begin" w:fldLock="1"/>
      </w:r>
      <w:r w:rsidR="00E24626" w:rsidRPr="002A7627">
        <w:instrText>ADDIN CSL_CITATION {"citationItems":[{"id":"ITEM-1","itemData":{"ISBN":"2219-1933","abstract":"In this paper, we investigated social exchange theory (SET) and its underlying mechanism of obligation feeling in light of potential context effects. To date, the bulk of the research on SET has been based on North American samples, with little understanding whether the theory transcends cultural contexts in its ability to explain and effectively predict. Thus, in order to expand our knowledge in this area, we examined SET in a Swedish sample. Using 402 professional employees, we tested whether felt obligation mediated the relationships between perceived organizational support and both affective organizational commitment and personal initiative. The results partially confirmed the applicability of SET in a Swedish context. The paper makes a contribution to the literature by extending empirical research on SET and its applications in a non-U.S. environment, and thus, highlighting the increased importance of context in organizational science research today.","author":[{"dropping-particle":"","family":"Blau","given":"P.","non-dropping-particle":"","parse-names":false,"suffix":""}],"id":"ITEM-1","issued":{"date-parts":[["1964"]]},"publisher":"John Wiley &amp; Sons","publisher-place":"New York, NY","title":"Power and exchange in social life","type":"book"},"uris":["http://www.mendeley.com/documents/?uuid=3340002c-a5d0-4d69-bca6-01dd53991553"]}],"mendeley":{"formattedCitation":"(Blau, 1964)","plainTextFormattedCitation":"(Blau, 1964)","previouslyFormattedCitation":"(Blau, 1964)"},"properties":{"noteIndex":0},"schema":"https://github.com/citation-style-language/schema/raw/master/csl-citation.json"}</w:instrText>
      </w:r>
      <w:r w:rsidR="00907ACC" w:rsidRPr="002A7627">
        <w:fldChar w:fldCharType="separate"/>
      </w:r>
      <w:r w:rsidR="00907ACC" w:rsidRPr="002A7627">
        <w:rPr>
          <w:noProof/>
        </w:rPr>
        <w:t>(Blau, 1964)</w:t>
      </w:r>
      <w:r w:rsidR="00907ACC" w:rsidRPr="002A7627">
        <w:fldChar w:fldCharType="end"/>
      </w:r>
      <w:r w:rsidRPr="002A7627">
        <w:t xml:space="preserve">. This could be because of the sample used, which included officers and civilians in managerial positions. It is possible that a managerial position increases motivation to achieve the values and strategies of Abu Dhabi Police with little thought of the returns or benefits. This may be because employees with more job autonomy have the freedom to decide how to deliver tasks and share knowledge </w:t>
      </w:r>
      <w:r w:rsidRPr="002A7627">
        <w:fldChar w:fldCharType="begin" w:fldLock="1"/>
      </w:r>
      <w:r w:rsidR="007C79F2" w:rsidRPr="002A7627">
        <w:instrText>ADDIN CSL_CITATION {"citationItems":[{"id":"ITEM-1","itemData":{"DOI":"10.1016/j.ijinfomgt.2015.08.002","ISSN":"02684012","abstract":"The knowledge management literature emphasizes intrinsic motivation in promoting employees' knowledge sharing due to its consistently positive and lasting effect. Yet, how intrinsic motivation to share knowledge can be nurtured remains elusive and it is often left to random development. This study examines how job design, which determines the conditions in which employees develop and function, influences their intrinsic motivation to share knowledge. A model that specifies the effect of different job design characteristics and clarifies the underlying mechanism through which job design affects intrinsic motivation is developed. The model is assessed with data collected in a survey of 255 employees. Implications of the findings for research and practice are discussed.","author":[{"dropping-particle":"","family":"Pee","given":"L.G.","non-dropping-particle":"","parse-names":false,"suffix":""},{"dropping-particle":"","family":"Lee","given":"J.","non-dropping-particle":"","parse-names":false,"suffix":""}],"container-title":"International Journal of Information Management","id":"ITEM-1","issue":"6","issued":{"date-parts":[["2015","12"]]},"page":"679-690","title":"Intrinsically motivating employees’ online knowledge sharing: Understanding the effects of job design","type":"article-journal","volume":"35"},"uris":["http://www.mendeley.com/documents/?uuid=ce8baca4-21f4-475a-a451-4f9b19861246"]},{"id":"ITEM-2","itemData":{"ISSN":"0958-5192","author":[{"dropping-particle":"","family":"Cabrera","given":"Angel","non-dropping-particle":"","parse-names":false,"suffix":""},{"dropping-particle":"","family":"Collins","given":"William C","non-dropping-particle":"","parse-names":false,"suffix":""},{"dropping-particle":"","family":"Salgado","given":"Jesús F","non-dropping-particle":"","parse-names":false,"suffix":""}],"container-title":"The International Journal of Human Resource Management","id":"ITEM-2","issue":"2","issued":{"date-parts":[["2006"]]},"page":"245-264","title":"Determinants of individual engagement in knowledge sharing","type":"article-journal","volume":"17"},"uris":["http://www.mendeley.com/documents/?uuid=d8827735-0bfc-4d5d-b854-a6fcea03542a"]}],"mendeley":{"formattedCitation":"(Cabrera, Collins, &amp; Salgado, 2006; Pee &amp; Lee, 2015)","manualFormatting":"(Cabrera, Collins, &amp; Salgado, 2006; Pee &amp; Lee, 2015)","plainTextFormattedCitation":"(Cabrera, Collins, &amp; Salgado, 2006; Pee &amp; Lee, 2015)","previouslyFormattedCitation":"(Cabrera, Collins, &amp; Salgado, 2006; Pee &amp; Lee, 2015)"},"properties":{"noteIndex":0},"schema":"https://github.com/citation-style-language/schema/raw/master/csl-citation.json"}</w:instrText>
      </w:r>
      <w:r w:rsidRPr="002A7627">
        <w:fldChar w:fldCharType="separate"/>
      </w:r>
      <w:r w:rsidRPr="002A7627">
        <w:rPr>
          <w:noProof/>
        </w:rPr>
        <w:t xml:space="preserve">(Cabrera, Collins, </w:t>
      </w:r>
      <w:r w:rsidR="0083144E" w:rsidRPr="002A7627">
        <w:rPr>
          <w:noProof/>
        </w:rPr>
        <w:t>&amp; Salgado, 2006</w:t>
      </w:r>
      <w:r w:rsidRPr="002A7627">
        <w:rPr>
          <w:noProof/>
        </w:rPr>
        <w:t xml:space="preserve">; Pee </w:t>
      </w:r>
      <w:r w:rsidR="0083144E" w:rsidRPr="002A7627">
        <w:rPr>
          <w:noProof/>
        </w:rPr>
        <w:t>&amp; Lee, 2015</w:t>
      </w:r>
      <w:r w:rsidRPr="002A7627">
        <w:rPr>
          <w:noProof/>
        </w:rPr>
        <w:t>)</w:t>
      </w:r>
      <w:r w:rsidRPr="002A7627">
        <w:fldChar w:fldCharType="end"/>
      </w:r>
      <w:r w:rsidRPr="002A7627">
        <w:t xml:space="preserve">. </w:t>
      </w:r>
      <w:r w:rsidR="00907ACC" w:rsidRPr="002A7627">
        <w:rPr>
          <w:noProof/>
        </w:rPr>
        <w:t xml:space="preserve">Al Dari et al. </w:t>
      </w:r>
      <w:r w:rsidR="00F57D8D">
        <w:rPr>
          <w:noProof/>
        </w:rPr>
        <w:t>(</w:t>
      </w:r>
      <w:r w:rsidR="00907ACC" w:rsidRPr="002A7627">
        <w:rPr>
          <w:noProof/>
        </w:rPr>
        <w:t>2018)</w:t>
      </w:r>
      <w:r w:rsidR="00907ACC" w:rsidRPr="002A7627">
        <w:t xml:space="preserve"> </w:t>
      </w:r>
      <w:r w:rsidRPr="002A7627">
        <w:t xml:space="preserve">found a positive relationship between inspirational leadership and knowledge management contribution. </w:t>
      </w:r>
    </w:p>
    <w:p w14:paraId="1CEADB49" w14:textId="58B2D475" w:rsidR="00D727A2" w:rsidRPr="002A7627" w:rsidRDefault="00D727A2" w:rsidP="0084184C">
      <w:pPr>
        <w:pStyle w:val="AAAAAAA"/>
      </w:pPr>
      <w:r w:rsidRPr="002A7627">
        <w:t xml:space="preserve">The structural equation modeling showed that there was no direct relationship between HR practices related to enhancing either opportunities </w:t>
      </w:r>
      <w:r w:rsidRPr="002A7627">
        <w:rPr>
          <w:lang w:bidi="fa-IR"/>
        </w:rPr>
        <w:t>(</w:t>
      </w:r>
      <w:r w:rsidRPr="007857F2">
        <w:rPr>
          <w:i/>
          <w:lang w:bidi="fa-IR"/>
        </w:rPr>
        <w:t>β</w:t>
      </w:r>
      <w:r w:rsidRPr="002A7627">
        <w:rPr>
          <w:lang w:bidi="fa-IR"/>
        </w:rPr>
        <w:t xml:space="preserve"> = −0.033, </w:t>
      </w:r>
      <w:r w:rsidRPr="007857F2">
        <w:rPr>
          <w:i/>
          <w:lang w:bidi="fa-IR"/>
        </w:rPr>
        <w:t>t</w:t>
      </w:r>
      <w:r w:rsidRPr="002A7627">
        <w:rPr>
          <w:lang w:bidi="fa-IR"/>
        </w:rPr>
        <w:t xml:space="preserve"> = 1.12, </w:t>
      </w:r>
      <w:r w:rsidRPr="007857F2">
        <w:rPr>
          <w:i/>
          <w:lang w:bidi="fa-IR"/>
        </w:rPr>
        <w:t>p</w:t>
      </w:r>
      <w:r w:rsidRPr="002A7627">
        <w:rPr>
          <w:lang w:bidi="fa-IR"/>
        </w:rPr>
        <w:t xml:space="preserve"> = 0.263, </w:t>
      </w:r>
      <w:r w:rsidRPr="007857F2">
        <w:rPr>
          <w:i/>
          <w:lang w:bidi="fa-IR"/>
        </w:rPr>
        <w:t>f</w:t>
      </w:r>
      <w:r w:rsidRPr="007857F2">
        <w:rPr>
          <w:i/>
          <w:vertAlign w:val="superscript"/>
          <w:lang w:bidi="fa-IR"/>
        </w:rPr>
        <w:t>2</w:t>
      </w:r>
      <w:r w:rsidRPr="007857F2">
        <w:rPr>
          <w:i/>
          <w:lang w:bidi="fa-IR"/>
        </w:rPr>
        <w:t xml:space="preserve"> </w:t>
      </w:r>
      <w:r w:rsidRPr="002A7627">
        <w:rPr>
          <w:lang w:bidi="fa-IR"/>
        </w:rPr>
        <w:t>= 0.002) or employee abilities (</w:t>
      </w:r>
      <w:r w:rsidRPr="007857F2">
        <w:rPr>
          <w:i/>
          <w:lang w:bidi="fa-IR"/>
        </w:rPr>
        <w:t>β</w:t>
      </w:r>
      <w:r w:rsidRPr="002A7627">
        <w:rPr>
          <w:lang w:bidi="fa-IR"/>
        </w:rPr>
        <w:t xml:space="preserve"> = 0.105, </w:t>
      </w:r>
      <w:r w:rsidRPr="007857F2">
        <w:rPr>
          <w:i/>
          <w:lang w:bidi="fa-IR"/>
        </w:rPr>
        <w:t>t</w:t>
      </w:r>
      <w:r w:rsidRPr="002A7627">
        <w:rPr>
          <w:lang w:bidi="fa-IR"/>
        </w:rPr>
        <w:t xml:space="preserve"> = 1.874, </w:t>
      </w:r>
      <w:r w:rsidRPr="007857F2">
        <w:rPr>
          <w:i/>
          <w:lang w:bidi="fa-IR"/>
        </w:rPr>
        <w:t>p</w:t>
      </w:r>
      <w:r w:rsidRPr="002A7627">
        <w:rPr>
          <w:lang w:bidi="fa-IR"/>
        </w:rPr>
        <w:t xml:space="preserve"> = 0.061, </w:t>
      </w:r>
      <w:r w:rsidRPr="007857F2">
        <w:rPr>
          <w:i/>
          <w:lang w:bidi="fa-IR"/>
        </w:rPr>
        <w:t>f</w:t>
      </w:r>
      <w:r w:rsidRPr="007857F2">
        <w:rPr>
          <w:i/>
          <w:vertAlign w:val="superscript"/>
          <w:lang w:bidi="fa-IR"/>
        </w:rPr>
        <w:t>2</w:t>
      </w:r>
      <w:r w:rsidRPr="002A7627">
        <w:rPr>
          <w:lang w:bidi="fa-IR"/>
        </w:rPr>
        <w:t xml:space="preserve"> = 0.009) and knowledge management benefits. Hypotheses H4 and H5 were</w:t>
      </w:r>
      <w:r w:rsidR="00054373" w:rsidRPr="002A7627">
        <w:rPr>
          <w:lang w:bidi="fa-IR"/>
        </w:rPr>
        <w:t xml:space="preserve"> therefore </w:t>
      </w:r>
      <w:r w:rsidRPr="002A7627">
        <w:rPr>
          <w:lang w:bidi="fa-IR"/>
        </w:rPr>
        <w:t xml:space="preserve">rejected. This is, however, one of the few studies to examine these issues in a developing country, so this may explain why its findings differed previous studies. </w:t>
      </w:r>
      <w:r w:rsidR="00907ACC" w:rsidRPr="002A7627">
        <w:rPr>
          <w:noProof/>
        </w:rPr>
        <w:t xml:space="preserve">Kundu </w:t>
      </w:r>
      <w:r w:rsidR="00F57D8D">
        <w:rPr>
          <w:noProof/>
        </w:rPr>
        <w:t>and</w:t>
      </w:r>
      <w:r w:rsidR="00F57D8D" w:rsidRPr="002A7627">
        <w:rPr>
          <w:noProof/>
        </w:rPr>
        <w:t xml:space="preserve"> </w:t>
      </w:r>
      <w:r w:rsidR="00907ACC" w:rsidRPr="002A7627">
        <w:rPr>
          <w:noProof/>
        </w:rPr>
        <w:t xml:space="preserve">Gahlawat </w:t>
      </w:r>
      <w:r w:rsidR="00F57D8D">
        <w:rPr>
          <w:noProof/>
        </w:rPr>
        <w:t>(</w:t>
      </w:r>
      <w:r w:rsidR="00907ACC" w:rsidRPr="002A7627">
        <w:rPr>
          <w:noProof/>
        </w:rPr>
        <w:t>2018)</w:t>
      </w:r>
      <w:r w:rsidR="00907ACC" w:rsidRPr="002A7627">
        <w:t xml:space="preserve"> </w:t>
      </w:r>
      <w:r w:rsidRPr="002A7627">
        <w:t>found that HR practices designed to increase both opportunities and abilities had a positive impact on organizational performance with strong commitment as a mediator</w:t>
      </w:r>
      <w:r w:rsidRPr="002A7627">
        <w:fldChar w:fldCharType="begin" w:fldLock="1"/>
      </w:r>
      <w:r w:rsidR="00E24626" w:rsidRPr="002A7627">
        <w:instrText>ADDIN CSL_CITATION {"citationItems":[{"id":"ITEM-1","itemData":{"DOI":"10.1017/jmo.2016.22","ISSN":"1833-3672","abstract":"This study investigates the diverse performance outcomes related to the bundles/components of high-performance work systems on the basis of ability–motivation–opportunity model. Using the primary data from 563 employees of 204 firms operating in India (collected during the time period between March, 2012 and January, 2013), the study has indicated that employees’ perceptions regarding the applicability of ability-enhancing, motivation-enhancing, and opportunity-enhancing human resource practices result in enhanced affective commitment and superior firm performance. The results have revealed that affective commitment fully mediates the relationship of opportunity-enhancing human resource practices with firm performance and partially mediates the relationships of ability-enhancing and motivation-enhancing human resource practices with firm performance. The study contributes in unlocking the ‘black box’ related to the high-performance work systems and firm performance relationship by stressing upon the importance of affective commitment as a mediator. Managerial implications and directions for future research are also discussed.","author":[{"dropping-particle":"","family":"Kundu","given":"Subhash C.","non-dropping-particle":"","parse-names":false,"suffix":""},{"dropping-particle":"","family":"Gahlawat","given":"Neha","non-dropping-particle":"","parse-names":false,"suffix":""}],"container-title":"Journal of Management and Organization","id":"ITEM-1","issue":"5","issued":{"date-parts":[["2018","9","29"]]},"page":"730-747","title":"Ability–motivation–opportunity enhancing human resource practices and firm performance: Evidence from India","type":"article-journal","volume":"24"},"uris":["http://www.mendeley.com/documents/?uuid=8dfd32df-718b-451a-a5f4-5e28ca7a0466"]}],"mendeley":{"formattedCitation":"(Kundu &amp; Gahlawat, 2018)","plainTextFormattedCitation":"(Kundu &amp; Gahlawat, 2018)","previouslyFormattedCitation":"(Kundu &amp; Gahlawat, 2018)"},"properties":{"noteIndex":0},"schema":"https://github.com/citation-style-language/schema/raw/master/csl-citation.json"}</w:instrText>
      </w:r>
      <w:r w:rsidRPr="002A7627">
        <w:fldChar w:fldCharType="end"/>
      </w:r>
      <w:r w:rsidRPr="002A7627">
        <w:t xml:space="preserve">. Another study </w:t>
      </w:r>
      <w:r w:rsidRPr="002A7627">
        <w:fldChar w:fldCharType="begin" w:fldLock="1"/>
      </w:r>
      <w:r w:rsidR="00A200C2" w:rsidRPr="002A7627">
        <w:instrText>ADDIN CSL_CITATION {"citationItems":[{"id":"ITEM-1","itemData":{"DOI":"10.1007/s10490-017-9508-1","ISSN":"0217-4561","PMID":"1924800598","abstract":"Drawing on the ability-motivation-opportunity framework, we develop a multilevel model examining the relationship between high-performance human resource practices and team creativity. Based on an input-process-output perspective, we hypothesize that both ability-enhancing human resource practices and motivation-enhancing practices affect team creativity via team efficacy, while motivation-enhancing practices and opportunity-enhancing practices affect team creativity via knowledge sharing. We verify our hypotheses using data collected from 16 Chinese companies involving 80 work teams. The results show that team efficacy mediates the relationship between ability-enhancing practices and team creativity, and knowledge sharing mediates the relationship between motivation-enhancing practices and team creativity. Theoretical and practical implications for human resource management practices and team creativity are discussed.","author":[{"dropping-particle":"","family":"Ma","given":"Zixiang","non-dropping-particle":"","parse-names":false,"suffix":""},{"dropping-particle":"","family":"Long","given":"Lirong","non-dropping-particle":"","parse-names":false,"suffix":""},{"dropping-particle":"","family":"Zhang","given":"Yong","non-dropping-particle":"","parse-names":false,"suffix":""},{"dropping-particle":"","family":"Zhang","given":"Junwei","non-dropping-particle":"","parse-names":false,"suffix":""},{"dropping-particle":"","family":"Lam","given":"Catherine K.","non-dropping-particle":"","parse-names":false,"suffix":""}],"container-title":"Asia Pacific Journal of Management","id":"ITEM-1","issue":"3","issued":{"date-parts":[["2017","9","29"]]},"page":"565-586","title":"Why do high-performance human resource practices matter for team creativity? The mediating role of collective efficacy and knowledge sharing","type":"article-journal","volume":"34"},"uris":["http://www.mendeley.com/documents/?uuid=75b37b05-f51d-439d-87bb-92fa4e212e6e"]}],"mendeley":{"formattedCitation":"(Ma et al., 2017)","manualFormatting":"(Ma et al., 2017)","plainTextFormattedCitation":"(Ma et al., 2017)","previouslyFormattedCitation":"(Ma et al., 2017)"},"properties":{"noteIndex":0},"schema":"https://github.com/citation-style-language/schema/raw/master/csl-citation.json"}</w:instrText>
      </w:r>
      <w:r w:rsidRPr="002A7627">
        <w:fldChar w:fldCharType="separate"/>
      </w:r>
      <w:r w:rsidRPr="002A7627">
        <w:rPr>
          <w:noProof/>
        </w:rPr>
        <w:t>(Ma</w:t>
      </w:r>
      <w:r w:rsidR="00A200C2" w:rsidRPr="002A7627">
        <w:rPr>
          <w:noProof/>
          <w:lang w:bidi="fa-IR"/>
        </w:rPr>
        <w:t xml:space="preserve"> et al.</w:t>
      </w:r>
      <w:r w:rsidR="0083144E" w:rsidRPr="002A7627">
        <w:rPr>
          <w:noProof/>
        </w:rPr>
        <w:t>, 2017</w:t>
      </w:r>
      <w:r w:rsidRPr="002A7627">
        <w:rPr>
          <w:noProof/>
        </w:rPr>
        <w:t>)</w:t>
      </w:r>
      <w:r w:rsidRPr="002A7627">
        <w:fldChar w:fldCharType="end"/>
      </w:r>
      <w:r w:rsidRPr="002A7627">
        <w:t xml:space="preserve"> found that opportunity-enhancing HR practices affected team creativity with knowledge sharing as a mediator. A number of studies have examined this issue in developed countries </w:t>
      </w:r>
      <w:r w:rsidRPr="002A7627">
        <w:fldChar w:fldCharType="begin" w:fldLock="1"/>
      </w:r>
      <w:r w:rsidR="007C79F2" w:rsidRPr="002A7627">
        <w:instrText>ADDIN CSL_CITATION {"citationItems":[{"id":"ITEM-1","itemData":{"DOI":"10.1108/JOEPP-03-2016-0028","ISSN":"2051-6614","abstract":"Purpose – The purpose of this paper is to test alternative conceptualizations of the relationship between systems of human resource management (HRM) practices and organizational effectiveness. The authors describe a framework suggesting a complex relationship between HRM practices and organizational effectiveness, test this approach empirically in a large sample of US motor carriers, and compare the results to those derived using other approaches prevalent in the strategic HRM literature. Design/methodology/approach – The study used a large scale cross-sectional survey design. In a sample of US motor carriers, questionnaires completed by senior HRM department staff were used as the primary data. The data were supplemented by organizational effectiveness data reported by motor carriers to the US Government. Findings – The results support the general hypothesis that HRM practices enhance organizational effectiveness, provide some evidence that HRM practices can enhance each other’s effectiveness, and unders...","author":[{"dropping-particle":"","family":"Delery","given":"John","non-dropping-particle":"","parse-names":false,"suffix":""},{"dropping-particle":"","family":"Gupta","given":"Nina","non-dropping-particle":"","parse-names":false,"suffix":""}],"container-title":"Journal of Organizational Effectiveness","id":"ITEM-1","issue":"2","issued":{"date-parts":[["2016","6","6"]]},"page":"139-163","title":"Human resource management practices and organizational effectiveness: Internal fit matters","type":"article-journal","volume":"3"},"uris":["http://www.mendeley.com/documents/?uuid=15590d90-0e69-43ef-9eb4-3a42930b1a57"]},{"id":"ITEM-2","itemData":{"DOI":"10.1108/PR-11-2012-0199","ISSN":"0048-3486","abstract":"Managing innovative work behavior: the role of human resource practices","author":[{"dropping-particle":"","family":"Prieto","given":"Isabel M.","non-dropping-particle":"","parse-names":false,"suffix":""},{"dropping-particle":"","family":"Pérez Santana","given":"M. Pilar","non-dropping-particle":"","parse-names":false,"suffix":""}],"container-title":"Personnel Review","id":"ITEM-2","issue":"2","issued":{"date-parts":[["2014","3","4"]]},"page":"184-208","title":"Managing innovative work behavior: The role of human resource practices","type":"article-journal","volume":"43"},"uris":["http://www.mendeley.com/documents/?uuid=265d630f-95f6-4be7-80bb-39aee686a127"]}],"mendeley":{"formattedCitation":"(Delery &amp; Gupta, 2016; Prieto &amp; Pérez Santana, 2014)","manualFormatting":"(Delery &amp; Gupta, 2016; Prieto &amp; Pérez-Santana, 2014)","plainTextFormattedCitation":"(Delery &amp; Gupta, 2016; Prieto &amp; Pérez Santana, 2014)","previouslyFormattedCitation":"(Delery &amp; Gupta, 2016; Prieto &amp; Pérez Santana, 2014)"},"properties":{"noteIndex":0},"schema":"https://github.com/citation-style-language/schema/raw/master/csl-citation.json"}</w:instrText>
      </w:r>
      <w:r w:rsidRPr="002A7627">
        <w:fldChar w:fldCharType="separate"/>
      </w:r>
      <w:r w:rsidRPr="002A7627">
        <w:rPr>
          <w:noProof/>
        </w:rPr>
        <w:t xml:space="preserve">(Delery </w:t>
      </w:r>
      <w:r w:rsidR="0083144E" w:rsidRPr="002A7627">
        <w:rPr>
          <w:noProof/>
        </w:rPr>
        <w:t>&amp; Gupta, 2016</w:t>
      </w:r>
      <w:r w:rsidRPr="002A7627">
        <w:rPr>
          <w:noProof/>
        </w:rPr>
        <w:t>; Prieto &amp; Pérez-Santana, 2014)</w:t>
      </w:r>
      <w:r w:rsidRPr="002A7627">
        <w:fldChar w:fldCharType="end"/>
      </w:r>
      <w:r w:rsidRPr="002A7627">
        <w:t xml:space="preserve"> and found that HR practices enhancing opportunities or abilities have affected innovation or organizational performance. For example, in one study, increasing employee opportunities was positively related to organizational effectiveness because of participation in decision-making </w:t>
      </w:r>
      <w:r w:rsidRPr="002A7627">
        <w:fldChar w:fldCharType="begin" w:fldLock="1"/>
      </w:r>
      <w:r w:rsidR="007C79F2" w:rsidRPr="002A7627">
        <w:instrText>ADDIN CSL_CITATION {"citationItems":[{"id":"ITEM-1","itemData":{"DOI":"10.1108/JOEPP-03-2016-0028","ISSN":"2051-6614","abstract":"Purpose – The purpose of this paper is to test alternative conceptualizations of the relationship between systems of human resource management (HRM) practices and organizational effectiveness. The authors describe a framework suggesting a complex relationship between HRM practices and organizational effectiveness, test this approach empirically in a large sample of US motor carriers, and compare the results to those derived using other approaches prevalent in the strategic HRM literature. Design/methodology/approach – The study used a large scale cross-sectional survey design. In a sample of US motor carriers, questionnaires completed by senior HRM department staff were used as the primary data. The data were supplemented by organizational effectiveness data reported by motor carriers to the US Government. Findings – The results support the general hypothesis that HRM practices enhance organizational effectiveness, provide some evidence that HRM practices can enhance each other’s effectiveness, and unders...","author":[{"dropping-particle":"","family":"Delery","given":"John","non-dropping-particle":"","parse-names":false,"suffix":""},{"dropping-particle":"","family":"Gupta","given":"Nina","non-dropping-particle":"","parse-names":false,"suffix":""}],"container-title":"Journal of Organizational Effectiveness","id":"ITEM-1","issue":"2","issued":{"date-parts":[["2016","6","6"]]},"page":"139-163","title":"Human resource management practices and organizational effectiveness: Internal fit matters","type":"article-journal","volume":"3"},"uris":["http://www.mendeley.com/documents/?uuid=15590d90-0e69-43ef-9eb4-3a42930b1a57"]}],"mendeley":{"formattedCitation":"(Delery &amp; Gupta, 2016)","manualFormatting":"(Delery &amp; Gupta, 2016)","plainTextFormattedCitation":"(Delery &amp; Gupta, 2016)","previouslyFormattedCitation":"(Delery &amp; Gupta, 2016)"},"properties":{"noteIndex":0},"schema":"https://github.com/citation-style-language/schema/raw/master/csl-citation.json"}</w:instrText>
      </w:r>
      <w:r w:rsidRPr="002A7627">
        <w:fldChar w:fldCharType="separate"/>
      </w:r>
      <w:r w:rsidRPr="002A7627">
        <w:rPr>
          <w:noProof/>
        </w:rPr>
        <w:t xml:space="preserve">(Delery </w:t>
      </w:r>
      <w:r w:rsidR="0083144E" w:rsidRPr="002A7627">
        <w:rPr>
          <w:noProof/>
        </w:rPr>
        <w:t>&amp; Gupta, 2016</w:t>
      </w:r>
      <w:r w:rsidRPr="002A7627">
        <w:rPr>
          <w:noProof/>
        </w:rPr>
        <w:t>)</w:t>
      </w:r>
      <w:r w:rsidRPr="002A7627">
        <w:fldChar w:fldCharType="end"/>
      </w:r>
      <w:r w:rsidRPr="002A7627">
        <w:t>. In another study</w:t>
      </w:r>
      <w:r w:rsidR="002C6005">
        <w:t xml:space="preserve"> in Spanish companies</w:t>
      </w:r>
      <w:r w:rsidRPr="002A7627">
        <w:t xml:space="preserve">, both ability- and opportunity-enhancing HR practices showed a positive </w:t>
      </w:r>
      <w:r w:rsidR="002C6005">
        <w:t>effect</w:t>
      </w:r>
      <w:r w:rsidR="002C6005" w:rsidRPr="002A7627">
        <w:t xml:space="preserve"> </w:t>
      </w:r>
      <w:r w:rsidRPr="002A7627">
        <w:t xml:space="preserve">on innovative work behaviors, with management and coworker support playing a mediating role </w:t>
      </w:r>
      <w:r w:rsidRPr="002A7627">
        <w:fldChar w:fldCharType="begin" w:fldLock="1"/>
      </w:r>
      <w:r w:rsidR="007C79F2" w:rsidRPr="002A7627">
        <w:instrText>ADDIN CSL_CITATION {"citationItems":[{"id":"ITEM-1","itemData":{"DOI":"10.1108/PR-11-2012-0199","ISSN":"0048-3486","abstract":"Managing innovative work behavior: the role of human resource practices","author":[{"dropping-particle":"","family":"Prieto","given":"Isabel M.","non-dropping-particle":"","parse-names":false,"suffix":""},{"dropping-particle":"","family":"Pérez Santana","given":"M. Pilar","non-dropping-particle":"","parse-names":false,"suffix":""}],"container-title":"Personnel Review","id":"ITEM-1","issue":"2","issued":{"date-parts":[["2014","3","4"]]},"page":"184-208","title":"Managing innovative work behavior: The role of human resource practices","type":"article-journal","volume":"43"},"uris":["http://www.mendeley.com/documents/?uuid=265d630f-95f6-4be7-80bb-39aee686a127"]}],"mendeley":{"formattedCitation":"(Prieto &amp; Pérez Santana, 2014)","manualFormatting":"(Prieto &amp; Pérez-Santana, 2014)","plainTextFormattedCitation":"(Prieto &amp; Pérez Santana, 2014)","previouslyFormattedCitation":"(Prieto &amp; Pérez Santana, 2014)"},"properties":{"noteIndex":0},"schema":"https://github.com/citation-style-language/schema/raw/master/csl-citation.json"}</w:instrText>
      </w:r>
      <w:r w:rsidRPr="002A7627">
        <w:fldChar w:fldCharType="separate"/>
      </w:r>
      <w:r w:rsidRPr="002A7627">
        <w:rPr>
          <w:noProof/>
        </w:rPr>
        <w:t xml:space="preserve">(Prieto </w:t>
      </w:r>
      <w:r w:rsidR="009C4BB0" w:rsidRPr="002A7627">
        <w:rPr>
          <w:noProof/>
        </w:rPr>
        <w:t xml:space="preserve">&amp; </w:t>
      </w:r>
      <w:r w:rsidRPr="002A7627">
        <w:rPr>
          <w:noProof/>
        </w:rPr>
        <w:t>Pérez-Santana, 2014)</w:t>
      </w:r>
      <w:r w:rsidRPr="002A7627">
        <w:fldChar w:fldCharType="end"/>
      </w:r>
      <w:r w:rsidRPr="002A7627">
        <w:t xml:space="preserve">. </w:t>
      </w:r>
      <w:r w:rsidRPr="002A7627">
        <w:rPr>
          <w:bCs/>
        </w:rPr>
        <w:t xml:space="preserve">These results may indicate that practices increasing opportunities and abilities are different from other HR practices. For example, the study organization has a hierarchical culture, which may increase the time required for decision-making, offering more scope for mediation in the relationship. Most previous studies were also in private sector organizations, and the results might vary in a public sector organization. </w:t>
      </w:r>
    </w:p>
    <w:p w14:paraId="78EB3FA8" w14:textId="40201FB8" w:rsidR="00D727A2" w:rsidRPr="002A7627" w:rsidRDefault="00B56693" w:rsidP="0017121F">
      <w:pPr>
        <w:pStyle w:val="Heading1"/>
        <w:rPr>
          <w:color w:val="000000"/>
        </w:rPr>
      </w:pPr>
      <w:bookmarkStart w:id="280" w:name="_Toc13959673"/>
      <w:bookmarkStart w:id="281" w:name="_Toc22331716"/>
      <w:r>
        <w:rPr>
          <w:color w:val="000000"/>
        </w:rPr>
        <w:t>6.4. RQ</w:t>
      </w:r>
      <w:r w:rsidR="00D727A2" w:rsidRPr="002A7627">
        <w:rPr>
          <w:color w:val="000000"/>
        </w:rPr>
        <w:t xml:space="preserve"> 3: Organizational </w:t>
      </w:r>
      <w:r w:rsidR="0084184C" w:rsidRPr="002A7627">
        <w:rPr>
          <w:color w:val="000000"/>
        </w:rPr>
        <w:t xml:space="preserve">Learning </w:t>
      </w:r>
      <w:r w:rsidR="00D727A2" w:rsidRPr="002A7627">
        <w:rPr>
          <w:color w:val="000000"/>
        </w:rPr>
        <w:t>and K</w:t>
      </w:r>
      <w:r w:rsidR="00295315">
        <w:rPr>
          <w:color w:val="000000"/>
        </w:rPr>
        <w:t xml:space="preserve">nowledge </w:t>
      </w:r>
      <w:r w:rsidR="00D727A2" w:rsidRPr="002A7627">
        <w:rPr>
          <w:color w:val="000000"/>
        </w:rPr>
        <w:t>M</w:t>
      </w:r>
      <w:r w:rsidR="00295315">
        <w:rPr>
          <w:color w:val="000000"/>
        </w:rPr>
        <w:t>anagement</w:t>
      </w:r>
      <w:r w:rsidR="00D727A2" w:rsidRPr="002A7627">
        <w:rPr>
          <w:color w:val="000000"/>
        </w:rPr>
        <w:t xml:space="preserve"> </w:t>
      </w:r>
      <w:r w:rsidR="0084184C" w:rsidRPr="002A7627">
        <w:rPr>
          <w:color w:val="000000"/>
        </w:rPr>
        <w:t>Benefits</w:t>
      </w:r>
      <w:bookmarkEnd w:id="280"/>
      <w:bookmarkEnd w:id="281"/>
    </w:p>
    <w:p w14:paraId="73F5FC73" w14:textId="54120AF0" w:rsidR="00D727A2" w:rsidRPr="002A7627" w:rsidRDefault="00D1480D" w:rsidP="0084184C">
      <w:pPr>
        <w:pStyle w:val="AAAAAAA"/>
        <w:rPr>
          <w:lang w:bidi="fa-IR"/>
        </w:rPr>
      </w:pPr>
      <w:r>
        <w:rPr>
          <w:lang w:bidi="fa-IR"/>
        </w:rPr>
        <w:t>The study showed that</w:t>
      </w:r>
      <w:r w:rsidR="00D727A2" w:rsidRPr="002A7627">
        <w:rPr>
          <w:lang w:bidi="fa-IR"/>
        </w:rPr>
        <w:t xml:space="preserve"> organizational learning </w:t>
      </w:r>
      <w:r>
        <w:rPr>
          <w:lang w:bidi="fa-IR"/>
        </w:rPr>
        <w:t>has a significant positive impact on</w:t>
      </w:r>
      <w:r w:rsidRPr="002A7627">
        <w:rPr>
          <w:lang w:bidi="fa-IR"/>
        </w:rPr>
        <w:t xml:space="preserve"> </w:t>
      </w:r>
      <w:r w:rsidR="00D727A2" w:rsidRPr="002A7627">
        <w:rPr>
          <w:lang w:bidi="fa-IR"/>
        </w:rPr>
        <w:t>knowledge management benefits (</w:t>
      </w:r>
      <w:r w:rsidR="00D727A2" w:rsidRPr="007857F2">
        <w:rPr>
          <w:i/>
          <w:lang w:bidi="fa-IR"/>
        </w:rPr>
        <w:t>β</w:t>
      </w:r>
      <w:r w:rsidR="00D727A2" w:rsidRPr="002A7627">
        <w:rPr>
          <w:lang w:bidi="fa-IR"/>
        </w:rPr>
        <w:t xml:space="preserve"> = 0.465, </w:t>
      </w:r>
      <w:r w:rsidR="00D727A2" w:rsidRPr="007857F2">
        <w:rPr>
          <w:i/>
          <w:lang w:bidi="fa-IR"/>
        </w:rPr>
        <w:t>t</w:t>
      </w:r>
      <w:r w:rsidR="00D727A2" w:rsidRPr="002A7627">
        <w:rPr>
          <w:lang w:bidi="fa-IR"/>
        </w:rPr>
        <w:t xml:space="preserve"> = 7.415, </w:t>
      </w:r>
      <w:r w:rsidR="00D727A2" w:rsidRPr="007857F2">
        <w:rPr>
          <w:i/>
          <w:lang w:bidi="fa-IR"/>
        </w:rPr>
        <w:t>p</w:t>
      </w:r>
      <w:r w:rsidR="00D727A2" w:rsidRPr="002A7627">
        <w:rPr>
          <w:lang w:bidi="fa-IR"/>
        </w:rPr>
        <w:t xml:space="preserve"> &lt; 0.01, </w:t>
      </w:r>
      <w:r w:rsidR="00D727A2" w:rsidRPr="007857F2">
        <w:rPr>
          <w:i/>
          <w:lang w:bidi="fa-IR"/>
        </w:rPr>
        <w:t>f</w:t>
      </w:r>
      <w:r w:rsidR="00D727A2" w:rsidRPr="007857F2">
        <w:rPr>
          <w:i/>
          <w:vertAlign w:val="superscript"/>
          <w:lang w:bidi="fa-IR"/>
        </w:rPr>
        <w:t>2</w:t>
      </w:r>
      <w:r w:rsidR="00D727A2" w:rsidRPr="002A7627">
        <w:rPr>
          <w:lang w:bidi="fa-IR"/>
        </w:rPr>
        <w:t xml:space="preserve"> = 0.124), which led to the acceptance of Hypothesis H6. This was consistent with the results of other studies that investigated the impact of organizational learning on knowledge management benefits, including decision-making and innovation </w:t>
      </w:r>
      <w:r w:rsidR="00D727A2" w:rsidRPr="002A7627">
        <w:rPr>
          <w:rFonts w:asciiTheme="majorBidi" w:hAnsiTheme="majorBidi" w:cstheme="majorBidi"/>
          <w:noProof/>
        </w:rPr>
        <w:t>(Alsalami</w:t>
      </w:r>
      <w:r w:rsidR="00DB0AF8">
        <w:rPr>
          <w:rFonts w:asciiTheme="majorBidi" w:hAnsiTheme="majorBidi" w:cstheme="majorBidi"/>
          <w:noProof/>
        </w:rPr>
        <w:t xml:space="preserve"> et al.</w:t>
      </w:r>
      <w:r w:rsidR="00D727A2" w:rsidRPr="002A7627">
        <w:rPr>
          <w:rFonts w:asciiTheme="majorBidi" w:hAnsiTheme="majorBidi" w:cstheme="majorBidi"/>
          <w:noProof/>
        </w:rPr>
        <w:t xml:space="preserve">, </w:t>
      </w:r>
      <w:r w:rsidR="0083144E" w:rsidRPr="002A7627">
        <w:rPr>
          <w:rFonts w:asciiTheme="majorBidi" w:hAnsiTheme="majorBidi" w:cstheme="majorBidi"/>
          <w:noProof/>
        </w:rPr>
        <w:t>2016</w:t>
      </w:r>
      <w:r w:rsidR="00D727A2" w:rsidRPr="002A7627">
        <w:rPr>
          <w:rFonts w:asciiTheme="majorBidi" w:hAnsiTheme="majorBidi" w:cstheme="majorBidi"/>
          <w:noProof/>
        </w:rPr>
        <w:t>; Bao</w:t>
      </w:r>
      <w:r w:rsidR="00DB0AF8">
        <w:rPr>
          <w:rFonts w:asciiTheme="majorBidi" w:hAnsiTheme="majorBidi" w:cstheme="majorBidi"/>
          <w:noProof/>
        </w:rPr>
        <w:t xml:space="preserve"> et al.</w:t>
      </w:r>
      <w:r w:rsidR="00D727A2" w:rsidRPr="002A7627">
        <w:rPr>
          <w:rFonts w:asciiTheme="majorBidi" w:hAnsiTheme="majorBidi" w:cstheme="majorBidi"/>
          <w:noProof/>
        </w:rPr>
        <w:t xml:space="preserve">, </w:t>
      </w:r>
      <w:r w:rsidR="0083144E" w:rsidRPr="002A7627">
        <w:rPr>
          <w:rFonts w:asciiTheme="majorBidi" w:hAnsiTheme="majorBidi" w:cstheme="majorBidi"/>
          <w:noProof/>
        </w:rPr>
        <w:t>2012</w:t>
      </w:r>
      <w:r w:rsidR="00D727A2" w:rsidRPr="002A7627">
        <w:rPr>
          <w:rFonts w:asciiTheme="majorBidi" w:hAnsiTheme="majorBidi" w:cstheme="majorBidi"/>
          <w:noProof/>
        </w:rPr>
        <w:t>)</w:t>
      </w:r>
      <w:r w:rsidR="00D727A2" w:rsidRPr="002A7627">
        <w:rPr>
          <w:rFonts w:asciiTheme="majorBidi" w:hAnsiTheme="majorBidi" w:cstheme="majorBidi"/>
        </w:rPr>
        <w:t xml:space="preserve">. This relationship has been found in both developed and </w:t>
      </w:r>
      <w:r w:rsidR="00D727A2" w:rsidRPr="002A7627">
        <w:rPr>
          <w:lang w:bidi="fa-IR"/>
        </w:rPr>
        <w:t xml:space="preserve">developing countries. A study in Pakistan investigated the role of organizational learning as a mediator between leadership and organizational performance and found that it was positive and significant </w:t>
      </w:r>
      <w:r w:rsidR="00D727A2" w:rsidRPr="002A7627">
        <w:rPr>
          <w:lang w:bidi="fa-IR"/>
        </w:rPr>
        <w:fldChar w:fldCharType="begin" w:fldLock="1"/>
      </w:r>
      <w:r w:rsidR="00F4281A" w:rsidRPr="002A7627">
        <w:rPr>
          <w:lang w:bidi="fa-IR"/>
        </w:rPr>
        <w:instrText>ADDIN CSL_CITATION {"citationItems":[{"id":"ITEM-1","itemData":{"DOI":"10.1007/s10551-012-1470-8","ISBN":"0167-4544","ISSN":"01674544","abstract":"The purpose of this study is to examine the impact of two comparative leadership styles on organiza- tional performance outcomes. The leadership styles undertaken is transformational and servant leadership. A sample of 155 participants is taken from profit-oriented service sector of Pakistan. Data through survey gathered on a five point likert scale from organizations. AMOS and SPSS are used for statistical analysis. The result shows that, transformational leadership has more impact on organizational learning than servant leadership. Further- more organizational learning enhances organizational per- formance. Managers and leaders of corporate sector can get benefited from this study. Their main objective is to maximize the profitability of organization thus, they can choose leadership style which polishes their abilities and helps them to achieve profit maximization. Keywords","author":[{"dropping-particle":"","family":"Choudhary","given":"Ali Iftikhar","non-dropping-particle":"","parse-names":false,"suffix":""},{"dropping-particle":"","family":"Akhtar","given":"Syed Azeem","non-dropping-particle":"","parse-names":false,"suffix":""},{"dropping-particle":"","family":"Zaheer","given":"Arshad","non-dropping-particle":"","parse-names":false,"suffix":""}],"container-title":"Journal of Business Ethics","id":"ITEM-1","issue":"2","issued":{"date-parts":[["2013"]]},"page":"433-440","title":"Impact of transformational and servant leadership on organizational performance: A comparative analysis","type":"article-journal","volume":"116"},"uris":["http://www.mendeley.com/documents/?uuid=6d6966f1-60ea-4b74-84e0-02fb4e9b2a34"]}],"mendeley":{"formattedCitation":"(Choudhary et al., 2013)","manualFormatting":"(Choudhary et al., 2013)","plainTextFormattedCitation":"(Choudhary et al., 2013)","previouslyFormattedCitation":"(Choudhary et al., 2013)"},"properties":{"noteIndex":0},"schema":"https://github.com/citation-style-language/schema/raw/master/csl-citation.json"}</w:instrText>
      </w:r>
      <w:r w:rsidR="00D727A2" w:rsidRPr="002A7627">
        <w:rPr>
          <w:lang w:bidi="fa-IR"/>
        </w:rPr>
        <w:fldChar w:fldCharType="separate"/>
      </w:r>
      <w:r w:rsidR="00D727A2" w:rsidRPr="002A7627">
        <w:rPr>
          <w:noProof/>
          <w:lang w:bidi="fa-IR"/>
        </w:rPr>
        <w:t>(Choudhary</w:t>
      </w:r>
      <w:r w:rsidR="00F4281A" w:rsidRPr="002A7627">
        <w:rPr>
          <w:noProof/>
          <w:lang w:bidi="fa-IR"/>
        </w:rPr>
        <w:t xml:space="preserve"> et al.</w:t>
      </w:r>
      <w:r w:rsidR="0083144E" w:rsidRPr="002A7627">
        <w:rPr>
          <w:noProof/>
          <w:lang w:bidi="fa-IR"/>
        </w:rPr>
        <w:t>, 2013</w:t>
      </w:r>
      <w:r w:rsidR="00D727A2" w:rsidRPr="002A7627">
        <w:rPr>
          <w:noProof/>
          <w:lang w:bidi="fa-IR"/>
        </w:rPr>
        <w:t>)</w:t>
      </w:r>
      <w:r w:rsidR="00D727A2" w:rsidRPr="002A7627">
        <w:rPr>
          <w:lang w:bidi="fa-IR"/>
        </w:rPr>
        <w:fldChar w:fldCharType="end"/>
      </w:r>
      <w:r w:rsidR="00D727A2" w:rsidRPr="002A7627">
        <w:rPr>
          <w:lang w:bidi="fa-IR"/>
        </w:rPr>
        <w:t xml:space="preserve">. </w:t>
      </w:r>
    </w:p>
    <w:p w14:paraId="3EE2C1B0" w14:textId="43942AA5" w:rsidR="00D727A2" w:rsidRPr="002A7627" w:rsidRDefault="00D727A2" w:rsidP="0084184C">
      <w:pPr>
        <w:pStyle w:val="AAAAAAA"/>
        <w:rPr>
          <w:rFonts w:asciiTheme="majorBidi" w:hAnsiTheme="majorBidi" w:cstheme="majorBidi"/>
        </w:rPr>
      </w:pPr>
      <w:r w:rsidRPr="002A7627">
        <w:rPr>
          <w:lang w:bidi="fa-IR"/>
        </w:rPr>
        <w:t xml:space="preserve">The main contribution of this study was that it </w:t>
      </w:r>
      <w:r w:rsidR="0036675F">
        <w:rPr>
          <w:lang w:bidi="fa-IR"/>
        </w:rPr>
        <w:t>examined</w:t>
      </w:r>
      <w:r w:rsidR="0036675F" w:rsidRPr="002A7627">
        <w:rPr>
          <w:lang w:bidi="fa-IR"/>
        </w:rPr>
        <w:t xml:space="preserve"> </w:t>
      </w:r>
      <w:r w:rsidRPr="002A7627">
        <w:rPr>
          <w:lang w:bidi="fa-IR"/>
        </w:rPr>
        <w:t xml:space="preserve">the impact of organizational learning on a comprehensive set of benefits of knowledge management. The findings confirm organizational learning theory and the importance of sharing knowledge to solve problems </w:t>
      </w:r>
      <w:r w:rsidRPr="002A7627">
        <w:rPr>
          <w:rFonts w:asciiTheme="majorBidi" w:hAnsiTheme="majorBidi" w:cstheme="majorBidi"/>
        </w:rPr>
        <w:t xml:space="preserve">efficiently </w:t>
      </w:r>
      <w:r w:rsidRPr="002A7627">
        <w:rPr>
          <w:rFonts w:asciiTheme="majorBidi" w:hAnsiTheme="majorBidi" w:cstheme="majorBidi"/>
        </w:rPr>
        <w:fldChar w:fldCharType="begin" w:fldLock="1"/>
      </w:r>
      <w:r w:rsidR="007C79F2" w:rsidRPr="002A7627">
        <w:rPr>
          <w:rFonts w:asciiTheme="majorBidi" w:hAnsiTheme="majorBidi" w:cstheme="majorBidi"/>
        </w:rPr>
        <w:instrText>ADDIN CSL_CITATION {"citationItems":[{"id":"ITEM-1","itemData":{"ISBN":"9781351362283","abstract":"Integrating leadership and creativity theories, we tested a model that links empowering leadership with team creativity. Using longitudinal data from 102 R&amp;D teams across three IT companies, we found empowering leadership positively influenced team creativity via team learning behavior and team creative efficacy. And team task complexity strengthened these relationships. [ABSTRACT FROM AUTHOR] Copyright of Academy of Management Annual Meeting Proceedings is the property of Academy of Management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Abstracts.)","author":[{"dropping-particle":"","family":"Zhang","given":"X.","non-dropping-particle":"","parse-names":false,"suffix":""},{"dropping-particle":"","family":"Kwan","given":"Ho Kwong","non-dropping-particle":"","parse-names":false,"suffix":""}],"container-title":"Creative Leadership: Contexts and Prospects","editor":[{"dropping-particle":"","family":"Mainemeli","given":"Charalampos","non-dropping-particle":"","parse-names":false,"suffix":""},{"dropping-particle":"","family":"Epitropaki","given":"Olga","non-dropping-particle":"","parse-names":false,"suffix":""}],"id":"ITEM-1","issued":{"date-parts":[["2018"]]},"page":"95-121","publisher":"Routledge","publisher-place":"London, UK","title":"Empowering leadership and team creativity: The roles of team learning behavior, team creative efficacy, and team task complexity","type":"chapter"},"uris":["http://www.mendeley.com/documents/?uuid=6abeb1e3-2bf1-4d4e-87fe-384df104a8c2"]}],"mendeley":{"formattedCitation":"(X. Zhang &amp; Kwan, 2018)","manualFormatting":"(Zhang &amp; Kwan, 2018)","plainTextFormattedCitation":"(X. Zhang &amp; Kwan, 2018)","previouslyFormattedCitation":"(X. Zhang &amp; Kwan, 2018)"},"properties":{"noteIndex":0},"schema":"https://github.com/citation-style-language/schema/raw/master/csl-citation.json"}</w:instrText>
      </w:r>
      <w:r w:rsidRPr="002A7627">
        <w:rPr>
          <w:rFonts w:asciiTheme="majorBidi" w:hAnsiTheme="majorBidi" w:cstheme="majorBidi"/>
        </w:rPr>
        <w:fldChar w:fldCharType="separate"/>
      </w:r>
      <w:r w:rsidRPr="002A7627">
        <w:rPr>
          <w:rFonts w:asciiTheme="majorBidi" w:hAnsiTheme="majorBidi" w:cstheme="majorBidi"/>
          <w:noProof/>
        </w:rPr>
        <w:t xml:space="preserve">(Zhang </w:t>
      </w:r>
      <w:r w:rsidR="0083144E" w:rsidRPr="002A7627">
        <w:rPr>
          <w:rFonts w:asciiTheme="majorBidi" w:hAnsiTheme="majorBidi" w:cstheme="majorBidi"/>
          <w:noProof/>
        </w:rPr>
        <w:t>&amp; Kwan, 2018</w:t>
      </w:r>
      <w:r w:rsidRPr="002A7627">
        <w:rPr>
          <w:rFonts w:asciiTheme="majorBidi" w:hAnsiTheme="majorBidi" w:cstheme="majorBidi"/>
          <w:noProof/>
        </w:rPr>
        <w:t>)</w:t>
      </w:r>
      <w:r w:rsidRPr="002A7627">
        <w:rPr>
          <w:rFonts w:asciiTheme="majorBidi" w:hAnsiTheme="majorBidi" w:cstheme="majorBidi"/>
        </w:rPr>
        <w:fldChar w:fldCharType="end"/>
      </w:r>
      <w:r w:rsidRPr="002A7627">
        <w:rPr>
          <w:rFonts w:asciiTheme="majorBidi" w:hAnsiTheme="majorBidi" w:cstheme="majorBidi"/>
        </w:rPr>
        <w:t xml:space="preserve">. It also supports previous studies such as </w:t>
      </w:r>
      <w:r w:rsidRPr="002A7627">
        <w:rPr>
          <w:rFonts w:asciiTheme="majorBidi" w:hAnsiTheme="majorBidi" w:cstheme="majorBidi"/>
          <w:noProof/>
        </w:rPr>
        <w:t>Castaneda</w:t>
      </w:r>
      <w:r w:rsidR="00DB0AF8">
        <w:rPr>
          <w:rFonts w:asciiTheme="majorBidi" w:hAnsiTheme="majorBidi" w:cstheme="majorBidi"/>
          <w:noProof/>
        </w:rPr>
        <w:t xml:space="preserve"> et al.</w:t>
      </w:r>
      <w:r w:rsidRPr="002A7627">
        <w:rPr>
          <w:rFonts w:asciiTheme="majorBidi" w:hAnsiTheme="majorBidi" w:cstheme="majorBidi"/>
          <w:noProof/>
        </w:rPr>
        <w:t xml:space="preserve"> (2018)</w:t>
      </w:r>
      <w:r w:rsidRPr="002A7627">
        <w:rPr>
          <w:rFonts w:asciiTheme="majorBidi" w:hAnsiTheme="majorBidi" w:cstheme="majorBidi"/>
        </w:rPr>
        <w:t xml:space="preserve">, who carried out a systematic literature review of articles published in peer-reviewed journals from 1970 to 2016, and confirmed that the process of organizational learning had been absorbed conceptually into knowledge management studies. </w:t>
      </w:r>
    </w:p>
    <w:p w14:paraId="1C2D44CC" w14:textId="2739CB07" w:rsidR="00D727A2" w:rsidRPr="002A7627" w:rsidRDefault="0075026B" w:rsidP="0084184C">
      <w:pPr>
        <w:pStyle w:val="AAAAAAA"/>
        <w:rPr>
          <w:rFonts w:asciiTheme="majorBidi" w:hAnsiTheme="majorBidi" w:cstheme="majorBidi"/>
        </w:rPr>
      </w:pPr>
      <w:r w:rsidRPr="002A7627">
        <w:rPr>
          <w:rFonts w:asciiTheme="majorBidi" w:hAnsiTheme="majorBidi" w:cstheme="majorBidi"/>
        </w:rPr>
        <w:fldChar w:fldCharType="begin" w:fldLock="1"/>
      </w:r>
      <w:r w:rsidRPr="002A7627">
        <w:rPr>
          <w:rFonts w:asciiTheme="majorBidi" w:hAnsiTheme="majorBidi" w:cstheme="majorBidi"/>
        </w:rPr>
        <w:instrText>ADDIN CSL_CITATION {"citationItems":[{"id":"ITEM-1","itemData":{"ISBN":"9780128095805","abstract":"Organizational Learning in Asia: Issues and Challenges addresses important and pressing questions on organizational learning in Asia in both domestic and foreign firms-those that have been forgotten in the mainstream literature or that remain unasked and unanswered. Three sets of questions are especially salient. First, how can firms operating in, or from, Asia detect, respect, recognize, and honor different cultural stances on suggestion-giving, knowledge sharing, and standardization while also challenging accepted wisdom, avoiding risks and mistakes, and voicing disagreement? Second, how can such firms facilitate local experimentation and innovation by providing a common knowledge platform in a non-totalitarian manner? Finally, how can such forums promote 'reverse' knowledge transfer from subsidiary to headquarters and across subsidiaries in different nations by avoiding ethnocentricity, cultivating local talent, and building a group of 'communities of practice' across cultural and status boundaries? Front Cover; Organizational Learning in Asia; Copyright Page; Contents; List of Contributors; Preface; Acknowledgment; I. Introduction and Background; 1 Introduction: Organizational Learning in Context, Not Isolation; Debates on Organizational Learning: Context-Free or Context-Specific?; Asia as a Research Context; Overview of Contributions to this Volume; Conclusion; References; 2 Organizational Learning in the Context of Institutional Voids: Government Interventionism and Business Networks in Asia; Institutional Voids; Cases; General Motors in China; L'Oreal in India; Tata Motors in India. Government InterventionGovernment Intervention through Regulation; Government Intervention through Subsidies/Taxes; Business Networks; Chinese Business Networks: Guanxi; Japanese Corporate Business Networks: Keiretsu; Value Chain Supply Networks; Original Equipment Manufacturing; Research and development Alliances; Summary and Implications for Organizational Learning; References; II. Learning At Individual And Team Levels; 3 Lose it to Gain it! Unlearning by Individuals and Relearning as a Team; Introduction; Purpose of the Study; Significance of the Study; Context of the Study. The Case of OmegaAn Overview of the Intervention; A Framework for Knowledge Sharing and Experimentation; Theoretical Perspectives; Knowledge Operating in 'ba' and 'holding space'; Knowledge Sharing and Experimentation; Individual Unlearning, Wicked Problems, and Team Learning; Methods; Researc…","editor":[{"dropping-particle":"","family":"Hong","given":"Jacky","non-dropping-particle":"","parse-names":false,"suffix":""},{"dropping-particle":"","family":"Snell","given":"Robin S.","non-dropping-particle":"","parse-names":false,"suffix":""},{"dropping-particle":"","family":"Rowley","given":"Chris","non-dropping-particle":"","parse-names":false,"suffix":""}],"id":"ITEM-1","issued":{"date-parts":[["2017"]]},"publisher":"Elsevier","publisher-place":"New York, NY","title":"Organizational learning in Asia: Issues and challenges","type":"book"},"uris":["http://www.mendeley.com/documents/?uuid=3380d17c-f852-3f98-985f-a0123fae99bf"]}],"mendeley":{"formattedCitation":"(Hong, Snell, &amp; Rowley, 2017)","manualFormatting":"Hong, Snell, and Rowley (2017)","plainTextFormattedCitation":"(Hong, Snell, &amp; Rowley, 2017)","previouslyFormattedCitation":"(Hong, Snell, &amp; Rowley, 2017)"},"properties":{"noteIndex":0},"schema":"https://github.com/citation-style-language/schema/raw/master/csl-citation.json"}</w:instrText>
      </w:r>
      <w:r w:rsidRPr="002A7627">
        <w:rPr>
          <w:rFonts w:asciiTheme="majorBidi" w:hAnsiTheme="majorBidi" w:cstheme="majorBidi"/>
        </w:rPr>
        <w:fldChar w:fldCharType="separate"/>
      </w:r>
      <w:r w:rsidRPr="002A7627">
        <w:rPr>
          <w:rFonts w:asciiTheme="majorBidi" w:hAnsiTheme="majorBidi" w:cstheme="majorBidi"/>
          <w:noProof/>
        </w:rPr>
        <w:t>Hong, Snell, and Rowley (2017)</w:t>
      </w:r>
      <w:r w:rsidRPr="002A7627">
        <w:rPr>
          <w:rFonts w:asciiTheme="majorBidi" w:hAnsiTheme="majorBidi" w:cstheme="majorBidi"/>
        </w:rPr>
        <w:fldChar w:fldCharType="end"/>
      </w:r>
      <w:r w:rsidR="00D727A2" w:rsidRPr="002A7627">
        <w:rPr>
          <w:rFonts w:asciiTheme="majorBidi" w:hAnsiTheme="majorBidi" w:cstheme="majorBidi"/>
        </w:rPr>
        <w:t xml:space="preserve"> found a significant difference in the development and acceptance of organizational learning in Europe, America</w:t>
      </w:r>
      <w:r w:rsidR="006B5250" w:rsidRPr="002A7627">
        <w:rPr>
          <w:rFonts w:asciiTheme="majorBidi" w:hAnsiTheme="majorBidi" w:cstheme="majorBidi"/>
        </w:rPr>
        <w:t>,</w:t>
      </w:r>
      <w:r w:rsidR="00D727A2" w:rsidRPr="002A7627">
        <w:rPr>
          <w:rFonts w:asciiTheme="majorBidi" w:hAnsiTheme="majorBidi" w:cstheme="majorBidi"/>
        </w:rPr>
        <w:t xml:space="preserve"> and Asia. They recommended quantitative research on this area, and this study helps to fill that gap with detailed quantitative analysis. </w:t>
      </w:r>
    </w:p>
    <w:p w14:paraId="0FB50102" w14:textId="77777777" w:rsidR="00D727A2" w:rsidRPr="002A7627" w:rsidRDefault="00D727A2" w:rsidP="0084184C">
      <w:pPr>
        <w:pStyle w:val="AAAAAAA"/>
        <w:rPr>
          <w:rFonts w:asciiTheme="majorBidi" w:hAnsiTheme="majorBidi" w:cstheme="majorBidi"/>
        </w:rPr>
      </w:pPr>
      <w:r w:rsidRPr="002A7627">
        <w:rPr>
          <w:rFonts w:asciiTheme="majorBidi" w:hAnsiTheme="majorBidi" w:cstheme="majorBidi"/>
        </w:rPr>
        <w:t>Overall, organizational learning plays a critical role in delivering knowledge management benefits in Abu Dhabi Police. This may reflect the organization’s strategy to help to build a knowledge-based economy by enhancing organizational learning.</w:t>
      </w:r>
    </w:p>
    <w:p w14:paraId="2DF4545D" w14:textId="547F9719" w:rsidR="00D727A2" w:rsidRPr="002A7627" w:rsidRDefault="00B56693" w:rsidP="001D5F54">
      <w:pPr>
        <w:pStyle w:val="Heading1"/>
        <w:jc w:val="lowKashida"/>
        <w:rPr>
          <w:rFonts w:ascii="Times" w:hAnsi="Times"/>
          <w:color w:val="000000"/>
        </w:rPr>
      </w:pPr>
      <w:bookmarkStart w:id="282" w:name="_Toc13959674"/>
      <w:bookmarkStart w:id="283" w:name="_Toc22331717"/>
      <w:r>
        <w:rPr>
          <w:color w:val="000000"/>
        </w:rPr>
        <w:t>6.5. RQ</w:t>
      </w:r>
      <w:r w:rsidR="00D727A2" w:rsidRPr="002A7627">
        <w:rPr>
          <w:color w:val="000000"/>
        </w:rPr>
        <w:t xml:space="preserve"> 4: The </w:t>
      </w:r>
      <w:r w:rsidR="0084184C" w:rsidRPr="002A7627">
        <w:rPr>
          <w:color w:val="000000"/>
        </w:rPr>
        <w:t xml:space="preserve">Mediating Role of Organizational Learning Between Knowledge Management Capabilities and </w:t>
      </w:r>
      <w:r w:rsidR="0084184C" w:rsidRPr="002A7627">
        <w:rPr>
          <w:rFonts w:ascii="Times" w:hAnsi="Times"/>
          <w:color w:val="000000"/>
        </w:rPr>
        <w:t>Knowledge Management Benefits</w:t>
      </w:r>
      <w:bookmarkEnd w:id="282"/>
      <w:bookmarkEnd w:id="283"/>
    </w:p>
    <w:p w14:paraId="115534D3" w14:textId="41FDCDA3" w:rsidR="00D727A2" w:rsidRPr="002A7627" w:rsidRDefault="00FE0470" w:rsidP="0084184C">
      <w:pPr>
        <w:pStyle w:val="AAAAAAA"/>
      </w:pPr>
      <w:r>
        <w:t>T</w:t>
      </w:r>
      <w:r w:rsidR="00D727A2" w:rsidRPr="002A7627">
        <w:t>here was a significant indirect relationship between knowledge management capabilities and knowledge management benefits, mediated by organizational learning (</w:t>
      </w:r>
      <w:r w:rsidR="00D727A2" w:rsidRPr="007857F2">
        <w:rPr>
          <w:i/>
        </w:rPr>
        <w:t>β</w:t>
      </w:r>
      <w:r w:rsidR="00D727A2" w:rsidRPr="002A7627">
        <w:t xml:space="preserve"> = 0.045, </w:t>
      </w:r>
      <w:r w:rsidR="00D727A2" w:rsidRPr="007857F2">
        <w:rPr>
          <w:i/>
        </w:rPr>
        <w:t>t</w:t>
      </w:r>
      <w:r w:rsidR="00D727A2" w:rsidRPr="002A7627">
        <w:t xml:space="preserve"> = 2.932, </w:t>
      </w:r>
      <w:r w:rsidR="00D727A2" w:rsidRPr="007857F2">
        <w:rPr>
          <w:i/>
        </w:rPr>
        <w:t>p</w:t>
      </w:r>
      <w:r w:rsidR="00D727A2" w:rsidRPr="002A7627">
        <w:t xml:space="preserve"> &lt; 0.01). This mediation effect was partial, because there was also a significant direct relationship between knowledge management capabilities and knowledge management benefits (</w:t>
      </w:r>
      <w:r w:rsidR="00D727A2" w:rsidRPr="007857F2">
        <w:rPr>
          <w:i/>
        </w:rPr>
        <w:t>β</w:t>
      </w:r>
      <w:r w:rsidR="00D727A2" w:rsidRPr="002A7627">
        <w:t xml:space="preserve"> = 0.122, </w:t>
      </w:r>
      <w:r w:rsidR="00D727A2" w:rsidRPr="007857F2">
        <w:rPr>
          <w:i/>
        </w:rPr>
        <w:t>t</w:t>
      </w:r>
      <w:r w:rsidR="00D727A2" w:rsidRPr="002A7627">
        <w:t xml:space="preserve"> = 2.445, </w:t>
      </w:r>
      <w:r w:rsidR="00D727A2" w:rsidRPr="007857F2">
        <w:rPr>
          <w:i/>
        </w:rPr>
        <w:t>p</w:t>
      </w:r>
      <w:r w:rsidR="00D727A2" w:rsidRPr="002A7627">
        <w:t xml:space="preserve"> &lt; 0.05, </w:t>
      </w:r>
      <w:r w:rsidR="00D727A2" w:rsidRPr="007857F2">
        <w:rPr>
          <w:i/>
        </w:rPr>
        <w:t>f</w:t>
      </w:r>
      <w:r w:rsidR="00D727A2" w:rsidRPr="007857F2">
        <w:rPr>
          <w:i/>
          <w:vertAlign w:val="superscript"/>
        </w:rPr>
        <w:t>2</w:t>
      </w:r>
      <w:r w:rsidR="00D727A2" w:rsidRPr="002A7627">
        <w:t xml:space="preserve"> = 0.018). These relationships supported Hypothesis H7, as well as being consistent with studies that found that maintaining an organizational learning environment can improve problem-solving </w:t>
      </w:r>
      <w:r w:rsidR="00D727A2" w:rsidRPr="002A7627">
        <w:fldChar w:fldCharType="begin" w:fldLock="1"/>
      </w:r>
      <w:r w:rsidR="007C79F2" w:rsidRPr="002A7627">
        <w:instrText>ADDIN CSL_CITATION {"citationItems":[{"id":"ITEM-1","itemData":{"DOI":"10.1108/ER-01-2016-0006","ISBN":"0420170014","ISSN":"01425455","PMID":"42012058","abstract":"Purpose – The purpose of this paper is to determine the impact of strategic human resource management (HRM) practices and knowledge strategies on the performance of a sample of software companies in India. Design/methodology/approach – The sample chosen for this study was software professionals in India; the software companies were chosen based on their listing in the NASSCOM annual report, with financial turnover as the basis for classification. In order to measure the tangible and intangible outcomes, instruments used in this study include financial and non-economic performance. Findings – As per the contingency approach, the fit between strategicHRMpractices (staffing, general training, specific training, performance appraisal, performance feedback, reward and compensation and employee development) and knowledge strategy dimensions (consolidator, transformer and co-inventor) was observed and the results revealed that the moderation effect has had a positive impact on the firms’ performance. Practical implications – Investment in specific developmental programs for high-potential employees and quick learners will make knowledge-intensive firms financially sound in the long run. Through an appropriate reward strategy, employees who are capable of lateral and innovative thinking at work can be engaged in consistently delivering quality projects, which will have a significant positive impact on overall project costs and the financial performance of the firm. Originality/value – The proposed model in this study can enhance a firm’s performance, provided the firm adopts a specific knowledge strategy and coherently aligns it with strategic HRM practices to achieve a sustained competitive advantage.","author":[{"dropping-particle":"","family":"Arunprasad","given":"P.","non-dropping-particle":"","parse-names":false,"suffix":""}],"container-title":"Employee Relations","id":"ITEM-1","issue":"5","issued":{"date-parts":[["2017"]]},"page":"753-774","title":"Inevitable knowledge strategy: A paradigm shift in strategic HRM practices to augment firm’s performance","type":"article-journal","volume":"39"},"uris":["http://www.mendeley.com/documents/?uuid=19344771-65a3-4729-b95b-7f775ddba412"]},{"id":"ITEM-2","itemData":{"abstract":"The work of Chris Argyris (1923‐) has influenced thinking about the relationship of people and organizations, organizational learning and action research. contents: introduction • life • theories of action: theory in use and espoused theory • single‐loop and double‐loop learning • model I and model II • organizational learning • conclusion • further reading and references • links • cite Chris Argyris has made a significant contribution to the development of our appreciation of organizational learning, and, almost in passing, deepened our understanding of experiential learning. On this page we examine the significance of the models he developed with Donald Schön of single‐ loop and double‐loop learning, and how these translate into contrasting models of organizational learning systems. Life","author":[{"dropping-particle":"","family":"Argyris","given":"Chris","non-dropping-particle":"","parse-names":false,"suffix":""},{"dropping-particle":"","family":"Schon","given":"Donald","non-dropping-particle":"","parse-names":false,"suffix":""}],"id":"ITEM-2","issued":{"date-parts":[["1978"]]},"number-of-pages":"344","publisher":"Wiley","publisher-place":"New York, NY","title":"Organizational learning: A theory of action approach","type":"book"},"uris":["http://www.mendeley.com/documents/?uuid=c1a351ed-399b-4863-8845-7c2f5642493a"]}],"mendeley":{"formattedCitation":"(Argyris &amp; Schon, 1978; Arunprasad, 2017)","manualFormatting":"(Argyris &amp; Schon, 1978; Arunprasad, 2017)","plainTextFormattedCitation":"(Argyris &amp; Schon, 1978; Arunprasad, 2017)","previouslyFormattedCitation":"(Argyris &amp; Schon, 1978; Arunprasad, 2017)"},"properties":{"noteIndex":0},"schema":"https://github.com/citation-style-language/schema/raw/master/csl-citation.json"}</w:instrText>
      </w:r>
      <w:r w:rsidR="00D727A2" w:rsidRPr="002A7627">
        <w:fldChar w:fldCharType="separate"/>
      </w:r>
      <w:r w:rsidR="00D727A2" w:rsidRPr="002A7627">
        <w:rPr>
          <w:noProof/>
        </w:rPr>
        <w:t xml:space="preserve">(Argyris </w:t>
      </w:r>
      <w:r w:rsidR="0083144E" w:rsidRPr="002A7627">
        <w:rPr>
          <w:noProof/>
        </w:rPr>
        <w:t>&amp; Schon, 1978</w:t>
      </w:r>
      <w:r w:rsidR="00D727A2" w:rsidRPr="002A7627">
        <w:rPr>
          <w:noProof/>
        </w:rPr>
        <w:t>; Arunprasad, 2017)</w:t>
      </w:r>
      <w:r w:rsidR="00D727A2" w:rsidRPr="002A7627">
        <w:fldChar w:fldCharType="end"/>
      </w:r>
      <w:r w:rsidR="00D727A2" w:rsidRPr="002A7627">
        <w:t xml:space="preserve">. The result is also consistent with studies </w:t>
      </w:r>
      <w:r w:rsidR="00D727A2" w:rsidRPr="002A7627">
        <w:fldChar w:fldCharType="begin" w:fldLock="1"/>
      </w:r>
      <w:r w:rsidR="007C79F2" w:rsidRPr="002A7627">
        <w:instrText>ADDIN CSL_CITATION {"citationItems":[{"id":"ITEM-1","itemData":{"DOI":"10.1016/j.im.2017.10.001","ISSN":"03787206","abstract":"Despite several calls for considering industry in the IS value research, few studies investigated the relationship between benefits of IT and industries. This study extends Chae et al. (2014) by investigating how industry influences the relationship between IT capability and business performance. Unexpectedly, it finds that the control group in the industries in which the “transform” IT strategic role dominates showed superior performance than the IT leader. Also, the IT leaders in the “automate” IT strategic industry did not exhibit better business performance than the control firms. We discuss the implications of these findings.","author":[{"dropping-particle":"","family":"Chae","given":"Ho-Chang","non-dropping-particle":"","parse-names":false,"suffix":""},{"dropping-particle":"","family":"Koh","given":"Chang E.","non-dropping-particle":"","parse-names":false,"suffix":""},{"dropping-particle":"","family":"Park","given":"Kwang O.","non-dropping-particle":"","parse-names":false,"suffix":""}],"container-title":"Information and Management","id":"ITEM-1","issue":"5","issued":{"date-parts":[["2018","7"]]},"page":"525-546","title":"Information technology capability and firm performance: Role of industry","type":"article-journal","volume":"55"},"uris":["http://www.mendeley.com/documents/?uuid=707f5a29-eb95-4b97-933f-0c0c0ab0836c"]},{"id":"ITEM-2","itemData":{"DOI":"10.1002/smj.337","ISBN":"1097-0266","ISSN":"0143-2095","PMID":"225003183","abstract":"Many companies have developed strategies that include investing heavily in information technology (IT) in order to enhance their performance. Yet, this investment pays off for some companies but not others. This study proposes that organization learning plays a significant role in determining the outcomes of IT. Drawing from resource theory and IT literature, the authors develop the concept of IT competency. Using structural equations modeling with data collected from managers in 271 manufacturing firms, they show that organizational learning plays a significant role in mediating the effects of IT competency on firm performance. Copyright 2003 John Wiley &amp; Sons, Ltd.","author":[{"dropping-particle":"","family":"Tippins","given":"Michael J.","non-dropping-particle":"","parse-names":false,"suffix":""},{"dropping-particle":"","family":"Sohi","given":"Ravipreet S.","non-dropping-particle":"","parse-names":false,"suffix":""}],"container-title":"Strategic Management Journal","id":"ITEM-2","issue":"8","issued":{"date-parts":[["2003","8"]]},"page":"745-761","title":"IT competency and firm performance: Is organizational learning a missing link?","type":"article-journal","volume":"24"},"uris":["http://www.mendeley.com/documents/?uuid=6da866e2-5545-472d-a91e-0b11cfc0f7f8"]}],"mendeley":{"formattedCitation":"(Chae et al., 2018; Tippins &amp; Sohi, 2003)","manualFormatting":"(Chae et al., 2018; Tippins &amp; Sohi, 2003)","plainTextFormattedCitation":"(Chae et al., 2018; Tippins &amp; Sohi, 2003)","previouslyFormattedCitation":"(Chae et al., 2018; Tippins &amp; Sohi, 2003)"},"properties":{"noteIndex":0},"schema":"https://github.com/citation-style-language/schema/raw/master/csl-citation.json"}</w:instrText>
      </w:r>
      <w:r w:rsidR="00D727A2" w:rsidRPr="002A7627">
        <w:fldChar w:fldCharType="separate"/>
      </w:r>
      <w:r w:rsidR="00D727A2" w:rsidRPr="002A7627">
        <w:rPr>
          <w:noProof/>
        </w:rPr>
        <w:t xml:space="preserve">(Chae et al., 2018; Tippins </w:t>
      </w:r>
      <w:r w:rsidR="0083144E" w:rsidRPr="002A7627">
        <w:rPr>
          <w:noProof/>
        </w:rPr>
        <w:t>&amp; Sohi, 2003</w:t>
      </w:r>
      <w:r w:rsidR="00D727A2" w:rsidRPr="002A7627">
        <w:rPr>
          <w:noProof/>
        </w:rPr>
        <w:t>)</w:t>
      </w:r>
      <w:r w:rsidR="00D727A2" w:rsidRPr="002A7627">
        <w:fldChar w:fldCharType="end"/>
      </w:r>
      <w:r w:rsidR="00D727A2" w:rsidRPr="002A7627">
        <w:t xml:space="preserve"> that found that developing new knowledge through organizational learning can fill the gap between technological capabilities and organizational performance and that organizational learning mediates the relationship between knowledge management and organizational performance (Nafei, </w:t>
      </w:r>
      <w:r w:rsidR="00D727A2" w:rsidRPr="002A7627">
        <w:fldChar w:fldCharType="begin" w:fldLock="1"/>
      </w:r>
      <w:r w:rsidR="00E24626" w:rsidRPr="002A7627">
        <w:instrText>ADDIN CSL_CITATION {"citationItems":[{"id":"ITEM-1","itemData":{"DOI":"10.5539/ijbm.v9n2p244","ISSN":"1833-8119","abstract":"This study investigates the mediating significant role of OL in the relationship between Knowledge Management (KM) and Organizational Performance (OP). It intends to explore the significant role of KM in achieving superior OP. It analyzes how KM creates OL and how OL contributes to OP. KM and OL should join forces and develop a unified discipline. KM needs OL and its expanding body of good research. OL needs base of practitioners of KM and its abiding interest in problems and practice. KM and OP are believed to be essential for the success in business. Organizations and researchers have turned their attention to KM recently. Despite the growing interest and investment of resources in KM, there are few empirical studies to demonstrate the relationship between KM and OP. Understanding these relationships is essential for managers if they hope to improve OP through KM. The purpose of this research is to fill the abovementioned gap by testing the relationships between KM and their impact on OP. This study was conducted on the Egyptian commercial banks. Of the 382 questionnaires that were distributed, 310 usable questionnaires were returned, a response rate of 81%. This survey-type research is descriptive in terms of the data collection. The finding reveals that KM affects OP through OL. Accordingly, the study provided a set of recommendations including the necessity to pay more attention to KM as a key source for organizations to enhance the competitive advantage which is of prime significance for OP through OL. [PUBLICATION ABSTRACT]","author":[{"dropping-particle":"","family":"Nafei","given":"Wageeh","non-dropping-particle":"","parse-names":false,"suffix":""}],"container-title":"International Journal of Business and Management","id":"ITEM-1","issue":"2","issued":{"date-parts":[["2014","1","22"]]},"page":"244","title":"The mediating effects of organizational learning on the relationship between knowledge management and organizational performance: An applied study on the Egyptian Commercial Banks","type":"article-journal","volume":"9"},"suppress-author":1,"uris":["http://www.mendeley.com/documents/?uuid=204450a0-21dd-4343-8e85-683b23f505b5"]}],"mendeley":{"formattedCitation":"(2014)","manualFormatting":"2014)","plainTextFormattedCitation":"(2014)","previouslyFormattedCitation":"(2014)"},"properties":{"noteIndex":0},"schema":"https://github.com/citation-style-language/schema/raw/master/csl-citation.json"}</w:instrText>
      </w:r>
      <w:r w:rsidR="00D727A2" w:rsidRPr="002A7627">
        <w:fldChar w:fldCharType="separate"/>
      </w:r>
      <w:r w:rsidR="00D727A2" w:rsidRPr="002A7627">
        <w:rPr>
          <w:noProof/>
        </w:rPr>
        <w:t>2014)</w:t>
      </w:r>
      <w:r w:rsidR="00D727A2" w:rsidRPr="002A7627">
        <w:fldChar w:fldCharType="end"/>
      </w:r>
      <w:r w:rsidR="00D727A2" w:rsidRPr="002A7627">
        <w:t xml:space="preserve">. This, in turn, is consistent with the resource-based view and highlights the importance of investment in resources including technology and continuous learning </w:t>
      </w:r>
      <w:r w:rsidR="00D727A2" w:rsidRPr="002A7627">
        <w:fldChar w:fldCharType="begin" w:fldLock="1"/>
      </w:r>
      <w:r w:rsidR="00F4281A" w:rsidRPr="002A7627">
        <w:instrText>ADDIN CSL_CITATION {"citationItems":[{"id":"ITEM-1","itemData":{"DOI":"10.1108/JSM-02-2017-0059","ISBN":"1103007561402","ISSN":"0887-6045","abstract":"The interventions used by 13 psychodynamic-interpersonal (PI) and 18\\ncognitive-behavioral (CB) therapists in sessions representing client\\nchange were explored. The most frequently used verbal interventions by\\nboth orientations were Questions, Reflections, and Interpretations\\n(defined broadly as the therapists providing their own perspective on\\nthe client's functioning). For the sessions as a whole, PI therapists\\nmade significantly more use of Reflection, and CB therapists more use\\nof Advisements and Acknowledgments. During the specific portions of\\nsessions judged by therapists as most closely tied to client change,\\nboth orientations used equivalent amounts of Questions and\\nInterpretations, whereas CB therapists' were more likely to use\\nAdvisements, and PI therapists to use Reflection. In significant\\nportions of sessions, CB therapists used more Interpretations, and\\nfewer Questions and Acknowledgments than they did in less significant\\nportions. In portions of sessions that PI therapists judged to be\\nassociated with change, they used more Reflections and Interpretations,\\nand fewer Questions and Acknowledgments relative to the rest of the\\nsessions. These findings are discussed in terms of similarities and\\ndifferences in the change process as construed by therapists of the two\\norientations.","author":[{"dropping-particle":"","family":"Carlson","given":"Jamie","non-dropping-particle":"","parse-names":false,"suffix":""},{"dropping-particle":"","family":"Rahman","given":"Mohammad","non-dropping-particle":"","parse-names":false,"suffix":""},{"dropping-particle":"","family":"Voola","given":"Ranjit","non-dropping-particle":"","parse-names":false,"suffix":""},{"dropping-particle":"","family":"Vries","given":"Natalie","non-dropping-particle":"De","parse-names":false,"suffix":""}],"container-title":"Journal of Services Marketing","id":"ITEM-1","issue":"1","issued":{"date-parts":[["2018","2","12"]]},"page":"83-94","title":"Customer engagement behaviours in social media: Capturing innovation opportunities","type":"article-journal","volume":"32"},"uris":["http://www.mendeley.com/documents/?uuid=b40725b7-03ec-4a27-8884-e1c78322cad7"]},{"id":"ITEM-2","itemData":{"DOI":"10.5465/ambpp.2008.33622315","ISSN":"0065-0668","abstract":"In this paper we explore a causal mechanism through which high-performance work systems contribute to performance outcomes. We propose that high-performance work systems can improve organizational performance by strengthening relationships among employees who perform distinct functions, a pathway that is expected to be particularly important in settings characterized by highly interdependent work. In a nine-hospital study of patient care, we identify high-performance work practices that positively predict the strength of relational coordination among doctors, nurses, physical therapists, social workers, and case managers, in turn predicting quality and efficiency outcomes for their patients. Relational coordination mediates the association between these high-performance work practices and outcomes, suggesting a relational pathway through which high-performance work systems work.","author":[{"dropping-particle":"","family":"Gittell","given":"J. H.","non-dropping-particle":"","parse-names":false,"suffix":""},{"dropping-particle":"","family":"Seidner","given":"R.","non-dropping-particle":"","parse-names":false,"suffix":""},{"dropping-particle":"","family":"Wimbush","given":"J.","non-dropping-particle":"","parse-names":false,"suffix":""}],"container-title":"Academy of Management Proceedings","id":"ITEM-2","issue":"1","issued":{"date-parts":[["2008","8"]]},"page":"1-6","title":"A relational model of high performance work systems","type":"article-journal","volume":"2008"},"uris":["http://www.mendeley.com/documents/?uuid=c7ec3f66-0ba1-487c-9613-25b1dd52ccc5"]},{"id":"ITEM-3","itemData":{"DOI":"10.1287/orsc.1090.0446","ISSN":"1047-7039","abstract":"JSTOR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In this paper we explore a causal mechanism through which high-performance work systems contribute to performance outcomes. We propose that high-performance work systems can improve organizational performance by strengthening relationships among employees who perform distinct functions, a pathway that is expected to be particularly important in settings characterized by highly interdependent work. In a nine-hospital study of patient care, we identify high-performance work practices that positively predict the strength of relational coordination among doctors, nurses, physical therapists, social workers, and case managers, in turn predicting quality and efficiency outcomes for their patients. Relational coor dination mediates the association between these high-performance work practices and outcomes, suggesting a relational pathway through which high-performance work systems work.","author":[{"dropping-particle":"","family":"Gittell","given":"J. H.","non-dropping-particle":"","parse-names":false,"suffix":""},{"dropping-particle":"","family":"Seidner","given":"R.","non-dropping-particle":"","parse-names":false,"suffix":""},{"dropping-particle":"","family":"Wimbush","given":"J.","non-dropping-particle":"","parse-names":false,"suffix":""}],"container-title":"Organization Science","editor":[{"dropping-particle":"","family":"Godwyn","given":"Mary","non-dropping-particle":"","parse-names":false,"suffix":""},{"dropping-particle":"","family":"Gittell","given":"Jody Hoffer","non-dropping-particle":"","parse-names":false,"suffix":""}],"id":"ITEM-3","issue":"2","issued":{"date-parts":[["2010","4"]]},"page":"490-506","publisher":"Sage","publisher-place":"New Jersey, NJ","title":"A relational model of how high-performance work systems work","type":"article-journal","volume":"21"},"uris":["http://www.mendeley.com/documents/?uuid=decd5bfe-0803-4eea-b70e-5a4c56b4918a"]}],"mendeley":{"formattedCitation":"(Carlson et al., 2018; Gittell et al., 2008, 2010)","manualFormatting":"(Gittell et al., 2008, 2010; Carlson et al., 2018)","plainTextFormattedCitation":"(Carlson et al., 2018; Gittell et al., 2008, 2010)","previouslyFormattedCitation":"(Carlson et al., 2018; Gittell et al., 2008, 2010)"},"properties":{"noteIndex":0},"schema":"https://github.com/citation-style-language/schema/raw/master/csl-citation.json"}</w:instrText>
      </w:r>
      <w:r w:rsidR="00D727A2" w:rsidRPr="002A7627">
        <w:fldChar w:fldCharType="separate"/>
      </w:r>
      <w:r w:rsidR="00D727A2" w:rsidRPr="002A7627">
        <w:rPr>
          <w:noProof/>
        </w:rPr>
        <w:t xml:space="preserve">(Gittell </w:t>
      </w:r>
      <w:r w:rsidR="00D727A2" w:rsidRPr="002A7627">
        <w:rPr>
          <w:iCs/>
          <w:noProof/>
        </w:rPr>
        <w:t xml:space="preserve">et al., </w:t>
      </w:r>
      <w:r w:rsidR="002A3B8C" w:rsidRPr="002A7627">
        <w:rPr>
          <w:iCs/>
          <w:noProof/>
        </w:rPr>
        <w:t xml:space="preserve">2008, </w:t>
      </w:r>
      <w:r w:rsidR="00D727A2" w:rsidRPr="002A7627">
        <w:rPr>
          <w:iCs/>
          <w:noProof/>
        </w:rPr>
        <w:t>2010; Carlson et al., 2018</w:t>
      </w:r>
      <w:r w:rsidR="00D727A2" w:rsidRPr="002A7627">
        <w:rPr>
          <w:noProof/>
        </w:rPr>
        <w:t>)</w:t>
      </w:r>
      <w:r w:rsidR="00D727A2" w:rsidRPr="002A7627">
        <w:fldChar w:fldCharType="end"/>
      </w:r>
      <w:r w:rsidR="00D727A2" w:rsidRPr="002A7627">
        <w:t xml:space="preserve">. </w:t>
      </w:r>
    </w:p>
    <w:p w14:paraId="0CD84F9B" w14:textId="50E1C23A" w:rsidR="00D727A2" w:rsidRPr="002A7627" w:rsidRDefault="00D727A2" w:rsidP="0084184C">
      <w:pPr>
        <w:pStyle w:val="AAAAAAA"/>
        <w:rPr>
          <w:rFonts w:asciiTheme="majorBidi" w:hAnsiTheme="majorBidi" w:cstheme="majorBidi"/>
        </w:rPr>
      </w:pPr>
      <w:r w:rsidRPr="002A7627">
        <w:rPr>
          <w:rFonts w:asciiTheme="majorBidi" w:hAnsiTheme="majorBidi" w:cstheme="majorBidi"/>
        </w:rPr>
        <w:t xml:space="preserve">Organizational learning </w:t>
      </w:r>
      <w:r w:rsidR="0036675F">
        <w:rPr>
          <w:rFonts w:asciiTheme="majorBidi" w:hAnsiTheme="majorBidi" w:cstheme="majorBidi"/>
        </w:rPr>
        <w:t xml:space="preserve">can be defined as </w:t>
      </w:r>
      <w:r w:rsidRPr="002A7627">
        <w:rPr>
          <w:rFonts w:asciiTheme="majorBidi" w:hAnsiTheme="majorBidi" w:cstheme="majorBidi"/>
        </w:rPr>
        <w:t>process of acquiring</w:t>
      </w:r>
      <w:r w:rsidR="00FE0470">
        <w:rPr>
          <w:rFonts w:asciiTheme="majorBidi" w:hAnsiTheme="majorBidi" w:cstheme="majorBidi"/>
        </w:rPr>
        <w:t>, disseminating and sharing</w:t>
      </w:r>
      <w:r w:rsidR="0036675F">
        <w:rPr>
          <w:rFonts w:asciiTheme="majorBidi" w:hAnsiTheme="majorBidi" w:cstheme="majorBidi"/>
        </w:rPr>
        <w:t xml:space="preserve"> knowledge</w:t>
      </w:r>
      <w:r w:rsidR="0036675F" w:rsidRPr="002A7627">
        <w:rPr>
          <w:rFonts w:asciiTheme="majorBidi" w:hAnsiTheme="majorBidi" w:cstheme="majorBidi"/>
        </w:rPr>
        <w:t xml:space="preserve"> </w:t>
      </w:r>
      <w:r w:rsidRPr="002A7627">
        <w:rPr>
          <w:rFonts w:asciiTheme="majorBidi" w:hAnsiTheme="majorBidi" w:cstheme="majorBidi"/>
        </w:rPr>
        <w:fldChar w:fldCharType="begin" w:fldLock="1"/>
      </w:r>
      <w:r w:rsidR="00E24626" w:rsidRPr="002A7627">
        <w:rPr>
          <w:rFonts w:asciiTheme="majorBidi" w:hAnsiTheme="majorBidi" w:cstheme="majorBidi"/>
        </w:rPr>
        <w:instrText>ADDIN CSL_CITATION {"citationItems":[{"id":"ITEM-1","itemData":{"abstract":"No theory or model of organizational learning has widespread acceptance. This paper clarifies the distinction between organizational learning and organizational adaptation and shows that change does not necessarily imply learning. There are different levels of learning, each having a different impact on the strategic management of the firm.","author":[{"dropping-particle":"","family":"Argote","given":"Linda","non-dropping-particle":"","parse-names":false,"suffix":""}],"id":"ITEM-1","issued":{"date-parts":[["2013"]]},"publisher":"Springer","publisher-place":"Boston, MA","title":"Organizational learning: Creating, retaining and transferring knowledge","type":"book"},"uris":["http://www.mendeley.com/documents/?uuid=13b65805-f12b-424d-b92a-cb06620b964d"]}],"mendeley":{"formattedCitation":"(Argote, 2013)","plainTextFormattedCitation":"(Argote, 2013)","previouslyFormattedCitation":"(Argote, 2013)"},"properties":{"noteIndex":0},"schema":"https://github.com/citation-style-language/schema/raw/master/csl-citation.json"}</w:instrText>
      </w:r>
      <w:r w:rsidRPr="002A7627">
        <w:rPr>
          <w:rFonts w:asciiTheme="majorBidi" w:hAnsiTheme="majorBidi" w:cstheme="majorBidi"/>
        </w:rPr>
        <w:fldChar w:fldCharType="separate"/>
      </w:r>
      <w:r w:rsidRPr="002A7627">
        <w:rPr>
          <w:rFonts w:asciiTheme="majorBidi" w:hAnsiTheme="majorBidi" w:cstheme="majorBidi"/>
          <w:noProof/>
        </w:rPr>
        <w:t>(Argote, 2013)</w:t>
      </w:r>
      <w:r w:rsidRPr="002A7627">
        <w:rPr>
          <w:rFonts w:asciiTheme="majorBidi" w:hAnsiTheme="majorBidi" w:cstheme="majorBidi"/>
        </w:rPr>
        <w:fldChar w:fldCharType="end"/>
      </w:r>
      <w:r w:rsidRPr="002A7627">
        <w:rPr>
          <w:rFonts w:asciiTheme="majorBidi" w:hAnsiTheme="majorBidi" w:cstheme="majorBidi"/>
        </w:rPr>
        <w:t xml:space="preserve">. </w:t>
      </w:r>
      <w:r w:rsidRPr="002A7627">
        <w:rPr>
          <w:rFonts w:asciiTheme="majorBidi" w:hAnsiTheme="majorBidi" w:cstheme="majorBidi"/>
        </w:rPr>
        <w:fldChar w:fldCharType="begin" w:fldLock="1"/>
      </w:r>
      <w:r w:rsidR="004C27D4" w:rsidRPr="002A7627">
        <w:rPr>
          <w:rFonts w:asciiTheme="majorBidi" w:hAnsiTheme="majorBidi" w:cstheme="majorBidi"/>
        </w:rPr>
        <w:instrText>ADDIN CSL_CITATION {"citationItems":[{"id":"ITEM-1","itemData":{"DOI":"10.1108/02635571211225521","ISSN":"0263-5577","abstract":"Purpose – The purpose of this paper is to analyze the impact of information technology (IT) competency on knowledge management processes and the relations among IT competency, knowledge management processes and performance outcomes. Design/methodology/approach – The study uses survey data from 162 managers and structural equation modeling to assess the links between IT competency, knowledge management processes and firm performance. Findings – First, this study finds that IT competency plays a critical role in knowledge management processes. Second, knowledge management processes are directly related to market performance, which, in turn, is directly related to financial performance. Third, no direct relation exists between IT competency and firm performance. Knowledge management processes mediate the relation between IT competency and market performance. Research limitations/implications – The research is cross-sectional, so cause-effect relations cannot be definitively inferred from the results. Practical implications – The findings indicate that managers should not only focus on allocating sufficient resources for IT investments. To achieve better performance, these technologies need to be used to support the development of the knowledge management processes. Originality/value – This study contributes to knowledge management research, identifying a key antecedent of knowledge management processes – IT competency – and analyzing the link between knowledge management processes and performance. Moreover, this study is relevant to IT literature because it shows that IT competency, on its own, is insufficient to generate and maintain a competitive advantage. Firms need complementary strategic capabilities such as knowledge management to strengthen the effect of IT competency on firm performance.","author":[{"dropping-particle":"","family":"Pérez‐López","given":"Susana","non-dropping-particle":"","parse-names":false,"suffix":""},{"dropping-particle":"","family":"Alegre","given":"Joaquin","non-dropping-particle":"","parse-names":false,"suffix":""}],"container-title":"Industrial Management and Data Systems","id":"ITEM-1","issue":"4","issued":{"date-parts":[["2012","4","20"]]},"page":"644-662","title":"Information technology competency, knowledge processes and firm performance","type":"article-journal","volume":"112"},"uris":["http://www.mendeley.com/documents/?uuid=fa4d169e-1931-4afe-b5ed-0a14eae5491a"]}],"mendeley":{"formattedCitation":"(Pérez‐López &amp; Alegre, 2012)","manualFormatting":"Pérez-López and Alegre (2012)","plainTextFormattedCitation":"(Pérez‐López &amp; Alegre, 2012)","previouslyFormattedCitation":"(Pérez‐López &amp; Alegre, 2012)"},"properties":{"noteIndex":0},"schema":"https://github.com/citation-style-language/schema/raw/master/csl-citation.json"}</w:instrText>
      </w:r>
      <w:r w:rsidRPr="002A7627">
        <w:rPr>
          <w:rFonts w:asciiTheme="majorBidi" w:hAnsiTheme="majorBidi" w:cstheme="majorBidi"/>
        </w:rPr>
        <w:fldChar w:fldCharType="separate"/>
      </w:r>
      <w:r w:rsidRPr="002A7627">
        <w:rPr>
          <w:rFonts w:asciiTheme="majorBidi" w:hAnsiTheme="majorBidi" w:cstheme="majorBidi"/>
          <w:noProof/>
        </w:rPr>
        <w:t>Pérez-López and Alegre (2012)</w:t>
      </w:r>
      <w:r w:rsidRPr="002A7627">
        <w:rPr>
          <w:rFonts w:asciiTheme="majorBidi" w:hAnsiTheme="majorBidi" w:cstheme="majorBidi"/>
        </w:rPr>
        <w:fldChar w:fldCharType="end"/>
      </w:r>
      <w:r w:rsidRPr="002A7627">
        <w:rPr>
          <w:rFonts w:asciiTheme="majorBidi" w:hAnsiTheme="majorBidi" w:cstheme="majorBidi"/>
        </w:rPr>
        <w:t xml:space="preserve"> found that knowledge management processes (acquisition, transfer, and use) had a full mediating impact between IT competency and financial performance. The partial mediating effect in this study may have been the result of use of different definitions. In particular, this study responded to suggestions </w:t>
      </w:r>
      <w:r w:rsidRPr="002A7627">
        <w:rPr>
          <w:rFonts w:asciiTheme="majorBidi" w:hAnsiTheme="majorBidi" w:cstheme="majorBidi"/>
        </w:rPr>
        <w:fldChar w:fldCharType="begin" w:fldLock="1"/>
      </w:r>
      <w:r w:rsidR="007C79F2" w:rsidRPr="002A7627">
        <w:rPr>
          <w:rFonts w:asciiTheme="majorBidi" w:hAnsiTheme="majorBidi" w:cstheme="majorBidi"/>
        </w:rPr>
        <w:instrText>ADDIN CSL_CITATION {"citationItems":[{"id":"ITEM-1","itemData":{"DOI":"10.1016/j.sbspro.2015.11.355","ISSN":"18770428","abstract":"Today, in the rapidly emerging globalization process, increasing the competitiveness of enterprises depends on increasing of their business performance. Although there are many methods and techniques affecting business performance, innovation has become one of the most widely used method. Although it is known that innovation increases company's performance; in recent years, it has been started to perform different studies in order to further increase the efficiency. The opinion which claims that organizational learning is one of the most important of them has been developing. This study emphasizes the importance of mediating role of organizational learning capability on the relationship between innovation and company's performance with a strategic approach. It's tried to prove the contribution of more than one type of innovations to company's performance through organizational learning capability. The aim of our study is to express whether organizational learning capability is effective as intermediate variable to the effects of innovation at company's performance","author":[{"dropping-particle":"","family":"Kalmuk","given":"Gülhan","non-dropping-particle":"","parse-names":false,"suffix":""},{"dropping-particle":"","family":"Acar","given":"A.Zafer","non-dropping-particle":"","parse-names":false,"suffix":""}],"container-title":"Procedia - Social and Behavioral Sciences","id":"ITEM-1","issued":{"date-parts":[["2015","12"]]},"page":"164-169","title":"The mediating role of organizational learning capability on the relationship between innovation and firm’s performance: A conceptual framework","type":"article-journal","volume":"210"},"uris":["http://www.mendeley.com/documents/?uuid=63ecba5e-7d44-489b-9315-ff1c7cd47ced"]}],"mendeley":{"formattedCitation":"(Kalmuk &amp; Acar, 2015)","manualFormatting":"(Kalmuk &amp; Acar, 2015)","plainTextFormattedCitation":"(Kalmuk &amp; Acar, 2015)","previouslyFormattedCitation":"(Kalmuk &amp; Acar, 2015)"},"properties":{"noteIndex":0},"schema":"https://github.com/citation-style-language/schema/raw/master/csl-citation.json"}</w:instrText>
      </w:r>
      <w:r w:rsidRPr="002A7627">
        <w:rPr>
          <w:rFonts w:asciiTheme="majorBidi" w:hAnsiTheme="majorBidi" w:cstheme="majorBidi"/>
        </w:rPr>
        <w:fldChar w:fldCharType="separate"/>
      </w:r>
      <w:r w:rsidRPr="002A7627">
        <w:rPr>
          <w:rFonts w:asciiTheme="majorBidi" w:hAnsiTheme="majorBidi" w:cstheme="majorBidi"/>
          <w:noProof/>
        </w:rPr>
        <w:t xml:space="preserve">(Kalmuk </w:t>
      </w:r>
      <w:r w:rsidR="0083144E" w:rsidRPr="002A7627">
        <w:rPr>
          <w:rFonts w:asciiTheme="majorBidi" w:hAnsiTheme="majorBidi" w:cstheme="majorBidi"/>
          <w:noProof/>
        </w:rPr>
        <w:t>&amp; Acar, 2015</w:t>
      </w:r>
      <w:r w:rsidRPr="002A7627">
        <w:rPr>
          <w:rFonts w:asciiTheme="majorBidi" w:hAnsiTheme="majorBidi" w:cstheme="majorBidi"/>
          <w:noProof/>
        </w:rPr>
        <w:t>)</w:t>
      </w:r>
      <w:r w:rsidRPr="002A7627">
        <w:rPr>
          <w:rFonts w:asciiTheme="majorBidi" w:hAnsiTheme="majorBidi" w:cstheme="majorBidi"/>
        </w:rPr>
        <w:fldChar w:fldCharType="end"/>
      </w:r>
      <w:r w:rsidRPr="002A7627">
        <w:rPr>
          <w:rFonts w:asciiTheme="majorBidi" w:hAnsiTheme="majorBidi" w:cstheme="majorBidi"/>
        </w:rPr>
        <w:t xml:space="preserve"> to test the role of organizational learning as a mediator between innovation and organizational performance. Its unique contribution was to investigate the role of organizational learning as a mediator between knowledge management capabilities and a comprehensive set of knowledge management benefits, compared to previous studies which examined only one benefit, such as innovation or financial performance. </w:t>
      </w:r>
    </w:p>
    <w:p w14:paraId="6172B5B0" w14:textId="27DE3497" w:rsidR="00D727A2" w:rsidRPr="002A7627" w:rsidRDefault="00B56693" w:rsidP="0017121F">
      <w:pPr>
        <w:pStyle w:val="Heading1"/>
        <w:rPr>
          <w:rFonts w:ascii="Times" w:hAnsi="Times"/>
          <w:color w:val="000000"/>
        </w:rPr>
      </w:pPr>
      <w:bookmarkStart w:id="284" w:name="_Toc13959675"/>
      <w:bookmarkStart w:id="285" w:name="_Toc22331718"/>
      <w:r>
        <w:rPr>
          <w:color w:val="000000"/>
        </w:rPr>
        <w:t>6.6. RQ</w:t>
      </w:r>
      <w:r w:rsidR="00D727A2" w:rsidRPr="002A7627">
        <w:rPr>
          <w:color w:val="000000"/>
        </w:rPr>
        <w:t xml:space="preserve"> 5: The </w:t>
      </w:r>
      <w:r w:rsidR="0084184C" w:rsidRPr="002A7627">
        <w:rPr>
          <w:color w:val="000000"/>
        </w:rPr>
        <w:t xml:space="preserve">Mediating Role </w:t>
      </w:r>
      <w:r w:rsidR="00D727A2" w:rsidRPr="002A7627">
        <w:rPr>
          <w:color w:val="000000"/>
        </w:rPr>
        <w:t xml:space="preserve">of </w:t>
      </w:r>
      <w:r w:rsidR="0084184C" w:rsidRPr="002A7627">
        <w:rPr>
          <w:color w:val="000000"/>
        </w:rPr>
        <w:t xml:space="preserve">Organizational Learning </w:t>
      </w:r>
      <w:r w:rsidR="00D727A2" w:rsidRPr="002A7627">
        <w:rPr>
          <w:color w:val="000000"/>
        </w:rPr>
        <w:t xml:space="preserve">on the </w:t>
      </w:r>
      <w:r w:rsidR="0084184C" w:rsidRPr="002A7627">
        <w:rPr>
          <w:color w:val="000000"/>
        </w:rPr>
        <w:t xml:space="preserve">Relationship </w:t>
      </w:r>
      <w:r w:rsidR="00D727A2" w:rsidRPr="002A7627">
        <w:rPr>
          <w:color w:val="000000"/>
        </w:rPr>
        <w:t xml:space="preserve">between HR </w:t>
      </w:r>
      <w:r w:rsidR="0084184C" w:rsidRPr="002A7627">
        <w:rPr>
          <w:color w:val="000000"/>
        </w:rPr>
        <w:t xml:space="preserve">Practices </w:t>
      </w:r>
      <w:r w:rsidR="00D727A2" w:rsidRPr="002A7627">
        <w:rPr>
          <w:color w:val="000000"/>
        </w:rPr>
        <w:t>and</w:t>
      </w:r>
      <w:r w:rsidR="0084184C" w:rsidRPr="002A7627">
        <w:rPr>
          <w:color w:val="000000"/>
        </w:rPr>
        <w:t xml:space="preserve"> </w:t>
      </w:r>
      <w:r w:rsidR="0084184C" w:rsidRPr="002A7627">
        <w:rPr>
          <w:rFonts w:ascii="Times" w:hAnsi="Times"/>
          <w:color w:val="000000"/>
        </w:rPr>
        <w:t>Knowledge Management Benefits</w:t>
      </w:r>
      <w:bookmarkEnd w:id="284"/>
      <w:bookmarkEnd w:id="285"/>
    </w:p>
    <w:p w14:paraId="08B10C9D" w14:textId="697F6480" w:rsidR="00D727A2" w:rsidRPr="002A7627" w:rsidRDefault="00D727A2" w:rsidP="0084184C">
      <w:pPr>
        <w:pStyle w:val="AAAAAAA"/>
        <w:rPr>
          <w:lang w:bidi="fa-IR"/>
        </w:rPr>
      </w:pPr>
      <w:r w:rsidRPr="002A7627">
        <w:t xml:space="preserve">This study investigated HR practices in four categories: enhancing employee abilities, fostering extrinsic and intrinsic motivation, and providing opportunities </w:t>
      </w:r>
      <w:r w:rsidRPr="002A7627">
        <w:rPr>
          <w:noProof/>
        </w:rPr>
        <w:t>(</w:t>
      </w:r>
      <w:r w:rsidR="00F936C2" w:rsidRPr="002A7627">
        <w:rPr>
          <w:noProof/>
        </w:rPr>
        <w:t>Andreeva &amp; Sergeeva, 2016</w:t>
      </w:r>
      <w:r w:rsidRPr="002A7627">
        <w:rPr>
          <w:noProof/>
        </w:rPr>
        <w:t>; Jiang, Lepak, Hu</w:t>
      </w:r>
      <w:r w:rsidR="00A66254" w:rsidRPr="002A7627">
        <w:rPr>
          <w:noProof/>
        </w:rPr>
        <w:t xml:space="preserve"> et al.</w:t>
      </w:r>
      <w:r w:rsidRPr="002A7627">
        <w:rPr>
          <w:noProof/>
        </w:rPr>
        <w:t>, 2012; Lepak</w:t>
      </w:r>
      <w:r w:rsidR="00C41F2A" w:rsidRPr="002A7627">
        <w:rPr>
          <w:noProof/>
        </w:rPr>
        <w:t xml:space="preserve"> et al.</w:t>
      </w:r>
      <w:r w:rsidR="0083144E" w:rsidRPr="002A7627">
        <w:rPr>
          <w:noProof/>
        </w:rPr>
        <w:t>, 2006)</w:t>
      </w:r>
      <w:r w:rsidRPr="002A7627">
        <w:t xml:space="preserve">. </w:t>
      </w:r>
      <w:r w:rsidRPr="002A7627">
        <w:rPr>
          <w:lang w:bidi="fa-IR"/>
        </w:rPr>
        <w:t>There was an indirect relationship between extrinsic motivation and knowledge management benefits, mediated by organizational learning (</w:t>
      </w:r>
      <w:r w:rsidRPr="007857F2">
        <w:rPr>
          <w:i/>
          <w:lang w:bidi="fa-IR"/>
        </w:rPr>
        <w:t>β</w:t>
      </w:r>
      <w:r w:rsidRPr="002A7627">
        <w:rPr>
          <w:lang w:bidi="fa-IR"/>
        </w:rPr>
        <w:t xml:space="preserve"> = 0.059, </w:t>
      </w:r>
      <w:r w:rsidRPr="007857F2">
        <w:rPr>
          <w:i/>
          <w:lang w:bidi="fa-IR"/>
        </w:rPr>
        <w:t>t</w:t>
      </w:r>
      <w:r w:rsidRPr="002A7627">
        <w:rPr>
          <w:lang w:bidi="fa-IR"/>
        </w:rPr>
        <w:t xml:space="preserve"> = 3.505, </w:t>
      </w:r>
      <w:r w:rsidRPr="007857F2">
        <w:rPr>
          <w:i/>
          <w:lang w:bidi="fa-IR"/>
        </w:rPr>
        <w:t>p</w:t>
      </w:r>
      <w:r w:rsidRPr="002A7627">
        <w:rPr>
          <w:lang w:bidi="fa-IR"/>
        </w:rPr>
        <w:t xml:space="preserve"> &lt; 0.01). The direct relationship between extrinsic motivation and knowledge management benefits was not significant (</w:t>
      </w:r>
      <w:r w:rsidRPr="007857F2">
        <w:rPr>
          <w:i/>
          <w:lang w:bidi="fa-IR"/>
        </w:rPr>
        <w:t>β</w:t>
      </w:r>
      <w:r w:rsidRPr="002A7627">
        <w:rPr>
          <w:lang w:bidi="fa-IR"/>
        </w:rPr>
        <w:t xml:space="preserve"> = −0.019, </w:t>
      </w:r>
      <w:r w:rsidRPr="007857F2">
        <w:rPr>
          <w:i/>
          <w:lang w:bidi="fa-IR"/>
        </w:rPr>
        <w:t>t</w:t>
      </w:r>
      <w:r w:rsidRPr="002A7627">
        <w:rPr>
          <w:lang w:bidi="fa-IR"/>
        </w:rPr>
        <w:t xml:space="preserve"> = 0.5, </w:t>
      </w:r>
      <w:r w:rsidRPr="007857F2">
        <w:rPr>
          <w:i/>
          <w:lang w:bidi="fa-IR"/>
        </w:rPr>
        <w:t>p</w:t>
      </w:r>
      <w:r w:rsidRPr="002A7627">
        <w:rPr>
          <w:lang w:bidi="fa-IR"/>
        </w:rPr>
        <w:t xml:space="preserve"> = 0.617, </w:t>
      </w:r>
      <w:r w:rsidRPr="007857F2">
        <w:rPr>
          <w:i/>
          <w:lang w:bidi="fa-IR"/>
        </w:rPr>
        <w:t>f</w:t>
      </w:r>
      <w:r w:rsidRPr="007857F2">
        <w:rPr>
          <w:i/>
          <w:vertAlign w:val="superscript"/>
          <w:lang w:bidi="fa-IR"/>
        </w:rPr>
        <w:t>2</w:t>
      </w:r>
      <w:r w:rsidRPr="002A7627">
        <w:rPr>
          <w:lang w:bidi="fa-IR"/>
        </w:rPr>
        <w:t xml:space="preserve"> = 0), suggesting that the mediation was full, rather than partial. This relationship supports Hypothesis H8. There was an indirect relationship between intrinsic motivation and management benefits, mediated by organizational learning (</w:t>
      </w:r>
      <w:r w:rsidRPr="007857F2">
        <w:rPr>
          <w:i/>
          <w:lang w:bidi="fa-IR"/>
        </w:rPr>
        <w:t>β</w:t>
      </w:r>
      <w:r w:rsidRPr="002A7627">
        <w:rPr>
          <w:lang w:bidi="fa-IR"/>
        </w:rPr>
        <w:t xml:space="preserve"> = 0.158, </w:t>
      </w:r>
      <w:r w:rsidRPr="007857F2">
        <w:rPr>
          <w:i/>
          <w:lang w:bidi="fa-IR"/>
        </w:rPr>
        <w:t>t</w:t>
      </w:r>
      <w:r w:rsidRPr="002A7627">
        <w:rPr>
          <w:lang w:bidi="fa-IR"/>
        </w:rPr>
        <w:t xml:space="preserve"> = 5.457, </w:t>
      </w:r>
      <w:r w:rsidRPr="007857F2">
        <w:rPr>
          <w:i/>
          <w:lang w:bidi="fa-IR"/>
        </w:rPr>
        <w:t>p</w:t>
      </w:r>
      <w:r w:rsidRPr="002A7627">
        <w:rPr>
          <w:lang w:bidi="fa-IR"/>
        </w:rPr>
        <w:t xml:space="preserve"> &lt; 0.01). However, there was also a significant direct relationship between intrinsic motivation and knowledge management benefits (</w:t>
      </w:r>
      <w:r w:rsidRPr="007857F2">
        <w:rPr>
          <w:i/>
          <w:lang w:bidi="fa-IR"/>
        </w:rPr>
        <w:t>β</w:t>
      </w:r>
      <w:r w:rsidRPr="002A7627">
        <w:rPr>
          <w:lang w:bidi="fa-IR"/>
        </w:rPr>
        <w:t xml:space="preserve"> = 0.126, </w:t>
      </w:r>
      <w:r w:rsidRPr="007857F2">
        <w:rPr>
          <w:i/>
          <w:lang w:bidi="fa-IR"/>
        </w:rPr>
        <w:t>t</w:t>
      </w:r>
      <w:r w:rsidRPr="002A7627">
        <w:rPr>
          <w:lang w:bidi="fa-IR"/>
        </w:rPr>
        <w:t xml:space="preserve"> = 2.215, </w:t>
      </w:r>
      <w:r w:rsidRPr="007857F2">
        <w:rPr>
          <w:i/>
          <w:lang w:bidi="fa-IR"/>
        </w:rPr>
        <w:t>p</w:t>
      </w:r>
      <w:r w:rsidR="0059030B">
        <w:rPr>
          <w:lang w:bidi="fa-IR"/>
        </w:rPr>
        <w:t xml:space="preserve"> </w:t>
      </w:r>
      <w:r w:rsidRPr="002A7627">
        <w:rPr>
          <w:lang w:bidi="fa-IR"/>
        </w:rPr>
        <w:t xml:space="preserve">&lt; 0.05, </w:t>
      </w:r>
      <w:r w:rsidRPr="007857F2">
        <w:rPr>
          <w:i/>
          <w:lang w:bidi="fa-IR"/>
        </w:rPr>
        <w:t>f</w:t>
      </w:r>
      <w:r w:rsidRPr="007857F2">
        <w:rPr>
          <w:i/>
          <w:vertAlign w:val="superscript"/>
          <w:lang w:bidi="fa-IR"/>
        </w:rPr>
        <w:t>2</w:t>
      </w:r>
      <w:r w:rsidRPr="002A7627">
        <w:rPr>
          <w:lang w:bidi="fa-IR"/>
        </w:rPr>
        <w:t xml:space="preserve"> = 0.013), suggesting that the mediation was only partial. This relationship supports Hypothesis H9. </w:t>
      </w:r>
    </w:p>
    <w:p w14:paraId="0B3D9730" w14:textId="149FB204" w:rsidR="00D727A2" w:rsidRPr="002A7627" w:rsidRDefault="00D727A2" w:rsidP="0084184C">
      <w:pPr>
        <w:pStyle w:val="AAAAAAA"/>
        <w:rPr>
          <w:lang w:bidi="fa-IR"/>
        </w:rPr>
      </w:pPr>
      <w:r w:rsidRPr="002A7627">
        <w:rPr>
          <w:lang w:bidi="fa-IR"/>
        </w:rPr>
        <w:t xml:space="preserve">This result was consistent with </w:t>
      </w:r>
      <w:r w:rsidR="0059030B">
        <w:rPr>
          <w:lang w:bidi="fa-IR"/>
        </w:rPr>
        <w:t>a</w:t>
      </w:r>
      <w:r w:rsidR="0059030B" w:rsidRPr="002A7627">
        <w:rPr>
          <w:lang w:bidi="fa-IR"/>
        </w:rPr>
        <w:t xml:space="preserve"> </w:t>
      </w:r>
      <w:r w:rsidRPr="002A7627">
        <w:rPr>
          <w:lang w:bidi="fa-IR"/>
        </w:rPr>
        <w:t xml:space="preserve">study </w:t>
      </w:r>
      <w:r w:rsidR="0059030B">
        <w:rPr>
          <w:lang w:bidi="fa-IR"/>
        </w:rPr>
        <w:t>that</w:t>
      </w:r>
      <w:r w:rsidR="0059030B" w:rsidRPr="002A7627">
        <w:rPr>
          <w:lang w:bidi="fa-IR"/>
        </w:rPr>
        <w:t xml:space="preserve"> </w:t>
      </w:r>
      <w:r w:rsidRPr="002A7627">
        <w:rPr>
          <w:lang w:bidi="fa-IR"/>
        </w:rPr>
        <w:t>investigate</w:t>
      </w:r>
      <w:r w:rsidR="0059030B">
        <w:rPr>
          <w:lang w:bidi="fa-IR"/>
        </w:rPr>
        <w:t>d</w:t>
      </w:r>
      <w:r w:rsidRPr="002A7627">
        <w:rPr>
          <w:lang w:bidi="fa-IR"/>
        </w:rPr>
        <w:t xml:space="preserve"> these issues as a way to support and predict organizational performance in private sector</w:t>
      </w:r>
      <w:r w:rsidR="0059030B">
        <w:rPr>
          <w:lang w:bidi="fa-IR"/>
        </w:rPr>
        <w:t xml:space="preserve"> companies</w:t>
      </w:r>
      <w:r w:rsidRPr="002A7627">
        <w:rPr>
          <w:lang w:bidi="fa-IR"/>
        </w:rPr>
        <w:t xml:space="preserve"> in India </w:t>
      </w:r>
      <w:r w:rsidRPr="002A7627">
        <w:rPr>
          <w:lang w:bidi="fa-IR"/>
        </w:rPr>
        <w:fldChar w:fldCharType="begin" w:fldLock="1"/>
      </w:r>
      <w:r w:rsidR="007C79F2" w:rsidRPr="002A7627">
        <w:rPr>
          <w:lang w:bidi="fa-IR"/>
        </w:rPr>
        <w:instrText>ADDIN CSL_CITATION {"citationItems":[{"id":"ITEM-1","itemData":{"abstract":"The purpose of this study is to measure the relationship between learning orientation of firms and their business performance. It also explores the moderating effect of firm size on relationship between learning orientation of firms and their business performance. The study was conducted on manufacturing and service sector firms from the State of Punjab, India. Self-developed non-disguised questionnaire has been used for the study. A purposive sample of 278 key informants (senior level managers who have insight about learning orientation and performance status of the firm) was used. Exploratory and confirmatory factor analyses were used to validate the learning orientation and business performance scales. The hypotheses were tested using multi-group moderation and structural equation modeling. The study shows that learning orientation has significant positive effect on business performance. The results have indicated that firm size (based on investment) significantly moderates the relationship between learning orientation and business performance. The findings of the study are relevant for practitioners as well as researchers. Practicing managers can gain insights from the suggested learning orientation and performance relationship, especially when they are engaged in small cap firms struggling to compete with relatively established businesses. Future researchers can use the scales developed in this study. The study contributes to the knowledge management literature by providing empirical evidence for relationship between learning orientation and business performance.","author":[{"dropping-particle":"","family":"Vij","given":"Sandeep","non-dropping-particle":"","parse-names":false,"suffix":""},{"dropping-particle":"","family":"Farooq","given":"Rayees","non-dropping-particle":"","parse-names":false,"suffix":""}],"container-title":"IUP Journal of Knowledge Management","id":"ITEM-1","issue":"4","issued":{"date-parts":[["2015"]]},"page":"7-28","title":"Orientation and business performance: Do smaller firms gain more from learning orientation?","type":"article-journal","volume":"13"},"uris":["http://www.mendeley.com/documents/?uuid=ec04625e-efff-445d-92cb-47efa9b00011"]}],"mendeley":{"formattedCitation":"(Vij &amp; Farooq, 2015)","manualFormatting":"(Vij &amp; Farooq, 2015)","plainTextFormattedCitation":"(Vij &amp; Farooq, 2015)","previouslyFormattedCitation":"(Vij &amp; Farooq, 2015)"},"properties":{"noteIndex":0},"schema":"https://github.com/citation-style-language/schema/raw/master/csl-citation.json"}</w:instrText>
      </w:r>
      <w:r w:rsidRPr="002A7627">
        <w:rPr>
          <w:lang w:bidi="fa-IR"/>
        </w:rPr>
        <w:fldChar w:fldCharType="separate"/>
      </w:r>
      <w:r w:rsidRPr="002A7627">
        <w:rPr>
          <w:noProof/>
          <w:lang w:bidi="fa-IR"/>
        </w:rPr>
        <w:t xml:space="preserve">(Vij </w:t>
      </w:r>
      <w:r w:rsidR="0083144E" w:rsidRPr="002A7627">
        <w:rPr>
          <w:noProof/>
          <w:lang w:bidi="fa-IR"/>
        </w:rPr>
        <w:t>&amp; Farooq, 2015)</w:t>
      </w:r>
      <w:r w:rsidRPr="002A7627">
        <w:rPr>
          <w:lang w:bidi="fa-IR"/>
        </w:rPr>
        <w:fldChar w:fldCharType="end"/>
      </w:r>
      <w:r w:rsidR="0059030B">
        <w:rPr>
          <w:lang w:bidi="fa-IR"/>
        </w:rPr>
        <w:t>. That study</w:t>
      </w:r>
      <w:r w:rsidRPr="002A7627">
        <w:rPr>
          <w:lang w:bidi="fa-IR"/>
        </w:rPr>
        <w:t xml:space="preserve"> defined organizational learning as the </w:t>
      </w:r>
      <w:r w:rsidR="008C164D">
        <w:rPr>
          <w:lang w:bidi="fa-IR"/>
        </w:rPr>
        <w:t xml:space="preserve">organization’s </w:t>
      </w:r>
      <w:r w:rsidRPr="002A7627">
        <w:rPr>
          <w:lang w:bidi="fa-IR"/>
        </w:rPr>
        <w:t xml:space="preserve">ability to share knowledge and apply it to enhance knowledge management benefits. If employees are motivated to share knowledge, they will tend to increase their ability to solve problems efficiently </w:t>
      </w:r>
      <w:r w:rsidRPr="002A7627">
        <w:rPr>
          <w:lang w:bidi="fa-IR"/>
        </w:rPr>
        <w:fldChar w:fldCharType="begin" w:fldLock="1"/>
      </w:r>
      <w:r w:rsidR="007C79F2" w:rsidRPr="002A7627">
        <w:rPr>
          <w:lang w:bidi="fa-IR"/>
        </w:rPr>
        <w:instrText>ADDIN CSL_CITATION {"citationItems":[{"id":"ITEM-1","itemData":{"ISBN":"9781351362283","abstract":"Integrating leadership and creativity theories, we tested a model that links empowering leadership with team creativity. Using longitudinal data from 102 R&amp;D teams across three IT companies, we found empowering leadership positively influenced team creativity via team learning behavior and team creative efficacy. And team task complexity strengthened these relationships. [ABSTRACT FROM AUTHOR] Copyright of Academy of Management Annual Meeting Proceedings is the property of Academy of Management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Abstracts.)","author":[{"dropping-particle":"","family":"Zhang","given":"X.","non-dropping-particle":"","parse-names":false,"suffix":""},{"dropping-particle":"","family":"Kwan","given":"Ho Kwong","non-dropping-particle":"","parse-names":false,"suffix":""}],"container-title":"Creative Leadership: Contexts and Prospects","editor":[{"dropping-particle":"","family":"Mainemeli","given":"Charalampos","non-dropping-particle":"","parse-names":false,"suffix":""},{"dropping-particle":"","family":"Epitropaki","given":"Olga","non-dropping-particle":"","parse-names":false,"suffix":""}],"id":"ITEM-1","issued":{"date-parts":[["2018"]]},"page":"95-121","publisher":"Routledge","publisher-place":"London, UK","title":"Empowering leadership and team creativity: The roles of team learning behavior, team creative efficacy, and team task complexity","type":"chapter"},"uris":["http://www.mendeley.com/documents/?uuid=6abeb1e3-2bf1-4d4e-87fe-384df104a8c2"]}],"mendeley":{"formattedCitation":"(X. Zhang &amp; Kwan, 2018)","manualFormatting":"(Zhang &amp; Kwan, 2018)","plainTextFormattedCitation":"(X. Zhang &amp; Kwan, 2018)","previouslyFormattedCitation":"(X. Zhang &amp; Kwan, 2018)"},"properties":{"noteIndex":0},"schema":"https://github.com/citation-style-language/schema/raw/master/csl-citation.json"}</w:instrText>
      </w:r>
      <w:r w:rsidRPr="002A7627">
        <w:rPr>
          <w:lang w:bidi="fa-IR"/>
        </w:rPr>
        <w:fldChar w:fldCharType="separate"/>
      </w:r>
      <w:r w:rsidRPr="002A7627">
        <w:rPr>
          <w:noProof/>
          <w:lang w:bidi="fa-IR"/>
        </w:rPr>
        <w:t xml:space="preserve">(Zhang </w:t>
      </w:r>
      <w:r w:rsidR="0083144E" w:rsidRPr="002A7627">
        <w:rPr>
          <w:noProof/>
          <w:lang w:bidi="fa-IR"/>
        </w:rPr>
        <w:t>&amp; Kwan, 2018)</w:t>
      </w:r>
      <w:r w:rsidRPr="002A7627">
        <w:rPr>
          <w:lang w:bidi="fa-IR"/>
        </w:rPr>
        <w:fldChar w:fldCharType="end"/>
      </w:r>
      <w:r w:rsidRPr="002A7627">
        <w:rPr>
          <w:lang w:bidi="fa-IR"/>
        </w:rPr>
        <w:t>. Studies have</w:t>
      </w:r>
      <w:r w:rsidR="00054373" w:rsidRPr="002A7627">
        <w:rPr>
          <w:lang w:bidi="fa-IR"/>
        </w:rPr>
        <w:t xml:space="preserve">, therefore, </w:t>
      </w:r>
      <w:r w:rsidRPr="002A7627">
        <w:rPr>
          <w:lang w:bidi="fa-IR"/>
        </w:rPr>
        <w:t xml:space="preserve">found a positive relationship between intrinsic and extrinsic motivation and knowledge management in the private sector </w:t>
      </w:r>
      <w:r w:rsidRPr="002A7627">
        <w:rPr>
          <w:lang w:bidi="fa-IR"/>
        </w:rPr>
        <w:fldChar w:fldCharType="begin" w:fldLock="1"/>
      </w:r>
      <w:r w:rsidR="007C79F2" w:rsidRPr="002A7627">
        <w:rPr>
          <w:lang w:bidi="fa-IR"/>
        </w:rPr>
        <w:instrText>ADDIN CSL_CITATION {"citationItems":[{"id":"ITEM-1","itemData":{"DOI":"10.1057/kmrp.2013.36","ISSN":"14778246","abstract":"The main purpose of this paper is to empirically analyse relationships between human resource (HR) and knowledge management (KM) practices and their effect on the firm's innovation performance. From the knowledge-based view of the firm, hypotheses based on the specific interactions between an integrated set of KM and knowledge-oriented HR practices were established and statistically tested in a sample of 111 Spanish companies from technological industries. Survey methodology was used with the aim to gather data about KM practices and other related organizational aspects. Overall, this paper provides empirical evidence of a moderating effect of a set of knowledge-oriented HR practices in the relationship between KM exploitation practices and innovation performance. In line with previous research, we suggest that although KM practices are important in themselves for innovation purposes, when specific organizational conditions are properly established by managers the innovation capacity of the firm will significantly be improved and more successfully utilized.","author":[{"dropping-particle":"","family":"Donate","given":"Mario J.","non-dropping-particle":"","parse-names":false,"suffix":""},{"dropping-particle":"","family":"Guadamillas","given":"Fátima","non-dropping-particle":"","parse-names":false,"suffix":""}],"container-title":"Knowledge Management Research and Practice","id":"ITEM-1","issue":"2","issued":{"date-parts":[["2015"]]},"page":"134-148","title":"An empirical study on the relationships between knowledge management, knowledge-oriented human resource practices and innovation","type":"article-journal","volume":"13"},"uris":["http://www.mendeley.com/documents/?uuid=4971dc52-955c-4774-93f8-67fe41f6acc6"]},{"id":"ITEM-2","itemData":{"DOI":"10.1057/kmrp.2009.30","ISSN":"1477-8238","abstract":"This paper takes a knowledge-based view of firms and discusses the\\nimportance of linking organizational knowledge assets into corporate\\nstrategy. In order to conceptualize knowledge assets, the paper adopts\\nthe intellectual capital (IC) framework, which distinguishes three IC\\ncomponents: human, structural and relational capital. As regards\\nbusiness strategy, the paper adopts Miles and Snow's model, which\\nidentifies three strategic types of successful organizations: Defenders,\\nAnalysers and Prospectors. The paper explores the ways in which the\\nthree strategic types differ in weighting the single components of their\\nIC. This study represents an attempt to extend the Miles and Snow\\ntypology including the aspect of knowledge assets. The link between\\nknowledge asset management and strategy is investigated by means of\\nthree case studies conducted in Italian small and medium enterprises\\nfrom the food sector. The paper argues that firms of different Miles and\\nSnow strategic types have different mix of IC components. Knowledge\\nManagement Research &amp; Practice (2009) 7, 377-386.\\ndoi:10.1057/kmrp.2009.30","author":[{"dropping-particle":"","family":"Massa","given":"Silvia","non-dropping-particle":"","parse-names":false,"suffix":""},{"dropping-particle":"","family":"Testa","given":"Stefania","non-dropping-particle":"","parse-names":false,"suffix":""}],"container-title":"Knowledge Management Research and Practice","id":"ITEM-2","issue":"4","issued":{"date-parts":[["2009","12","19"]]},"page":"377-386","title":"How do Miles and Snow's strategic types differ in their knowledge assets? Evidence from Italian SMEs","type":"article-journal","volume":"7"},"uris":["http://www.mendeley.com/documents/?uuid=553a0cd1-43de-4b44-8a10-e03df4206af6"]}],"mendeley":{"formattedCitation":"(Donate &amp; Guadamillas, 2015; Massa &amp; Testa, 2009)","manualFormatting":"(Donate &amp; Guadamillas, 2015; Massa &amp; Testa, 2009)","plainTextFormattedCitation":"(Donate &amp; Guadamillas, 2015; Massa &amp; Testa, 2009)","previouslyFormattedCitation":"(Donate &amp; Guadamillas, 2015; Massa &amp; Testa, 2009)"},"properties":{"noteIndex":0},"schema":"https://github.com/citation-style-language/schema/raw/master/csl-citation.json"}</w:instrText>
      </w:r>
      <w:r w:rsidRPr="002A7627">
        <w:rPr>
          <w:lang w:bidi="fa-IR"/>
        </w:rPr>
        <w:fldChar w:fldCharType="separate"/>
      </w:r>
      <w:r w:rsidRPr="002A7627">
        <w:rPr>
          <w:noProof/>
          <w:lang w:bidi="fa-IR"/>
        </w:rPr>
        <w:t xml:space="preserve">(Donate </w:t>
      </w:r>
      <w:r w:rsidR="0083144E" w:rsidRPr="002A7627">
        <w:rPr>
          <w:noProof/>
          <w:lang w:bidi="fa-IR"/>
        </w:rPr>
        <w:t>&amp; Guadamillas, 2015;</w:t>
      </w:r>
      <w:r w:rsidRPr="002A7627">
        <w:rPr>
          <w:noProof/>
          <w:lang w:bidi="fa-IR"/>
        </w:rPr>
        <w:t xml:space="preserve"> Massa </w:t>
      </w:r>
      <w:r w:rsidR="0083144E" w:rsidRPr="002A7627">
        <w:rPr>
          <w:noProof/>
          <w:lang w:bidi="fa-IR"/>
        </w:rPr>
        <w:t>&amp; Testa, 2009)</w:t>
      </w:r>
      <w:r w:rsidRPr="002A7627">
        <w:rPr>
          <w:lang w:bidi="fa-IR"/>
        </w:rPr>
        <w:fldChar w:fldCharType="end"/>
      </w:r>
      <w:r w:rsidRPr="002A7627">
        <w:rPr>
          <w:lang w:bidi="fa-IR"/>
        </w:rPr>
        <w:t>. This study found a similar relationship for intrinsic motivation, and one mediated by organizational learning for extrinsic motivation.</w:t>
      </w:r>
    </w:p>
    <w:p w14:paraId="54DDD019" w14:textId="7B291BEC" w:rsidR="00D727A2" w:rsidRPr="002A7627" w:rsidRDefault="0059030B" w:rsidP="0084184C">
      <w:pPr>
        <w:pStyle w:val="AAAAAAA"/>
        <w:rPr>
          <w:lang w:bidi="fa-IR"/>
        </w:rPr>
      </w:pPr>
      <w:r>
        <w:rPr>
          <w:lang w:bidi="fa-IR"/>
        </w:rPr>
        <w:t>T</w:t>
      </w:r>
      <w:r w:rsidR="00D727A2" w:rsidRPr="002A7627">
        <w:rPr>
          <w:lang w:bidi="fa-IR"/>
        </w:rPr>
        <w:t>here was no significant indirect relationship between practices that increase opportunities and knowledge management benefits, mediated by organizational learning (</w:t>
      </w:r>
      <w:r w:rsidR="00D727A2" w:rsidRPr="007857F2">
        <w:rPr>
          <w:i/>
          <w:lang w:bidi="fa-IR"/>
        </w:rPr>
        <w:t>β</w:t>
      </w:r>
      <w:r w:rsidR="00D727A2" w:rsidRPr="002A7627">
        <w:rPr>
          <w:lang w:bidi="fa-IR"/>
        </w:rPr>
        <w:t xml:space="preserve"> = 0.012, </w:t>
      </w:r>
      <w:r w:rsidR="00D727A2" w:rsidRPr="007857F2">
        <w:rPr>
          <w:i/>
          <w:lang w:bidi="fa-IR"/>
        </w:rPr>
        <w:t>t</w:t>
      </w:r>
      <w:r w:rsidR="00D727A2" w:rsidRPr="002A7627">
        <w:rPr>
          <w:lang w:bidi="fa-IR"/>
        </w:rPr>
        <w:t xml:space="preserve"> = 1.199, </w:t>
      </w:r>
      <w:r w:rsidR="00D727A2" w:rsidRPr="007857F2">
        <w:rPr>
          <w:i/>
          <w:lang w:bidi="fa-IR"/>
        </w:rPr>
        <w:t>p</w:t>
      </w:r>
      <w:r w:rsidR="00D727A2" w:rsidRPr="002A7627">
        <w:rPr>
          <w:lang w:bidi="fa-IR"/>
        </w:rPr>
        <w:t xml:space="preserve"> = 0.231). There was also an insignificant direct relationship between practices that increase opportunities and knowledge management benefits (</w:t>
      </w:r>
      <w:r w:rsidR="00D727A2" w:rsidRPr="007857F2">
        <w:rPr>
          <w:i/>
          <w:lang w:bidi="fa-IR"/>
        </w:rPr>
        <w:t>β</w:t>
      </w:r>
      <w:r w:rsidR="00D727A2" w:rsidRPr="002A7627">
        <w:rPr>
          <w:lang w:bidi="fa-IR"/>
        </w:rPr>
        <w:t xml:space="preserve"> = </w:t>
      </w:r>
      <w:r>
        <w:rPr>
          <w:lang w:bidi="fa-IR"/>
        </w:rPr>
        <w:t>−</w:t>
      </w:r>
      <w:r w:rsidR="00D727A2" w:rsidRPr="002A7627">
        <w:rPr>
          <w:lang w:bidi="fa-IR"/>
        </w:rPr>
        <w:t xml:space="preserve">0.033, </w:t>
      </w:r>
      <w:r w:rsidR="00D727A2" w:rsidRPr="007857F2">
        <w:rPr>
          <w:i/>
          <w:lang w:bidi="fa-IR"/>
        </w:rPr>
        <w:t>t</w:t>
      </w:r>
      <w:r w:rsidR="00D727A2" w:rsidRPr="002A7627">
        <w:rPr>
          <w:lang w:bidi="fa-IR"/>
        </w:rPr>
        <w:t xml:space="preserve"> = 1.12, </w:t>
      </w:r>
      <w:r w:rsidR="00D727A2" w:rsidRPr="007857F2">
        <w:rPr>
          <w:i/>
          <w:lang w:bidi="fa-IR"/>
        </w:rPr>
        <w:t>p</w:t>
      </w:r>
      <w:r w:rsidR="00D727A2" w:rsidRPr="002A7627">
        <w:rPr>
          <w:lang w:bidi="fa-IR"/>
        </w:rPr>
        <w:t xml:space="preserve"> = 0.263, </w:t>
      </w:r>
      <w:r w:rsidR="00D727A2" w:rsidRPr="007857F2">
        <w:rPr>
          <w:i/>
          <w:lang w:bidi="fa-IR"/>
        </w:rPr>
        <w:t>f</w:t>
      </w:r>
      <w:r w:rsidR="00D727A2" w:rsidRPr="007857F2">
        <w:rPr>
          <w:i/>
          <w:vertAlign w:val="superscript"/>
          <w:lang w:bidi="fa-IR"/>
        </w:rPr>
        <w:t>2</w:t>
      </w:r>
      <w:r w:rsidR="00D727A2" w:rsidRPr="002A7627">
        <w:rPr>
          <w:lang w:bidi="fa-IR"/>
        </w:rPr>
        <w:t xml:space="preserve"> = 0.002). This suggests that there is no relationship between these two, and Hypothesis H10 was rejected. </w:t>
      </w:r>
      <w:r w:rsidR="00D727A2" w:rsidRPr="002A7627">
        <w:rPr>
          <w:bCs/>
        </w:rPr>
        <w:t xml:space="preserve">This was surprising in view of the number of previous studies that have suggested that there is a significant relationship between increased opportunities and both organizational learning and knowledge sharing. </w:t>
      </w:r>
      <w:r w:rsidR="00D727A2" w:rsidRPr="002A7627">
        <w:rPr>
          <w:lang w:bidi="fa-IR"/>
        </w:rPr>
        <w:t xml:space="preserve">For example, Fong et al. </w:t>
      </w:r>
      <w:r w:rsidR="00D727A2" w:rsidRPr="002A7627">
        <w:rPr>
          <w:lang w:bidi="fa-IR"/>
        </w:rPr>
        <w:fldChar w:fldCharType="begin" w:fldLock="1"/>
      </w:r>
      <w:r w:rsidR="00E24626" w:rsidRPr="002A7627">
        <w:rPr>
          <w:lang w:bidi="fa-IR"/>
        </w:rPr>
        <w:instrText>ADDIN CSL_CITATION {"citationItems":[{"id":"ITEM-1","itemData":{"DOI":"10.1108/MD-11-2016-0778","ISSN":"0025-1747","abstract":"Purpose Creativity and innovation are crucial in improving the organizational performance and sustaining competitive advantage. The purpose of this paper is to investigate the relationship between knowledge hiding and team creativity. Design/methodology/approach The authors tested the hypotheses with a sample of 87 knowledge worker teams involving 393 employees and employers in China. Findings Knowledge hiding is negatively related to team creativity, fully mediated by absorptive capacity. In addition, the negative relationship between knowledge hiding and absorptive capacity would be weakened by task interdependence. Practical implications Team managers should take measures to avoid the development of knowledge hiding, which is indirectly related to team creativity via absorptive capacity within a team, and motivate team members to share more knowledge by training to improve their feelings of accountability, responsibility, and duty. In addition, managers can decrease knowledge hiding by strengthening within-team task interdependence. Originality/value This study is one of the first to investigate the relationship between knowledge hiding and team creativity and the moderating role of task interdependence in the relationship between knowledge hiding and absorptive capacity.","author":[{"dropping-particle":"","family":"Fong","given":"Patrick S.W.","non-dropping-particle":"","parse-names":false,"suffix":""},{"dropping-particle":"","family":"Men","given":"Chenghao","non-dropping-particle":"","parse-names":false,"suffix":""},{"dropping-particle":"","family":"Luo","given":"Jinlian","non-dropping-particle":"","parse-names":false,"suffix":""},{"dropping-particle":"","family":"Jia","given":"Ruiqian","non-dropping-particle":"","parse-names":false,"suffix":""}],"container-title":"Management Decision","id":"ITEM-1","issue":"2","issued":{"date-parts":[["2018","2","12"]]},"page":"329-343","title":"Knowledge hiding and team creativity: The contingent role of task interdependence","type":"article-journal","volume":"56"},"suppress-author":1,"uris":["http://www.mendeley.com/documents/?uuid=266bc37a-6d58-4464-b786-f88923f7f64e"]}],"mendeley":{"formattedCitation":"(2018)","plainTextFormattedCitation":"(2018)","previouslyFormattedCitation":"(2018)"},"properties":{"noteIndex":0},"schema":"https://github.com/citation-style-language/schema/raw/master/csl-citation.json"}</w:instrText>
      </w:r>
      <w:r w:rsidR="00D727A2" w:rsidRPr="002A7627">
        <w:rPr>
          <w:lang w:bidi="fa-IR"/>
        </w:rPr>
        <w:fldChar w:fldCharType="separate"/>
      </w:r>
      <w:r w:rsidR="00D727A2" w:rsidRPr="002A7627">
        <w:rPr>
          <w:noProof/>
          <w:lang w:bidi="fa-IR"/>
        </w:rPr>
        <w:t>(2018)</w:t>
      </w:r>
      <w:r w:rsidR="00D727A2" w:rsidRPr="002A7627">
        <w:rPr>
          <w:lang w:bidi="fa-IR"/>
        </w:rPr>
        <w:fldChar w:fldCharType="end"/>
      </w:r>
      <w:r w:rsidR="00D727A2" w:rsidRPr="002A7627">
        <w:rPr>
          <w:lang w:bidi="fa-IR"/>
        </w:rPr>
        <w:t xml:space="preserve"> found that providing opportunities enabled employees to enhance knowledge sharing and learning, and also had an effect on creativity. López-Cabrales</w:t>
      </w:r>
      <w:r w:rsidR="0080300F">
        <w:rPr>
          <w:lang w:bidi="fa-IR"/>
        </w:rPr>
        <w:t xml:space="preserve"> et al. </w:t>
      </w:r>
      <w:r w:rsidR="00D727A2" w:rsidRPr="002A7627">
        <w:rPr>
          <w:lang w:bidi="fa-IR"/>
        </w:rPr>
        <w:fldChar w:fldCharType="begin" w:fldLock="1"/>
      </w:r>
      <w:r w:rsidR="00D727A2" w:rsidRPr="002A7627">
        <w:rPr>
          <w:lang w:bidi="fa-IR"/>
        </w:rPr>
        <w:instrText>ADDIN CSL_CITATION {"citationItems":[{"id":"ITEM-1","itemData":{"DOI":"10.1108/00483481111118658","ISBN":"10.1108/00483481111118658","ISSN":"0048-3486","PMID":"42012058","abstract":"Purpose: This paper has three purposes: first, to study whether organizational learning capability (OLC) is related to human resource management (HRM) practices such as selection, development, appraisals and rewards; second, to assess to what extent the value and uniqueness of human capital is associated with OLC; and lastly, to consider the possible mediating role of human capital in the relationships between HRM practices and OLC. Design/methodology/approach: This research was conducted with a sample of companies in the most innovative sectors of Spanish industry, applying the partial least squares (PLS) technique. Findings: The results in this paper demonstrate the direct association of selection and appraisals practices and both dimensions of human capital with learning. Furthermore, developmental practices are associated with the value of human capital, and the selection and appraisal practices are related to uniqueness. Therefore, human capital is partially mediating the relationships between HRM practices and OLC. Research limitations/implications: The principal limitation of the paper comes from the cross-sectional nature of the research, especially the dynamic character of the OLC and the absence of causality test, which requires the necessity of a longitudinal study design. Practical implications: The results of this paper suggest first that a firm focused on learning needs to incorporate HRM practices such as potential-based selection and appraisals. Second, it is also necessary to take into consideration that learning is associated with a firm's human capital of greater value and/or uniqueness. Third, the management of the value and uniqueness of human capital requires different HRM practices in each case. This will allow managers to apply appropriate HRM practices according to the type of human capital that is needed. Originality/value: The results in the paper suggest a relationship between human capital and the value and uniqueness of employees' knowledge and this human capital is associated to HRM practices. A final contribution of this paper is the assumption of human capital as a mediating variable in the relationship between HRM practices and OLC. © Emerald Group Publishing Limited.","author":[{"dropping-particle":"","family":"López‐Cabrales","given":"Álvaro","non-dropping-particle":"","parse-names":false,"suffix":""},{"dropping-particle":"","family":"Real","given":"Juan C.","non-dropping-particle":"","parse-names":false,"suffix":""},{"dropping-particle":"","family":"Valle","given":"Ramón","non-dropping-particle":"","parse-names":false,"suffix":""}],"container-title":"Personnel Review","id":"ITEM-1","issue":"3","issued":{"date-parts":[["2011","4","12"]]},"page":"344-363","title":"Relationships between human resource management practices and organizational learning capability","type":"article-journal","volume":"40"},"suppress-author":1,"uris":["http://www.mendeley.com/documents/?uuid=d4dd4c29-c106-4d54-b085-29ba3b34e81c"]}],"mendeley":{"formattedCitation":"(2011)","plainTextFormattedCitation":"(2011)","previouslyFormattedCitation":"(2011)"},"properties":{"noteIndex":0},"schema":"https://github.com/citation-style-language/schema/raw/master/csl-citation.json"}</w:instrText>
      </w:r>
      <w:r w:rsidR="00D727A2" w:rsidRPr="002A7627">
        <w:rPr>
          <w:lang w:bidi="fa-IR"/>
        </w:rPr>
        <w:fldChar w:fldCharType="separate"/>
      </w:r>
      <w:r w:rsidR="00D727A2" w:rsidRPr="002A7627">
        <w:rPr>
          <w:noProof/>
          <w:lang w:bidi="fa-IR"/>
        </w:rPr>
        <w:t>(2011)</w:t>
      </w:r>
      <w:r w:rsidR="00D727A2" w:rsidRPr="002A7627">
        <w:rPr>
          <w:lang w:bidi="fa-IR"/>
        </w:rPr>
        <w:fldChar w:fldCharType="end"/>
      </w:r>
      <w:r w:rsidR="00D727A2" w:rsidRPr="002A7627">
        <w:rPr>
          <w:lang w:bidi="fa-IR"/>
        </w:rPr>
        <w:t xml:space="preserve"> found that organizational learning could be enhanced by offering training and providing opportunities </w:t>
      </w:r>
      <w:r w:rsidR="00B74B35">
        <w:rPr>
          <w:lang w:bidi="fa-IR"/>
        </w:rPr>
        <w:t>for</w:t>
      </w:r>
      <w:r w:rsidR="00B74B35" w:rsidRPr="002A7627">
        <w:rPr>
          <w:lang w:bidi="fa-IR"/>
        </w:rPr>
        <w:t xml:space="preserve"> </w:t>
      </w:r>
      <w:r w:rsidR="00D727A2" w:rsidRPr="002A7627">
        <w:rPr>
          <w:lang w:bidi="fa-IR"/>
        </w:rPr>
        <w:t xml:space="preserve">employees to be involved in decision-making. Some studies have found, however, that opportunity-enhancing HR practices could be both an accelerator and inhibitor of knowledge sharing </w:t>
      </w:r>
      <w:r w:rsidR="00D727A2" w:rsidRPr="002A7627">
        <w:rPr>
          <w:lang w:bidi="fa-IR"/>
        </w:rPr>
        <w:fldChar w:fldCharType="begin" w:fldLock="1"/>
      </w:r>
      <w:r w:rsidR="00A200C2" w:rsidRPr="002A7627">
        <w:rPr>
          <w:lang w:bidi="fa-IR"/>
        </w:rPr>
        <w:instrText>ADDIN CSL_CITATION {"citationItems":[{"id":"ITEM-1","itemData":{"ISSN":"0001-4273","author":[{"dropping-particle":"","family":"Reinholt","given":"M I A","non-dropping-particle":"","parse-names":false,"suffix":""},{"dropping-particle":"","family":"Pedersen","given":"Torben","non-dropping-particle":"","parse-names":false,"suffix":""},{"dropping-particle":"","family":"Foss","given":"Nicolai J","non-dropping-particle":"","parse-names":false,"suffix":""}],"container-title":"Academy of Management Journal","id":"ITEM-1","issue":"6","issued":{"date-parts":[["2011"]]},"page":"1277-1297","title":"Why a central network position isn't enough: The role of motivation and ability for knowledge sharing in employee networks","type":"article-journal","volume":"54"},"uris":["http://www.mendeley.com/documents/?uuid=fae8512a-6845-4f98-8098-69edd142a7ac"]},{"id":"ITEM-2","itemData":{"ISSN":"0272-6963","author":[{"dropping-particle":"","family":"Siemsen","given":"Enno","non-dropping-particle":"","parse-names":false,"suffix":""},{"dropping-particle":"V","family":"Roth","given":"Aleda","non-dropping-particle":"","parse-names":false,"suffix":""},{"dropping-particle":"","family":"Balasubramanian","given":"Sridhar","non-dropping-particle":"","parse-names":false,"suffix":""}],"container-title":"Journal of Operations Management","id":"ITEM-2","issue":"3","issued":{"date-parts":[["2008"]]},"page":"426-445","title":"How motivation, opportunity, and ability drive knowledge sharing: The constraining-factor model","type":"article-journal","volume":"26"},"uris":["http://www.mendeley.com/documents/?uuid=4e7c193e-a0dc-44c9-be5e-a9cb15b2aa25"]}],"mendeley":{"formattedCitation":"(Reinholt et al., 2011; Siemsen et al., 2008)","manualFormatting":"(Reinholt et al., 2011; Siemsen et al., 2008)","plainTextFormattedCitation":"(Reinholt et al., 2011; Siemsen et al., 2008)","previouslyFormattedCitation":"(Reinholt et al., 2011; Siemsen et al., 2008)"},"properties":{"noteIndex":0},"schema":"https://github.com/citation-style-language/schema/raw/master/csl-citation.json"}</w:instrText>
      </w:r>
      <w:r w:rsidR="00D727A2" w:rsidRPr="002A7627">
        <w:rPr>
          <w:lang w:bidi="fa-IR"/>
        </w:rPr>
        <w:fldChar w:fldCharType="separate"/>
      </w:r>
      <w:r w:rsidR="00D727A2" w:rsidRPr="002A7627">
        <w:rPr>
          <w:noProof/>
          <w:lang w:bidi="fa-IR"/>
        </w:rPr>
        <w:t>(Reinholt</w:t>
      </w:r>
      <w:r w:rsidR="00A200C2" w:rsidRPr="002A7627">
        <w:rPr>
          <w:noProof/>
          <w:lang w:bidi="fa-IR"/>
        </w:rPr>
        <w:t xml:space="preserve"> et al.</w:t>
      </w:r>
      <w:r w:rsidR="0083144E" w:rsidRPr="002A7627">
        <w:rPr>
          <w:noProof/>
          <w:lang w:bidi="fa-IR"/>
        </w:rPr>
        <w:t>, 2011;</w:t>
      </w:r>
      <w:r w:rsidR="00D727A2" w:rsidRPr="002A7627">
        <w:rPr>
          <w:noProof/>
          <w:lang w:bidi="fa-IR"/>
        </w:rPr>
        <w:t xml:space="preserve"> Siemsen</w:t>
      </w:r>
      <w:r w:rsidR="00A200C2" w:rsidRPr="002A7627">
        <w:rPr>
          <w:noProof/>
          <w:lang w:bidi="fa-IR"/>
        </w:rPr>
        <w:t xml:space="preserve"> et al.</w:t>
      </w:r>
      <w:r w:rsidR="0083144E" w:rsidRPr="002A7627">
        <w:rPr>
          <w:noProof/>
          <w:lang w:bidi="fa-IR"/>
        </w:rPr>
        <w:t>, 2008)</w:t>
      </w:r>
      <w:r w:rsidR="00D727A2" w:rsidRPr="002A7627">
        <w:rPr>
          <w:lang w:bidi="fa-IR"/>
        </w:rPr>
        <w:fldChar w:fldCharType="end"/>
      </w:r>
      <w:r w:rsidR="00D727A2" w:rsidRPr="002A7627">
        <w:rPr>
          <w:lang w:bidi="fa-IR"/>
        </w:rPr>
        <w:t xml:space="preserve">. If </w:t>
      </w:r>
      <w:r w:rsidR="008C164D">
        <w:rPr>
          <w:lang w:bidi="fa-IR"/>
        </w:rPr>
        <w:t>individuals</w:t>
      </w:r>
      <w:r w:rsidR="008C164D" w:rsidRPr="002A7627">
        <w:rPr>
          <w:lang w:bidi="fa-IR"/>
        </w:rPr>
        <w:t xml:space="preserve"> </w:t>
      </w:r>
      <w:r w:rsidR="00D727A2" w:rsidRPr="002A7627">
        <w:rPr>
          <w:lang w:bidi="fa-IR"/>
        </w:rPr>
        <w:t xml:space="preserve">are </w:t>
      </w:r>
      <w:r w:rsidR="008C164D">
        <w:rPr>
          <w:lang w:bidi="fa-IR"/>
        </w:rPr>
        <w:t>ready</w:t>
      </w:r>
      <w:r w:rsidR="008C164D" w:rsidRPr="002A7627">
        <w:rPr>
          <w:lang w:bidi="fa-IR"/>
        </w:rPr>
        <w:t xml:space="preserve"> </w:t>
      </w:r>
      <w:r w:rsidR="00D727A2" w:rsidRPr="002A7627">
        <w:rPr>
          <w:lang w:bidi="fa-IR"/>
        </w:rPr>
        <w:t xml:space="preserve">to share knowledge but are not </w:t>
      </w:r>
      <w:r w:rsidR="008C164D">
        <w:rPr>
          <w:lang w:bidi="fa-IR"/>
        </w:rPr>
        <w:t>granted</w:t>
      </w:r>
      <w:r w:rsidR="008C164D" w:rsidRPr="002A7627">
        <w:rPr>
          <w:lang w:bidi="fa-IR"/>
        </w:rPr>
        <w:t xml:space="preserve"> </w:t>
      </w:r>
      <w:r w:rsidR="00D727A2" w:rsidRPr="002A7627">
        <w:rPr>
          <w:lang w:bidi="fa-IR"/>
        </w:rPr>
        <w:t xml:space="preserve">the opportunity to do so because of time </w:t>
      </w:r>
      <w:r w:rsidR="00D727A2" w:rsidRPr="002A7627">
        <w:rPr>
          <w:lang w:bidi="fa-IR"/>
        </w:rPr>
        <w:fldChar w:fldCharType="begin" w:fldLock="1"/>
      </w:r>
      <w:r w:rsidR="00E24626" w:rsidRPr="002A7627">
        <w:rPr>
          <w:lang w:bidi="fa-IR"/>
        </w:rPr>
        <w:instrText>ADDIN CSL_CITATION {"citationItems":[{"id":"ITEM-1","itemData":{"ISSN":"0272-6963","author":[{"dropping-particle":"","family":"Siemsen","given":"Enno","non-dropping-particle":"","parse-names":false,"suffix":""},{"dropping-particle":"V","family":"Roth","given":"Aleda","non-dropping-particle":"","parse-names":false,"suffix":""},{"dropping-particle":"","family":"Balasubramanian","given":"Sridhar","non-dropping-particle":"","parse-names":false,"suffix":""}],"container-title":"Journal of Operations Management","id":"ITEM-1","issue":"3","issued":{"date-parts":[["2008"]]},"page":"426-445","title":"How motivation, opportunity, and ability drive knowledge sharing: The constraining-factor model","type":"article-journal","volume":"26"},"uris":["http://www.mendeley.com/documents/?uuid=4e7c193e-a0dc-44c9-be5e-a9cb15b2aa25"]}],"mendeley":{"formattedCitation":"(Siemsen et al., 2008)","plainTextFormattedCitation":"(Siemsen et al., 2008)","previouslyFormattedCitation":"(Siemsen et al., 2008)"},"properties":{"noteIndex":0},"schema":"https://github.com/citation-style-language/schema/raw/master/csl-citation.json"}</w:instrText>
      </w:r>
      <w:r w:rsidR="00D727A2" w:rsidRPr="002A7627">
        <w:rPr>
          <w:lang w:bidi="fa-IR"/>
        </w:rPr>
        <w:fldChar w:fldCharType="separate"/>
      </w:r>
      <w:r w:rsidR="00D727A2" w:rsidRPr="002A7627">
        <w:rPr>
          <w:noProof/>
          <w:lang w:bidi="fa-IR"/>
        </w:rPr>
        <w:t>(Siemsen et al., 2008)</w:t>
      </w:r>
      <w:r w:rsidR="00D727A2" w:rsidRPr="002A7627">
        <w:rPr>
          <w:lang w:bidi="fa-IR"/>
        </w:rPr>
        <w:fldChar w:fldCharType="end"/>
      </w:r>
      <w:r w:rsidR="00D727A2" w:rsidRPr="002A7627">
        <w:rPr>
          <w:lang w:bidi="fa-IR"/>
        </w:rPr>
        <w:t xml:space="preserve"> or organizational position </w:t>
      </w:r>
      <w:r w:rsidR="00D727A2" w:rsidRPr="002A7627">
        <w:rPr>
          <w:lang w:bidi="fa-IR"/>
        </w:rPr>
        <w:fldChar w:fldCharType="begin" w:fldLock="1"/>
      </w:r>
      <w:r w:rsidR="00D727A2" w:rsidRPr="002A7627">
        <w:rPr>
          <w:lang w:bidi="fa-IR"/>
        </w:rPr>
        <w:instrText>ADDIN CSL_CITATION {"citationItems":[{"id":"ITEM-1","itemData":{"ISSN":"0001-4273","author":[{"dropping-particle":"","family":"Reinholt","given":"M I A","non-dropping-particle":"","parse-names":false,"suffix":""},{"dropping-particle":"","family":"Pedersen","given":"Torben","non-dropping-particle":"","parse-names":false,"suffix":""},{"dropping-particle":"","family":"Foss","given":"Nicolai J","non-dropping-particle":"","parse-names":false,"suffix":""}],"container-title":"Academy of Management Journal","id":"ITEM-1","issue":"6","issued":{"date-parts":[["2011"]]},"page":"1277-1297","title":"Why a central network position isn't enough: The role of motivation and ability for knowledge sharing in employee networks","type":"article-journal","volume":"54"},"uris":["http://www.mendeley.com/documents/?uuid=fae8512a-6845-4f98-8098-69edd142a7ac"]}],"mendeley":{"formattedCitation":"(Reinholt et al., 2011)","plainTextFormattedCitation":"(Reinholt et al., 2011)","previouslyFormattedCitation":"(Reinholt et al., 2011)"},"properties":{"noteIndex":0},"schema":"https://github.com/citation-style-language/schema/raw/master/csl-citation.json"}</w:instrText>
      </w:r>
      <w:r w:rsidR="00D727A2" w:rsidRPr="002A7627">
        <w:rPr>
          <w:lang w:bidi="fa-IR"/>
        </w:rPr>
        <w:fldChar w:fldCharType="separate"/>
      </w:r>
      <w:r w:rsidR="00D727A2" w:rsidRPr="002A7627">
        <w:rPr>
          <w:noProof/>
          <w:lang w:bidi="fa-IR"/>
        </w:rPr>
        <w:t>(Reinholt et al., 2011)</w:t>
      </w:r>
      <w:r w:rsidR="00D727A2" w:rsidRPr="002A7627">
        <w:rPr>
          <w:lang w:bidi="fa-IR"/>
        </w:rPr>
        <w:fldChar w:fldCharType="end"/>
      </w:r>
      <w:r w:rsidR="00D727A2" w:rsidRPr="002A7627">
        <w:rPr>
          <w:lang w:bidi="fa-IR"/>
        </w:rPr>
        <w:t>, there will be less knowledge sharing. This suggests that opportunity-enhancing HR practices should be investigated in more detail to find out more about the relationships with other factors. It may be, for example, that individual practices have different effects, or that the hierarchical culture or the time availability of managers in the study organization had a detrimental effect. It may</w:t>
      </w:r>
      <w:r w:rsidR="00054373" w:rsidRPr="002A7627">
        <w:rPr>
          <w:lang w:bidi="fa-IR"/>
        </w:rPr>
        <w:t xml:space="preserve">, therefore, </w:t>
      </w:r>
      <w:r w:rsidR="00D727A2" w:rsidRPr="002A7627">
        <w:rPr>
          <w:lang w:bidi="fa-IR"/>
        </w:rPr>
        <w:t xml:space="preserve">be a good idea to promote knowledge management initiatives such as encouraging younger or newer officers to visit or shadow managers, allowing them to capture knowledge directly. </w:t>
      </w:r>
    </w:p>
    <w:p w14:paraId="5C8529BE" w14:textId="50877020" w:rsidR="00D727A2" w:rsidRPr="002A7627" w:rsidRDefault="00D727A2" w:rsidP="0084184C">
      <w:pPr>
        <w:pStyle w:val="AAAAAAA"/>
        <w:rPr>
          <w:rFonts w:asciiTheme="majorBidi" w:hAnsiTheme="majorBidi" w:cstheme="majorBidi"/>
        </w:rPr>
      </w:pPr>
      <w:r w:rsidRPr="002A7627">
        <w:rPr>
          <w:lang w:bidi="fa-IR"/>
        </w:rPr>
        <w:t>There was a significant indirect relationship between ability-enhancing HR practices and knowledge management benefits, mediated by organizational learning (</w:t>
      </w:r>
      <w:r w:rsidRPr="007857F2">
        <w:rPr>
          <w:i/>
          <w:lang w:bidi="fa-IR"/>
        </w:rPr>
        <w:t>β</w:t>
      </w:r>
      <w:r w:rsidRPr="002A7627">
        <w:rPr>
          <w:lang w:bidi="fa-IR"/>
        </w:rPr>
        <w:t xml:space="preserve"> = 0.207, </w:t>
      </w:r>
      <w:r w:rsidRPr="007857F2">
        <w:rPr>
          <w:i/>
          <w:lang w:bidi="fa-IR"/>
        </w:rPr>
        <w:t>t</w:t>
      </w:r>
      <w:r w:rsidRPr="002A7627">
        <w:rPr>
          <w:lang w:bidi="fa-IR"/>
        </w:rPr>
        <w:t xml:space="preserve"> = 6.524, </w:t>
      </w:r>
      <w:r w:rsidRPr="007857F2">
        <w:rPr>
          <w:i/>
          <w:lang w:bidi="fa-IR"/>
        </w:rPr>
        <w:t>p</w:t>
      </w:r>
      <w:r w:rsidRPr="002A7627">
        <w:rPr>
          <w:lang w:bidi="fa-IR"/>
        </w:rPr>
        <w:t xml:space="preserve"> &lt; 0.01). There was no direct relationship between ability-enhancing HR practices and knowledge management benefits (</w:t>
      </w:r>
      <w:r w:rsidRPr="007857F2">
        <w:rPr>
          <w:i/>
          <w:lang w:bidi="fa-IR"/>
        </w:rPr>
        <w:t>β</w:t>
      </w:r>
      <w:r w:rsidRPr="002A7627">
        <w:rPr>
          <w:lang w:bidi="fa-IR"/>
        </w:rPr>
        <w:t xml:space="preserve"> = 0.105, </w:t>
      </w:r>
      <w:r w:rsidRPr="007857F2">
        <w:rPr>
          <w:i/>
          <w:lang w:bidi="fa-IR"/>
        </w:rPr>
        <w:t>t</w:t>
      </w:r>
      <w:r w:rsidRPr="002A7627">
        <w:rPr>
          <w:lang w:bidi="fa-IR"/>
        </w:rPr>
        <w:t xml:space="preserve"> = 1.874, </w:t>
      </w:r>
      <w:r w:rsidRPr="007857F2">
        <w:rPr>
          <w:i/>
          <w:lang w:bidi="fa-IR"/>
        </w:rPr>
        <w:t>p</w:t>
      </w:r>
      <w:r w:rsidRPr="002A7627">
        <w:rPr>
          <w:lang w:bidi="fa-IR"/>
        </w:rPr>
        <w:t xml:space="preserve"> = 0.061, </w:t>
      </w:r>
      <w:r w:rsidRPr="007857F2">
        <w:rPr>
          <w:i/>
          <w:lang w:bidi="fa-IR"/>
        </w:rPr>
        <w:t>f</w:t>
      </w:r>
      <w:r w:rsidRPr="007857F2">
        <w:rPr>
          <w:i/>
          <w:vertAlign w:val="superscript"/>
          <w:lang w:bidi="fa-IR"/>
        </w:rPr>
        <w:t>2</w:t>
      </w:r>
      <w:r w:rsidRPr="002A7627">
        <w:rPr>
          <w:lang w:bidi="fa-IR"/>
        </w:rPr>
        <w:t xml:space="preserve"> = 0.009), suggesting that organizational learning fully mediated this relationship, and supporting Hypothesis H11. This result was consistent with other studies that noted the importance of employees’ abilities in building new knowledge </w:t>
      </w:r>
      <w:r w:rsidRPr="002A7627">
        <w:rPr>
          <w:rFonts w:asciiTheme="majorBidi" w:hAnsiTheme="majorBidi" w:cstheme="majorBidi"/>
          <w:noProof/>
        </w:rPr>
        <w:t>(López-Cabrales et al., 2011; Edvardsson, 2008)</w:t>
      </w:r>
      <w:r w:rsidRPr="002A7627">
        <w:rPr>
          <w:rFonts w:asciiTheme="majorBidi" w:hAnsiTheme="majorBidi" w:cstheme="majorBidi"/>
        </w:rPr>
        <w:t xml:space="preserve">. Other studies investigated the positive impact of exploitative learning to enhance employee capabilities and acquiring new knowledge through explorative learning </w:t>
      </w:r>
      <w:r w:rsidRPr="002A7627">
        <w:rPr>
          <w:rFonts w:asciiTheme="majorBidi" w:hAnsiTheme="majorBidi" w:cstheme="majorBidi"/>
        </w:rPr>
        <w:fldChar w:fldCharType="begin" w:fldLock="1"/>
      </w:r>
      <w:r w:rsidR="007C79F2" w:rsidRPr="002A7627">
        <w:rPr>
          <w:rFonts w:asciiTheme="majorBidi" w:hAnsiTheme="majorBidi" w:cstheme="majorBidi"/>
        </w:rPr>
        <w:instrText>ADDIN CSL_CITATION {"citationItems":[{"id":"ITEM-1","itemData":{"DOI":"10.1016/j.jbusres.2013.01.015","ISBN":"0148-2963","ISSN":"01482963","PMID":"19890518","abstract":"This study explores organizational and competitive factors affecting exploration/exploitation activities in SMEs by examining the role of entrepreneurial orientation (EO), market orientation (MO) and perceived competitive intensity. We test the relationships among these variables using data collected from 55 manufacturing SMEs operating in the southern part of U. S. The findings provide a strong support for a positive association between EO, MO and exploration/exploitation activities. Perceived competitive intensity was only a significant moderator for the relationship between MO and the degree of exploratory activities. Our findings, hence, suggest the significant role organizational predictors play in enhancing exploration/exploitation activities in SMEs. Implications for research and practice are discussed. © 2013 Elsevier Inc.","author":[{"dropping-particle":"","family":"Abebe","given":"Michael A.","non-dropping-particle":"","parse-names":false,"suffix":""},{"dropping-particle":"","family":"Angriawan","given":"Arifin","non-dropping-particle":"","parse-names":false,"suffix":""}],"container-title":"Journal of Business Research","id":"ITEM-1","issue":"3","issued":{"date-parts":[["2014"]]},"page":"339-345","title":"Organizational and competitive influences of exploration and exploitation activities in small firms","type":"article-journal","volume":"67"},"uris":["http://www.mendeley.com/documents/?uuid=9e511e71-ae9a-4a72-a710-9b316c080fb5"]},{"id":"ITEM-2","itemData":{"DOI":"10.1108/BJM-02-2015-0060","ISSN":"1746-5265","abstract":"Purpose – The purpose of this paper is to examine the development process of dynamic capabilities. Design/methodology/approach – The paper adopts a qualitative, longitudinal participant- observation research design. A single case study firm was observed over a ten-year period of active researcher engagement allowing for the collection of rich data on the development and deployment of dynamic capabilities as they evolved. Findings – Dynamic capabilities can be identified as sensing, seizing and transforming. They are capable of intentional development by managers through strategic decision making and deliberative learning, within a path-dependent evolution. Research limitations/implications – A longitudinal single case study allowed for a close look at the development of dynamic capabilities, exploring the context and conditions that facilitated change and tracing the evolution of the organization’s processes. However, this study remains subject to the limits of a single case approach. Future cross-sectional research would be able to test the conceptual model and allow for generalization of the findings to other populations of firms. Practical implications – The dynamic capability concept has been criticized for being of little practical use to managers. This research shows the process of intentional dynamic capability development, offering insights to practicing managers. Originality/value – This research adds to the relatively scant base of empirical work on dynamic capabilities and offers a conceptual model of dynamic capability development. The paper contributes to the neglected area of dynamic capabilities in SME’s, showing that the dynamic capability concept is relevant to this sector. The paper provides insight for practitioners by showing that intentional dynamic capability development is achievable.","author":[{"dropping-particle":"","family":"Tallott","given":"Margaret","non-dropping-particle":"","parse-names":false,"suffix":""},{"dropping-particle":"","family":"Hilliard","given":"Rachel","non-dropping-particle":"","parse-names":false,"suffix":""}],"container-title":"Baltic Journal of Management","id":"ITEM-2","issue":"3","issued":{"date-parts":[["2016","7","4"]]},"page":"328-347","title":"Developing dynamic capabilities for learning and internationalization","type":"article-journal","volume":"11"},"uris":["http://www.mendeley.com/documents/?uuid=2eab1bb3-9760-49d2-9b1a-d251f3bf82b6"]}],"mendeley":{"formattedCitation":"(Abebe &amp; Angriawan, 2014; Tallott &amp; Hilliard, 2016)","manualFormatting":"(Abebe &amp; Angriawan, 2014; Tallott &amp; Hilliard, 2016)","plainTextFormattedCitation":"(Abebe &amp; Angriawan, 2014; Tallott &amp; Hilliard, 2016)","previouslyFormattedCitation":"(Abebe &amp; Angriawan, 2014; Tallott &amp; Hilliard, 2016)"},"properties":{"noteIndex":0},"schema":"https://github.com/citation-style-language/schema/raw/master/csl-citation.json"}</w:instrText>
      </w:r>
      <w:r w:rsidRPr="002A7627">
        <w:rPr>
          <w:rFonts w:asciiTheme="majorBidi" w:hAnsiTheme="majorBidi" w:cstheme="majorBidi"/>
        </w:rPr>
        <w:fldChar w:fldCharType="separate"/>
      </w:r>
      <w:r w:rsidRPr="002A7627">
        <w:rPr>
          <w:rFonts w:asciiTheme="majorBidi" w:hAnsiTheme="majorBidi" w:cstheme="majorBidi"/>
          <w:noProof/>
        </w:rPr>
        <w:t xml:space="preserve">(Abebe </w:t>
      </w:r>
      <w:r w:rsidR="0083144E" w:rsidRPr="002A7627">
        <w:rPr>
          <w:rFonts w:asciiTheme="majorBidi" w:hAnsiTheme="majorBidi" w:cstheme="majorBidi"/>
          <w:noProof/>
        </w:rPr>
        <w:t>&amp; Angriawan, 2014;</w:t>
      </w:r>
      <w:r w:rsidRPr="002A7627">
        <w:rPr>
          <w:rFonts w:asciiTheme="majorBidi" w:hAnsiTheme="majorBidi" w:cstheme="majorBidi"/>
          <w:noProof/>
        </w:rPr>
        <w:t xml:space="preserve"> Tallott </w:t>
      </w:r>
      <w:r w:rsidR="0083144E" w:rsidRPr="002A7627">
        <w:rPr>
          <w:rFonts w:asciiTheme="majorBidi" w:hAnsiTheme="majorBidi" w:cstheme="majorBidi"/>
          <w:noProof/>
        </w:rPr>
        <w:t>&amp; Hilliard, 2016)</w:t>
      </w:r>
      <w:r w:rsidRPr="002A7627">
        <w:rPr>
          <w:rFonts w:asciiTheme="majorBidi" w:hAnsiTheme="majorBidi" w:cstheme="majorBidi"/>
        </w:rPr>
        <w:fldChar w:fldCharType="end"/>
      </w:r>
      <w:r w:rsidRPr="002A7627">
        <w:rPr>
          <w:rFonts w:asciiTheme="majorBidi" w:hAnsiTheme="majorBidi" w:cstheme="majorBidi"/>
        </w:rPr>
        <w:t xml:space="preserve">. This study was also consistent with the results of Fawzy and Keri </w:t>
      </w:r>
      <w:r w:rsidRPr="002A7627">
        <w:rPr>
          <w:rFonts w:asciiTheme="majorBidi" w:hAnsiTheme="majorBidi" w:cstheme="majorBidi"/>
        </w:rPr>
        <w:fldChar w:fldCharType="begin" w:fldLock="1"/>
      </w:r>
      <w:r w:rsidR="00E24626" w:rsidRPr="002A7627">
        <w:rPr>
          <w:rFonts w:asciiTheme="majorBidi" w:hAnsiTheme="majorBidi" w:cstheme="majorBidi"/>
        </w:rPr>
        <w:instrText>ADDIN CSL_CITATION {"citationItems":[{"id":"ITEM-1","itemData":{"DOI":"http://dx.doi.org/10.1108/13673270010379894","ISBN":"13673270","ISSN":"1367-3270","PMID":"5561","abstract":"The strategic role of the human resources department in identifying strategic and knowledge gaps using knowledge mapping is discussed in this paper.","author":[{"dropping-particle":"","family":"Fawzy","given":"Soliman","non-dropping-particle":"","parse-names":false,"suffix":""},{"dropping-particle":"","family":"Keri","given":"Spooner","non-dropping-particle":"","parse-names":false,"suffix":""}],"container-title":"Journal of Knowledge Management","id":"ITEM-1","issue":"4","issued":{"date-parts":[["2000"]]},"page":"337","title":"Strategies for implementing knowledge management: Role of human resources management","type":"article-journal","volume":"4"},"uris":["http://www.mendeley.com/documents/?uuid=cdf16bce-feb6-49a3-8f4a-57d412143091"]}],"mendeley":{"formattedCitation":"(Fawzy &amp; Keri, 2000)","manualFormatting":"(2000)","plainTextFormattedCitation":"(Fawzy &amp; Keri, 2000)","previouslyFormattedCitation":"(Fawzy &amp; Keri, 2000)"},"properties":{"noteIndex":0},"schema":"https://github.com/citation-style-language/schema/raw/master/csl-citation.json"}</w:instrText>
      </w:r>
      <w:r w:rsidRPr="002A7627">
        <w:rPr>
          <w:rFonts w:asciiTheme="majorBidi" w:hAnsiTheme="majorBidi" w:cstheme="majorBidi"/>
        </w:rPr>
        <w:fldChar w:fldCharType="separate"/>
      </w:r>
      <w:r w:rsidRPr="002A7627">
        <w:rPr>
          <w:rFonts w:asciiTheme="majorBidi" w:hAnsiTheme="majorBidi" w:cstheme="majorBidi"/>
          <w:noProof/>
        </w:rPr>
        <w:t>(2000)</w:t>
      </w:r>
      <w:r w:rsidRPr="002A7627">
        <w:rPr>
          <w:rFonts w:asciiTheme="majorBidi" w:hAnsiTheme="majorBidi" w:cstheme="majorBidi"/>
        </w:rPr>
        <w:fldChar w:fldCharType="end"/>
      </w:r>
      <w:r w:rsidRPr="002A7627">
        <w:rPr>
          <w:rFonts w:asciiTheme="majorBidi" w:hAnsiTheme="majorBidi" w:cstheme="majorBidi"/>
        </w:rPr>
        <w:t>, who found a positive relationship between employee abilities and knowledge management benefits</w:t>
      </w:r>
      <w:r w:rsidR="0059030B">
        <w:rPr>
          <w:rFonts w:asciiTheme="majorBidi" w:hAnsiTheme="majorBidi" w:cstheme="majorBidi"/>
        </w:rPr>
        <w:t>. The results</w:t>
      </w:r>
      <w:r w:rsidRPr="002A7627">
        <w:rPr>
          <w:rFonts w:asciiTheme="majorBidi" w:hAnsiTheme="majorBidi" w:cstheme="majorBidi"/>
        </w:rPr>
        <w:t xml:space="preserve"> also fit the self-efficacy theory (Bandura, 1986). This suggests that employees with appropriate abilities will produce optimal outcomes </w:t>
      </w:r>
      <w:r w:rsidRPr="002A7627">
        <w:rPr>
          <w:rFonts w:asciiTheme="majorBidi" w:hAnsiTheme="majorBidi" w:cstheme="majorBidi"/>
          <w:noProof/>
        </w:rPr>
        <w:t>(Hsu</w:t>
      </w:r>
      <w:r w:rsidR="0080300F">
        <w:rPr>
          <w:rFonts w:asciiTheme="majorBidi" w:hAnsiTheme="majorBidi" w:cstheme="majorBidi"/>
          <w:noProof/>
        </w:rPr>
        <w:t xml:space="preserve"> et al.</w:t>
      </w:r>
      <w:r w:rsidRPr="002A7627">
        <w:rPr>
          <w:rFonts w:asciiTheme="majorBidi" w:hAnsiTheme="majorBidi" w:cstheme="majorBidi"/>
          <w:noProof/>
        </w:rPr>
        <w:t xml:space="preserve">, </w:t>
      </w:r>
      <w:r w:rsidR="0083144E" w:rsidRPr="002A7627">
        <w:rPr>
          <w:rFonts w:asciiTheme="majorBidi" w:hAnsiTheme="majorBidi" w:cstheme="majorBidi"/>
          <w:noProof/>
        </w:rPr>
        <w:t>2007;</w:t>
      </w:r>
      <w:r w:rsidRPr="002A7627">
        <w:rPr>
          <w:rFonts w:asciiTheme="majorBidi" w:hAnsiTheme="majorBidi" w:cstheme="majorBidi"/>
          <w:noProof/>
        </w:rPr>
        <w:t xml:space="preserve"> Hussein</w:t>
      </w:r>
      <w:r w:rsidR="00F4281A" w:rsidRPr="002A7627">
        <w:rPr>
          <w:noProof/>
          <w:lang w:bidi="fa-IR"/>
        </w:rPr>
        <w:t xml:space="preserve"> et al.</w:t>
      </w:r>
      <w:r w:rsidR="0083144E" w:rsidRPr="002A7627">
        <w:rPr>
          <w:rFonts w:asciiTheme="majorBidi" w:hAnsiTheme="majorBidi" w:cstheme="majorBidi"/>
          <w:noProof/>
        </w:rPr>
        <w:t>, 2016)</w:t>
      </w:r>
      <w:r w:rsidRPr="002A7627">
        <w:rPr>
          <w:rFonts w:asciiTheme="majorBidi" w:hAnsiTheme="majorBidi" w:cstheme="majorBidi"/>
        </w:rPr>
        <w:t xml:space="preserve">. It also supports the suggestion from a previous study to focus on human resources practices that use employees’ skills and knowledge in the public sector </w:t>
      </w:r>
      <w:r w:rsidRPr="002A7627">
        <w:rPr>
          <w:rFonts w:asciiTheme="majorBidi" w:hAnsiTheme="majorBidi" w:cstheme="majorBidi"/>
        </w:rPr>
        <w:fldChar w:fldCharType="begin" w:fldLock="1"/>
      </w:r>
      <w:r w:rsidR="007C79F2" w:rsidRPr="002A7627">
        <w:rPr>
          <w:rFonts w:asciiTheme="majorBidi" w:hAnsiTheme="majorBidi" w:cstheme="majorBidi"/>
        </w:rPr>
        <w:instrText>ADDIN CSL_CITATION {"citationItems":[{"id":"ITEM-1","itemData":{"abstract":"The purpose of this paper is twofold. First, it highlights the importance of creating, capturing, documenting and disseminating knowledge within public organizations. Second, it presents the factors that influence its implementation within the context of public organizations. Using a dataset collected from Dubai government entities, the study assesses the clarity of the knowledge management (KM) concept in the sector, its ability to capture and store knowledge, and the reasons and the expected benefits from implementing KM programs. A set of recommendations are addressed to both policy makers and the heads of KM departments not only in Dubai, but for the UAE and the GCC countries. The study confirms that the current challenge facing public sector is not only knowledge development but also knowledge management.","author":[{"dropping-particle":"","family":"Biygautane","given":"Mhamed","non-dropping-particle":"","parse-names":false,"suffix":""},{"dropping-particle":"","family":"Al-yahya","given":"Khalid","non-dropping-particle":"","parse-names":false,"suffix":""}],"container-title":"Gulf Research Meeting Conference at the University of Cambridge, UK.","id":"ITEM-1","issued":{"date-parts":[["2011"]]},"publisher":"University of Cambridge","publisher-place":"Cambridge, UK","title":"Knowledge Management in the UAE’s Public Sector :The Case of Dubai","type":"paper-conference"},"uris":["http://www.mendeley.com/documents/?uuid=d5d23b0f-9ec1-4a8e-af67-5cdeb7975688"]}],"mendeley":{"formattedCitation":"(Biygautane &amp; Al-yahya, 2011)","manualFormatting":"(Biygautane &amp; Al-yahya, 2011)","plainTextFormattedCitation":"(Biygautane &amp; Al-yahya, 2011)","previouslyFormattedCitation":"(Biygautane &amp; Al-yahya, 2011)"},"properties":{"noteIndex":0},"schema":"https://github.com/citation-style-language/schema/raw/master/csl-citation.json"}</w:instrText>
      </w:r>
      <w:r w:rsidRPr="002A7627">
        <w:rPr>
          <w:rFonts w:asciiTheme="majorBidi" w:hAnsiTheme="majorBidi" w:cstheme="majorBidi"/>
        </w:rPr>
        <w:fldChar w:fldCharType="separate"/>
      </w:r>
      <w:r w:rsidRPr="002A7627">
        <w:rPr>
          <w:rFonts w:asciiTheme="majorBidi" w:hAnsiTheme="majorBidi" w:cstheme="majorBidi"/>
          <w:noProof/>
        </w:rPr>
        <w:t xml:space="preserve">(Biygautane </w:t>
      </w:r>
      <w:r w:rsidR="0083144E" w:rsidRPr="002A7627">
        <w:rPr>
          <w:rFonts w:asciiTheme="majorBidi" w:hAnsiTheme="majorBidi" w:cstheme="majorBidi"/>
          <w:noProof/>
        </w:rPr>
        <w:t>&amp; Al-yahya, 2011)</w:t>
      </w:r>
      <w:r w:rsidRPr="002A7627">
        <w:rPr>
          <w:rFonts w:asciiTheme="majorBidi" w:hAnsiTheme="majorBidi" w:cstheme="majorBidi"/>
        </w:rPr>
        <w:fldChar w:fldCharType="end"/>
      </w:r>
      <w:r w:rsidRPr="002A7627">
        <w:rPr>
          <w:rFonts w:asciiTheme="majorBidi" w:hAnsiTheme="majorBidi" w:cstheme="majorBidi"/>
        </w:rPr>
        <w:t xml:space="preserve">. </w:t>
      </w:r>
    </w:p>
    <w:p w14:paraId="7B9F55FB" w14:textId="549246FB" w:rsidR="00D727A2" w:rsidRPr="002A7627" w:rsidRDefault="00B56693" w:rsidP="0084184C">
      <w:pPr>
        <w:pStyle w:val="Heading1"/>
        <w:rPr>
          <w:rFonts w:ascii="Times" w:hAnsi="Times"/>
          <w:color w:val="000000"/>
        </w:rPr>
      </w:pPr>
      <w:bookmarkStart w:id="286" w:name="_Toc13959676"/>
      <w:bookmarkStart w:id="287" w:name="_Toc22331719"/>
      <w:r>
        <w:rPr>
          <w:color w:val="000000"/>
        </w:rPr>
        <w:t xml:space="preserve">6.7. </w:t>
      </w:r>
      <w:r w:rsidR="00D727A2" w:rsidRPr="002A7627">
        <w:rPr>
          <w:color w:val="000000"/>
        </w:rPr>
        <w:t>Conclusion</w:t>
      </w:r>
      <w:bookmarkEnd w:id="286"/>
      <w:bookmarkEnd w:id="287"/>
    </w:p>
    <w:p w14:paraId="2AB276F8" w14:textId="7F19804F" w:rsidR="00D727A2" w:rsidRPr="002A7627" w:rsidRDefault="008C164D" w:rsidP="00362C9B">
      <w:pPr>
        <w:pStyle w:val="AAAAAAA"/>
      </w:pPr>
      <w:r>
        <w:t>Th</w:t>
      </w:r>
      <w:r w:rsidR="0059030B">
        <w:t>is study aimed</w:t>
      </w:r>
      <w:r w:rsidR="00D727A2" w:rsidRPr="002A7627">
        <w:t xml:space="preserve"> to explain the impact of knowledge management capabilities, HR practices, and organizational learning on knowledge management benefits in Abu Dhabi Police. It found that knowledge management capability affected knowledge management benefits and that organizational learning had a significant mediation role between knowledge management capability and knowledge management benefits. Of the four HR practice areas, only those designed to increase intrinsic motivation played an important role in enhancing knowledge management benefits. The policing organization is</w:t>
      </w:r>
      <w:r w:rsidR="00054373" w:rsidRPr="002A7627">
        <w:t xml:space="preserve">, therefore, </w:t>
      </w:r>
      <w:r w:rsidR="00D727A2" w:rsidRPr="002A7627">
        <w:t xml:space="preserve">not gaining knowledge management benefits from the use of practices to increase extrinsic motivation or enhance employee abilities, unless they are mediated by organizational learning. Opportunity-enhancing HR practices do not play an important role in enhancing organizational learning or knowledge management benefits, and this may be because managers are under time constraints, or because the hierarchical culture within the organization affects the process. The study findings are consistent with both the resource-based view and theory of absorptive capacity and suggest that the policing organization should be aware of the role that information technology may play in leveraging knowledge management benefits. The findings also confirm the social </w:t>
      </w:r>
      <w:r w:rsidR="00362C9B">
        <w:t>exchange</w:t>
      </w:r>
      <w:r w:rsidR="00D727A2" w:rsidRPr="002A7627">
        <w:t xml:space="preserve"> theory (Blau, 1964), and suggest that </w:t>
      </w:r>
      <w:r>
        <w:t>in general terms</w:t>
      </w:r>
      <w:r w:rsidR="002D74A6">
        <w:t xml:space="preserve">, </w:t>
      </w:r>
      <w:r w:rsidR="00D727A2" w:rsidRPr="002A7627">
        <w:t xml:space="preserve">employees </w:t>
      </w:r>
      <w:r w:rsidR="0059030B">
        <w:t>are</w:t>
      </w:r>
      <w:r w:rsidR="002D74A6">
        <w:t xml:space="preserve"> intrinsic</w:t>
      </w:r>
      <w:r w:rsidR="0059030B">
        <w:t>ally</w:t>
      </w:r>
      <w:r w:rsidR="002D74A6">
        <w:t xml:space="preserve"> motivat</w:t>
      </w:r>
      <w:r w:rsidR="0059030B">
        <w:t xml:space="preserve">ed to share </w:t>
      </w:r>
      <w:r w:rsidR="002D74A6">
        <w:t>knowledge</w:t>
      </w:r>
      <w:r w:rsidR="00D727A2" w:rsidRPr="002A7627">
        <w:t xml:space="preserve"> </w:t>
      </w:r>
      <w:r w:rsidR="00D727A2" w:rsidRPr="002A7627">
        <w:fldChar w:fldCharType="begin" w:fldLock="1"/>
      </w:r>
      <w:r w:rsidR="007C79F2" w:rsidRPr="002A7627">
        <w:instrText>ADDIN CSL_CITATION {"citationItems":[{"id":"ITEM-1","itemData":{"DOI":"10.1002/hrm.21464","ISSN":"00904848","author":[{"dropping-particle":"","family":"Kuvaas","given":"Bård","non-dropping-particle":"","parse-names":false,"suffix":""},{"dropping-particle":"","family":"Buch","given":"Robert","non-dropping-particle":"","parse-names":false,"suffix":""},{"dropping-particle":"","family":"Dysvik","given":"Anders","non-dropping-particle":"","parse-names":false,"suffix":""}],"container-title":"Human Resource Management","id":"ITEM-1","issue":"2","issued":{"date-parts":[["2012","3"]]},"page":"167-187","title":"Perceived training intensity and knowledge sharing: Sharing for intrinsic and prosocial reasons","type":"article-journal","volume":"51"},"uris":["http://www.mendeley.com/documents/?uuid=f14bfd1c-e11e-4a76-b810-0d418d656618"]},{"id":"ITEM-2","itemData":{"DOI":"10.1504/IJKMS.2018.091249","ISSN":"1743-8268","author":[{"dropping-particle":"Al","family":"Mansouri","given":"Amna Ali","non-dropping-particle":"","parse-names":false,"suffix":""},{"dropping-particle":"","family":"Singh","given":"Sanjay Kumar","non-dropping-particle":"","parse-names":false,"suffix":""},{"dropping-particle":"","family":"Khan","given":"Mehmood","non-dropping-particle":"","parse-names":false,"suffix":""}],"container-title":"International Journal of Knowledge Management Studies","id":"ITEM-2","issue":"2","issued":{"date-parts":[["2018"]]},"page":"129","title":"Role of organisational culture, leadership and organisational citizenship behaviour on knowledge management","type":"article-journal","volume":"9"},"uris":["http://www.mendeley.com/documents/?uuid=6afaa9cf-cd6c-3d9b-872b-5e03d6fa0078"]}],"mendeley":{"formattedCitation":"(Kuvaas et al., 2012; Mansouri et al., 2018)","manualFormatting":"(Kuvaas et al., 2012; Mansouri, Singh, &amp; Khan, 2018)","plainTextFormattedCitation":"(Kuvaas et al., 2012; Mansouri et al., 2018)","previouslyFormattedCitation":"(Kuvaas et al., 2012; Mansouri et al., 2018)"},"properties":{"noteIndex":0},"schema":"https://github.com/citation-style-language/schema/raw/master/csl-citation.json"}</w:instrText>
      </w:r>
      <w:r w:rsidR="00D727A2" w:rsidRPr="002A7627">
        <w:fldChar w:fldCharType="separate"/>
      </w:r>
      <w:r w:rsidR="00D727A2" w:rsidRPr="002A7627">
        <w:rPr>
          <w:noProof/>
        </w:rPr>
        <w:t xml:space="preserve">(Kuvaas et al., 2012; Mansouri, Singh, </w:t>
      </w:r>
      <w:r w:rsidR="0083144E" w:rsidRPr="002A7627">
        <w:rPr>
          <w:noProof/>
        </w:rPr>
        <w:t>&amp; Khan, 2018)</w:t>
      </w:r>
      <w:r w:rsidR="00D727A2" w:rsidRPr="002A7627">
        <w:fldChar w:fldCharType="end"/>
      </w:r>
      <w:r w:rsidR="00D727A2" w:rsidRPr="002A7627">
        <w:t xml:space="preserve">. The next chapter discusses the limitations and implications of the study and makes </w:t>
      </w:r>
      <w:r w:rsidR="002D74A6">
        <w:t>recommendation</w:t>
      </w:r>
      <w:r w:rsidR="001472D4">
        <w:t>s</w:t>
      </w:r>
      <w:r w:rsidR="002D74A6" w:rsidRPr="002A7627">
        <w:t xml:space="preserve"> </w:t>
      </w:r>
      <w:r w:rsidR="00D727A2" w:rsidRPr="002A7627">
        <w:t xml:space="preserve">for future research. </w:t>
      </w:r>
    </w:p>
    <w:p w14:paraId="67058FCD" w14:textId="225CBC5A" w:rsidR="00EE53EB" w:rsidRPr="002A7627" w:rsidRDefault="00EE53EB" w:rsidP="00825B55">
      <w:pPr>
        <w:rPr>
          <w:lang w:bidi="en-US"/>
        </w:rPr>
      </w:pPr>
    </w:p>
    <w:p w14:paraId="5AB27FFE" w14:textId="594EF68D" w:rsidR="00EE53EB" w:rsidRPr="002A7627" w:rsidRDefault="00EE53EB" w:rsidP="00825B55">
      <w:pPr>
        <w:rPr>
          <w:lang w:bidi="en-US"/>
        </w:rPr>
      </w:pPr>
    </w:p>
    <w:p w14:paraId="45556A12" w14:textId="30B8BC8E" w:rsidR="00087170" w:rsidRPr="002A7627" w:rsidRDefault="00087170" w:rsidP="00825B55">
      <w:pPr>
        <w:rPr>
          <w:lang w:bidi="en-US"/>
        </w:rPr>
      </w:pPr>
    </w:p>
    <w:p w14:paraId="3A266B7A" w14:textId="0B2E574E" w:rsidR="00087170" w:rsidRPr="002A7627" w:rsidRDefault="00087170" w:rsidP="00825B55">
      <w:pPr>
        <w:rPr>
          <w:lang w:bidi="en-US"/>
        </w:rPr>
      </w:pPr>
    </w:p>
    <w:p w14:paraId="0BD7F526" w14:textId="7FFCB5A9" w:rsidR="00087170" w:rsidRPr="002A7627" w:rsidRDefault="00087170" w:rsidP="00825B55">
      <w:pPr>
        <w:rPr>
          <w:lang w:bidi="en-US"/>
        </w:rPr>
      </w:pPr>
    </w:p>
    <w:p w14:paraId="1CD20F34" w14:textId="052FAD3A" w:rsidR="00087170" w:rsidRDefault="00087170" w:rsidP="00825B55">
      <w:pPr>
        <w:rPr>
          <w:lang w:bidi="en-US"/>
        </w:rPr>
      </w:pPr>
    </w:p>
    <w:p w14:paraId="11152D4A" w14:textId="12CD2EBE" w:rsidR="00AE457E" w:rsidRDefault="00AE457E" w:rsidP="00825B55">
      <w:pPr>
        <w:rPr>
          <w:lang w:bidi="en-US"/>
        </w:rPr>
      </w:pPr>
    </w:p>
    <w:p w14:paraId="6486DE00" w14:textId="7799F71D" w:rsidR="00AE457E" w:rsidRDefault="00AE457E" w:rsidP="00825B55">
      <w:pPr>
        <w:rPr>
          <w:lang w:bidi="en-US"/>
        </w:rPr>
      </w:pPr>
    </w:p>
    <w:p w14:paraId="68AA1DA0" w14:textId="086A3F5A" w:rsidR="00AE457E" w:rsidRDefault="00AE457E" w:rsidP="00825B55">
      <w:pPr>
        <w:rPr>
          <w:lang w:bidi="en-US"/>
        </w:rPr>
      </w:pPr>
    </w:p>
    <w:p w14:paraId="6F0D1E7C" w14:textId="3210CBD1" w:rsidR="00AE457E" w:rsidRDefault="00AE457E" w:rsidP="00825B55">
      <w:pPr>
        <w:rPr>
          <w:lang w:bidi="en-US"/>
        </w:rPr>
      </w:pPr>
    </w:p>
    <w:p w14:paraId="36142B8E" w14:textId="59A6947E" w:rsidR="00AE457E" w:rsidRDefault="00AE457E" w:rsidP="00825B55">
      <w:pPr>
        <w:rPr>
          <w:lang w:bidi="en-US"/>
        </w:rPr>
      </w:pPr>
    </w:p>
    <w:p w14:paraId="3C1C3791" w14:textId="77777777" w:rsidR="0084184C" w:rsidRPr="002A7627" w:rsidRDefault="0084184C" w:rsidP="001D5F54">
      <w:pPr>
        <w:pStyle w:val="Title"/>
        <w:jc w:val="left"/>
        <w:rPr>
          <w:color w:val="000000"/>
        </w:rPr>
        <w:sectPr w:rsidR="0084184C" w:rsidRPr="002A7627" w:rsidSect="002D539D">
          <w:type w:val="continuous"/>
          <w:pgSz w:w="12240" w:h="15840"/>
          <w:pgMar w:top="1800" w:right="2160" w:bottom="1800" w:left="2160" w:header="720" w:footer="720" w:gutter="0"/>
          <w:cols w:space="720"/>
          <w:docGrid w:linePitch="381"/>
        </w:sectPr>
      </w:pPr>
      <w:bookmarkStart w:id="288" w:name="_Toc468995960"/>
    </w:p>
    <w:p w14:paraId="03ACE848" w14:textId="77777777" w:rsidR="0080300F" w:rsidRDefault="0080300F">
      <w:pPr>
        <w:widowControl/>
        <w:autoSpaceDE/>
        <w:autoSpaceDN/>
        <w:adjustRightInd/>
        <w:rPr>
          <w:rFonts w:eastAsiaTheme="majorEastAsia" w:cs="Times New Roman"/>
          <w:b/>
          <w:bCs/>
          <w:kern w:val="28"/>
          <w:szCs w:val="24"/>
          <w:lang w:bidi="en-US"/>
        </w:rPr>
      </w:pPr>
      <w:bookmarkStart w:id="289" w:name="_Toc13959677"/>
      <w:r>
        <w:br w:type="page"/>
      </w:r>
    </w:p>
    <w:p w14:paraId="2D547A3D" w14:textId="3381552A" w:rsidR="00C43266" w:rsidRPr="002A7627" w:rsidRDefault="00B56693">
      <w:pPr>
        <w:pStyle w:val="Title"/>
        <w:rPr>
          <w:color w:val="000000"/>
        </w:rPr>
      </w:pPr>
      <w:bookmarkStart w:id="290" w:name="_Toc22331720"/>
      <w:r>
        <w:rPr>
          <w:color w:val="000000"/>
        </w:rPr>
        <w:t>CHAPTER 7: IMPLICATIONS</w:t>
      </w:r>
      <w:r w:rsidR="001031A4">
        <w:rPr>
          <w:color w:val="000000"/>
        </w:rPr>
        <w:t>,</w:t>
      </w:r>
      <w:r w:rsidR="006356A5">
        <w:rPr>
          <w:color w:val="000000"/>
        </w:rPr>
        <w:t xml:space="preserve"> LIMITATION</w:t>
      </w:r>
      <w:r w:rsidR="0027064C">
        <w:rPr>
          <w:color w:val="000000"/>
        </w:rPr>
        <w:t>S</w:t>
      </w:r>
      <w:r w:rsidR="006356A5">
        <w:rPr>
          <w:color w:val="000000"/>
        </w:rPr>
        <w:t xml:space="preserve"> AND CONCLUSION</w:t>
      </w:r>
      <w:bookmarkEnd w:id="288"/>
      <w:bookmarkEnd w:id="289"/>
      <w:r w:rsidR="0027064C">
        <w:rPr>
          <w:color w:val="000000"/>
        </w:rPr>
        <w:t>S</w:t>
      </w:r>
      <w:bookmarkEnd w:id="290"/>
    </w:p>
    <w:p w14:paraId="1CE23939" w14:textId="63804AD3" w:rsidR="00C43266" w:rsidRPr="002A7627" w:rsidRDefault="00C43266" w:rsidP="0084184C">
      <w:pPr>
        <w:pStyle w:val="ListParagraph"/>
        <w:spacing w:after="200" w:line="480" w:lineRule="auto"/>
        <w:ind w:left="0" w:firstLine="720"/>
        <w:jc w:val="lowKashida"/>
        <w:rPr>
          <w:rFonts w:eastAsiaTheme="majorEastAsia" w:cs="Times New Roman"/>
          <w:b/>
          <w:bCs/>
          <w:kern w:val="28"/>
          <w:sz w:val="32"/>
          <w:szCs w:val="32"/>
          <w:lang w:bidi="en-US"/>
        </w:rPr>
      </w:pPr>
      <w:r w:rsidRPr="002A7627">
        <w:rPr>
          <w:rFonts w:cs="Times New Roman"/>
          <w:szCs w:val="24"/>
        </w:rPr>
        <w:t xml:space="preserve">This study has a number of theoretical, </w:t>
      </w:r>
      <w:r w:rsidR="00BD0A26">
        <w:rPr>
          <w:rFonts w:cs="Times New Roman"/>
          <w:szCs w:val="24"/>
        </w:rPr>
        <w:t>practical</w:t>
      </w:r>
      <w:r w:rsidR="006B5250" w:rsidRPr="002A7627">
        <w:rPr>
          <w:rFonts w:cs="Times New Roman"/>
          <w:szCs w:val="24"/>
        </w:rPr>
        <w:t>,</w:t>
      </w:r>
      <w:r w:rsidRPr="002A7627">
        <w:rPr>
          <w:rFonts w:cs="Times New Roman"/>
          <w:szCs w:val="24"/>
        </w:rPr>
        <w:t xml:space="preserve"> and economic implications.</w:t>
      </w:r>
    </w:p>
    <w:p w14:paraId="2DBA08FD" w14:textId="4DE18470" w:rsidR="00C43266" w:rsidRPr="002A7627" w:rsidRDefault="00A32D64" w:rsidP="0017121F">
      <w:pPr>
        <w:pStyle w:val="Heading1"/>
        <w:rPr>
          <w:color w:val="000000"/>
        </w:rPr>
      </w:pPr>
      <w:bookmarkStart w:id="291" w:name="_Toc468995961"/>
      <w:bookmarkStart w:id="292" w:name="_Toc13959678"/>
      <w:bookmarkStart w:id="293" w:name="_Toc22331721"/>
      <w:r>
        <w:rPr>
          <w:color w:val="000000"/>
        </w:rPr>
        <w:t xml:space="preserve">7.1. </w:t>
      </w:r>
      <w:r w:rsidR="00C43266" w:rsidRPr="002A7627">
        <w:rPr>
          <w:color w:val="000000"/>
        </w:rPr>
        <w:t xml:space="preserve">Theoretical </w:t>
      </w:r>
      <w:bookmarkEnd w:id="291"/>
      <w:r w:rsidR="00596EE7" w:rsidRPr="002A7627">
        <w:rPr>
          <w:color w:val="000000"/>
        </w:rPr>
        <w:t>I</w:t>
      </w:r>
      <w:r w:rsidR="00C43266" w:rsidRPr="002A7627">
        <w:rPr>
          <w:color w:val="000000"/>
        </w:rPr>
        <w:t>mplications</w:t>
      </w:r>
      <w:bookmarkEnd w:id="292"/>
      <w:bookmarkEnd w:id="293"/>
    </w:p>
    <w:p w14:paraId="54F79E1C" w14:textId="5D8BA347" w:rsidR="00C43266" w:rsidRPr="002A7627" w:rsidRDefault="00C43266" w:rsidP="0084184C">
      <w:pPr>
        <w:pStyle w:val="AAAAAAA"/>
      </w:pPr>
      <w:r w:rsidRPr="002A7627">
        <w:t xml:space="preserve">This study </w:t>
      </w:r>
      <w:r w:rsidR="0027064C">
        <w:t xml:space="preserve">has </w:t>
      </w:r>
      <w:r w:rsidRPr="002A7627">
        <w:t xml:space="preserve">proposed a </w:t>
      </w:r>
      <w:r w:rsidR="002D74A6">
        <w:t>knowledge management model</w:t>
      </w:r>
      <w:r w:rsidR="00761860" w:rsidRPr="002A7627">
        <w:t xml:space="preserve"> </w:t>
      </w:r>
      <w:r w:rsidRPr="002A7627">
        <w:t>for empirical studies, linking knowledge management capabilities, HR practices for knowledge sharing, organizational learning</w:t>
      </w:r>
      <w:r w:rsidR="006B5250" w:rsidRPr="002A7627">
        <w:t>,</w:t>
      </w:r>
      <w:r w:rsidRPr="002A7627">
        <w:t xml:space="preserve"> and knowledge management benefits. These constructs were introduced in previous studies </w:t>
      </w:r>
      <w:r w:rsidRPr="002A7627">
        <w:fldChar w:fldCharType="begin" w:fldLock="1"/>
      </w:r>
      <w:r w:rsidR="00E24626" w:rsidRPr="002A7627">
        <w:instrText>ADDIN CSL_CITATION {"citationItems":[{"id":"ITEM-1","itemData":{"DOI":"10.1108/10662241211199942","ISSN":"1066-2243","abstract":"Purpose – The purpose of this study is to propose a conceptual structural equation model to, first, investigate the relationships among knowledge management (KM) system quality, employees' self-perceived social identification, trust at workplace as well as online knowledge sharing behaviors, and, second, demonstrate the direct and indirect effect of social identification and trust at workplace on online knowledge sharing from the perspective of KM system quality. Design/methodology/approach – A questionnaire was distributed to 437 full-time employees (n ¼ 437) from three technology companies in Taiwan. These companies have had years of experience in implementing KM systems. Data were analyzed by employing structural equation modeling. Findings – The results show that: social identification and trust at workplace have a mediating effect on online knowledge sharing within organizations; trust at workplace is the stronger mediator than social identification; social identification has a positive and significant impact on trust at workplace; and there is significant correlation between KM system quality and social identification as well as trust. Practical implications – Based on these findings, organizations in Taiwan that aim to maximize the effectiveness and efficiency of KM systems should find ways to enhance employees' self-awareness on social identification and trust in the workplace. Originality/value – The conceptual model provides useful information for managers to enhance knowledge sharing through the formation of social identification and promotion of trust at workplaces.","author":[{"dropping-particle":"","family":"Ho","given":"Li‐An","non-dropping-particle":"","parse-names":false,"suffix":""},{"dropping-particle":"","family":"Kuo","given":"Tsung‐Hsien","non-dropping-particle":"","parse-names":false,"suffix":""},{"dropping-particle":"","family":"Lin","given":"Binshan","non-dropping-particle":"","parse-names":false,"suffix":""}],"container-title":"Internet Research","id":"ITEM-1","issue":"1","issued":{"date-parts":[["2012","1","27"]]},"page":"4-28","title":"How social identification and trust influence organizational online knowledge sharing","type":"article-journal","volume":"22"},"uris":["http://www.mendeley.com/documents/?uuid=51a492cf-54ed-4692-b151-0e6e518e990a"]},{"id":"ITEM-2","itemData":{"DOI":"10.3390/su10103816","ISSN":"2071-1050","abstract":"This study explores the effects of organizational information technology (IT) capability in determining organizational performance and sustainable competitive advantage. Building on the resource-based and knowledge-based views of a firm, the study proposes a theoretical framework. In this framework, organizational IT capability is theorized to strengthen organizational performance and sustainable competitive advantage, directly and indirectly, through organizational knowledge management capabilities. Data collected from the middle and senior managers of diverse organizations in an emerging economy have been used to test the relationships in the framework. To estimate the proposed relationships in the conceptual model, we use structural equation modeling through SmartPLS 3.2. The results confirm that organizational IT capability significantly impacts organizational performance and sustainable competitive advantage. Additionally, organizational knowledge management capabilities partially mediate the relationship between IT capability and the outcomes (i.e., organizational performance and sustainable competitive advantage). The study concludes with a discussion of the implications for academicians and managers.","author":[{"dropping-particle":"","family":"Akram","given":"M.","non-dropping-particle":"","parse-names":false,"suffix":""},{"dropping-particle":"","family":"Goraya","given":"M.","non-dropping-particle":"","parse-names":false,"suffix":""},{"dropping-particle":"","family":"Malik","given":"Aneela","non-dropping-particle":"","parse-names":false,"suffix":""},{"dropping-particle":"","family":"Aljarallah","given":"Amer","non-dropping-particle":"","parse-names":false,"suffix":""}],"container-title":"Sustainability","id":"ITEM-2","issue":"10","issued":{"date-parts":[["2018","10","22"]]},"page":"3816","title":"Organizational performance and sustainability: Exploring the roles of it capabilities and knowledge management capabilities","type":"article-journal","volume":"10"},"uris":["http://www.mendeley.com/documents/?uuid=5f42a3d1-f971-4d54-8ee0-56c1e0d2d72f"]},{"id":"ITEM-3","itemData":{"DOI":"10.1108/13673271211262763","ISBN":"1367327121","ISSN":"1367-3270","author":[{"dropping-particle":"","family":"Siddique","given":"C. Muhammed","non-dropping-particle":"","parse-names":false,"suffix":""}],"container-title":"Journal of Knowledge Management","id":"ITEM-3","issue":"5","issued":{"date-parts":[["2012","9","7"]]},"page":"702-723","title":"Knowledge management initiatives in the United Arab Emirates: A baseline study","type":"article-journal","volume":"16"},"uris":["http://www.mendeley.com/documents/?uuid=4416d806-e6e9-49fa-a6ff-2917a0c3d074"]}],"mendeley":{"formattedCitation":"(Akram et al., 2018; Ho et al., 2012; Siddique, 2012)","plainTextFormattedCitation":"(Akram et al., 2018; Ho et al., 2012; Siddique, 2012)","previouslyFormattedCitation":"(Akram et al., 2018; Ho et al., 2012; Siddique, 2012)"},"properties":{"noteIndex":0},"schema":"https://github.com/citation-style-language/schema/raw/master/csl-citation.json"}</w:instrText>
      </w:r>
      <w:r w:rsidRPr="002A7627">
        <w:fldChar w:fldCharType="separate"/>
      </w:r>
      <w:r w:rsidR="00F31753" w:rsidRPr="002A7627">
        <w:rPr>
          <w:noProof/>
        </w:rPr>
        <w:t>(Akram et al., 2018; Ho et al., 2012; Siddique, 2012)</w:t>
      </w:r>
      <w:r w:rsidRPr="002A7627">
        <w:fldChar w:fldCharType="end"/>
      </w:r>
      <w:r w:rsidRPr="002A7627">
        <w:t xml:space="preserve">. </w:t>
      </w:r>
      <w:r w:rsidR="0027064C">
        <w:t>In future, o</w:t>
      </w:r>
      <w:r w:rsidRPr="002A7627">
        <w:t xml:space="preserve">ther researchers may </w:t>
      </w:r>
      <w:r w:rsidR="0027064C">
        <w:t>extend</w:t>
      </w:r>
      <w:r w:rsidR="0027064C" w:rsidRPr="002A7627">
        <w:t xml:space="preserve"> </w:t>
      </w:r>
      <w:r w:rsidRPr="002A7627">
        <w:t xml:space="preserve">this model by adding more enabling variables and improving and developing other frameworks that include knowledge management benefits or organizational learning as dependent variables. </w:t>
      </w:r>
    </w:p>
    <w:p w14:paraId="21EB6101" w14:textId="77777777" w:rsidR="00A817FD" w:rsidRDefault="00C43266" w:rsidP="00AE457E">
      <w:pPr>
        <w:pStyle w:val="AAAAAAA"/>
        <w:sectPr w:rsidR="00A817FD" w:rsidSect="001708DA">
          <w:type w:val="continuous"/>
          <w:pgSz w:w="12240" w:h="15840"/>
          <w:pgMar w:top="2880" w:right="2160" w:bottom="1800" w:left="2160" w:header="720" w:footer="720" w:gutter="0"/>
          <w:cols w:space="720"/>
          <w:docGrid w:linePitch="381"/>
        </w:sectPr>
      </w:pPr>
      <w:r w:rsidRPr="002A7627">
        <w:t xml:space="preserve">The study builds on previous theories related to the research model, such as the resource-based view </w:t>
      </w:r>
      <w:r w:rsidRPr="002A7627">
        <w:fldChar w:fldCharType="begin" w:fldLock="1"/>
      </w:r>
      <w:r w:rsidR="004C27D4" w:rsidRPr="002A7627">
        <w:instrText>ADDIN CSL_CITATION {"citationItems":[{"id":"ITEM-1","itemData":{"abstract":"Understanding sources of sustained competitive advantage had become a major area of research in strategic management. Building on the assumptions that strategic resources are heterogeneously distributed across firms and that these differences are stable over time, this article examines the link between firm resources and sustained competitive advantage. Four empirical indicators of the potential of firm resources to generate sustained competitive advantage-value, rareness, imitability, and sustainability are discussed. The model is applied by analyzing the potential of several firm resources for generating sustained competitive advantages. The article concludes by examining implications of this firm resource model of sustained competitive advantage for other business disciplines.","author":[{"dropping-particle":"","family":"Barney","given":"J.","non-dropping-particle":"","parse-names":false,"suffix":""}],"container-title":"Journal of Management","id":"ITEM-1","issue":"1","issued":{"date-parts":[["1991"]]},"page":"99-120","title":"Firm resources and sustained competitive advantage","type":"article-journal","volume":"17"},"uris":["http://www.mendeley.com/documents/?uuid=e2a776d3-b7eb-4d0a-a3c0-ca6f25e10996"]}],"mendeley":{"formattedCitation":"(Barney, 1991)","manualFormatting":"(Barney, 1991)","plainTextFormattedCitation":"(Barney, 1991)","previouslyFormattedCitation":"(Barney, 1991)"},"properties":{"noteIndex":0},"schema":"https://github.com/citation-style-language/schema/raw/master/csl-citation.json"}</w:instrText>
      </w:r>
      <w:r w:rsidRPr="002A7627">
        <w:fldChar w:fldCharType="separate"/>
      </w:r>
      <w:r w:rsidRPr="002A7627">
        <w:rPr>
          <w:noProof/>
        </w:rPr>
        <w:t>(Barney, 1991)</w:t>
      </w:r>
      <w:r w:rsidRPr="002A7627">
        <w:fldChar w:fldCharType="end"/>
      </w:r>
      <w:r w:rsidRPr="002A7627">
        <w:t xml:space="preserve"> and the idea of absorptive capacity </w:t>
      </w:r>
      <w:r w:rsidR="00E24626" w:rsidRPr="002A7627">
        <w:rPr>
          <w:noProof/>
        </w:rPr>
        <w:t>(Cohen &amp; Levinthal, 1990)</w:t>
      </w:r>
      <w:r w:rsidRPr="002A7627">
        <w:t xml:space="preserve">. These theories explain the resources and capabilities that are important to improve performance in an organization and help it to maintain a competitive advantage. Absorptive capacity is important because it reflects the capability of the organization to absorb technological information. Scholars may contribute further to these theories by </w:t>
      </w:r>
      <w:r w:rsidR="007865C0">
        <w:t>investigating</w:t>
      </w:r>
      <w:r w:rsidR="007865C0" w:rsidRPr="002A7627">
        <w:t xml:space="preserve"> </w:t>
      </w:r>
      <w:r w:rsidRPr="002A7627">
        <w:t xml:space="preserve">other structural and cultural capabilities. The other theories that were used in building the relationship between HR practices to build extrinsic and intrinsic motivation, and to enhance </w:t>
      </w:r>
    </w:p>
    <w:p w14:paraId="3A798DF6" w14:textId="63DC9FCD" w:rsidR="00C43266" w:rsidRPr="002A7627" w:rsidRDefault="00C43266" w:rsidP="00AE457E">
      <w:pPr>
        <w:pStyle w:val="AAAAAAA"/>
      </w:pPr>
      <w:r w:rsidRPr="002A7627">
        <w:t xml:space="preserve">opportunities and abilities and knowledge management benefits were self-determination theory </w:t>
      </w:r>
      <w:r w:rsidR="00F31753" w:rsidRPr="002A7627">
        <w:rPr>
          <w:noProof/>
        </w:rPr>
        <w:t>(Miller et al., 1988)</w:t>
      </w:r>
      <w:r w:rsidRPr="002A7627">
        <w:t xml:space="preserve">, social exchange theory </w:t>
      </w:r>
      <w:r w:rsidRPr="002A7627">
        <w:fldChar w:fldCharType="begin" w:fldLock="1"/>
      </w:r>
      <w:r w:rsidR="00E24626" w:rsidRPr="002A7627">
        <w:instrText>ADDIN CSL_CITATION {"citationItems":[{"id":"ITEM-1","itemData":{"ISBN":"2219-1933","abstract":"In this paper, we investigated social exchange theory (SET) and its underlying mechanism of obligation feeling in light of potential context effects. To date, the bulk of the research on SET has been based on North American samples, with little understanding whether the theory transcends cultural contexts in its ability to explain and effectively predict. Thus, in order to expand our knowledge in this area, we examined SET in a Swedish sample. Using 402 professional employees, we tested whether felt obligation mediated the relationships between perceived organizational support and both affective organizational commitment and personal initiative. The results partially confirmed the applicability of SET in a Swedish context. The paper makes a contribution to the literature by extending empirical research on SET and its applications in a non-U.S. environment, and thus, highlighting the increased importance of context in organizational science research today.","author":[{"dropping-particle":"","family":"Blau","given":"P.","non-dropping-particle":"","parse-names":false,"suffix":""}],"id":"ITEM-1","issued":{"date-parts":[["1964"]]},"publisher":"John Wiley &amp; Sons","publisher-place":"New York, NY","title":"Power and exchange in social life","type":"book"},"uris":["http://www.mendeley.com/documents/?uuid=3340002c-a5d0-4d69-bca6-01dd53991553"]}],"mendeley":{"formattedCitation":"(Blau, 1964)","plainTextFormattedCitation":"(Blau, 1964)","previouslyFormattedCitation":"(Blau, 1964)"},"properties":{"noteIndex":0},"schema":"https://github.com/citation-style-language/schema/raw/master/csl-citation.json"}</w:instrText>
      </w:r>
      <w:r w:rsidRPr="002A7627">
        <w:fldChar w:fldCharType="separate"/>
      </w:r>
      <w:r w:rsidRPr="002A7627">
        <w:rPr>
          <w:noProof/>
        </w:rPr>
        <w:t>(Blau, 1964)</w:t>
      </w:r>
      <w:r w:rsidRPr="002A7627">
        <w:fldChar w:fldCharType="end"/>
      </w:r>
      <w:r w:rsidRPr="002A7627">
        <w:t xml:space="preserve"> and self-efficacy theory </w:t>
      </w:r>
      <w:r w:rsidRPr="002A7627">
        <w:fldChar w:fldCharType="begin" w:fldLock="1"/>
      </w:r>
      <w:r w:rsidR="004C27D4" w:rsidRPr="002A7627">
        <w:instrText>ADDIN CSL_CITATION {"citationItems":[{"id":"ITEM-1","itemData":{"ISBN":"0761972706","ISSN":"03637425","PMID":"212","author":[{"dropping-particle":"","family":"Bandura","given":"Albert","non-dropping-particle":"","parse-names":false,"suffix":""}],"container-title":"Academy of Management Review","id":"ITEM-1","issued":{"date-parts":[["1986"]]},"publisher":"Prentice-Hall","publisher-place":"Englewood Cliffs, NJ","title":"Social Foundations of Thought and Action: A Social-Cognitive View","type":"book"},"uris":["http://www.mendeley.com/documents/?uuid=0c996392-4003-4d79-ab6a-2cc110709b2f"]}],"mendeley":{"formattedCitation":"(Bandura, 1986a)","plainTextFormattedCitation":"(Bandura, 1986a)","previouslyFormattedCitation":"(Bandura, 1986a)"},"properties":{"noteIndex":0},"schema":"https://github.com/citation-style-language/schema/raw/master/csl-citation.json"}</w:instrText>
      </w:r>
      <w:r w:rsidRPr="002A7627">
        <w:fldChar w:fldCharType="separate"/>
      </w:r>
      <w:r w:rsidR="00E24626" w:rsidRPr="002A7627">
        <w:rPr>
          <w:noProof/>
        </w:rPr>
        <w:t>(Bandura, 1986a)</w:t>
      </w:r>
      <w:r w:rsidRPr="002A7627">
        <w:fldChar w:fldCharType="end"/>
      </w:r>
      <w:r w:rsidRPr="002A7627">
        <w:t xml:space="preserve">. The role of organizational learning as a mediator was supported by organizational learning theory </w:t>
      </w:r>
      <w:r w:rsidRPr="002A7627">
        <w:fldChar w:fldCharType="begin" w:fldLock="1"/>
      </w:r>
      <w:r w:rsidR="00E24626" w:rsidRPr="002A7627">
        <w:instrText>ADDIN CSL_CITATION {"citationItems":[{"id":"ITEM-1","itemData":{"abstract":"A Behavioral Theory of the Firm attempts to integrate the theory of the firm and organization theory. It relates internal factors such as organizational structure and decision-making processes to economic actions such as pricing. The theory also emphasizes such factors as organizational learning and organizational slack to the economic decisions of the firm. The Science Citation Index (SCI) and the Social Sciences Citation Index (SSCITM) indicate that this book has been cited over 770 times since 1963.","author":[{"dropping-particle":"","family":"Cyert","given":"Richard M.","non-dropping-particle":"","parse-names":false,"suffix":""},{"dropping-particle":"","family":"March","given":"James G.","non-dropping-particle":"","parse-names":false,"suffix":""}],"container-title":"A behavioral theory of the firm","id":"ITEM-1","issued":{"date-parts":[["1963"]]},"publisher":"Prentice-Hall","publisher-place":"Englewood Cliffs, NJ","title":"A summary of basic concepts in the behavioral theory of the firm","type":"chapter"},"uris":["http://www.mendeley.com/documents/?uuid=46b9b3ac-4449-46ca-bab6-c95ab5e67e88"]}],"mendeley":{"formattedCitation":"(Cyert &amp; March, 1963)","plainTextFormattedCitation":"(Cyert &amp; March, 1963)","previouslyFormattedCitation":"(Cyert &amp; March, 1963)"},"properties":{"noteIndex":0},"schema":"https://github.com/citation-style-language/schema/raw/master/csl-citation.json"}</w:instrText>
      </w:r>
      <w:r w:rsidRPr="002A7627">
        <w:fldChar w:fldCharType="separate"/>
      </w:r>
      <w:r w:rsidRPr="002A7627">
        <w:rPr>
          <w:noProof/>
        </w:rPr>
        <w:t>(Cyert &amp; March, 1963)</w:t>
      </w:r>
      <w:r w:rsidRPr="002A7627">
        <w:fldChar w:fldCharType="end"/>
      </w:r>
      <w:r w:rsidRPr="002A7627">
        <w:t xml:space="preserve">. The results suggested unique insights on the </w:t>
      </w:r>
      <w:r w:rsidR="002D74A6">
        <w:t xml:space="preserve">influence </w:t>
      </w:r>
      <w:r w:rsidRPr="002A7627">
        <w:t xml:space="preserve">of knowledge management capabilities and HR practices around knowledge sharing on knowledge management benefits, and the mediation </w:t>
      </w:r>
      <w:r w:rsidR="0034740D">
        <w:t>effect</w:t>
      </w:r>
      <w:r w:rsidR="0034740D" w:rsidRPr="002A7627">
        <w:t xml:space="preserve"> </w:t>
      </w:r>
      <w:r w:rsidRPr="002A7627">
        <w:t xml:space="preserve">of organizational learning in a policing organization in the UAE. The researcher found unexpected results for </w:t>
      </w:r>
      <w:r w:rsidR="0027064C">
        <w:t xml:space="preserve">several </w:t>
      </w:r>
      <w:r w:rsidRPr="002A7627">
        <w:t>hypotheses</w:t>
      </w:r>
      <w:r w:rsidR="0027064C">
        <w:t>, including</w:t>
      </w:r>
      <w:r w:rsidRPr="002A7627">
        <w:t xml:space="preserve"> H4 </w:t>
      </w:r>
      <w:r w:rsidR="0027064C">
        <w:t>(o</w:t>
      </w:r>
      <w:r w:rsidRPr="002A7627">
        <w:rPr>
          <w:rFonts w:asciiTheme="majorBidi" w:eastAsia="Times New Roman" w:hAnsiTheme="majorBidi" w:cstheme="majorBidi"/>
        </w:rPr>
        <w:t xml:space="preserve">pportunity-enhancing HR practices have a direct and positive relationship with </w:t>
      </w:r>
      <w:r w:rsidRPr="002A7627">
        <w:rPr>
          <w:rFonts w:asciiTheme="majorBidi" w:hAnsiTheme="majorBidi" w:cstheme="majorBidi"/>
        </w:rPr>
        <w:t>knowledge management benefits</w:t>
      </w:r>
      <w:r w:rsidR="0027064C">
        <w:rPr>
          <w:rFonts w:asciiTheme="majorBidi" w:hAnsiTheme="majorBidi" w:cstheme="majorBidi"/>
        </w:rPr>
        <w:t>)</w:t>
      </w:r>
      <w:r w:rsidRPr="002A7627">
        <w:t xml:space="preserve">, H5 </w:t>
      </w:r>
      <w:r w:rsidR="0027064C">
        <w:t>(a</w:t>
      </w:r>
      <w:r w:rsidRPr="002A7627">
        <w:rPr>
          <w:rFonts w:asciiTheme="majorBidi" w:eastAsia="Times New Roman" w:hAnsiTheme="majorBidi" w:cstheme="majorBidi"/>
        </w:rPr>
        <w:t xml:space="preserve">bility-enhancing HR practices have a direct and positive relationship with </w:t>
      </w:r>
      <w:r w:rsidRPr="002A7627">
        <w:rPr>
          <w:rFonts w:asciiTheme="majorBidi" w:hAnsiTheme="majorBidi" w:cstheme="majorBidi"/>
        </w:rPr>
        <w:t>knowledge management benefits</w:t>
      </w:r>
      <w:r w:rsidR="0027064C">
        <w:rPr>
          <w:rFonts w:asciiTheme="majorBidi" w:hAnsiTheme="majorBidi" w:cstheme="majorBidi"/>
        </w:rPr>
        <w:t>)</w:t>
      </w:r>
      <w:r w:rsidRPr="002A7627">
        <w:t xml:space="preserve"> and H10 </w:t>
      </w:r>
      <w:r w:rsidR="0027064C">
        <w:t>(o</w:t>
      </w:r>
      <w:r w:rsidRPr="002A7627">
        <w:rPr>
          <w:rFonts w:asciiTheme="majorBidi" w:hAnsiTheme="majorBidi" w:cstheme="majorBidi"/>
        </w:rPr>
        <w:t>rganizational learning has a mediating effect on the relationship between opportunity-enhancing HR practices and knowledge management benefits</w:t>
      </w:r>
      <w:r w:rsidR="0027064C">
        <w:rPr>
          <w:rFonts w:asciiTheme="majorBidi" w:hAnsiTheme="majorBidi" w:cstheme="majorBidi"/>
        </w:rPr>
        <w:t>)</w:t>
      </w:r>
      <w:r w:rsidRPr="002A7627">
        <w:t>. This could be because of the particular culture of the policing organization. Replicating the study in different regions and organizations may</w:t>
      </w:r>
      <w:r w:rsidR="00054373" w:rsidRPr="002A7627">
        <w:t xml:space="preserve"> </w:t>
      </w:r>
      <w:r w:rsidRPr="002A7627">
        <w:t xml:space="preserve">provide different findings. Introducing the type of culture as an enabler to knowledge management benefits might provide </w:t>
      </w:r>
      <w:r w:rsidR="0027064C">
        <w:t>more and</w:t>
      </w:r>
      <w:r w:rsidR="0027064C" w:rsidRPr="002A7627">
        <w:t xml:space="preserve"> </w:t>
      </w:r>
      <w:r w:rsidRPr="002A7627">
        <w:t>deeper insight</w:t>
      </w:r>
      <w:r w:rsidR="0027064C">
        <w:t>s</w:t>
      </w:r>
      <w:r w:rsidRPr="002A7627">
        <w:t xml:space="preserve">. </w:t>
      </w:r>
    </w:p>
    <w:p w14:paraId="6447DE85" w14:textId="151CF0B9" w:rsidR="00C43266" w:rsidRPr="002A7627" w:rsidRDefault="00C43266" w:rsidP="0084184C">
      <w:pPr>
        <w:pStyle w:val="AAAAAAA"/>
      </w:pPr>
      <w:r w:rsidRPr="002A7627">
        <w:t xml:space="preserve">In general, this dissertation will be helpful to academics studying knowledge management in the UAE and the Middle East. There are </w:t>
      </w:r>
      <w:r w:rsidR="00C23463">
        <w:t>few</w:t>
      </w:r>
      <w:r w:rsidRPr="002A7627">
        <w:t xml:space="preserve"> studies on knowledge management benefits in the UAE, and most have focused on the private sector. Many of the studies that introduced knowledge management benefits were also conceptual. </w:t>
      </w:r>
      <w:r w:rsidRPr="002A7627">
        <w:rPr>
          <w:rFonts w:eastAsia="Times New Roman"/>
        </w:rPr>
        <w:t xml:space="preserve">This study helps to bridge the gap in research on non-financial </w:t>
      </w:r>
      <w:r w:rsidR="00C23463">
        <w:rPr>
          <w:rFonts w:eastAsia="Times New Roman"/>
        </w:rPr>
        <w:t xml:space="preserve">benefits of </w:t>
      </w:r>
      <w:r w:rsidRPr="002A7627">
        <w:rPr>
          <w:rFonts w:eastAsia="Times New Roman"/>
        </w:rPr>
        <w:t>knowledge management.</w:t>
      </w:r>
      <w:r w:rsidRPr="002A7627">
        <w:rPr>
          <w:rFonts w:eastAsia="Times New Roman"/>
          <w:b/>
          <w:bCs/>
        </w:rPr>
        <w:t xml:space="preserve"> </w:t>
      </w:r>
    </w:p>
    <w:p w14:paraId="34309173" w14:textId="573ECC05" w:rsidR="00C43266" w:rsidRPr="002A7627" w:rsidRDefault="00A32D64" w:rsidP="0017121F">
      <w:pPr>
        <w:pStyle w:val="Heading1"/>
        <w:rPr>
          <w:color w:val="000000"/>
        </w:rPr>
      </w:pPr>
      <w:bookmarkStart w:id="294" w:name="_Toc468995962"/>
      <w:bookmarkStart w:id="295" w:name="_Toc13959679"/>
      <w:bookmarkStart w:id="296" w:name="_Toc22331722"/>
      <w:r>
        <w:rPr>
          <w:color w:val="000000"/>
        </w:rPr>
        <w:t xml:space="preserve">7.2. </w:t>
      </w:r>
      <w:r w:rsidR="00A453CD">
        <w:rPr>
          <w:color w:val="000000"/>
        </w:rPr>
        <w:t>Practical</w:t>
      </w:r>
      <w:r w:rsidR="00C43266" w:rsidRPr="002A7627">
        <w:rPr>
          <w:color w:val="000000"/>
        </w:rPr>
        <w:t xml:space="preserve"> </w:t>
      </w:r>
      <w:bookmarkEnd w:id="294"/>
      <w:r w:rsidR="00596EE7" w:rsidRPr="002A7627">
        <w:rPr>
          <w:color w:val="000000"/>
        </w:rPr>
        <w:t>I</w:t>
      </w:r>
      <w:r w:rsidR="00C43266" w:rsidRPr="002A7627">
        <w:rPr>
          <w:color w:val="000000"/>
        </w:rPr>
        <w:t>mplications</w:t>
      </w:r>
      <w:bookmarkEnd w:id="295"/>
      <w:bookmarkEnd w:id="296"/>
    </w:p>
    <w:p w14:paraId="4648A94A" w14:textId="60C7E8B0" w:rsidR="00C43266" w:rsidRPr="002A7627" w:rsidRDefault="00C43266" w:rsidP="0084184C">
      <w:pPr>
        <w:pStyle w:val="AAAAAAA"/>
      </w:pPr>
      <w:r w:rsidRPr="002A7627">
        <w:t>The relationship between knowledge management capability, HR practices</w:t>
      </w:r>
      <w:r w:rsidR="006B5250" w:rsidRPr="002A7627">
        <w:t>,</w:t>
      </w:r>
      <w:r w:rsidRPr="002A7627">
        <w:t xml:space="preserve"> and knowledge management benefits may help knowledge-intensive organizations such as policing organizations in the UAE to understand how to </w:t>
      </w:r>
      <w:r w:rsidR="009318F9">
        <w:t xml:space="preserve">enhance and </w:t>
      </w:r>
      <w:r w:rsidRPr="002A7627">
        <w:t>promote knowledge management activities to maximize knowledge management benefits. The study</w:t>
      </w:r>
      <w:r w:rsidR="00054373" w:rsidRPr="002A7627">
        <w:t xml:space="preserve"> therefore </w:t>
      </w:r>
      <w:r w:rsidRPr="002A7627">
        <w:t xml:space="preserve">has a number of </w:t>
      </w:r>
      <w:r w:rsidR="002D74A6" w:rsidRPr="002A7627">
        <w:t>suggestions</w:t>
      </w:r>
      <w:r w:rsidRPr="002A7627">
        <w:t xml:space="preserve"> for managers and decision-makers who </w:t>
      </w:r>
      <w:r w:rsidR="002D74A6">
        <w:t xml:space="preserve">aim </w:t>
      </w:r>
      <w:r w:rsidR="00C23463">
        <w:t>to</w:t>
      </w:r>
      <w:r w:rsidR="002D74A6">
        <w:t xml:space="preserve"> creat</w:t>
      </w:r>
      <w:r w:rsidR="00C23463">
        <w:t>e</w:t>
      </w:r>
      <w:r w:rsidR="002D74A6" w:rsidRPr="002A7627">
        <w:t xml:space="preserve"> </w:t>
      </w:r>
      <w:r w:rsidRPr="002A7627">
        <w:t xml:space="preserve">a successful knowledge management strategy, particularly in a policing organization in the Middle East region. </w:t>
      </w:r>
    </w:p>
    <w:p w14:paraId="6C9364C8" w14:textId="4F8CB596" w:rsidR="00C43266" w:rsidRPr="002A7627" w:rsidRDefault="00C43266" w:rsidP="0084184C">
      <w:pPr>
        <w:pStyle w:val="AAAAAAA"/>
      </w:pPr>
      <w:r w:rsidRPr="002A7627">
        <w:rPr>
          <w:rFonts w:asciiTheme="majorBidi" w:hAnsiTheme="majorBidi" w:cstheme="majorBidi"/>
        </w:rPr>
        <w:t xml:space="preserve">Knowledge management capability enhanced the knowledge management benefits in Abu Dhabi Police, particularly delivering strategy, solving problems, diffusing best practices, improving knowledge embedded in services, and enhancing innovation. This information may enable other organizations to develop strategies to </w:t>
      </w:r>
      <w:r w:rsidR="00C23463">
        <w:rPr>
          <w:rFonts w:asciiTheme="majorBidi" w:hAnsiTheme="majorBidi" w:cstheme="majorBidi"/>
        </w:rPr>
        <w:t>deliver their objectives</w:t>
      </w:r>
      <w:r w:rsidRPr="002A7627">
        <w:rPr>
          <w:rFonts w:asciiTheme="majorBidi" w:hAnsiTheme="majorBidi" w:cstheme="majorBidi"/>
        </w:rPr>
        <w:t>. Organizations that need to enhance knowledge management benefits should</w:t>
      </w:r>
      <w:r w:rsidR="00054373" w:rsidRPr="002A7627">
        <w:rPr>
          <w:rFonts w:asciiTheme="majorBidi" w:hAnsiTheme="majorBidi" w:cstheme="majorBidi"/>
        </w:rPr>
        <w:t xml:space="preserve"> therefore </w:t>
      </w:r>
      <w:r w:rsidRPr="002A7627">
        <w:rPr>
          <w:rFonts w:asciiTheme="majorBidi" w:hAnsiTheme="majorBidi" w:cstheme="majorBidi"/>
        </w:rPr>
        <w:t xml:space="preserve">focus on developing knowledge management capabilities. </w:t>
      </w:r>
    </w:p>
    <w:p w14:paraId="6D8E31E2" w14:textId="44C154F3" w:rsidR="00C43266" w:rsidRPr="002A7627" w:rsidRDefault="00C43266" w:rsidP="0084184C">
      <w:pPr>
        <w:pStyle w:val="AAAAAAA"/>
      </w:pPr>
      <w:r w:rsidRPr="002A7627">
        <w:t xml:space="preserve">The study implies that the use of knowledge management capability, and in particular use of information technology, was important for achieving knowledge management benefits in Abu Dhabi Police. This may also apply to other organizations where there are computer-literate employees who </w:t>
      </w:r>
      <w:r w:rsidR="002D74A6">
        <w:t>require access</w:t>
      </w:r>
      <w:r w:rsidR="002D74A6" w:rsidRPr="002A7627">
        <w:t xml:space="preserve"> </w:t>
      </w:r>
      <w:r w:rsidRPr="002A7627">
        <w:t xml:space="preserve">to large amounts of data very quickly. It may also be </w:t>
      </w:r>
      <w:r w:rsidR="003A05EA">
        <w:t>applicable</w:t>
      </w:r>
      <w:r w:rsidR="003A05EA" w:rsidRPr="002A7627">
        <w:t xml:space="preserve"> </w:t>
      </w:r>
      <w:r w:rsidRPr="002A7627">
        <w:t>in organizations</w:t>
      </w:r>
      <w:r w:rsidR="00C23463">
        <w:t xml:space="preserve"> where employees</w:t>
      </w:r>
      <w:r w:rsidR="003A05EA">
        <w:t xml:space="preserve"> are located </w:t>
      </w:r>
      <w:r w:rsidR="00C23463">
        <w:t>across</w:t>
      </w:r>
      <w:r w:rsidR="003A05EA">
        <w:t xml:space="preserve"> different</w:t>
      </w:r>
      <w:r w:rsidRPr="002A7627">
        <w:t xml:space="preserve"> geographical areas and need to access </w:t>
      </w:r>
      <w:r w:rsidR="003A05EA">
        <w:t>data promptly</w:t>
      </w:r>
      <w:r w:rsidRPr="002A7627">
        <w:t xml:space="preserve">, </w:t>
      </w:r>
      <w:r w:rsidR="00C23463">
        <w:t xml:space="preserve">for example, to </w:t>
      </w:r>
      <w:r w:rsidRPr="002A7627">
        <w:t xml:space="preserve">check criminal records and process investigations. </w:t>
      </w:r>
      <w:r w:rsidR="003A05EA">
        <w:t>Another important issue is the quality of IT communication tools.</w:t>
      </w:r>
      <w:r w:rsidRPr="002A7627">
        <w:t xml:space="preserve"> Computer systems that are not user-friendly or require special skills may negatively </w:t>
      </w:r>
      <w:r w:rsidR="00C23463">
        <w:t>affect</w:t>
      </w:r>
      <w:r w:rsidR="00C23463" w:rsidRPr="002A7627">
        <w:t xml:space="preserve"> </w:t>
      </w:r>
      <w:r w:rsidRPr="002A7627">
        <w:t xml:space="preserve">knowledge management benefits </w:t>
      </w:r>
      <w:r w:rsidRPr="002A7627">
        <w:fldChar w:fldCharType="begin" w:fldLock="1"/>
      </w:r>
      <w:r w:rsidR="00E24626" w:rsidRPr="002A7627">
        <w:instrText>ADDIN CSL_CITATION {"citationItems":[{"id":"ITEM-1","itemData":{"DOI":"10.1080/15391523.2017.1343691","ISBN":"1051-7200","ISSN":"1539-1523","abstract":"This study examines university teachers' beliefs about the role of technology in achieving the pedagogical aims of learning within teaching development initiatives at a Finnish university. The initiatives targeted technology adoption in teaching and learning and were enhanced within teacher groups, with support from a university-level network program. Thematic interviews were conducted with the members of 11 initiative groups, covering 18 teachers from various disciplines. The qualitative content analysis revealed diverse belief groups. Technology was perceived as a tool for the promotion of self-paced studying without explicit learning aims; for active and interactive learning; for integrative learning with continuous assessment; and for meaningful learning. The study highlights the need for a more systematic explication of teacher beliefs and the acknowledgment of alternative ways of thinking in teacher developmental programs.","author":[{"dropping-particle":"","family":"Jääskelä","given":"Päivikki","non-dropping-particle":"","parse-names":false,"suffix":""},{"dropping-particle":"","family":"Häkkinen","given":"Päivi","non-dropping-particle":"","parse-names":false,"suffix":""},{"dropping-particle":"","family":"Rasku-Puttonen","given":"Helena","non-dropping-particle":"","parse-names":false,"suffix":""}],"container-title":"Journal of Research on Technology in Education","id":"ITEM-1","issue":"3-4","issued":{"date-parts":[["2017","10","2"]]},"page":"198-211","title":"Teacher beliefs regarding learning, pedagogy, and the use of technology in higher education","type":"article-journal","volume":"49"},"uris":["http://www.mendeley.com/documents/?uuid=2c8296a8-7f15-46c3-8256-9fac3a461947"]}],"mendeley":{"formattedCitation":"(Jääskelä et al., 2017)","plainTextFormattedCitation":"(Jääskelä et al., 2017)","previouslyFormattedCitation":"(Jääskelä et al., 2017)"},"properties":{"noteIndex":0},"schema":"https://github.com/citation-style-language/schema/raw/master/csl-citation.json"}</w:instrText>
      </w:r>
      <w:r w:rsidRPr="002A7627">
        <w:fldChar w:fldCharType="separate"/>
      </w:r>
      <w:r w:rsidR="00F31753" w:rsidRPr="002A7627">
        <w:rPr>
          <w:noProof/>
        </w:rPr>
        <w:t>(Jääskelä et al., 2017)</w:t>
      </w:r>
      <w:r w:rsidRPr="002A7627">
        <w:fldChar w:fldCharType="end"/>
      </w:r>
      <w:r w:rsidRPr="002A7627">
        <w:t xml:space="preserve">. </w:t>
      </w:r>
    </w:p>
    <w:p w14:paraId="7A6F48E9" w14:textId="0EA2CFFF" w:rsidR="00C43266" w:rsidRPr="002A7627" w:rsidRDefault="00C23463" w:rsidP="00AE457E">
      <w:pPr>
        <w:pStyle w:val="AAAAAAA"/>
      </w:pPr>
      <w:r>
        <w:t>M</w:t>
      </w:r>
      <w:r w:rsidR="00C43266" w:rsidRPr="002A7627">
        <w:t xml:space="preserve">any organizations offer rewards to employees in return </w:t>
      </w:r>
      <w:r>
        <w:t>for</w:t>
      </w:r>
      <w:r w:rsidR="00D938D1">
        <w:t xml:space="preserve"> </w:t>
      </w:r>
      <w:r w:rsidR="00C43266" w:rsidRPr="002A7627">
        <w:t xml:space="preserve">sharing </w:t>
      </w:r>
      <w:r w:rsidR="00D938D1">
        <w:t>ideas,</w:t>
      </w:r>
      <w:r w:rsidR="00D938D1" w:rsidRPr="002A7627">
        <w:t xml:space="preserve"> </w:t>
      </w:r>
      <w:r w:rsidR="00D938D1">
        <w:t xml:space="preserve">tacit </w:t>
      </w:r>
      <w:r w:rsidR="00C43266" w:rsidRPr="002A7627">
        <w:t xml:space="preserve">knowledge or </w:t>
      </w:r>
      <w:r w:rsidR="00D938D1">
        <w:t xml:space="preserve">previous </w:t>
      </w:r>
      <w:r w:rsidR="00C43266" w:rsidRPr="002A7627">
        <w:t>experience</w:t>
      </w:r>
      <w:r>
        <w:t xml:space="preserve">. However, this practice is likely to be unhelpful and may even be </w:t>
      </w:r>
      <w:r w:rsidR="00C43266" w:rsidRPr="002A7627">
        <w:t xml:space="preserve">harmful </w:t>
      </w:r>
      <w:r w:rsidR="00C43266" w:rsidRPr="002A7627">
        <w:fldChar w:fldCharType="begin" w:fldLock="1"/>
      </w:r>
      <w:r w:rsidR="00E24626" w:rsidRPr="002A7627">
        <w:instrText>ADDIN CSL_CITATION {"citationItems":[{"id":"ITEM-1","itemData":{"ISSN":"10529284","abstract":"Forget everything you thought you knew about how to motivate people-at work, at school, at home. It's wrong. As Daniel H. Pink explains in his new and paradigm- shattering book Drive: The Surprising Truth About What Motivates Us , the secret to high performance and satisfaction in today's world is the deeply human need to direct our own lives, to learn and create new things, and to do better by ourselves and our world. Drawing on four decades of scientific research on human motivation, Pink exposes the mismatch between what science knows and what business does-and how that affects every aspect of our lives. He demonstrates that while the old-fashioned carrot-and-stick approach worked successfully in the 20th century, it's precisely the wrong way to motivate people for today's challenges. In Drive , he reveals the three elements of true motivation: Autonomy - the desire to direct our own lives Mastery - the urge to get better and better at something that matters Purpose - the yearning to do what we do in the service of something larger than ourselves Along the way, he takes us to companies that are enlisting new approaches to motivation and introduces us to the scientists and entrepreneurs who are pointing a bold way forward. Drive is bursting with big ideas- the rare book that will change how you think and transform how you live.","author":[{"dropping-particle":"","family":"Pink","given":"Daniel","non-dropping-particle":"","parse-names":false,"suffix":""}],"container-title":"Journal of Community and Applied Social Psychology","id":"ITEM-1","issue":"1","issued":{"date-parts":[["2012"]]},"page":"242","title":"Drive: The surprising truth about what motivates us","type":"article-journal","volume":"22"},"uris":["http://www.mendeley.com/documents/?uuid=d1a2c479-87dd-4efd-893f-dafaadb217ed"]}],"mendeley":{"formattedCitation":"(Pink, 2012)","plainTextFormattedCitation":"(Pink, 2012)","previouslyFormattedCitation":"(Pink, 2012)"},"properties":{"noteIndex":0},"schema":"https://github.com/citation-style-language/schema/raw/master/csl-citation.json"}</w:instrText>
      </w:r>
      <w:r w:rsidR="00C43266" w:rsidRPr="002A7627">
        <w:fldChar w:fldCharType="separate"/>
      </w:r>
      <w:r w:rsidR="00C43266" w:rsidRPr="002A7627">
        <w:rPr>
          <w:noProof/>
        </w:rPr>
        <w:t>(Pink, 2012)</w:t>
      </w:r>
      <w:r w:rsidR="00C43266" w:rsidRPr="002A7627">
        <w:fldChar w:fldCharType="end"/>
      </w:r>
      <w:r w:rsidR="00C43266" w:rsidRPr="002A7627">
        <w:t>.</w:t>
      </w:r>
      <w:r>
        <w:t xml:space="preserve"> </w:t>
      </w:r>
      <w:r w:rsidR="00C43266" w:rsidRPr="002A7627">
        <w:t xml:space="preserve">The </w:t>
      </w:r>
      <w:r w:rsidR="003A05EA">
        <w:t>results</w:t>
      </w:r>
      <w:r w:rsidR="003A05EA" w:rsidRPr="002A7627">
        <w:t xml:space="preserve"> </w:t>
      </w:r>
      <w:r w:rsidR="00C43266" w:rsidRPr="002A7627">
        <w:t xml:space="preserve">of this study </w:t>
      </w:r>
      <w:r>
        <w:t>showed</w:t>
      </w:r>
      <w:r w:rsidR="003A05EA" w:rsidRPr="002A7627">
        <w:t xml:space="preserve"> </w:t>
      </w:r>
      <w:r w:rsidR="00C43266" w:rsidRPr="002A7627">
        <w:t xml:space="preserve">that extrinsic motivation has no positive impact on knowledge management benefits. It may even have a negative </w:t>
      </w:r>
      <w:r w:rsidR="003A05EA">
        <w:t xml:space="preserve">impact </w:t>
      </w:r>
      <w:r>
        <w:t>if</w:t>
      </w:r>
      <w:r w:rsidR="003A05EA">
        <w:t xml:space="preserve"> employees share less valuable information </w:t>
      </w:r>
      <w:r w:rsidR="00C43266" w:rsidRPr="002A7627">
        <w:t>simply to gain the reward. Intrinsic motivat</w:t>
      </w:r>
      <w:r>
        <w:t>ors</w:t>
      </w:r>
      <w:r w:rsidR="00C43266" w:rsidRPr="002A7627">
        <w:t xml:space="preserve">, such as the freedom to choose how to deliver work, job variety and ability to propose initiatives, are the most effective enablers for managers wishing to enhance knowledge management benefits in Abu Dhabi Police. This is consistent with </w:t>
      </w:r>
      <w:r w:rsidR="00C43266" w:rsidRPr="002A7627">
        <w:rPr>
          <w:rFonts w:eastAsia="Times New Roman"/>
        </w:rPr>
        <w:t xml:space="preserve">social </w:t>
      </w:r>
      <w:r w:rsidR="00AE457E">
        <w:rPr>
          <w:rFonts w:eastAsia="Times New Roman"/>
        </w:rPr>
        <w:t>exchange</w:t>
      </w:r>
      <w:r w:rsidR="00C43266" w:rsidRPr="002A7627">
        <w:rPr>
          <w:rFonts w:eastAsia="Times New Roman"/>
        </w:rPr>
        <w:t xml:space="preserve"> and self-efficacy theories and suggests that organizations should focus on intrinsic motivation. </w:t>
      </w:r>
      <w:r w:rsidR="00C43266" w:rsidRPr="002A7627">
        <w:t xml:space="preserve">This result could be used by HR departments to redesign organizational reward systems towards intrinsic rather than extrinsic motivation. </w:t>
      </w:r>
    </w:p>
    <w:p w14:paraId="1A4D1CAB" w14:textId="00FD7B2D" w:rsidR="00C43266" w:rsidRPr="002A7627" w:rsidRDefault="00C43266" w:rsidP="0084184C">
      <w:pPr>
        <w:pStyle w:val="AAAAAAA"/>
        <w:rPr>
          <w:rFonts w:asciiTheme="majorBidi" w:eastAsia="Times New Roman" w:hAnsiTheme="majorBidi" w:cstheme="majorBidi"/>
        </w:rPr>
      </w:pPr>
      <w:r w:rsidRPr="002A7627">
        <w:t>To maximize the knowledge management benefits, HR managers should be aware that HR practices for enhancing knowledge sharing are mediated by organizational learning. Organizational learning has a mediation effect because it is linked to the knowledge management process because of the effects on creation, acquisition</w:t>
      </w:r>
      <w:r w:rsidR="006B5250" w:rsidRPr="002A7627">
        <w:t>,</w:t>
      </w:r>
      <w:r w:rsidRPr="002A7627">
        <w:t xml:space="preserve"> and integration of capabilities and organizational performance </w:t>
      </w:r>
      <w:r w:rsidRPr="002A7627">
        <w:rPr>
          <w:rFonts w:asciiTheme="majorBidi" w:eastAsia="Times New Roman" w:hAnsiTheme="majorBidi" w:cstheme="majorBidi"/>
        </w:rPr>
        <w:fldChar w:fldCharType="begin" w:fldLock="1"/>
      </w:r>
      <w:r w:rsidR="00811A3B" w:rsidRPr="002A7627">
        <w:rPr>
          <w:rFonts w:asciiTheme="majorBidi" w:eastAsia="Times New Roman" w:hAnsiTheme="majorBidi" w:cstheme="majorBidi"/>
        </w:rPr>
        <w:instrText>ADDIN CSL_CITATION {"citationItems":[{"id":"ITEM-1","itemData":{"ISSN":"1350-5076","author":[{"dropping-particle":"","family":"López","given":"Susana Pérez","non-dropping-particle":"","parse-names":false,"suffix":""},{"dropping-particle":"","family":"Peón","given":"José Manuel Montes","non-dropping-particle":"","parse-names":false,"suffix":""},{"dropping-particle":"","family":"Ordás","given":"Camilo José Vazquez","non-dropping-particle":"","parse-names":false,"suffix":""}],"container-title":"Management Learning","id":"ITEM-1","issue":"2","issued":{"date-parts":[["2006"]]},"page":"215-239","publisher":"Sage Publications Sage CA: Thousand Oaks, CA","title":"Human resource management as a determining factor in organizational learning","type":"article-journal","volume":"37"},"uris":["http://www.mendeley.com/documents/?uuid=4078cb80-2a32-4a43-953a-a02fe353b7f1"]}],"mendeley":{"formattedCitation":"(López et al., 2006)","plainTextFormattedCitation":"(López et al., 2006)","previouslyFormattedCitation":"(López et al., 2006)"},"properties":{"noteIndex":0},"schema":"https://github.com/citation-style-language/schema/raw/master/csl-citation.json"}</w:instrText>
      </w:r>
      <w:r w:rsidRPr="002A7627">
        <w:rPr>
          <w:rFonts w:asciiTheme="majorBidi" w:eastAsia="Times New Roman" w:hAnsiTheme="majorBidi" w:cstheme="majorBidi"/>
        </w:rPr>
        <w:fldChar w:fldCharType="separate"/>
      </w:r>
      <w:r w:rsidR="00F31753" w:rsidRPr="002A7627">
        <w:rPr>
          <w:rFonts w:asciiTheme="majorBidi" w:eastAsia="Times New Roman" w:hAnsiTheme="majorBidi" w:cstheme="majorBidi"/>
          <w:noProof/>
        </w:rPr>
        <w:t>(López et al., 2006)</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xml:space="preserve">. It has a mediation effect between </w:t>
      </w:r>
      <w:r w:rsidR="00C23463">
        <w:rPr>
          <w:rFonts w:asciiTheme="majorBidi" w:eastAsia="Times New Roman" w:hAnsiTheme="majorBidi" w:cstheme="majorBidi"/>
        </w:rPr>
        <w:t xml:space="preserve">practices designed to enhance </w:t>
      </w:r>
      <w:r w:rsidRPr="002A7627">
        <w:rPr>
          <w:rFonts w:asciiTheme="majorBidi" w:eastAsia="Times New Roman" w:hAnsiTheme="majorBidi" w:cstheme="majorBidi"/>
        </w:rPr>
        <w:t>intrinsic and extrinsic motivation</w:t>
      </w:r>
      <w:r w:rsidR="00C23463">
        <w:rPr>
          <w:rFonts w:asciiTheme="majorBidi" w:eastAsia="Times New Roman" w:hAnsiTheme="majorBidi" w:cstheme="majorBidi"/>
        </w:rPr>
        <w:t xml:space="preserve"> and employee</w:t>
      </w:r>
      <w:r w:rsidRPr="002A7627">
        <w:rPr>
          <w:rFonts w:asciiTheme="majorBidi" w:eastAsia="Times New Roman" w:hAnsiTheme="majorBidi" w:cstheme="majorBidi"/>
        </w:rPr>
        <w:t xml:space="preserve"> abilities</w:t>
      </w:r>
      <w:r w:rsidR="006B5250" w:rsidRPr="002A7627">
        <w:rPr>
          <w:rFonts w:asciiTheme="majorBidi" w:eastAsia="Times New Roman" w:hAnsiTheme="majorBidi" w:cstheme="majorBidi"/>
        </w:rPr>
        <w:t>,</w:t>
      </w:r>
      <w:r w:rsidRPr="002A7627">
        <w:rPr>
          <w:rFonts w:asciiTheme="majorBidi" w:eastAsia="Times New Roman" w:hAnsiTheme="majorBidi" w:cstheme="majorBidi"/>
        </w:rPr>
        <w:t xml:space="preserve"> and knowledge management benefits. </w:t>
      </w:r>
      <w:r w:rsidR="00C23463">
        <w:rPr>
          <w:rFonts w:asciiTheme="majorBidi" w:eastAsia="Times New Roman" w:hAnsiTheme="majorBidi" w:cstheme="majorBidi"/>
        </w:rPr>
        <w:t>O</w:t>
      </w:r>
      <w:r w:rsidRPr="002A7627">
        <w:rPr>
          <w:rFonts w:asciiTheme="majorBidi" w:eastAsia="Times New Roman" w:hAnsiTheme="majorBidi" w:cstheme="majorBidi"/>
        </w:rPr>
        <w:t>rganizations can</w:t>
      </w:r>
      <w:r w:rsidR="00C23463">
        <w:rPr>
          <w:rFonts w:asciiTheme="majorBidi" w:eastAsia="Times New Roman" w:hAnsiTheme="majorBidi" w:cstheme="majorBidi"/>
        </w:rPr>
        <w:t xml:space="preserve"> therefore</w:t>
      </w:r>
      <w:r w:rsidRPr="002A7627">
        <w:rPr>
          <w:rFonts w:asciiTheme="majorBidi" w:eastAsia="Times New Roman" w:hAnsiTheme="majorBidi" w:cstheme="majorBidi"/>
        </w:rPr>
        <w:t xml:space="preserve"> focus on organizational learning to leverage knowledge management benefits</w:t>
      </w:r>
      <w:r w:rsidR="00C23463">
        <w:rPr>
          <w:rFonts w:asciiTheme="majorBidi" w:eastAsia="Times New Roman" w:hAnsiTheme="majorBidi" w:cstheme="majorBidi"/>
        </w:rPr>
        <w:t>. For example, seeing</w:t>
      </w:r>
      <w:r w:rsidRPr="002A7627">
        <w:rPr>
          <w:rFonts w:asciiTheme="majorBidi" w:eastAsia="Times New Roman" w:hAnsiTheme="majorBidi" w:cstheme="majorBidi"/>
        </w:rPr>
        <w:t xml:space="preserve"> organizational learning as correcting errors and responding to the change </w:t>
      </w:r>
      <w:r w:rsidRPr="002A7627">
        <w:rPr>
          <w:rFonts w:asciiTheme="majorBidi" w:eastAsia="Times New Roman" w:hAnsiTheme="majorBidi" w:cstheme="majorBidi"/>
        </w:rPr>
        <w:fldChar w:fldCharType="begin" w:fldLock="1"/>
      </w:r>
      <w:r w:rsidR="005A37E4" w:rsidRPr="002A7627">
        <w:rPr>
          <w:rFonts w:asciiTheme="majorBidi" w:eastAsia="Times New Roman" w:hAnsiTheme="majorBidi" w:cstheme="majorBidi"/>
        </w:rPr>
        <w:instrText>ADDIN CSL_CITATION {"citationItems":[{"id":"ITEM-1","itemData":{"ISBN":"978-1-349-51065-8","abstract":"Knowledge has only recently been widely recognized as an organizational asset, the effective management of which can afford a firm competitive advantage. This book takes an interdisciplinary approach to knowledge management relating it to business strategy, dynamic capabilities and firm performance. Some of the most eminent scholars in management have contributed to this timely book, including John Seely Brown, Chris Argyris, Georg von Krogh, Soumitra Dutta, Howard Thomas and John McGee, Arie Lewin and Silvia Massini. The book offers practitioners and students alike state of the art research in the field of organizational knowledge and management. © Haridimos Tsoukas and Nikolaos Mylonopoulos 2004.","editor":[{"dropping-particle":"","family":"Tsoukas","given":"Haridimos","non-dropping-particle":"","parse-names":false,"suffix":""},{"dropping-particle":"","family":"Mylonopoulos","given":"Nikolaos","non-dropping-particle":"","parse-names":false,"suffix":""}],"id":"ITEM-1","issued":{"date-parts":[["2004"]]},"publisher":"Palgrave Macmillan UK","publisher-place":"London, UK","title":"Organizations as Knowledge Systems","type":"book"},"uris":["http://www.mendeley.com/documents/?uuid=c7cb2ce3-9457-4dd0-ab14-962287bbb480"]},{"id":"ITEM-2","itemData":{"abstract":"The work of Chris Argyris (1923‐) has influenced thinking about the relationship of people and organizations, organizational learning and action research. contents: introduction • life • theories of action: theory in use and espoused theory • single‐loop and double‐loop learning • model I and model II • organizational learning • conclusion • further reading and references • links • cite Chris Argyris has made a significant contribution to the development of our appreciation of organizational learning, and, almost in passing, deepened our understanding of experiential learning. On this page we examine the significance of the models he developed with Donald Schön of single‐ loop and double‐loop learning, and how these translate into contrasting models of organizational learning systems. Life","author":[{"dropping-particle":"","family":"Argyris","given":"Chris","non-dropping-particle":"","parse-names":false,"suffix":""},{"dropping-particle":"","family":"Schon","given":"Donald","non-dropping-particle":"","parse-names":false,"suffix":""}],"id":"ITEM-2","issued":{"date-parts":[["1978"]]},"number-of-pages":"344","publisher":"Wiley","publisher-place":"New York, NY","title":"Organizational learning: A theory of action approach","type":"book"},"uris":["http://www.mendeley.com/documents/?uuid=c1a351ed-399b-4863-8845-7c2f5642493a"]}],"mendeley":{"formattedCitation":"(Argyris &amp; Schon, 1978; Tsoukas &amp; Mylonopoulos, 2004b)","plainTextFormattedCitation":"(Argyris &amp; Schon, 1978; Tsoukas &amp; Mylonopoulos, 2004b)","previouslyFormattedCitation":"(Argyris &amp; Schon, 1978; Tsoukas &amp; Mylonopoulos, 2004b)"},"properties":{"noteIndex":0},"schema":"https://github.com/citation-style-language/schema/raw/master/csl-citation.json"}</w:instrText>
      </w:r>
      <w:r w:rsidRPr="002A7627">
        <w:rPr>
          <w:rFonts w:asciiTheme="majorBidi" w:eastAsia="Times New Roman" w:hAnsiTheme="majorBidi" w:cstheme="majorBidi"/>
        </w:rPr>
        <w:fldChar w:fldCharType="separate"/>
      </w:r>
      <w:r w:rsidR="00CB0956" w:rsidRPr="002A7627">
        <w:rPr>
          <w:rFonts w:asciiTheme="majorBidi" w:eastAsia="Times New Roman" w:hAnsiTheme="majorBidi" w:cstheme="majorBidi"/>
          <w:noProof/>
        </w:rPr>
        <w:t>(Argyris &amp; Schon, 1978; Tsoukas &amp; Mylonopoulos, 2004b)</w:t>
      </w:r>
      <w:r w:rsidRPr="002A7627">
        <w:rPr>
          <w:rFonts w:asciiTheme="majorBidi" w:eastAsia="Times New Roman" w:hAnsiTheme="majorBidi" w:cstheme="majorBidi"/>
        </w:rPr>
        <w:fldChar w:fldCharType="end"/>
      </w:r>
      <w:r w:rsidRPr="002A7627">
        <w:rPr>
          <w:rFonts w:asciiTheme="majorBidi" w:eastAsia="Times New Roman" w:hAnsiTheme="majorBidi" w:cstheme="majorBidi"/>
        </w:rPr>
        <w:t xml:space="preserve"> could </w:t>
      </w:r>
      <w:r w:rsidR="00C23463">
        <w:rPr>
          <w:rFonts w:asciiTheme="majorBidi" w:eastAsia="Times New Roman" w:hAnsiTheme="majorBidi" w:cstheme="majorBidi"/>
        </w:rPr>
        <w:t>encourage organizations to</w:t>
      </w:r>
      <w:r w:rsidRPr="002A7627">
        <w:rPr>
          <w:rFonts w:asciiTheme="majorBidi" w:eastAsia="Times New Roman" w:hAnsiTheme="majorBidi" w:cstheme="majorBidi"/>
        </w:rPr>
        <w:t xml:space="preserve"> build an effective database to document tacit knowledge, which is considered a challenge for most organizations. </w:t>
      </w:r>
    </w:p>
    <w:p w14:paraId="1B5186A5" w14:textId="6B31B33C" w:rsidR="00C43266" w:rsidRPr="002A7627" w:rsidRDefault="00C43266" w:rsidP="0084184C">
      <w:pPr>
        <w:pStyle w:val="AAAAAAA"/>
      </w:pPr>
      <w:r w:rsidRPr="002A7627">
        <w:t xml:space="preserve">This study’s finding that opportunity-enhancing HR practices had no impact on knowledge management benefits </w:t>
      </w:r>
      <w:r w:rsidR="00A128E4" w:rsidRPr="002A7627">
        <w:t>is</w:t>
      </w:r>
      <w:r w:rsidRPr="002A7627">
        <w:t xml:space="preserve"> surprising and contradicts previous research. This means that granting more opportunities for managers to share knowledge will not enhance knowledge management benefits. This could be because of the time constraints of managers or the organizational culture in Abu Dhabi Police. The security</w:t>
      </w:r>
      <w:r w:rsidR="00BA3226">
        <w:t xml:space="preserve"> policy,</w:t>
      </w:r>
      <w:r w:rsidRPr="002A7627">
        <w:t xml:space="preserve"> </w:t>
      </w:r>
      <w:r w:rsidR="00BA3226">
        <w:t xml:space="preserve">information </w:t>
      </w:r>
      <w:r w:rsidRPr="002A7627">
        <w:t xml:space="preserve">rules and regulations in the organization could create a culture that </w:t>
      </w:r>
      <w:r w:rsidR="00BA3226" w:rsidRPr="002A7627">
        <w:t>limit</w:t>
      </w:r>
      <w:r w:rsidR="00BA3226">
        <w:t>s</w:t>
      </w:r>
      <w:r w:rsidR="00BA3226" w:rsidRPr="002A7627">
        <w:t xml:space="preserve"> </w:t>
      </w:r>
      <w:r w:rsidRPr="002A7627">
        <w:t>knowledge-sharing because</w:t>
      </w:r>
      <w:r w:rsidR="00BA3226">
        <w:t xml:space="preserve"> of the penalt</w:t>
      </w:r>
      <w:r w:rsidR="00C23463">
        <w:t xml:space="preserve">ies for </w:t>
      </w:r>
      <w:r w:rsidR="00BA3226" w:rsidRPr="002A7627">
        <w:t>compromis</w:t>
      </w:r>
      <w:r w:rsidR="00C23463">
        <w:t>ing</w:t>
      </w:r>
      <w:r w:rsidRPr="002A7627">
        <w:t xml:space="preserve"> information security. </w:t>
      </w:r>
    </w:p>
    <w:p w14:paraId="21A71619" w14:textId="1DBCA4D2" w:rsidR="00C43266" w:rsidRPr="002A7627" w:rsidRDefault="00C43266" w:rsidP="0084184C">
      <w:pPr>
        <w:pStyle w:val="AAAAAAA"/>
      </w:pPr>
      <w:r w:rsidRPr="002A7627">
        <w:t xml:space="preserve">The study findings should </w:t>
      </w:r>
      <w:r w:rsidR="00C23463">
        <w:t>help</w:t>
      </w:r>
      <w:r w:rsidRPr="002A7627">
        <w:t xml:space="preserve"> human resources departments in developing countries, especially those planning to implement knowledge management initiatives and develop competencies through the use of HR practices. The findings suggest that policing organizations, including the study organization, may need to focus more on promoting a culture of organizational learning because of both its direct impact on knowledge management benefits and its mediation of other relationships. The study showed the importance of a knowledge-sharing culture, sharing experience</w:t>
      </w:r>
      <w:r w:rsidR="006B5250" w:rsidRPr="002A7627">
        <w:t>,</w:t>
      </w:r>
      <w:r w:rsidRPr="002A7627">
        <w:t xml:space="preserve"> and trying new ideas to solve problems.</w:t>
      </w:r>
    </w:p>
    <w:p w14:paraId="220792BA" w14:textId="730846E2" w:rsidR="00C43266" w:rsidRPr="002A7627" w:rsidRDefault="00A32D64" w:rsidP="0017121F">
      <w:pPr>
        <w:pStyle w:val="Heading1"/>
        <w:rPr>
          <w:color w:val="000000"/>
        </w:rPr>
      </w:pPr>
      <w:bookmarkStart w:id="297" w:name="_Toc13959680"/>
      <w:bookmarkStart w:id="298" w:name="_Toc22331723"/>
      <w:r>
        <w:rPr>
          <w:color w:val="000000"/>
        </w:rPr>
        <w:t xml:space="preserve">7.3. </w:t>
      </w:r>
      <w:r w:rsidR="00C43266" w:rsidRPr="002A7627">
        <w:rPr>
          <w:color w:val="000000"/>
        </w:rPr>
        <w:t xml:space="preserve">Economic </w:t>
      </w:r>
      <w:r w:rsidR="0084184C" w:rsidRPr="002A7627">
        <w:rPr>
          <w:color w:val="000000"/>
        </w:rPr>
        <w:t>Implications</w:t>
      </w:r>
      <w:bookmarkEnd w:id="297"/>
      <w:bookmarkEnd w:id="298"/>
    </w:p>
    <w:p w14:paraId="1794B4A7" w14:textId="690BBB91" w:rsidR="00C43266" w:rsidRPr="002A7627" w:rsidRDefault="00C43266" w:rsidP="0084184C">
      <w:pPr>
        <w:pStyle w:val="AAAAAAA"/>
        <w:rPr>
          <w:lang w:bidi="en-US"/>
        </w:rPr>
      </w:pPr>
      <w:r w:rsidRPr="002A7627">
        <w:rPr>
          <w:lang w:bidi="en-US"/>
        </w:rPr>
        <w:t>This research also has some economic implications. It should help police and related organizations to strengthen their knowledge management systems, which will support achievement of the UAE</w:t>
      </w:r>
      <w:r w:rsidR="00C06AA1">
        <w:rPr>
          <w:lang w:bidi="en-US"/>
        </w:rPr>
        <w:t>’s</w:t>
      </w:r>
      <w:r w:rsidRPr="002A7627">
        <w:rPr>
          <w:lang w:bidi="en-US"/>
        </w:rPr>
        <w:t xml:space="preserve"> </w:t>
      </w:r>
      <w:r w:rsidR="00C06AA1">
        <w:rPr>
          <w:lang w:bidi="en-US"/>
        </w:rPr>
        <w:t>V</w:t>
      </w:r>
      <w:r w:rsidRPr="002A7627">
        <w:rPr>
          <w:lang w:bidi="en-US"/>
        </w:rPr>
        <w:t xml:space="preserve">ision 2030 to build a knowledge-based economy. It should also help the study organization to maintain safety and security by enhancing its knowledge management initiatives and assist practitioners in benchmarking study variables. </w:t>
      </w:r>
    </w:p>
    <w:p w14:paraId="3EE31E4B" w14:textId="02279B1F" w:rsidR="00C43266" w:rsidRPr="002A7627" w:rsidRDefault="00C43266" w:rsidP="0084184C">
      <w:pPr>
        <w:pStyle w:val="AAAAAAA"/>
        <w:rPr>
          <w:lang w:bidi="en-US"/>
        </w:rPr>
      </w:pPr>
      <w:r w:rsidRPr="002A7627">
        <w:rPr>
          <w:lang w:bidi="en-US"/>
        </w:rPr>
        <w:t xml:space="preserve">This study adds to the knowledge-based view of the firm by showing the significance of the management of knowledge outcomes. These were divided into seven benefits by Dalkir (2017), and the validated scales for measuring these benefits add to knowledge by increasing understanding of knowledge management theories and practices. </w:t>
      </w:r>
    </w:p>
    <w:p w14:paraId="69E29DD8" w14:textId="4444490E" w:rsidR="00D938D1" w:rsidRPr="002A7627" w:rsidRDefault="00C43266" w:rsidP="001708DA">
      <w:pPr>
        <w:pStyle w:val="AAAAAAA"/>
        <w:ind w:firstLine="0"/>
        <w:rPr>
          <w:rFonts w:asciiTheme="majorBidi" w:hAnsiTheme="majorBidi" w:cstheme="majorBidi"/>
        </w:rPr>
      </w:pPr>
      <w:r w:rsidRPr="002A7627">
        <w:rPr>
          <w:lang w:bidi="en-US"/>
        </w:rPr>
        <w:t xml:space="preserve">This study supports the global knowledge indicators. </w:t>
      </w:r>
      <w:r w:rsidRPr="002A7627">
        <w:rPr>
          <w:rFonts w:asciiTheme="majorBidi" w:hAnsiTheme="majorBidi" w:cstheme="majorBidi"/>
        </w:rPr>
        <w:t xml:space="preserve">For example, the World Economic Forum </w:t>
      </w:r>
      <w:r w:rsidR="00C23463">
        <w:rPr>
          <w:rFonts w:asciiTheme="majorBidi" w:hAnsiTheme="majorBidi" w:cstheme="majorBidi"/>
        </w:rPr>
        <w:t xml:space="preserve">figures </w:t>
      </w:r>
      <w:r w:rsidRPr="002A7627">
        <w:rPr>
          <w:rFonts w:asciiTheme="majorBidi" w:hAnsiTheme="majorBidi" w:cstheme="majorBidi"/>
        </w:rPr>
        <w:t xml:space="preserve">published </w:t>
      </w:r>
      <w:r w:rsidR="002F0822">
        <w:rPr>
          <w:rFonts w:asciiTheme="majorBidi" w:hAnsiTheme="majorBidi" w:cstheme="majorBidi"/>
        </w:rPr>
        <w:t>in the Global Competitiveness Report (2018)</w:t>
      </w:r>
      <w:r w:rsidRPr="002A7627">
        <w:rPr>
          <w:rFonts w:asciiTheme="majorBidi" w:hAnsiTheme="majorBidi" w:cstheme="majorBidi"/>
        </w:rPr>
        <w:t xml:space="preserve"> ranked the UAE </w:t>
      </w:r>
      <w:r w:rsidR="002F0822">
        <w:rPr>
          <w:rFonts w:asciiTheme="majorBidi" w:hAnsiTheme="majorBidi" w:cstheme="majorBidi"/>
        </w:rPr>
        <w:t>6</w:t>
      </w:r>
      <w:r w:rsidR="002F0822" w:rsidRPr="002F0822">
        <w:rPr>
          <w:rFonts w:asciiTheme="majorBidi" w:hAnsiTheme="majorBidi" w:cstheme="majorBidi"/>
          <w:vertAlign w:val="superscript"/>
        </w:rPr>
        <w:t>th</w:t>
      </w:r>
      <w:r w:rsidR="002F0822">
        <w:rPr>
          <w:rFonts w:asciiTheme="majorBidi" w:hAnsiTheme="majorBidi" w:cstheme="majorBidi"/>
        </w:rPr>
        <w:t xml:space="preserve"> in ICT adoption </w:t>
      </w:r>
      <w:r w:rsidR="00CA01C7" w:rsidRPr="002A7627">
        <w:rPr>
          <w:rFonts w:asciiTheme="majorBidi" w:hAnsiTheme="majorBidi" w:cstheme="majorBidi"/>
        </w:rPr>
        <w:fldChar w:fldCharType="begin" w:fldLock="1"/>
      </w:r>
      <w:r w:rsidR="00CA01C7" w:rsidRPr="002A7627">
        <w:rPr>
          <w:rFonts w:asciiTheme="majorBidi" w:hAnsiTheme="majorBidi" w:cstheme="majorBidi"/>
        </w:rPr>
        <w:instrText>ADDIN CSL_CITATION {"citationItems":[{"id":"ITEM-1","itemData":{"author":[{"dropping-particle":"","family":"INSEAD","given":"","non-dropping-particle":"","parse-names":false,"suffix":""}],"id":"ITEM-1","issued":{"date-parts":[["2016"]]},"number-of-pages":"43","publisher":"World Economic Forum","publisher-place":"Geneva, Switzerland","title":"The global information technology report 2016","type":"report"},"uris":["http://www.mendeley.com/documents/?uuid=776cef8c-877d-4b9a-8c80-bec1c67ec7c6"]}],"mendeley":{"formattedCitation":"(INSEAD, 2016)","plainTextFormattedCitation":"(INSEAD, 2016)","previouslyFormattedCitation":"(INSEAD, 2016)"},"properties":{"noteIndex":0},"schema":"https://github.com/citation-style-language/schema/raw/master/csl-citation.json"}</w:instrText>
      </w:r>
      <w:r w:rsidR="00CA01C7" w:rsidRPr="002A7627">
        <w:rPr>
          <w:rFonts w:asciiTheme="majorBidi" w:hAnsiTheme="majorBidi" w:cstheme="majorBidi"/>
        </w:rPr>
        <w:fldChar w:fldCharType="separate"/>
      </w:r>
      <w:r w:rsidR="00CA01C7" w:rsidRPr="002A7627">
        <w:rPr>
          <w:rFonts w:asciiTheme="majorBidi" w:hAnsiTheme="majorBidi" w:cstheme="majorBidi"/>
          <w:noProof/>
        </w:rPr>
        <w:t>(</w:t>
      </w:r>
      <w:r w:rsidR="00CA01C7" w:rsidRPr="00CA01C7">
        <w:rPr>
          <w:rFonts w:asciiTheme="majorBidi" w:hAnsiTheme="majorBidi" w:cstheme="majorBidi"/>
          <w:noProof/>
        </w:rPr>
        <w:t>The</w:t>
      </w:r>
      <w:r w:rsidR="00CA01C7">
        <w:rPr>
          <w:rFonts w:asciiTheme="majorBidi" w:hAnsiTheme="majorBidi" w:cstheme="majorBidi"/>
          <w:noProof/>
        </w:rPr>
        <w:t xml:space="preserve"> </w:t>
      </w:r>
      <w:r w:rsidR="00CA01C7" w:rsidRPr="00CA01C7">
        <w:rPr>
          <w:rFonts w:asciiTheme="majorBidi" w:hAnsiTheme="majorBidi" w:cstheme="majorBidi"/>
          <w:noProof/>
        </w:rPr>
        <w:t>Global</w:t>
      </w:r>
      <w:r w:rsidR="00CA01C7">
        <w:rPr>
          <w:rFonts w:asciiTheme="majorBidi" w:hAnsiTheme="majorBidi" w:cstheme="majorBidi"/>
          <w:noProof/>
        </w:rPr>
        <w:t xml:space="preserve"> </w:t>
      </w:r>
      <w:r w:rsidR="00CA01C7" w:rsidRPr="00CA01C7">
        <w:rPr>
          <w:rFonts w:asciiTheme="majorBidi" w:hAnsiTheme="majorBidi" w:cstheme="majorBidi"/>
          <w:noProof/>
        </w:rPr>
        <w:t>Competitiveness</w:t>
      </w:r>
      <w:r w:rsidR="00CA01C7">
        <w:rPr>
          <w:rFonts w:asciiTheme="majorBidi" w:hAnsiTheme="majorBidi" w:cstheme="majorBidi"/>
          <w:noProof/>
        </w:rPr>
        <w:t xml:space="preserve"> </w:t>
      </w:r>
      <w:r w:rsidR="00CA01C7" w:rsidRPr="00CA01C7">
        <w:rPr>
          <w:rFonts w:asciiTheme="majorBidi" w:hAnsiTheme="majorBidi" w:cstheme="majorBidi"/>
          <w:noProof/>
        </w:rPr>
        <w:t>Report</w:t>
      </w:r>
      <w:r w:rsidR="002F0822">
        <w:rPr>
          <w:rFonts w:asciiTheme="majorBidi" w:hAnsiTheme="majorBidi" w:cstheme="majorBidi"/>
          <w:noProof/>
        </w:rPr>
        <w:t xml:space="preserve">, </w:t>
      </w:r>
      <w:r w:rsidR="00CA01C7" w:rsidRPr="00CA01C7">
        <w:rPr>
          <w:rFonts w:asciiTheme="majorBidi" w:hAnsiTheme="majorBidi" w:cstheme="majorBidi"/>
          <w:noProof/>
        </w:rPr>
        <w:t>2018</w:t>
      </w:r>
      <w:r w:rsidR="00CA01C7" w:rsidRPr="002A7627">
        <w:rPr>
          <w:rFonts w:asciiTheme="majorBidi" w:hAnsiTheme="majorBidi" w:cstheme="majorBidi"/>
          <w:noProof/>
        </w:rPr>
        <w:t>)</w:t>
      </w:r>
      <w:r w:rsidR="00CA01C7" w:rsidRPr="002A7627">
        <w:rPr>
          <w:rFonts w:asciiTheme="majorBidi" w:hAnsiTheme="majorBidi" w:cstheme="majorBidi"/>
        </w:rPr>
        <w:fldChar w:fldCharType="end"/>
      </w:r>
      <w:r w:rsidRPr="002A7627">
        <w:rPr>
          <w:rFonts w:asciiTheme="majorBidi" w:hAnsiTheme="majorBidi" w:cstheme="majorBidi"/>
        </w:rPr>
        <w:t xml:space="preserve"> and </w:t>
      </w:r>
      <w:r w:rsidR="00C23463">
        <w:rPr>
          <w:rFonts w:asciiTheme="majorBidi" w:hAnsiTheme="majorBidi" w:cstheme="majorBidi"/>
        </w:rPr>
        <w:t>second</w:t>
      </w:r>
      <w:r w:rsidR="00C23463" w:rsidRPr="002A7627">
        <w:rPr>
          <w:rFonts w:asciiTheme="majorBidi" w:hAnsiTheme="majorBidi" w:cstheme="majorBidi"/>
        </w:rPr>
        <w:t xml:space="preserve"> </w:t>
      </w:r>
      <w:r w:rsidRPr="002A7627">
        <w:rPr>
          <w:rFonts w:asciiTheme="majorBidi" w:hAnsiTheme="majorBidi" w:cstheme="majorBidi"/>
        </w:rPr>
        <w:t xml:space="preserve">in terms of government usage of IT </w:t>
      </w:r>
      <w:r w:rsidRPr="002A7627">
        <w:rPr>
          <w:rFonts w:asciiTheme="majorBidi" w:hAnsiTheme="majorBidi" w:cstheme="majorBidi"/>
        </w:rPr>
        <w:fldChar w:fldCharType="begin" w:fldLock="1"/>
      </w:r>
      <w:r w:rsidR="00E24626" w:rsidRPr="002A7627">
        <w:rPr>
          <w:rFonts w:asciiTheme="majorBidi" w:hAnsiTheme="majorBidi" w:cstheme="majorBidi"/>
        </w:rPr>
        <w:instrText>ADDIN CSL_CITATION {"citationItems":[{"id":"ITEM-1","itemData":{"author":[{"dropping-particle":"","family":"INSEAD","given":"","non-dropping-particle":"","parse-names":false,"suffix":""}],"id":"ITEM-1","issued":{"date-parts":[["2016"]]},"number-of-pages":"43","publisher":"World Economic Forum","publisher-place":"Geneva, Switzerland","title":"The global information technology report 2016","type":"report"},"uris":["http://www.mendeley.com/documents/?uuid=776cef8c-877d-4b9a-8c80-bec1c67ec7c6"]}],"mendeley":{"formattedCitation":"(INSEAD, 2016)","plainTextFormattedCitation":"(INSEAD, 2016)","previouslyFormattedCitation":"(INSEAD, 2016)"},"properties":{"noteIndex":0},"schema":"https://github.com/citation-style-language/schema/raw/master/csl-citation.json"}</w:instrText>
      </w:r>
      <w:r w:rsidRPr="002A7627">
        <w:rPr>
          <w:rFonts w:asciiTheme="majorBidi" w:hAnsiTheme="majorBidi" w:cstheme="majorBidi"/>
        </w:rPr>
        <w:fldChar w:fldCharType="separate"/>
      </w:r>
      <w:r w:rsidRPr="002A7627">
        <w:rPr>
          <w:rFonts w:asciiTheme="majorBidi" w:hAnsiTheme="majorBidi" w:cstheme="majorBidi"/>
          <w:noProof/>
        </w:rPr>
        <w:t>(INSEAD, 2016)</w:t>
      </w:r>
      <w:r w:rsidRPr="002A7627">
        <w:rPr>
          <w:rFonts w:asciiTheme="majorBidi" w:hAnsiTheme="majorBidi" w:cstheme="majorBidi"/>
        </w:rPr>
        <w:fldChar w:fldCharType="end"/>
      </w:r>
      <w:r w:rsidRPr="002A7627">
        <w:rPr>
          <w:rFonts w:asciiTheme="majorBidi" w:hAnsiTheme="majorBidi" w:cstheme="majorBidi"/>
        </w:rPr>
        <w:t>.</w:t>
      </w:r>
    </w:p>
    <w:p w14:paraId="76905CB4" w14:textId="5EFF8722" w:rsidR="00C43266" w:rsidRPr="002A7627" w:rsidRDefault="00A32D64" w:rsidP="0017121F">
      <w:pPr>
        <w:pStyle w:val="Heading1"/>
        <w:rPr>
          <w:color w:val="000000"/>
        </w:rPr>
      </w:pPr>
      <w:bookmarkStart w:id="299" w:name="_Toc468995963"/>
      <w:bookmarkStart w:id="300" w:name="_Toc13959681"/>
      <w:bookmarkStart w:id="301" w:name="_Toc22331724"/>
      <w:r>
        <w:rPr>
          <w:color w:val="000000"/>
        </w:rPr>
        <w:t xml:space="preserve">7.4. </w:t>
      </w:r>
      <w:r w:rsidR="00C43266" w:rsidRPr="002A7627">
        <w:rPr>
          <w:color w:val="000000"/>
        </w:rPr>
        <w:t xml:space="preserve">Limitations and </w:t>
      </w:r>
      <w:r w:rsidR="0084184C" w:rsidRPr="002A7627">
        <w:rPr>
          <w:color w:val="000000"/>
        </w:rPr>
        <w:t>Future Research</w:t>
      </w:r>
      <w:bookmarkEnd w:id="299"/>
      <w:bookmarkEnd w:id="300"/>
      <w:bookmarkEnd w:id="301"/>
      <w:r w:rsidR="0084184C" w:rsidRPr="002A7627">
        <w:rPr>
          <w:color w:val="000000"/>
        </w:rPr>
        <w:t xml:space="preserve"> </w:t>
      </w:r>
    </w:p>
    <w:p w14:paraId="1B415ABB" w14:textId="1C82F62C" w:rsidR="00C43266" w:rsidRPr="002A7627" w:rsidRDefault="00C43266" w:rsidP="0084184C">
      <w:pPr>
        <w:pStyle w:val="AAAAAAA"/>
      </w:pPr>
      <w:r w:rsidRPr="002A7627">
        <w:t xml:space="preserve">The </w:t>
      </w:r>
      <w:r w:rsidR="00D938D1" w:rsidRPr="002A7627">
        <w:t>results</w:t>
      </w:r>
      <w:r w:rsidRPr="002A7627">
        <w:t xml:space="preserve"> of this study</w:t>
      </w:r>
      <w:r w:rsidR="00054373" w:rsidRPr="002A7627">
        <w:t xml:space="preserve"> therefore </w:t>
      </w:r>
      <w:r w:rsidRPr="002A7627">
        <w:t xml:space="preserve">have significant </w:t>
      </w:r>
      <w:r w:rsidR="00D938D1">
        <w:t xml:space="preserve">theoretical, practical and </w:t>
      </w:r>
      <w:r w:rsidRPr="002A7627">
        <w:t xml:space="preserve">economic implications. However, the study, like any other, also had some limitations, which create </w:t>
      </w:r>
      <w:r w:rsidR="00F664E8">
        <w:t xml:space="preserve">rich </w:t>
      </w:r>
      <w:r w:rsidRPr="002A7627">
        <w:t>opportunities for further research. Researchers in this field may wish to consider several issues, including:</w:t>
      </w:r>
    </w:p>
    <w:p w14:paraId="35427CCB" w14:textId="759FF187" w:rsidR="00C43266" w:rsidRPr="002A7627" w:rsidRDefault="00C43266" w:rsidP="00C43266">
      <w:pPr>
        <w:numPr>
          <w:ilvl w:val="0"/>
          <w:numId w:val="28"/>
        </w:numPr>
        <w:spacing w:after="200" w:line="480" w:lineRule="auto"/>
        <w:jc w:val="lowKashida"/>
        <w:rPr>
          <w:szCs w:val="24"/>
        </w:rPr>
      </w:pPr>
      <w:r w:rsidRPr="002A7627">
        <w:rPr>
          <w:szCs w:val="24"/>
        </w:rPr>
        <w:t>This study focused on a single policing organization, which limit</w:t>
      </w:r>
      <w:r w:rsidR="0071588D">
        <w:rPr>
          <w:szCs w:val="24"/>
        </w:rPr>
        <w:t>s</w:t>
      </w:r>
      <w:r w:rsidRPr="002A7627">
        <w:rPr>
          <w:szCs w:val="24"/>
        </w:rPr>
        <w:t xml:space="preserve"> the generalizability of the findings. The results may also be limited because the majority of participants were male. However, the study provides a basis for future work and may encourage research on the </w:t>
      </w:r>
      <w:r w:rsidR="00BA3226">
        <w:rPr>
          <w:szCs w:val="24"/>
        </w:rPr>
        <w:t>effect</w:t>
      </w:r>
      <w:r w:rsidR="00BA3226" w:rsidRPr="002A7627">
        <w:rPr>
          <w:szCs w:val="24"/>
        </w:rPr>
        <w:t xml:space="preserve"> </w:t>
      </w:r>
      <w:r w:rsidRPr="002A7627">
        <w:rPr>
          <w:szCs w:val="24"/>
        </w:rPr>
        <w:t>of knowledge management capabilities and human resources practices to enhance knowledge sharing, with organizational learning as a dependent factor. Future studies might also consider repeating this work in other organization</w:t>
      </w:r>
      <w:r w:rsidR="0071588D">
        <w:rPr>
          <w:szCs w:val="24"/>
        </w:rPr>
        <w:t>s</w:t>
      </w:r>
      <w:r w:rsidRPr="002A7627">
        <w:rPr>
          <w:szCs w:val="24"/>
        </w:rPr>
        <w:t xml:space="preserve"> and sectors in the UAE to test its applicability.</w:t>
      </w:r>
    </w:p>
    <w:p w14:paraId="52BA4ED0" w14:textId="5ECFFC4F" w:rsidR="00C43266" w:rsidRPr="002A7627" w:rsidRDefault="00C43266" w:rsidP="00C43266">
      <w:pPr>
        <w:numPr>
          <w:ilvl w:val="0"/>
          <w:numId w:val="28"/>
        </w:numPr>
        <w:spacing w:after="200" w:line="480" w:lineRule="auto"/>
        <w:jc w:val="lowKashida"/>
        <w:rPr>
          <w:szCs w:val="24"/>
        </w:rPr>
      </w:pPr>
      <w:r w:rsidRPr="002A7627">
        <w:rPr>
          <w:szCs w:val="24"/>
        </w:rPr>
        <w:t xml:space="preserve">Previous studies have identified other possible </w:t>
      </w:r>
      <w:r w:rsidR="00F664E8">
        <w:rPr>
          <w:szCs w:val="24"/>
        </w:rPr>
        <w:t>factors</w:t>
      </w:r>
      <w:r w:rsidR="00F664E8" w:rsidRPr="002A7627">
        <w:rPr>
          <w:szCs w:val="24"/>
        </w:rPr>
        <w:t xml:space="preserve"> </w:t>
      </w:r>
      <w:r w:rsidR="0071588D">
        <w:rPr>
          <w:szCs w:val="24"/>
        </w:rPr>
        <w:t>affecting</w:t>
      </w:r>
      <w:r w:rsidRPr="002A7627">
        <w:rPr>
          <w:szCs w:val="24"/>
        </w:rPr>
        <w:t xml:space="preserve"> knowledge management, including leadership </w:t>
      </w:r>
      <w:r w:rsidRPr="002A7627">
        <w:rPr>
          <w:szCs w:val="24"/>
        </w:rPr>
        <w:fldChar w:fldCharType="begin" w:fldLock="1"/>
      </w:r>
      <w:r w:rsidR="004C27D4" w:rsidRPr="002A7627">
        <w:rPr>
          <w:szCs w:val="24"/>
        </w:rPr>
        <w:instrText>ADDIN CSL_CITATION {"citationItems":[{"id":"ITEM-1","itemData":{"DOI":"10.1007/s10551-012-1470-8","ISBN":"0167-4544","ISSN":"01674544","abstract":"The purpose of this study is to examine the impact of two comparative leadership styles on organiza- tional performance outcomes. The leadership styles undertaken is transformational and servant leadership. A sample of 155 participants is taken from profit-oriented service sector of Pakistan. Data through survey gathered on a five point likert scale from organizations. AMOS and SPSS are used for statistical analysis. The result shows that, transformational leadership has more impact on organizational learning than servant leadership. Further- more organizational learning enhances organizational per- formance. Managers and leaders of corporate sector can get benefited from this study. Their main objective is to maximize the profitability of organization thus, they can choose leadership style which polishes their abilities and helps them to achieve profit maximization. Keywords","author":[{"dropping-particle":"","family":"Choudhary","given":"Ali Iftikhar","non-dropping-particle":"","parse-names":false,"suffix":""},{"dropping-particle":"","family":"Akhtar","given":"Syed Azeem","non-dropping-particle":"","parse-names":false,"suffix":""},{"dropping-particle":"","family":"Zaheer","given":"Arshad","non-dropping-particle":"","parse-names":false,"suffix":""}],"container-title":"Journal of Business Ethics","id":"ITEM-1","issue":"2","issued":{"date-parts":[["2013"]]},"page":"433-440","title":"Impact of transformational and servant leadership on organizational performance: A comparative analysis","type":"article-journal","volume":"116"},"uris":["http://www.mendeley.com/documents/?uuid=6d6966f1-60ea-4b74-84e0-02fb4e9b2a34"]}],"mendeley":{"formattedCitation":"(Choudhary et al., 2013)","plainTextFormattedCitation":"(Choudhary et al., 2013)","previouslyFormattedCitation":"(Choudhary et al., 2013)"},"properties":{"noteIndex":0},"schema":"https://github.com/citation-style-language/schema/raw/master/csl-citation.json"}</w:instrText>
      </w:r>
      <w:r w:rsidRPr="002A7627">
        <w:rPr>
          <w:szCs w:val="24"/>
        </w:rPr>
        <w:fldChar w:fldCharType="separate"/>
      </w:r>
      <w:r w:rsidR="00E24626" w:rsidRPr="002A7627">
        <w:rPr>
          <w:noProof/>
          <w:szCs w:val="24"/>
        </w:rPr>
        <w:t>(Choudhary et al., 2013)</w:t>
      </w:r>
      <w:r w:rsidRPr="002A7627">
        <w:rPr>
          <w:szCs w:val="24"/>
        </w:rPr>
        <w:fldChar w:fldCharType="end"/>
      </w:r>
      <w:r w:rsidRPr="002A7627">
        <w:rPr>
          <w:szCs w:val="24"/>
        </w:rPr>
        <w:t xml:space="preserve">, and organizational culture </w:t>
      </w:r>
      <w:r w:rsidRPr="002A7627">
        <w:rPr>
          <w:szCs w:val="24"/>
        </w:rPr>
        <w:fldChar w:fldCharType="begin" w:fldLock="1"/>
      </w:r>
      <w:r w:rsidR="00E24626" w:rsidRPr="002A7627">
        <w:rPr>
          <w:szCs w:val="24"/>
        </w:rPr>
        <w:instrText>ADDIN CSL_CITATION {"citationItems":[{"id":"ITEM-1","itemData":{"DOI":"10.1108/13673270710832226","ISBN":"1367327071083","ISSN":"1367-3270","PMID":"230317821","abstract":"Purpose – The purpose of this paper is to assess the cultural influences on knowledge sharing behavior in project teams. Design/methodology/approach – In this paper a simulation setting is used to assess the cultural influences on knowledge sharing. All intercultural simulations were part of an educational program, in intercultural management (MBA level) and of executive development programs respectively. Findings – The findings in the paper show that different cultural backgrounds of team members due to different ethnicities, gender, national culture or functions create a context of cultural complexity, which might affect knowledge sharing in a negative way. The results of the simulations show that the different identities of team members have an important influence as they might trigger sentiments of negative stereotyping. The findings also reveal that knowledge sharing is only likely to occur if new project members are welcomed emotionally as valuable contributors to a common task. Research limitations/implications – Given the exploratory nature of this paper, it suggests using the results as a starting ground for future empirical research. The propositions that were developed on the basis of the research may be tested in subsequent studies applying a different research methodology. Practical implications – Based on the paper's findings, recommendations for project management in situations of cultural complexity are developed. Originality/value – The paper extends existing knowledge on cultural influences in knowledge sharing especially in the context of project teams.","author":[{"dropping-particle":"","family":"Sackmann","given":"Sonja A.","non-dropping-particle":"","parse-names":false,"suffix":""},{"dropping-particle":"","family":"Friesl","given":"Martin","non-dropping-particle":"","parse-names":false,"suffix":""}],"container-title":"Journal of Knowledge Management","id":"ITEM-1","issue":"6","issued":{"date-parts":[["2007"]]},"page":"142-156","title":"Exploring cultural impacts on knowledge sharing behavior in project teams – results from a simulation study","type":"article-journal","volume":"11"},"uris":["http://www.mendeley.com/documents/?uuid=0dfe51a3-48a0-4b7a-8145-5dd87b75f10d"]},{"id":"ITEM-2","itemData":{"ISBN":"0199691932","author":[{"dropping-particle":"","family":"Hislop","given":"Donald","non-dropping-particle":"","parse-names":false,"suffix":""}],"id":"ITEM-2","issued":{"date-parts":[["2013"]]},"publisher":"Oxford University Press","publisher-place":"Oxford, UK","title":"Knowledge management in organizations: A critical introduction","type":"book"},"uris":["http://www.mendeley.com/documents/?uuid=e3c39f17-9645-4bca-9bad-6299ba8d5954"]}],"mendeley":{"formattedCitation":"(Hislop, 2013; Sackmann &amp; Friesl, 2007)","plainTextFormattedCitation":"(Hislop, 2013; Sackmann &amp; Friesl, 2007)","previouslyFormattedCitation":"(Hislop, 2013; Sackmann &amp; Friesl, 2007)"},"properties":{"noteIndex":0},"schema":"https://github.com/citation-style-language/schema/raw/master/csl-citation.json"}</w:instrText>
      </w:r>
      <w:r w:rsidRPr="002A7627">
        <w:rPr>
          <w:szCs w:val="24"/>
        </w:rPr>
        <w:fldChar w:fldCharType="separate"/>
      </w:r>
      <w:r w:rsidRPr="002A7627">
        <w:rPr>
          <w:noProof/>
          <w:szCs w:val="24"/>
        </w:rPr>
        <w:t>(Hislop, 2013; Sackmann &amp; Friesl, 2007)</w:t>
      </w:r>
      <w:r w:rsidRPr="002A7627">
        <w:rPr>
          <w:szCs w:val="24"/>
        </w:rPr>
        <w:fldChar w:fldCharType="end"/>
      </w:r>
      <w:r w:rsidRPr="002A7627">
        <w:rPr>
          <w:szCs w:val="24"/>
        </w:rPr>
        <w:t xml:space="preserve">. Future studies could examine </w:t>
      </w:r>
      <w:r w:rsidR="00F2164F">
        <w:rPr>
          <w:szCs w:val="24"/>
        </w:rPr>
        <w:t>other factors</w:t>
      </w:r>
      <w:r w:rsidRPr="002A7627">
        <w:rPr>
          <w:szCs w:val="24"/>
        </w:rPr>
        <w:t xml:space="preserve"> and prioritize them in </w:t>
      </w:r>
      <w:r w:rsidR="00F2164F">
        <w:rPr>
          <w:szCs w:val="24"/>
        </w:rPr>
        <w:t xml:space="preserve">public and private </w:t>
      </w:r>
      <w:r w:rsidR="0071588D">
        <w:rPr>
          <w:szCs w:val="24"/>
        </w:rPr>
        <w:t xml:space="preserve">sector </w:t>
      </w:r>
      <w:r w:rsidR="00F2164F">
        <w:rPr>
          <w:szCs w:val="24"/>
        </w:rPr>
        <w:t>organizations in the UAE</w:t>
      </w:r>
      <w:r w:rsidRPr="002A7627">
        <w:rPr>
          <w:szCs w:val="24"/>
        </w:rPr>
        <w:t>.</w:t>
      </w:r>
    </w:p>
    <w:p w14:paraId="506E5DF3" w14:textId="3D21D030" w:rsidR="00C43266" w:rsidRPr="002A7627" w:rsidRDefault="00C43266" w:rsidP="00C43266">
      <w:pPr>
        <w:numPr>
          <w:ilvl w:val="0"/>
          <w:numId w:val="28"/>
        </w:numPr>
        <w:spacing w:after="200" w:line="480" w:lineRule="auto"/>
        <w:jc w:val="lowKashida"/>
        <w:rPr>
          <w:szCs w:val="24"/>
        </w:rPr>
      </w:pPr>
      <w:r w:rsidRPr="002A7627">
        <w:rPr>
          <w:szCs w:val="24"/>
        </w:rPr>
        <w:t>Knowledge management capabilities could be investigated in more detail by breaking them down into their constituents, including IT infrastructure resources, IT human resources</w:t>
      </w:r>
      <w:r w:rsidR="006B5250" w:rsidRPr="002A7627">
        <w:rPr>
          <w:szCs w:val="24"/>
        </w:rPr>
        <w:t>,</w:t>
      </w:r>
      <w:r w:rsidRPr="002A7627">
        <w:rPr>
          <w:szCs w:val="24"/>
        </w:rPr>
        <w:t xml:space="preserve"> and IT relationship resources. The investment in IT resources should fit the organizational commitment to build knowledge management capability. Employees should be trained to increase their skills on how to use IT. Improving the relationship between IT teams and business units may also help to increase the competitive advantage. For example, </w:t>
      </w:r>
      <w:r w:rsidRPr="002A7627">
        <w:rPr>
          <w:szCs w:val="24"/>
        </w:rPr>
        <w:fldChar w:fldCharType="begin" w:fldLock="1"/>
      </w:r>
      <w:r w:rsidR="004C27D4" w:rsidRPr="002A7627">
        <w:rPr>
          <w:szCs w:val="24"/>
        </w:rPr>
        <w:instrText>ADDIN CSL_CITATION {"citationItems":[{"id":"ITEM-1","itemData":{"DOI":"10.1287/orsc.1070.0286","ISSN":"1047-7039","abstract":"T his study investigates the effects of information technology (IT) on exploration and exploitation in organizational learning (OL). We use qualitative evidence from previously published case studies of a single organization to extend an earlier computational model of organizational learning (March 1991) by introducing IT-enabled learning mechanisms: communication technology (e-mail), knowledge repositories of best practices, and groupware. We find that each of these IT-enabled learning mechanisms enable capabilities that have a distinct effect on the exploration and exploitation learning dynamics in the organization. We also find that this effect is dependent on organizational and environmental conditions, as well as on the interaction effects between the various mechanisms when used in combination with one another. We explore the implications of our results for the use of IT to support organizational learning.","author":[{"dropping-particle":"","family":"Kane","given":"Gerald C.","non-dropping-particle":"","parse-names":false,"suffix":""},{"dropping-particle":"","family":"Alavi","given":"Maryam","non-dropping-particle":"","parse-names":false,"suffix":""}],"container-title":"Organization Science","id":"ITEM-1","issue":"5","issued":{"date-parts":[["2007","10"]]},"page":"796-812","title":"Information technology and organizational learning: An investigation of exploration and exploitation processes","type":"article-journal","volume":"18"},"uris":["http://www.mendeley.com/documents/?uuid=7316d078-a33a-48c5-b609-e28811c0425c"]},{"id":"ITEM-2","itemData":{"DOI":"10.2307/3250961","ISSN":"02767783","abstract":"Knowledge is a broad and abstract notion that has defined epistemological debate in western philosophy since the classical Greek era. In the past few years, however, there has been a growing interest in treating knowledge as a significant organizational resource. Consistent with the interest in organizational knowledge and knowl? edge management (KM), IS researchers have begun promoting a class of information systems, referred to as knowledge management systems (KMS). The objective of KMS is to support crea? tion, transfer, and application of knowledge in organizations. Knowledge and knowledge man? agement are complex and multi-faceted concepts. Thus, effective development and implementation of KMS requires a foundation in several rich literatures.","author":[{"dropping-particle":"","family":"Alavi","given":"Maryam","non-dropping-particle":"","parse-names":false,"suffix":""},{"dropping-particle":"","family":"Leidner","given":"Dorothy E.","non-dropping-particle":"","parse-names":false,"suffix":""}],"container-title":"MIS Quarterly","id":"ITEM-2","issue":"1","issued":{"date-parts":[["2007"]]},"page":"107","title":"Review: Knowledge management and knowledge management systems: Conceptual foundations and research issues","type":"article-journal","volume":"25"},"uris":["http://www.mendeley.com/documents/?uuid=3b044acb-cc9b-4d75-8454-1c4dc13b6a10"]}],"mendeley":{"formattedCitation":"(Alavi &amp; Leidner, 2007; Kane &amp; Alavi, 2007)","manualFormatting":"Alavi and Leidner (2007), and Kane and Alavi (2007)","plainTextFormattedCitation":"(Alavi &amp; Leidner, 2007; Kane &amp; Alavi, 2007)","previouslyFormattedCitation":"(Alavi &amp; Leidner, 2007; Kane &amp; Alavi, 2007)"},"properties":{"noteIndex":0},"schema":"https://github.com/citation-style-language/schema/raw/master/csl-citation.json"}</w:instrText>
      </w:r>
      <w:r w:rsidRPr="002A7627">
        <w:rPr>
          <w:szCs w:val="24"/>
        </w:rPr>
        <w:fldChar w:fldCharType="separate"/>
      </w:r>
      <w:r w:rsidR="00E24626" w:rsidRPr="002A7627">
        <w:rPr>
          <w:noProof/>
          <w:szCs w:val="24"/>
        </w:rPr>
        <w:t xml:space="preserve">Alavi </w:t>
      </w:r>
      <w:r w:rsidR="00AE4D96" w:rsidRPr="002A7627">
        <w:rPr>
          <w:noProof/>
          <w:szCs w:val="24"/>
        </w:rPr>
        <w:t>and</w:t>
      </w:r>
      <w:r w:rsidR="00E24626" w:rsidRPr="002A7627">
        <w:rPr>
          <w:noProof/>
          <w:szCs w:val="24"/>
        </w:rPr>
        <w:t xml:space="preserve"> Leidner </w:t>
      </w:r>
      <w:r w:rsidR="00AE4D96" w:rsidRPr="002A7627">
        <w:rPr>
          <w:noProof/>
          <w:szCs w:val="24"/>
        </w:rPr>
        <w:t>(</w:t>
      </w:r>
      <w:r w:rsidR="00E24626" w:rsidRPr="002A7627">
        <w:rPr>
          <w:noProof/>
          <w:szCs w:val="24"/>
        </w:rPr>
        <w:t>2007</w:t>
      </w:r>
      <w:r w:rsidR="00AE4D96" w:rsidRPr="002A7627">
        <w:rPr>
          <w:noProof/>
          <w:szCs w:val="24"/>
        </w:rPr>
        <w:t>), and</w:t>
      </w:r>
      <w:r w:rsidR="00E24626" w:rsidRPr="002A7627">
        <w:rPr>
          <w:noProof/>
          <w:szCs w:val="24"/>
        </w:rPr>
        <w:t xml:space="preserve"> Kane </w:t>
      </w:r>
      <w:r w:rsidR="00AE4D96" w:rsidRPr="002A7627">
        <w:rPr>
          <w:noProof/>
          <w:szCs w:val="24"/>
        </w:rPr>
        <w:t>and</w:t>
      </w:r>
      <w:r w:rsidR="00E24626" w:rsidRPr="002A7627">
        <w:rPr>
          <w:noProof/>
          <w:szCs w:val="24"/>
        </w:rPr>
        <w:t xml:space="preserve"> Alavi </w:t>
      </w:r>
      <w:r w:rsidR="00AE4D96" w:rsidRPr="002A7627">
        <w:rPr>
          <w:noProof/>
          <w:szCs w:val="24"/>
        </w:rPr>
        <w:t>(</w:t>
      </w:r>
      <w:r w:rsidR="00E24626" w:rsidRPr="002A7627">
        <w:rPr>
          <w:noProof/>
          <w:szCs w:val="24"/>
        </w:rPr>
        <w:t>2007)</w:t>
      </w:r>
      <w:r w:rsidRPr="002A7627">
        <w:rPr>
          <w:szCs w:val="24"/>
        </w:rPr>
        <w:fldChar w:fldCharType="end"/>
      </w:r>
      <w:r w:rsidRPr="002A7627">
        <w:rPr>
          <w:szCs w:val="24"/>
        </w:rPr>
        <w:t xml:space="preserve"> found that IT provides a useful tool for knowledge worker</w:t>
      </w:r>
      <w:r w:rsidR="0071588D">
        <w:rPr>
          <w:szCs w:val="24"/>
        </w:rPr>
        <w:t>s</w:t>
      </w:r>
      <w:r w:rsidRPr="002A7627">
        <w:rPr>
          <w:szCs w:val="24"/>
        </w:rPr>
        <w:t xml:space="preserve"> who can use it in information search</w:t>
      </w:r>
      <w:r w:rsidR="0071588D">
        <w:rPr>
          <w:szCs w:val="24"/>
        </w:rPr>
        <w:t>es</w:t>
      </w:r>
      <w:r w:rsidRPr="002A7627">
        <w:rPr>
          <w:szCs w:val="24"/>
        </w:rPr>
        <w:t xml:space="preserve"> and in communicating with other stakeholders inside the organization. IT practices </w:t>
      </w:r>
      <w:r w:rsidR="0071588D">
        <w:rPr>
          <w:szCs w:val="24"/>
        </w:rPr>
        <w:t>can also increase</w:t>
      </w:r>
      <w:r w:rsidR="0071588D" w:rsidRPr="002A7627">
        <w:rPr>
          <w:szCs w:val="24"/>
        </w:rPr>
        <w:t xml:space="preserve"> </w:t>
      </w:r>
      <w:r w:rsidRPr="002A7627">
        <w:rPr>
          <w:szCs w:val="24"/>
        </w:rPr>
        <w:t xml:space="preserve">innovation </w:t>
      </w:r>
      <w:r w:rsidRPr="002A7627">
        <w:rPr>
          <w:szCs w:val="24"/>
        </w:rPr>
        <w:fldChar w:fldCharType="begin" w:fldLock="1"/>
      </w:r>
      <w:r w:rsidR="00811A3B" w:rsidRPr="002A7627">
        <w:rPr>
          <w:szCs w:val="24"/>
        </w:rPr>
        <w:instrText>ADDIN CSL_CITATION {"citationItems":[{"id":"ITEM-1","itemData":{"DOI":"10.1108/BJM-10-2014-0178","ISSN":"1746-5265","author":[{"dropping-particle":"","family":"Inkinen","given":"Henri Tapio","non-dropping-particle":"","parse-names":false,"suffix":""},{"dropping-particle":"","family":"Kianto","given":"Aino","non-dropping-particle":"","parse-names":false,"suffix":""},{"dropping-particle":"","family":"Vanhala","given":"Mika","non-dropping-particle":"","parse-names":false,"suffix":""}],"container-title":"Baltic Journal of Management","editor":[{"dropping-particle":"","family":"Vesna Bosilj Vukšić and Professor M","given":"Professor","non-dropping-particle":"","parse-names":false,"suffix":""}],"id":"ITEM-1","issue":"4","issued":{"date-parts":[["2015","10","5"]]},"page":"432-455","title":"Knowledge management practices and innovation performance in Finland","type":"article-journal","volume":"10"},"uris":["http://www.mendeley.com/documents/?uuid=9d14c910-5c04-32a0-9768-9e2f14028661"]}],"mendeley":{"formattedCitation":"(Inkinen et al., 2015)","plainTextFormattedCitation":"(Inkinen et al., 2015)","previouslyFormattedCitation":"(Inkinen et al., 2015)"},"properties":{"noteIndex":0},"schema":"https://github.com/citation-style-language/schema/raw/master/csl-citation.json"}</w:instrText>
      </w:r>
      <w:r w:rsidRPr="002A7627">
        <w:rPr>
          <w:szCs w:val="24"/>
        </w:rPr>
        <w:fldChar w:fldCharType="separate"/>
      </w:r>
      <w:r w:rsidR="00F31753" w:rsidRPr="002A7627">
        <w:rPr>
          <w:noProof/>
          <w:szCs w:val="24"/>
        </w:rPr>
        <w:t>(Inkinen et al., 2015)</w:t>
      </w:r>
      <w:r w:rsidRPr="002A7627">
        <w:rPr>
          <w:szCs w:val="24"/>
        </w:rPr>
        <w:fldChar w:fldCharType="end"/>
      </w:r>
      <w:r w:rsidR="0071588D">
        <w:rPr>
          <w:szCs w:val="24"/>
        </w:rPr>
        <w:t>.</w:t>
      </w:r>
    </w:p>
    <w:p w14:paraId="35170BB2" w14:textId="553C985A" w:rsidR="00C43266" w:rsidRPr="002A7627" w:rsidRDefault="00C43266" w:rsidP="00C43266">
      <w:pPr>
        <w:numPr>
          <w:ilvl w:val="0"/>
          <w:numId w:val="28"/>
        </w:numPr>
        <w:spacing w:after="200" w:line="480" w:lineRule="auto"/>
        <w:jc w:val="lowKashida"/>
        <w:rPr>
          <w:szCs w:val="24"/>
        </w:rPr>
      </w:pPr>
      <w:r w:rsidRPr="002A7627">
        <w:rPr>
          <w:szCs w:val="24"/>
        </w:rPr>
        <w:t xml:space="preserve">Future studies might add potential moderators to the framework, including, for example, job function (administrative, technical, or operational), to </w:t>
      </w:r>
      <w:r w:rsidR="00F2164F">
        <w:rPr>
          <w:szCs w:val="24"/>
        </w:rPr>
        <w:t>examine their influence</w:t>
      </w:r>
      <w:r w:rsidRPr="002A7627">
        <w:rPr>
          <w:szCs w:val="24"/>
        </w:rPr>
        <w:t xml:space="preserve"> on the relationship between knowledge management capability, HR practices related to knowledge-sharing and knowledge management benefits. </w:t>
      </w:r>
    </w:p>
    <w:p w14:paraId="50286C07" w14:textId="714CC0E2" w:rsidR="00C43266" w:rsidRPr="002A7627" w:rsidRDefault="00C43266" w:rsidP="00C43266">
      <w:pPr>
        <w:numPr>
          <w:ilvl w:val="0"/>
          <w:numId w:val="28"/>
        </w:numPr>
        <w:spacing w:after="200" w:line="480" w:lineRule="auto"/>
        <w:jc w:val="lowKashida"/>
        <w:rPr>
          <w:szCs w:val="24"/>
        </w:rPr>
      </w:pPr>
      <w:r w:rsidRPr="002A7627">
        <w:rPr>
          <w:szCs w:val="24"/>
        </w:rPr>
        <w:t>More knowledge management benefits could also be investigated across individual, teams</w:t>
      </w:r>
      <w:r w:rsidR="006B5250" w:rsidRPr="002A7627">
        <w:rPr>
          <w:szCs w:val="24"/>
        </w:rPr>
        <w:t>,</w:t>
      </w:r>
      <w:r w:rsidRPr="002A7627">
        <w:rPr>
          <w:szCs w:val="24"/>
        </w:rPr>
        <w:t xml:space="preserve"> and organizations</w:t>
      </w:r>
      <w:r w:rsidR="001938C3" w:rsidRPr="002A7627">
        <w:rPr>
          <w:szCs w:val="24"/>
        </w:rPr>
        <w:t xml:space="preserve"> </w:t>
      </w:r>
      <w:r w:rsidR="0071588D">
        <w:rPr>
          <w:szCs w:val="24"/>
        </w:rPr>
        <w:t>(</w:t>
      </w:r>
      <w:r w:rsidRPr="002A7627">
        <w:rPr>
          <w:szCs w:val="24"/>
        </w:rPr>
        <w:t xml:space="preserve">Dalkir, 2017). </w:t>
      </w:r>
    </w:p>
    <w:p w14:paraId="39C52382" w14:textId="7034E277" w:rsidR="00C43266" w:rsidRPr="002A7627" w:rsidRDefault="00C43266" w:rsidP="00C43266">
      <w:pPr>
        <w:numPr>
          <w:ilvl w:val="0"/>
          <w:numId w:val="28"/>
        </w:numPr>
        <w:spacing w:after="200" w:line="480" w:lineRule="auto"/>
        <w:jc w:val="lowKashida"/>
        <w:rPr>
          <w:szCs w:val="24"/>
        </w:rPr>
      </w:pPr>
      <w:r w:rsidRPr="002A7627">
        <w:rPr>
          <w:szCs w:val="24"/>
        </w:rPr>
        <w:t xml:space="preserve">Some previous studies examined barriers to knowledge sharing, which were not </w:t>
      </w:r>
      <w:r w:rsidR="00F664E8">
        <w:rPr>
          <w:szCs w:val="24"/>
        </w:rPr>
        <w:t>investigated</w:t>
      </w:r>
      <w:r w:rsidRPr="002A7627">
        <w:rPr>
          <w:szCs w:val="24"/>
        </w:rPr>
        <w:t xml:space="preserve"> in this study. These include </w:t>
      </w:r>
      <w:r w:rsidRPr="002A7627">
        <w:rPr>
          <w:rFonts w:cs="Times New Roman"/>
          <w:szCs w:val="24"/>
        </w:rPr>
        <w:t>lack of trust, lack of time</w:t>
      </w:r>
      <w:r w:rsidR="006B5250" w:rsidRPr="002A7627">
        <w:rPr>
          <w:rFonts w:cs="Times New Roman"/>
          <w:szCs w:val="24"/>
        </w:rPr>
        <w:t>,</w:t>
      </w:r>
      <w:r w:rsidRPr="002A7627">
        <w:rPr>
          <w:rFonts w:cs="Times New Roman"/>
          <w:szCs w:val="24"/>
        </w:rPr>
        <w:t xml:space="preserve"> and organizational structure </w:t>
      </w:r>
      <w:r w:rsidRPr="002A7627">
        <w:rPr>
          <w:rFonts w:cs="Times New Roman"/>
          <w:szCs w:val="24"/>
        </w:rPr>
        <w:fldChar w:fldCharType="begin" w:fldLock="1"/>
      </w:r>
      <w:r w:rsidR="00811A3B" w:rsidRPr="002A7627">
        <w:rPr>
          <w:rFonts w:cs="Times New Roman"/>
          <w:szCs w:val="24"/>
        </w:rPr>
        <w:instrText>ADDIN CSL_CITATION {"citationItems":[{"id":"ITEM-1","itemData":{"DOI":"10.1016/j.ijinfomgt.2011.12.003","ISSN":"02684012","abstract":"This study contributes to the limited research base on knowledge sharing in public sector organisations, specifically police forces, and organisations in the Middle East through a case study investigation into the factors that affect knowledge sharing in the Dubai Police Force. A questionnaire-based survey was conducted with staff in key departments in the Dubai Police Force. Informed by the literature and by interviews conducted in a previous phase, the core of the questionnaire was a bank of Likert-style questions covering the dependent variables intention to knowledge share, and attitude towards knowledge sharing, and the independent variables, trust, organisational structure, leadership, reward, time, and information technology. Data was analysed using structured equation modelling, in order to test the measurement model using confirmatory factor analysis, and to test the structural model. The structural model suggests a strong relationship between attitude to knowledge sharing, and intention to share knowledge. Hypotheses regarding the influence of leadership, trust, organisational structure, time, and information technology on attitude to knowledge sharing were upheld. Rewards did not to influence attitude to knowledge sharing. Recommendations are offered for practice and further research.","author":[{"dropping-particle":"","family":"Seba","given":"Ibrahim","non-dropping-particle":"","parse-names":false,"suffix":""},{"dropping-particle":"","family":"Rowley","given":"Jennifer","non-dropping-particle":"","parse-names":false,"suffix":""},{"dropping-particle":"","family":"Lambert","given":"Sian","non-dropping-particle":"","parse-names":false,"suffix":""}],"container-title":"International Journal of Information Management","id":"ITEM-1","issue":"4","issued":{"date-parts":[["2012","8"]]},"note":"Factors affecting attitudes and intentions towards knowledge sharing in the Dubai Police Force","page":"372-380","title":"Factors affecting attitudes and intentions towards knowledge sharing in the Dubai Police Force","type":"article-journal","volume":"32"},"uris":["http://www.mendeley.com/documents/?uuid=9b514d30-5ab1-48be-9381-4fadb816c67b"]}],"mendeley":{"formattedCitation":"(Seba et al., 2012)","plainTextFormattedCitation":"(Seba et al., 2012)","previouslyFormattedCitation":"(Seba et al., 2012)"},"properties":{"noteIndex":0},"schema":"https://github.com/citation-style-language/schema/raw/master/csl-citation.json"}</w:instrText>
      </w:r>
      <w:r w:rsidRPr="002A7627">
        <w:rPr>
          <w:rFonts w:cs="Times New Roman"/>
          <w:szCs w:val="24"/>
        </w:rPr>
        <w:fldChar w:fldCharType="separate"/>
      </w:r>
      <w:r w:rsidR="00F31753" w:rsidRPr="002A7627">
        <w:rPr>
          <w:rFonts w:cs="Times New Roman"/>
          <w:noProof/>
          <w:szCs w:val="24"/>
        </w:rPr>
        <w:t>(Seba et al., 2012)</w:t>
      </w:r>
      <w:r w:rsidRPr="002A7627">
        <w:rPr>
          <w:rFonts w:cs="Times New Roman"/>
          <w:szCs w:val="24"/>
        </w:rPr>
        <w:fldChar w:fldCharType="end"/>
      </w:r>
      <w:r w:rsidRPr="002A7627">
        <w:rPr>
          <w:rFonts w:cs="Times New Roman"/>
          <w:szCs w:val="24"/>
        </w:rPr>
        <w:t xml:space="preserve">. </w:t>
      </w:r>
      <w:r w:rsidRPr="002A7627">
        <w:rPr>
          <w:szCs w:val="24"/>
        </w:rPr>
        <w:t xml:space="preserve">Future studies might add these to the framework. </w:t>
      </w:r>
    </w:p>
    <w:p w14:paraId="5AEFF955" w14:textId="471A24B5" w:rsidR="00C43266" w:rsidRPr="002A7627" w:rsidRDefault="00A32D64" w:rsidP="0017121F">
      <w:pPr>
        <w:pStyle w:val="Heading1"/>
        <w:rPr>
          <w:color w:val="000000"/>
        </w:rPr>
      </w:pPr>
      <w:bookmarkStart w:id="302" w:name="_Toc468995964"/>
      <w:bookmarkStart w:id="303" w:name="_Toc13959682"/>
      <w:bookmarkStart w:id="304" w:name="_Toc22331725"/>
      <w:r>
        <w:rPr>
          <w:color w:val="000000"/>
        </w:rPr>
        <w:t xml:space="preserve">7.5. </w:t>
      </w:r>
      <w:r w:rsidR="00C43266" w:rsidRPr="002A7627">
        <w:rPr>
          <w:color w:val="000000"/>
        </w:rPr>
        <w:t>Recommendations</w:t>
      </w:r>
      <w:bookmarkEnd w:id="302"/>
      <w:bookmarkEnd w:id="303"/>
      <w:bookmarkEnd w:id="304"/>
    </w:p>
    <w:p w14:paraId="433D1A2E" w14:textId="4B27D559" w:rsidR="00C43266" w:rsidRPr="002A7627" w:rsidRDefault="00C43266" w:rsidP="0084184C">
      <w:pPr>
        <w:pStyle w:val="AAAAAAA"/>
      </w:pPr>
      <w:r w:rsidRPr="002A7627">
        <w:t xml:space="preserve">The study implications, especially those for managers, suggest a number of recommendations for the study organization. First, it </w:t>
      </w:r>
      <w:r w:rsidR="007C67B7">
        <w:t xml:space="preserve">is recommended </w:t>
      </w:r>
      <w:r w:rsidR="0071588D">
        <w:t xml:space="preserve">that the organization </w:t>
      </w:r>
      <w:r w:rsidRPr="002A7627">
        <w:t xml:space="preserve">consider </w:t>
      </w:r>
      <w:r w:rsidR="007C67B7">
        <w:t xml:space="preserve">designing and </w:t>
      </w:r>
      <w:r w:rsidRPr="002A7627">
        <w:t>implementing a knowledge management strategy drawing on the findings of this and other studies. Different areas of the organization might consider implementing specialized knowledge management strategies because of their different cultures, job functions</w:t>
      </w:r>
      <w:r w:rsidR="006B5250" w:rsidRPr="002A7627">
        <w:t>,</w:t>
      </w:r>
      <w:r w:rsidRPr="002A7627">
        <w:t xml:space="preserve"> and objectives.</w:t>
      </w:r>
    </w:p>
    <w:p w14:paraId="1A222A8F" w14:textId="11552955" w:rsidR="00C43266" w:rsidRPr="002A7627" w:rsidRDefault="00C43266" w:rsidP="0084184C">
      <w:pPr>
        <w:pStyle w:val="AAAAAAA"/>
      </w:pPr>
      <w:r w:rsidRPr="002A7627">
        <w:t xml:space="preserve">The organization should introduce an organizational learning approach or methodology as a core capability because of its impact on knowledge management benefits. </w:t>
      </w:r>
      <w:r w:rsidR="0071588D">
        <w:t>O</w:t>
      </w:r>
      <w:r w:rsidRPr="002A7627">
        <w:t xml:space="preserve">rganizational learning should be linked </w:t>
      </w:r>
      <w:r w:rsidR="0071588D">
        <w:t>to</w:t>
      </w:r>
      <w:r w:rsidR="0071588D" w:rsidRPr="002A7627">
        <w:t xml:space="preserve"> </w:t>
      </w:r>
      <w:r w:rsidRPr="002A7627">
        <w:t>HR</w:t>
      </w:r>
      <w:r w:rsidR="00146BE4" w:rsidRPr="002A7627">
        <w:t>-</w:t>
      </w:r>
      <w:r w:rsidRPr="002A7627">
        <w:t xml:space="preserve">related </w:t>
      </w:r>
      <w:r w:rsidR="0071588D">
        <w:t>issues</w:t>
      </w:r>
      <w:r w:rsidR="006B5250" w:rsidRPr="002A7627">
        <w:t>,</w:t>
      </w:r>
      <w:r w:rsidRPr="002A7627">
        <w:t xml:space="preserve"> such as training needs and motivation. </w:t>
      </w:r>
    </w:p>
    <w:p w14:paraId="2BC76D3E" w14:textId="77777777" w:rsidR="00C43266" w:rsidRPr="002A7627" w:rsidRDefault="00C43266" w:rsidP="0084184C">
      <w:pPr>
        <w:pStyle w:val="AAAAAAA"/>
        <w:rPr>
          <w:rFonts w:asciiTheme="majorBidi" w:hAnsiTheme="majorBidi" w:cstheme="majorBidi"/>
        </w:rPr>
      </w:pPr>
      <w:r w:rsidRPr="002A7627">
        <w:rPr>
          <w:rFonts w:asciiTheme="majorBidi" w:hAnsiTheme="majorBidi" w:cstheme="majorBidi"/>
        </w:rPr>
        <w:t xml:space="preserve">Information technology use is considered a precondition to knowledge management capabilities. The organization must ensure that staff, especially senior managers, are aware of the critical role played by technology in enhancing organizational learning and maximizing knowledge management benefits. IT resources are a very effective and comprehensive tool for knowledge management, and the organization is already familiar with the use of IT tools. HR managers should increase the use of IT tools across the organization and introduce artificial intelligence more broadly. </w:t>
      </w:r>
    </w:p>
    <w:p w14:paraId="1CB6AD55" w14:textId="7BC0801E" w:rsidR="00C43266" w:rsidRPr="002A7627" w:rsidRDefault="00C43266" w:rsidP="0084184C">
      <w:pPr>
        <w:pStyle w:val="AAAAAAA"/>
      </w:pPr>
      <w:r w:rsidRPr="002A7627">
        <w:t xml:space="preserve">The use of rewards to provide </w:t>
      </w:r>
      <w:r w:rsidRPr="002A7627">
        <w:rPr>
          <w:rFonts w:asciiTheme="majorBidi" w:hAnsiTheme="majorBidi" w:cstheme="majorBidi"/>
        </w:rPr>
        <w:t xml:space="preserve">extrinsic motivation is considered to be a mistake. The findings suggest that extrinsic motivation does not affect organizational learning and knowledge management </w:t>
      </w:r>
      <w:r w:rsidR="003C4C7A" w:rsidRPr="002A7627">
        <w:rPr>
          <w:rFonts w:asciiTheme="majorBidi" w:hAnsiTheme="majorBidi" w:cstheme="majorBidi"/>
        </w:rPr>
        <w:t>benefits and</w:t>
      </w:r>
      <w:r w:rsidRPr="002A7627">
        <w:rPr>
          <w:rFonts w:asciiTheme="majorBidi" w:hAnsiTheme="majorBidi" w:cstheme="majorBidi"/>
        </w:rPr>
        <w:t xml:space="preserve"> may even have a negative effect on them. The HR department in the organization should</w:t>
      </w:r>
      <w:r w:rsidR="00054373" w:rsidRPr="002A7627">
        <w:rPr>
          <w:rFonts w:asciiTheme="majorBidi" w:hAnsiTheme="majorBidi" w:cstheme="majorBidi"/>
        </w:rPr>
        <w:t xml:space="preserve">, therefore, </w:t>
      </w:r>
      <w:r w:rsidRPr="002A7627">
        <w:rPr>
          <w:rFonts w:asciiTheme="majorBidi" w:hAnsiTheme="majorBidi" w:cstheme="majorBidi"/>
        </w:rPr>
        <w:t>review reward schemes and ensure that they will have the desired effect.</w:t>
      </w:r>
    </w:p>
    <w:p w14:paraId="27244622" w14:textId="07E3A40C" w:rsidR="00C43266" w:rsidRPr="002A7627" w:rsidRDefault="00C43266" w:rsidP="0084184C">
      <w:pPr>
        <w:pStyle w:val="AAAAAAA"/>
        <w:rPr>
          <w:rFonts w:asciiTheme="majorBidi" w:hAnsiTheme="majorBidi" w:cstheme="majorBidi"/>
        </w:rPr>
      </w:pPr>
      <w:r w:rsidRPr="002A7627">
        <w:t xml:space="preserve">Employees </w:t>
      </w:r>
      <w:r w:rsidR="00F2164F">
        <w:t xml:space="preserve">who have </w:t>
      </w:r>
      <w:r w:rsidRPr="002A7627">
        <w:t>strong</w:t>
      </w:r>
      <w:r w:rsidR="00F2164F">
        <w:t xml:space="preserve"> </w:t>
      </w:r>
      <w:r w:rsidRPr="002A7627">
        <w:rPr>
          <w:rFonts w:asciiTheme="majorBidi" w:hAnsiTheme="majorBidi" w:cstheme="majorBidi"/>
        </w:rPr>
        <w:t>knowledge self-efficacy</w:t>
      </w:r>
      <w:r w:rsidR="00173E56">
        <w:rPr>
          <w:rFonts w:asciiTheme="majorBidi" w:hAnsiTheme="majorBidi" w:cstheme="majorBidi"/>
        </w:rPr>
        <w:t xml:space="preserve"> beliefs</w:t>
      </w:r>
      <w:r w:rsidRPr="002A7627">
        <w:rPr>
          <w:rFonts w:asciiTheme="majorBidi" w:hAnsiTheme="majorBidi" w:cstheme="majorBidi"/>
        </w:rPr>
        <w:t xml:space="preserve">, such as knowledge management practitioners, must be </w:t>
      </w:r>
      <w:r w:rsidR="00F2164F">
        <w:rPr>
          <w:rFonts w:asciiTheme="majorBidi" w:hAnsiTheme="majorBidi" w:cstheme="majorBidi"/>
        </w:rPr>
        <w:t>motivated</w:t>
      </w:r>
      <w:r w:rsidR="00F2164F" w:rsidRPr="002A7627">
        <w:rPr>
          <w:rFonts w:asciiTheme="majorBidi" w:hAnsiTheme="majorBidi" w:cstheme="majorBidi"/>
        </w:rPr>
        <w:t xml:space="preserve"> </w:t>
      </w:r>
      <w:r w:rsidRPr="002A7627">
        <w:rPr>
          <w:rFonts w:asciiTheme="majorBidi" w:hAnsiTheme="majorBidi" w:cstheme="majorBidi"/>
        </w:rPr>
        <w:t>to share their knowledge and</w:t>
      </w:r>
      <w:r w:rsidR="00F2164F">
        <w:rPr>
          <w:rFonts w:asciiTheme="majorBidi" w:hAnsiTheme="majorBidi" w:cstheme="majorBidi"/>
        </w:rPr>
        <w:t xml:space="preserve"> reflect upon their</w:t>
      </w:r>
      <w:r w:rsidRPr="002A7627">
        <w:rPr>
          <w:rFonts w:asciiTheme="majorBidi" w:hAnsiTheme="majorBidi" w:cstheme="majorBidi"/>
        </w:rPr>
        <w:t xml:space="preserve"> </w:t>
      </w:r>
      <w:r w:rsidR="00F2164F">
        <w:rPr>
          <w:rFonts w:asciiTheme="majorBidi" w:hAnsiTheme="majorBidi" w:cstheme="majorBidi"/>
        </w:rPr>
        <w:t>experiences</w:t>
      </w:r>
      <w:r w:rsidRPr="002A7627">
        <w:rPr>
          <w:rFonts w:asciiTheme="majorBidi" w:hAnsiTheme="majorBidi" w:cstheme="majorBidi"/>
        </w:rPr>
        <w:t>, especially with those around them, working in the same field. It may be helpful to hold knowledge</w:t>
      </w:r>
      <w:r w:rsidR="00146BE4" w:rsidRPr="002A7627">
        <w:rPr>
          <w:rFonts w:asciiTheme="majorBidi" w:hAnsiTheme="majorBidi" w:cstheme="majorBidi"/>
        </w:rPr>
        <w:t>-</w:t>
      </w:r>
      <w:r w:rsidRPr="002A7627">
        <w:rPr>
          <w:rFonts w:asciiTheme="majorBidi" w:hAnsiTheme="majorBidi" w:cstheme="majorBidi"/>
        </w:rPr>
        <w:t xml:space="preserve">sharing workshops, especially to encourage the sharing of tacit knowledge, which is a challenge for most organizations </w:t>
      </w:r>
      <w:r w:rsidRPr="002A7627">
        <w:rPr>
          <w:rFonts w:asciiTheme="majorBidi" w:hAnsiTheme="majorBidi" w:cstheme="majorBidi"/>
        </w:rPr>
        <w:fldChar w:fldCharType="begin" w:fldLock="1"/>
      </w:r>
      <w:r w:rsidR="007C79F2" w:rsidRPr="002A7627">
        <w:rPr>
          <w:rFonts w:asciiTheme="majorBidi" w:hAnsiTheme="majorBidi" w:cstheme="majorBidi"/>
        </w:rPr>
        <w:instrText>ADDIN CSL_CITATION {"citationItems":[{"id":"ITEM-1","itemData":{"abstract":"Tacit Knowledge is critical in an organization's ability to sustain a long-term competitive advantage. The systematic process for acquiring, organizing, sustaining and renewing tacit knowledge of employees has enabled organizations to survive in a robust economy. This study investigates the management of tacit knowledge at the Kenya Institute for Public Policy Research and Analysis (KIPPRA). The objectives of the study were: to identify the sources and types of knowledge at KIPPRA; identify the enabling resources for tacit knowledge sharing; determine how tacit knowledge can be reused for innovation and competitive advantage; establish the role of management in creating a conducive environment for tacit knowledge; identify the challenges experienced in the management of tacit knowledge; give recommendations and propose a model/framework for tacit knowledge management at KIPPRA.","author":[{"dropping-particle":"","family":"Mungai","given":"Gladys Caroline Njeri","non-dropping-particle":"","parse-names":false,"suffix":""}],"id":"ITEM-1","issued":{"date-parts":[["2014"]]},"publisher":"University of South Africa","publisher-place":"Pretoria, South Africa","title":"Tacit knowledge management in public institutions in Kenya: A case of the Kenya Institute For Public Policy Research and Analysis (KIPPRA) Nairobi","type":"thesis"},"uris":["http://www.mendeley.com/documents/?uuid=c313e1be-5ca4-4c8d-a29f-ed797ff564da"]},{"id":"ITEM-2","itemData":{"DOI":"10.1108/VJIKMS-06-2016-0036","ISSN":"2059-5891","abstract":"Purpose: This study aims to explore the challenges to knowledge sharing (KS) in the context of public sector universities in developing countries. Furthermore, it explores why knowledge hoarding behaviour is flourishing even when employees are encouraged to share their knowledge in organisations and are rewarded for doing so. Design/methodology/approach: Research data were collected from vice chancellor, registrar, professors, assistant professors and lecturers using an interview technique. They shared their knowledge, expertise, experiences and understanding about issues relating to KS practices in public universities. These interviews were thematically analysed using the NVivo 11-Plus software and different themes emerged. Findings: The results reveal that hoard knowledge to gain power, authority, influence, promotion opportunities and employee favouritism negatively influence KS practices. Furthermore, an unsupportive culture and a poor linkage between KS and rewards negatively influence KS practices in public sector universities. Research limitations/implications: The present study aids academic leadership in designing policies and strategies to enhance KS among faculty staff and to create a supportive KS culture. These results are useful for top management officials of public sector universities, especially in developing countries, and for policy makers, who can plan and execute effective policies to foster KS behaviour. Originality/value: The originality can be viewed as a new window open towards the motivation of the university staff to hoard their knowledge instead of sharing it. This study gives the novel conceptual model based on why people do not share their knowledge and how KS practices can be fostered among the employees in public sector universities. Few studies have been conducted to explore KS issues in the real context of developing countries, and specifically in the Asian culture. © 2017, © Emerald Publishing Limited.","author":[{"dropping-particle":"","family":"Muqadas","given":"Farwa","non-dropping-particle":"","parse-names":false,"suffix":""},{"dropping-particle":"","family":"Rehman","given":"Muqqadas","non-dropping-particle":"","parse-names":false,"suffix":""},{"dropping-particle":"","family":"Aslam","given":"Usman","non-dropping-particle":"","parse-names":false,"suffix":""},{"dropping-particle":"","family":"Ur-Rahman","given":"Ubaid","non-dropping-particle":"","parse-names":false,"suffix":""}],"container-title":"VINE","id":"ITEM-2","issue":"1","issued":{"date-parts":[["2017","2","13"]]},"page":"2-15","title":"Exploring the challenges, trends and issues for knowledge sharing: A study on employees in public sector universities","type":"article-journal","volume":"47"},"uris":["http://www.mendeley.com/documents/?uuid=446fd838-a662-4482-ac0c-5d3ea6d22c3c"]}],"mendeley":{"formattedCitation":"(Mungai, 2014; Muqadas, Rehman, Aslam, &amp; Ur-Rahman, 2017)","manualFormatting":"(Mungai, 2014; Muqadas, Rehman, Aslam, &amp; Ur-Rahman, 2017)","plainTextFormattedCitation":"(Mungai, 2014; Muqadas, Rehman, Aslam, &amp; Ur-Rahman, 2017)","previouslyFormattedCitation":"(Mungai, 2014; Muqadas, Rehman, Aslam, &amp; Ur-Rahman, 2017)"},"properties":{"noteIndex":0},"schema":"https://github.com/citation-style-language/schema/raw/master/csl-citation.json"}</w:instrText>
      </w:r>
      <w:r w:rsidRPr="002A7627">
        <w:rPr>
          <w:rFonts w:asciiTheme="majorBidi" w:hAnsiTheme="majorBidi" w:cstheme="majorBidi"/>
        </w:rPr>
        <w:fldChar w:fldCharType="separate"/>
      </w:r>
      <w:r w:rsidRPr="002A7627">
        <w:rPr>
          <w:rFonts w:asciiTheme="majorBidi" w:hAnsiTheme="majorBidi" w:cstheme="majorBidi"/>
          <w:noProof/>
        </w:rPr>
        <w:t xml:space="preserve">(Mungai, 2014; Muqadas, Rehman, Aslam, </w:t>
      </w:r>
      <w:r w:rsidR="0083144E" w:rsidRPr="002A7627">
        <w:rPr>
          <w:rFonts w:asciiTheme="majorBidi" w:hAnsiTheme="majorBidi" w:cstheme="majorBidi"/>
          <w:noProof/>
        </w:rPr>
        <w:t>&amp; Ur-Rahman, 2017)</w:t>
      </w:r>
      <w:r w:rsidRPr="002A7627">
        <w:rPr>
          <w:rFonts w:asciiTheme="majorBidi" w:hAnsiTheme="majorBidi" w:cstheme="majorBidi"/>
        </w:rPr>
        <w:fldChar w:fldCharType="end"/>
      </w:r>
      <w:r w:rsidRPr="002A7627">
        <w:rPr>
          <w:rFonts w:asciiTheme="majorBidi" w:hAnsiTheme="majorBidi" w:cstheme="majorBidi"/>
        </w:rPr>
        <w:t>. These workshops could, for example, share best practice or common errors made in particular areas of policing work. Building a culture of knowledge sharing will enhance employees’ abilities and save time in day-to-day tasks, helping to achieve the organization’s vision.</w:t>
      </w:r>
    </w:p>
    <w:p w14:paraId="35A35F4B" w14:textId="77777777" w:rsidR="00C43266" w:rsidRPr="002A7627" w:rsidRDefault="00C43266" w:rsidP="0084184C">
      <w:pPr>
        <w:pStyle w:val="AAAAAAA"/>
        <w:rPr>
          <w:rFonts w:asciiTheme="majorBidi" w:hAnsiTheme="majorBidi" w:cstheme="majorBidi"/>
        </w:rPr>
      </w:pPr>
      <w:r w:rsidRPr="002A7627">
        <w:rPr>
          <w:rFonts w:asciiTheme="majorBidi" w:hAnsiTheme="majorBidi" w:cstheme="majorBidi"/>
        </w:rPr>
        <w:t xml:space="preserve">The organization, and particularly HR managers, should examine the use of opportunity-enhancing HR practices. These were found to have no effect on either organizational learning or knowledge management benefits. The reason for this could be the time constraints or workloads of the managers who participated in this study, which might prevent them from sharing their expertise and ideas. Further research is required to explore this further and investigate the barriers to knowledge management and their impact on these HR practices. </w:t>
      </w:r>
    </w:p>
    <w:p w14:paraId="087C8EF3" w14:textId="3F0B0F6B" w:rsidR="00667F7D" w:rsidRDefault="00C43266" w:rsidP="00BF6BCB">
      <w:pPr>
        <w:pStyle w:val="AAAAAAA"/>
        <w:rPr>
          <w:rFonts w:asciiTheme="majorBidi" w:hAnsiTheme="majorBidi" w:cstheme="majorBidi"/>
        </w:rPr>
      </w:pPr>
      <w:r w:rsidRPr="002A7627">
        <w:rPr>
          <w:rFonts w:asciiTheme="majorBidi" w:hAnsiTheme="majorBidi" w:cstheme="majorBidi"/>
        </w:rPr>
        <w:t>Finally, awareness of the role of organizational learning on knowledge management outcomes is fundamental. For the organization to improve these outcomes or benefits, decision</w:t>
      </w:r>
      <w:r w:rsidR="00146BE4" w:rsidRPr="002A7627">
        <w:rPr>
          <w:rFonts w:asciiTheme="majorBidi" w:hAnsiTheme="majorBidi" w:cstheme="majorBidi"/>
        </w:rPr>
        <w:t>-</w:t>
      </w:r>
      <w:r w:rsidRPr="002A7627">
        <w:rPr>
          <w:rFonts w:asciiTheme="majorBidi" w:hAnsiTheme="majorBidi" w:cstheme="majorBidi"/>
        </w:rPr>
        <w:t xml:space="preserve">makers and knowledge management centers must </w:t>
      </w:r>
      <w:r w:rsidR="00F2164F">
        <w:rPr>
          <w:rFonts w:asciiTheme="majorBidi" w:hAnsiTheme="majorBidi" w:cstheme="majorBidi"/>
        </w:rPr>
        <w:t>launch</w:t>
      </w:r>
      <w:r w:rsidR="00F2164F" w:rsidRPr="002A7627">
        <w:rPr>
          <w:rFonts w:asciiTheme="majorBidi" w:hAnsiTheme="majorBidi" w:cstheme="majorBidi"/>
        </w:rPr>
        <w:t xml:space="preserve"> </w:t>
      </w:r>
      <w:r w:rsidRPr="002A7627">
        <w:rPr>
          <w:rFonts w:asciiTheme="majorBidi" w:hAnsiTheme="majorBidi" w:cstheme="majorBidi"/>
        </w:rPr>
        <w:t xml:space="preserve">more knowledge management initiatives and projects, especially those that </w:t>
      </w:r>
      <w:r w:rsidR="00F2164F">
        <w:rPr>
          <w:rFonts w:asciiTheme="majorBidi" w:hAnsiTheme="majorBidi" w:cstheme="majorBidi"/>
        </w:rPr>
        <w:t>encourage</w:t>
      </w:r>
      <w:r w:rsidR="00F2164F" w:rsidRPr="002A7627">
        <w:rPr>
          <w:rFonts w:asciiTheme="majorBidi" w:hAnsiTheme="majorBidi" w:cstheme="majorBidi"/>
        </w:rPr>
        <w:t xml:space="preserve"> </w:t>
      </w:r>
      <w:r w:rsidRPr="002A7627">
        <w:rPr>
          <w:rFonts w:asciiTheme="majorBidi" w:hAnsiTheme="majorBidi" w:cstheme="majorBidi"/>
        </w:rPr>
        <w:t xml:space="preserve">knowledge-selecting and organizational learning </w:t>
      </w:r>
      <w:r w:rsidR="00F2164F">
        <w:rPr>
          <w:rFonts w:asciiTheme="majorBidi" w:hAnsiTheme="majorBidi" w:cstheme="majorBidi"/>
        </w:rPr>
        <w:t>in knowledge</w:t>
      </w:r>
      <w:r w:rsidR="00173E56">
        <w:rPr>
          <w:rFonts w:asciiTheme="majorBidi" w:hAnsiTheme="majorBidi" w:cstheme="majorBidi"/>
        </w:rPr>
        <w:t>-</w:t>
      </w:r>
      <w:r w:rsidR="00F2164F">
        <w:rPr>
          <w:rFonts w:asciiTheme="majorBidi" w:hAnsiTheme="majorBidi" w:cstheme="majorBidi"/>
        </w:rPr>
        <w:t>intensive organizations</w:t>
      </w:r>
      <w:r w:rsidRPr="002A7627">
        <w:rPr>
          <w:rFonts w:asciiTheme="majorBidi" w:hAnsiTheme="majorBidi" w:cstheme="majorBidi"/>
        </w:rPr>
        <w:t>.</w:t>
      </w:r>
    </w:p>
    <w:p w14:paraId="265B569C" w14:textId="0AB36B91" w:rsidR="004B487C" w:rsidRDefault="004B487C" w:rsidP="00BF6BCB">
      <w:pPr>
        <w:pStyle w:val="AAAAAAA"/>
      </w:pPr>
    </w:p>
    <w:p w14:paraId="2032461C" w14:textId="77777777" w:rsidR="001708DA" w:rsidRDefault="001708DA" w:rsidP="00BF6BCB">
      <w:pPr>
        <w:pStyle w:val="AAAAAAA"/>
      </w:pPr>
    </w:p>
    <w:p w14:paraId="15C088DE" w14:textId="1334D371" w:rsidR="00667F7D" w:rsidRDefault="00A32D64" w:rsidP="00667F7D">
      <w:pPr>
        <w:pStyle w:val="Heading1"/>
        <w:rPr>
          <w:color w:val="000000"/>
        </w:rPr>
      </w:pPr>
      <w:bookmarkStart w:id="305" w:name="_Toc22331726"/>
      <w:r>
        <w:rPr>
          <w:color w:val="000000"/>
        </w:rPr>
        <w:t xml:space="preserve">7.6. </w:t>
      </w:r>
      <w:r w:rsidR="00667F7D">
        <w:rPr>
          <w:color w:val="000000"/>
        </w:rPr>
        <w:t>Conclusion</w:t>
      </w:r>
      <w:bookmarkEnd w:id="305"/>
    </w:p>
    <w:p w14:paraId="2E26A67E" w14:textId="45B201CF" w:rsidR="00B27CEE" w:rsidRPr="00006F33" w:rsidRDefault="00B27CEE" w:rsidP="001D5F54">
      <w:pPr>
        <w:spacing w:line="480" w:lineRule="auto"/>
        <w:ind w:right="4" w:firstLine="720"/>
        <w:jc w:val="lowKashida"/>
        <w:rPr>
          <w:rFonts w:asciiTheme="majorBidi" w:hAnsiTheme="majorBidi" w:cstheme="majorBidi"/>
          <w:szCs w:val="24"/>
        </w:rPr>
      </w:pPr>
      <w:r>
        <w:rPr>
          <w:rFonts w:asciiTheme="majorBidi" w:hAnsiTheme="majorBidi" w:cstheme="majorBidi"/>
          <w:szCs w:val="24"/>
        </w:rPr>
        <w:t>In conclusion, this</w:t>
      </w:r>
      <w:r w:rsidRPr="00006F33">
        <w:rPr>
          <w:rFonts w:asciiTheme="majorBidi" w:hAnsiTheme="majorBidi" w:cstheme="majorBidi"/>
          <w:szCs w:val="24"/>
        </w:rPr>
        <w:t xml:space="preserve"> </w:t>
      </w:r>
      <w:r>
        <w:rPr>
          <w:rFonts w:asciiTheme="majorBidi" w:hAnsiTheme="majorBidi" w:cstheme="majorBidi"/>
          <w:szCs w:val="24"/>
        </w:rPr>
        <w:t xml:space="preserve">chapter has set out the </w:t>
      </w:r>
      <w:r w:rsidRPr="00006F33">
        <w:rPr>
          <w:rFonts w:asciiTheme="majorBidi" w:hAnsiTheme="majorBidi" w:cstheme="majorBidi"/>
          <w:szCs w:val="24"/>
        </w:rPr>
        <w:t>significant theoretical</w:t>
      </w:r>
      <w:r>
        <w:rPr>
          <w:rFonts w:asciiTheme="majorBidi" w:hAnsiTheme="majorBidi" w:cstheme="majorBidi"/>
          <w:szCs w:val="24"/>
        </w:rPr>
        <w:t>,</w:t>
      </w:r>
      <w:r w:rsidRPr="00006F33">
        <w:rPr>
          <w:rFonts w:asciiTheme="majorBidi" w:hAnsiTheme="majorBidi" w:cstheme="majorBidi"/>
          <w:szCs w:val="24"/>
        </w:rPr>
        <w:t xml:space="preserve"> managerial </w:t>
      </w:r>
      <w:r>
        <w:rPr>
          <w:rFonts w:asciiTheme="majorBidi" w:hAnsiTheme="majorBidi" w:cstheme="majorBidi"/>
          <w:szCs w:val="24"/>
        </w:rPr>
        <w:t xml:space="preserve">and economic </w:t>
      </w:r>
      <w:r w:rsidRPr="00006F33">
        <w:rPr>
          <w:rFonts w:asciiTheme="majorBidi" w:hAnsiTheme="majorBidi" w:cstheme="majorBidi"/>
          <w:szCs w:val="24"/>
        </w:rPr>
        <w:t>contributions</w:t>
      </w:r>
      <w:r>
        <w:rPr>
          <w:rFonts w:asciiTheme="majorBidi" w:hAnsiTheme="majorBidi" w:cstheme="majorBidi"/>
          <w:szCs w:val="24"/>
        </w:rPr>
        <w:t xml:space="preserve"> of this study</w:t>
      </w:r>
      <w:r w:rsidRPr="00006F33">
        <w:rPr>
          <w:rFonts w:asciiTheme="majorBidi" w:hAnsiTheme="majorBidi" w:cstheme="majorBidi"/>
          <w:szCs w:val="24"/>
        </w:rPr>
        <w:t xml:space="preserve">. </w:t>
      </w:r>
      <w:r>
        <w:rPr>
          <w:rFonts w:asciiTheme="majorBidi" w:hAnsiTheme="majorBidi" w:cstheme="majorBidi"/>
          <w:szCs w:val="24"/>
        </w:rPr>
        <w:t xml:space="preserve">The study </w:t>
      </w:r>
      <w:r w:rsidR="004750B9">
        <w:rPr>
          <w:rFonts w:asciiTheme="majorBidi" w:hAnsiTheme="majorBidi" w:cstheme="majorBidi"/>
          <w:szCs w:val="24"/>
        </w:rPr>
        <w:t>investigate</w:t>
      </w:r>
      <w:r w:rsidR="0071588D">
        <w:rPr>
          <w:rFonts w:asciiTheme="majorBidi" w:hAnsiTheme="majorBidi" w:cstheme="majorBidi"/>
          <w:szCs w:val="24"/>
        </w:rPr>
        <w:t>d</w:t>
      </w:r>
      <w:r w:rsidR="004750B9" w:rsidRPr="00006F33">
        <w:rPr>
          <w:rFonts w:asciiTheme="majorBidi" w:hAnsiTheme="majorBidi" w:cstheme="majorBidi"/>
          <w:szCs w:val="24"/>
        </w:rPr>
        <w:t xml:space="preserve"> </w:t>
      </w:r>
      <w:r w:rsidRPr="00006F33">
        <w:rPr>
          <w:rFonts w:asciiTheme="majorBidi" w:hAnsiTheme="majorBidi" w:cstheme="majorBidi"/>
          <w:szCs w:val="24"/>
        </w:rPr>
        <w:t>the effect of knowledge management capabilities</w:t>
      </w:r>
      <w:r>
        <w:rPr>
          <w:rFonts w:asciiTheme="majorBidi" w:hAnsiTheme="majorBidi" w:cstheme="majorBidi"/>
          <w:szCs w:val="24"/>
        </w:rPr>
        <w:t xml:space="preserve"> and</w:t>
      </w:r>
      <w:r w:rsidRPr="00006F33">
        <w:rPr>
          <w:rFonts w:asciiTheme="majorBidi" w:hAnsiTheme="majorBidi" w:cstheme="majorBidi"/>
          <w:szCs w:val="24"/>
        </w:rPr>
        <w:t xml:space="preserve"> human resources practices for knowledge sharing on knowledge management benefits.</w:t>
      </w:r>
      <w:r>
        <w:rPr>
          <w:rFonts w:asciiTheme="majorBidi" w:hAnsiTheme="majorBidi" w:cstheme="majorBidi"/>
          <w:szCs w:val="24"/>
        </w:rPr>
        <w:t xml:space="preserve"> It</w:t>
      </w:r>
      <w:r w:rsidRPr="00006F33">
        <w:rPr>
          <w:rFonts w:asciiTheme="majorBidi" w:hAnsiTheme="majorBidi" w:cstheme="majorBidi"/>
          <w:szCs w:val="24"/>
        </w:rPr>
        <w:t xml:space="preserve"> assessed additional relationships, such as the mediation </w:t>
      </w:r>
      <w:r w:rsidR="0034740D">
        <w:rPr>
          <w:rFonts w:asciiTheme="majorBidi" w:hAnsiTheme="majorBidi" w:cstheme="majorBidi"/>
          <w:szCs w:val="24"/>
        </w:rPr>
        <w:t>effect</w:t>
      </w:r>
      <w:r w:rsidR="0034740D" w:rsidRPr="00006F33">
        <w:rPr>
          <w:rFonts w:asciiTheme="majorBidi" w:hAnsiTheme="majorBidi" w:cstheme="majorBidi"/>
          <w:szCs w:val="24"/>
        </w:rPr>
        <w:t xml:space="preserve"> </w:t>
      </w:r>
      <w:r w:rsidRPr="00006F33">
        <w:rPr>
          <w:rFonts w:asciiTheme="majorBidi" w:hAnsiTheme="majorBidi" w:cstheme="majorBidi"/>
          <w:szCs w:val="24"/>
        </w:rPr>
        <w:t>of organizational learning</w:t>
      </w:r>
      <w:r>
        <w:rPr>
          <w:rFonts w:asciiTheme="majorBidi" w:hAnsiTheme="majorBidi" w:cstheme="majorBidi"/>
          <w:szCs w:val="24"/>
        </w:rPr>
        <w:t>.</w:t>
      </w:r>
      <w:r w:rsidRPr="00006F33">
        <w:rPr>
          <w:rFonts w:asciiTheme="majorBidi" w:hAnsiTheme="majorBidi" w:cstheme="majorBidi"/>
          <w:szCs w:val="24"/>
        </w:rPr>
        <w:t xml:space="preserve"> </w:t>
      </w:r>
      <w:r>
        <w:rPr>
          <w:rFonts w:asciiTheme="majorBidi" w:hAnsiTheme="majorBidi" w:cstheme="majorBidi"/>
          <w:szCs w:val="24"/>
        </w:rPr>
        <w:t>The study</w:t>
      </w:r>
      <w:r w:rsidRPr="00006F33">
        <w:rPr>
          <w:rFonts w:asciiTheme="majorBidi" w:hAnsiTheme="majorBidi" w:cstheme="majorBidi"/>
          <w:szCs w:val="24"/>
        </w:rPr>
        <w:t xml:space="preserve"> </w:t>
      </w:r>
      <w:r w:rsidR="0071588D">
        <w:rPr>
          <w:rFonts w:asciiTheme="majorBidi" w:hAnsiTheme="majorBidi" w:cstheme="majorBidi"/>
          <w:szCs w:val="24"/>
        </w:rPr>
        <w:t>therefore</w:t>
      </w:r>
      <w:r w:rsidR="00FF699A">
        <w:rPr>
          <w:rFonts w:asciiTheme="majorBidi" w:hAnsiTheme="majorBidi" w:cstheme="majorBidi"/>
          <w:szCs w:val="24"/>
        </w:rPr>
        <w:t xml:space="preserve"> add</w:t>
      </w:r>
      <w:r w:rsidR="0071588D">
        <w:rPr>
          <w:rFonts w:asciiTheme="majorBidi" w:hAnsiTheme="majorBidi" w:cstheme="majorBidi"/>
          <w:szCs w:val="24"/>
        </w:rPr>
        <w:t>s</w:t>
      </w:r>
      <w:r w:rsidR="00FF699A">
        <w:rPr>
          <w:rFonts w:asciiTheme="majorBidi" w:hAnsiTheme="majorBidi" w:cstheme="majorBidi"/>
          <w:szCs w:val="24"/>
        </w:rPr>
        <w:t xml:space="preserve"> to </w:t>
      </w:r>
      <w:r w:rsidR="0071588D">
        <w:rPr>
          <w:rFonts w:asciiTheme="majorBidi" w:hAnsiTheme="majorBidi" w:cstheme="majorBidi"/>
          <w:szCs w:val="24"/>
        </w:rPr>
        <w:t xml:space="preserve">the </w:t>
      </w:r>
      <w:r w:rsidR="00FF699A">
        <w:rPr>
          <w:rFonts w:asciiTheme="majorBidi" w:hAnsiTheme="majorBidi" w:cstheme="majorBidi"/>
          <w:szCs w:val="24"/>
        </w:rPr>
        <w:t>existing</w:t>
      </w:r>
      <w:r w:rsidRPr="00006F33">
        <w:rPr>
          <w:rFonts w:asciiTheme="majorBidi" w:hAnsiTheme="majorBidi" w:cstheme="majorBidi"/>
          <w:szCs w:val="24"/>
        </w:rPr>
        <w:t xml:space="preserve"> </w:t>
      </w:r>
      <w:r w:rsidR="003241E7">
        <w:rPr>
          <w:rFonts w:asciiTheme="majorBidi" w:hAnsiTheme="majorBidi" w:cstheme="majorBidi"/>
          <w:szCs w:val="24"/>
        </w:rPr>
        <w:t xml:space="preserve">body of </w:t>
      </w:r>
      <w:r w:rsidR="0071588D">
        <w:rPr>
          <w:rFonts w:asciiTheme="majorBidi" w:hAnsiTheme="majorBidi" w:cstheme="majorBidi"/>
          <w:szCs w:val="24"/>
        </w:rPr>
        <w:t>information</w:t>
      </w:r>
      <w:r w:rsidR="0071588D" w:rsidRPr="00006F33">
        <w:rPr>
          <w:rFonts w:asciiTheme="majorBidi" w:hAnsiTheme="majorBidi" w:cstheme="majorBidi"/>
          <w:szCs w:val="24"/>
        </w:rPr>
        <w:t xml:space="preserve"> </w:t>
      </w:r>
      <w:r w:rsidR="0071588D">
        <w:rPr>
          <w:rFonts w:asciiTheme="majorBidi" w:hAnsiTheme="majorBidi" w:cstheme="majorBidi"/>
          <w:szCs w:val="24"/>
        </w:rPr>
        <w:t xml:space="preserve">on knowledge </w:t>
      </w:r>
      <w:r w:rsidRPr="00006F33">
        <w:rPr>
          <w:rFonts w:asciiTheme="majorBidi" w:hAnsiTheme="majorBidi" w:cstheme="majorBidi"/>
          <w:szCs w:val="24"/>
        </w:rPr>
        <w:t xml:space="preserve">management </w:t>
      </w:r>
      <w:r>
        <w:rPr>
          <w:rFonts w:asciiTheme="majorBidi" w:hAnsiTheme="majorBidi" w:cstheme="majorBidi"/>
          <w:szCs w:val="24"/>
        </w:rPr>
        <w:t>by</w:t>
      </w:r>
      <w:r w:rsidRPr="00006F33">
        <w:rPr>
          <w:rFonts w:asciiTheme="majorBidi" w:hAnsiTheme="majorBidi" w:cstheme="majorBidi"/>
          <w:szCs w:val="24"/>
        </w:rPr>
        <w:t xml:space="preserve"> </w:t>
      </w:r>
      <w:r>
        <w:rPr>
          <w:rFonts w:asciiTheme="majorBidi" w:hAnsiTheme="majorBidi" w:cstheme="majorBidi"/>
          <w:szCs w:val="24"/>
        </w:rPr>
        <w:t xml:space="preserve">building on previous theories such as the resource-based view to </w:t>
      </w:r>
      <w:r w:rsidRPr="00006F33">
        <w:rPr>
          <w:rFonts w:asciiTheme="majorBidi" w:hAnsiTheme="majorBidi" w:cstheme="majorBidi"/>
          <w:szCs w:val="24"/>
        </w:rPr>
        <w:t>propos</w:t>
      </w:r>
      <w:r>
        <w:rPr>
          <w:rFonts w:asciiTheme="majorBidi" w:hAnsiTheme="majorBidi" w:cstheme="majorBidi"/>
          <w:szCs w:val="24"/>
        </w:rPr>
        <w:t>e</w:t>
      </w:r>
      <w:r w:rsidRPr="00006F33">
        <w:rPr>
          <w:rFonts w:asciiTheme="majorBidi" w:hAnsiTheme="majorBidi" w:cstheme="majorBidi"/>
          <w:szCs w:val="24"/>
        </w:rPr>
        <w:t xml:space="preserve"> a new model </w:t>
      </w:r>
      <w:r>
        <w:rPr>
          <w:rFonts w:asciiTheme="majorBidi" w:hAnsiTheme="majorBidi" w:cstheme="majorBidi"/>
          <w:szCs w:val="24"/>
        </w:rPr>
        <w:t xml:space="preserve">of knowledge management </w:t>
      </w:r>
      <w:r w:rsidRPr="00006F33">
        <w:rPr>
          <w:rFonts w:asciiTheme="majorBidi" w:hAnsiTheme="majorBidi" w:cstheme="majorBidi"/>
          <w:szCs w:val="24"/>
        </w:rPr>
        <w:t xml:space="preserve">that </w:t>
      </w:r>
      <w:r>
        <w:rPr>
          <w:rFonts w:asciiTheme="majorBidi" w:hAnsiTheme="majorBidi" w:cstheme="majorBidi"/>
          <w:szCs w:val="24"/>
        </w:rPr>
        <w:t>could</w:t>
      </w:r>
      <w:r w:rsidRPr="00006F33">
        <w:rPr>
          <w:rFonts w:asciiTheme="majorBidi" w:hAnsiTheme="majorBidi" w:cstheme="majorBidi"/>
          <w:szCs w:val="24"/>
        </w:rPr>
        <w:t xml:space="preserve"> be </w:t>
      </w:r>
      <w:r>
        <w:rPr>
          <w:rFonts w:asciiTheme="majorBidi" w:hAnsiTheme="majorBidi" w:cstheme="majorBidi"/>
          <w:szCs w:val="24"/>
        </w:rPr>
        <w:t>applicable</w:t>
      </w:r>
      <w:r w:rsidRPr="00006F33">
        <w:rPr>
          <w:rFonts w:asciiTheme="majorBidi" w:hAnsiTheme="majorBidi" w:cstheme="majorBidi"/>
          <w:szCs w:val="24"/>
        </w:rPr>
        <w:t xml:space="preserve"> in other Gulf Cooperation Council</w:t>
      </w:r>
      <w:r w:rsidRPr="00006F33" w:rsidDel="00BF0813">
        <w:rPr>
          <w:rFonts w:asciiTheme="majorBidi" w:hAnsiTheme="majorBidi" w:cstheme="majorBidi"/>
          <w:szCs w:val="24"/>
        </w:rPr>
        <w:t xml:space="preserve"> </w:t>
      </w:r>
      <w:r w:rsidRPr="00006F33">
        <w:rPr>
          <w:rFonts w:asciiTheme="majorBidi" w:hAnsiTheme="majorBidi" w:cstheme="majorBidi"/>
          <w:szCs w:val="24"/>
        </w:rPr>
        <w:t xml:space="preserve">countries. </w:t>
      </w:r>
      <w:r>
        <w:rPr>
          <w:rFonts w:asciiTheme="majorBidi" w:hAnsiTheme="majorBidi" w:cstheme="majorBidi"/>
          <w:szCs w:val="24"/>
        </w:rPr>
        <w:t>T</w:t>
      </w:r>
      <w:r w:rsidRPr="00006F33">
        <w:rPr>
          <w:rFonts w:asciiTheme="majorBidi" w:hAnsiTheme="majorBidi" w:cstheme="majorBidi"/>
          <w:szCs w:val="24"/>
        </w:rPr>
        <w:t xml:space="preserve">his </w:t>
      </w:r>
      <w:r>
        <w:rPr>
          <w:rFonts w:asciiTheme="majorBidi" w:hAnsiTheme="majorBidi" w:cstheme="majorBidi"/>
          <w:szCs w:val="24"/>
        </w:rPr>
        <w:t>research</w:t>
      </w:r>
      <w:r w:rsidRPr="00006F33">
        <w:rPr>
          <w:rFonts w:asciiTheme="majorBidi" w:hAnsiTheme="majorBidi" w:cstheme="majorBidi"/>
          <w:szCs w:val="24"/>
        </w:rPr>
        <w:t xml:space="preserve"> provides </w:t>
      </w:r>
      <w:r>
        <w:rPr>
          <w:rFonts w:asciiTheme="majorBidi" w:hAnsiTheme="majorBidi" w:cstheme="majorBidi"/>
          <w:szCs w:val="24"/>
        </w:rPr>
        <w:t>a foundation</w:t>
      </w:r>
      <w:r w:rsidRPr="00006F33">
        <w:rPr>
          <w:rFonts w:asciiTheme="majorBidi" w:hAnsiTheme="majorBidi" w:cstheme="majorBidi"/>
          <w:szCs w:val="24"/>
        </w:rPr>
        <w:t xml:space="preserve"> for </w:t>
      </w:r>
      <w:r>
        <w:rPr>
          <w:rFonts w:asciiTheme="majorBidi" w:hAnsiTheme="majorBidi" w:cstheme="majorBidi"/>
          <w:szCs w:val="24"/>
        </w:rPr>
        <w:t xml:space="preserve">other </w:t>
      </w:r>
      <w:r w:rsidRPr="00006F33">
        <w:rPr>
          <w:rFonts w:asciiTheme="majorBidi" w:hAnsiTheme="majorBidi" w:cstheme="majorBidi"/>
          <w:szCs w:val="24"/>
        </w:rPr>
        <w:t>academics study</w:t>
      </w:r>
      <w:r>
        <w:rPr>
          <w:rFonts w:asciiTheme="majorBidi" w:hAnsiTheme="majorBidi" w:cstheme="majorBidi"/>
          <w:szCs w:val="24"/>
        </w:rPr>
        <w:t>ing</w:t>
      </w:r>
      <w:r w:rsidRPr="00006F33">
        <w:rPr>
          <w:rFonts w:asciiTheme="majorBidi" w:hAnsiTheme="majorBidi" w:cstheme="majorBidi"/>
          <w:szCs w:val="24"/>
        </w:rPr>
        <w:t xml:space="preserve"> knowledge management in the UAE and the Middle East</w:t>
      </w:r>
      <w:r>
        <w:rPr>
          <w:rFonts w:asciiTheme="majorBidi" w:hAnsiTheme="majorBidi" w:cstheme="majorBidi"/>
          <w:szCs w:val="24"/>
        </w:rPr>
        <w:t>. There is little</w:t>
      </w:r>
      <w:r w:rsidRPr="00006F33">
        <w:rPr>
          <w:rFonts w:asciiTheme="majorBidi" w:hAnsiTheme="majorBidi" w:cstheme="majorBidi"/>
          <w:szCs w:val="24"/>
        </w:rPr>
        <w:t xml:space="preserve"> resea</w:t>
      </w:r>
      <w:r>
        <w:rPr>
          <w:rFonts w:asciiTheme="majorBidi" w:hAnsiTheme="majorBidi" w:cstheme="majorBidi"/>
          <w:szCs w:val="24"/>
        </w:rPr>
        <w:t xml:space="preserve">rch in this field </w:t>
      </w:r>
      <w:r w:rsidRPr="00006F33">
        <w:rPr>
          <w:rFonts w:asciiTheme="majorBidi" w:hAnsiTheme="majorBidi" w:cstheme="majorBidi"/>
          <w:szCs w:val="24"/>
        </w:rPr>
        <w:t xml:space="preserve">and most of the studies </w:t>
      </w:r>
      <w:r>
        <w:rPr>
          <w:rFonts w:asciiTheme="majorBidi" w:hAnsiTheme="majorBidi" w:cstheme="majorBidi"/>
          <w:szCs w:val="24"/>
        </w:rPr>
        <w:t>on</w:t>
      </w:r>
      <w:r w:rsidRPr="00006F33">
        <w:rPr>
          <w:rFonts w:asciiTheme="majorBidi" w:hAnsiTheme="majorBidi" w:cstheme="majorBidi"/>
          <w:szCs w:val="24"/>
        </w:rPr>
        <w:t xml:space="preserve"> knowledge management benefits </w:t>
      </w:r>
      <w:r>
        <w:rPr>
          <w:rFonts w:asciiTheme="majorBidi" w:hAnsiTheme="majorBidi" w:cstheme="majorBidi"/>
          <w:szCs w:val="24"/>
        </w:rPr>
        <w:t>have been</w:t>
      </w:r>
      <w:r w:rsidRPr="00006F33">
        <w:rPr>
          <w:rFonts w:asciiTheme="majorBidi" w:hAnsiTheme="majorBidi" w:cstheme="majorBidi"/>
          <w:szCs w:val="24"/>
        </w:rPr>
        <w:t xml:space="preserve"> conceptual. The study</w:t>
      </w:r>
      <w:r>
        <w:rPr>
          <w:rFonts w:asciiTheme="majorBidi" w:hAnsiTheme="majorBidi" w:cstheme="majorBidi"/>
          <w:szCs w:val="24"/>
        </w:rPr>
        <w:t xml:space="preserve"> will therefore</w:t>
      </w:r>
      <w:r w:rsidRPr="00006F33">
        <w:rPr>
          <w:rFonts w:asciiTheme="majorBidi" w:hAnsiTheme="majorBidi" w:cstheme="majorBidi"/>
          <w:szCs w:val="24"/>
        </w:rPr>
        <w:t xml:space="preserve"> help managers to create </w:t>
      </w:r>
      <w:r>
        <w:rPr>
          <w:rFonts w:asciiTheme="majorBidi" w:hAnsiTheme="majorBidi" w:cstheme="majorBidi"/>
          <w:szCs w:val="24"/>
        </w:rPr>
        <w:t>effective</w:t>
      </w:r>
      <w:r w:rsidRPr="00006F33">
        <w:rPr>
          <w:rFonts w:asciiTheme="majorBidi" w:hAnsiTheme="majorBidi" w:cstheme="majorBidi"/>
          <w:szCs w:val="24"/>
        </w:rPr>
        <w:t xml:space="preserve"> knowledge management strateg</w:t>
      </w:r>
      <w:r>
        <w:rPr>
          <w:rFonts w:asciiTheme="majorBidi" w:hAnsiTheme="majorBidi" w:cstheme="majorBidi"/>
          <w:szCs w:val="24"/>
        </w:rPr>
        <w:t>ies</w:t>
      </w:r>
      <w:r w:rsidRPr="00006F33">
        <w:rPr>
          <w:rFonts w:asciiTheme="majorBidi" w:hAnsiTheme="majorBidi" w:cstheme="majorBidi"/>
          <w:szCs w:val="24"/>
        </w:rPr>
        <w:t>, particularly in policing organization</w:t>
      </w:r>
      <w:r>
        <w:rPr>
          <w:rFonts w:asciiTheme="majorBidi" w:hAnsiTheme="majorBidi" w:cstheme="majorBidi"/>
          <w:szCs w:val="24"/>
        </w:rPr>
        <w:t>s</w:t>
      </w:r>
      <w:r w:rsidRPr="00006F33">
        <w:rPr>
          <w:rFonts w:asciiTheme="majorBidi" w:hAnsiTheme="majorBidi" w:cstheme="majorBidi"/>
          <w:szCs w:val="24"/>
        </w:rPr>
        <w:t xml:space="preserve">. </w:t>
      </w:r>
      <w:r>
        <w:rPr>
          <w:rFonts w:asciiTheme="majorBidi" w:eastAsia="Times New Roman" w:hAnsiTheme="majorBidi" w:cstheme="majorBidi"/>
          <w:szCs w:val="24"/>
        </w:rPr>
        <w:t>It will also</w:t>
      </w:r>
      <w:r w:rsidRPr="00006F33">
        <w:rPr>
          <w:rFonts w:asciiTheme="majorBidi" w:eastAsia="Times New Roman" w:hAnsiTheme="majorBidi" w:cstheme="majorBidi"/>
          <w:szCs w:val="24"/>
        </w:rPr>
        <w:t xml:space="preserve"> help police and </w:t>
      </w:r>
      <w:r>
        <w:rPr>
          <w:rFonts w:asciiTheme="majorBidi" w:eastAsia="Times New Roman" w:hAnsiTheme="majorBidi" w:cstheme="majorBidi"/>
          <w:szCs w:val="24"/>
        </w:rPr>
        <w:t>similar</w:t>
      </w:r>
      <w:r w:rsidRPr="00006F33">
        <w:rPr>
          <w:rFonts w:asciiTheme="majorBidi" w:eastAsia="Times New Roman" w:hAnsiTheme="majorBidi" w:cstheme="majorBidi"/>
          <w:szCs w:val="24"/>
        </w:rPr>
        <w:t xml:space="preserve"> organizations to strengthen their </w:t>
      </w:r>
      <w:r>
        <w:rPr>
          <w:rFonts w:asciiTheme="majorBidi" w:eastAsia="Times New Roman" w:hAnsiTheme="majorBidi" w:cstheme="majorBidi"/>
          <w:szCs w:val="24"/>
        </w:rPr>
        <w:t>knowledge management</w:t>
      </w:r>
      <w:r w:rsidRPr="00006F33">
        <w:rPr>
          <w:rFonts w:asciiTheme="majorBidi" w:eastAsia="Times New Roman" w:hAnsiTheme="majorBidi" w:cstheme="majorBidi"/>
          <w:szCs w:val="24"/>
        </w:rPr>
        <w:t xml:space="preserve"> strateg</w:t>
      </w:r>
      <w:r>
        <w:rPr>
          <w:rFonts w:asciiTheme="majorBidi" w:eastAsia="Times New Roman" w:hAnsiTheme="majorBidi" w:cstheme="majorBidi"/>
          <w:szCs w:val="24"/>
        </w:rPr>
        <w:t>ies</w:t>
      </w:r>
      <w:r w:rsidRPr="00006F33">
        <w:rPr>
          <w:rFonts w:asciiTheme="majorBidi" w:eastAsia="Times New Roman" w:hAnsiTheme="majorBidi" w:cstheme="majorBidi"/>
          <w:szCs w:val="24"/>
        </w:rPr>
        <w:t>, which will support the achievement of the UAE</w:t>
      </w:r>
      <w:r w:rsidR="00C06AA1">
        <w:rPr>
          <w:rFonts w:asciiTheme="majorBidi" w:eastAsia="Times New Roman" w:hAnsiTheme="majorBidi" w:cstheme="majorBidi"/>
          <w:szCs w:val="24"/>
        </w:rPr>
        <w:t>’s</w:t>
      </w:r>
      <w:r w:rsidRPr="00006F33">
        <w:rPr>
          <w:rFonts w:asciiTheme="majorBidi" w:eastAsia="Times New Roman" w:hAnsiTheme="majorBidi" w:cstheme="majorBidi"/>
          <w:szCs w:val="24"/>
        </w:rPr>
        <w:t xml:space="preserve"> </w:t>
      </w:r>
      <w:r w:rsidR="00C06AA1">
        <w:rPr>
          <w:rFonts w:asciiTheme="majorBidi" w:eastAsia="Times New Roman" w:hAnsiTheme="majorBidi" w:cstheme="majorBidi"/>
          <w:szCs w:val="24"/>
        </w:rPr>
        <w:t>V</w:t>
      </w:r>
      <w:r w:rsidRPr="00006F33">
        <w:rPr>
          <w:rFonts w:asciiTheme="majorBidi" w:eastAsia="Times New Roman" w:hAnsiTheme="majorBidi" w:cstheme="majorBidi"/>
          <w:szCs w:val="24"/>
        </w:rPr>
        <w:t>ision 2030 of building a knowledge-based economy.</w:t>
      </w:r>
    </w:p>
    <w:p w14:paraId="1BCDFAA1" w14:textId="77777777" w:rsidR="00B27CEE" w:rsidRPr="00006F33" w:rsidRDefault="00B27CEE" w:rsidP="001D5F54">
      <w:pPr>
        <w:spacing w:line="480" w:lineRule="auto"/>
        <w:ind w:firstLine="720"/>
        <w:jc w:val="lowKashida"/>
        <w:rPr>
          <w:rFonts w:asciiTheme="majorBidi" w:hAnsiTheme="majorBidi" w:cstheme="majorBidi"/>
          <w:szCs w:val="24"/>
        </w:rPr>
      </w:pPr>
      <w:r>
        <w:rPr>
          <w:rFonts w:asciiTheme="majorBidi" w:hAnsiTheme="majorBidi" w:cstheme="majorBidi"/>
          <w:szCs w:val="24"/>
        </w:rPr>
        <w:t>This chapter</w:t>
      </w:r>
      <w:r w:rsidRPr="00006F33">
        <w:rPr>
          <w:rFonts w:asciiTheme="majorBidi" w:hAnsiTheme="majorBidi" w:cstheme="majorBidi"/>
          <w:szCs w:val="24"/>
        </w:rPr>
        <w:t xml:space="preserve"> </w:t>
      </w:r>
      <w:r>
        <w:rPr>
          <w:rFonts w:asciiTheme="majorBidi" w:hAnsiTheme="majorBidi" w:cstheme="majorBidi"/>
          <w:szCs w:val="24"/>
        </w:rPr>
        <w:t>discussed</w:t>
      </w:r>
      <w:r w:rsidRPr="00006F33">
        <w:rPr>
          <w:rFonts w:asciiTheme="majorBidi" w:hAnsiTheme="majorBidi" w:cstheme="majorBidi"/>
          <w:szCs w:val="24"/>
        </w:rPr>
        <w:t xml:space="preserve"> </w:t>
      </w:r>
      <w:r>
        <w:rPr>
          <w:rFonts w:asciiTheme="majorBidi" w:hAnsiTheme="majorBidi" w:cstheme="majorBidi"/>
          <w:szCs w:val="24"/>
        </w:rPr>
        <w:t>several</w:t>
      </w:r>
      <w:r w:rsidRPr="00006F33">
        <w:rPr>
          <w:rFonts w:asciiTheme="majorBidi" w:hAnsiTheme="majorBidi" w:cstheme="majorBidi"/>
          <w:szCs w:val="24"/>
        </w:rPr>
        <w:t xml:space="preserve"> limitations</w:t>
      </w:r>
      <w:r>
        <w:rPr>
          <w:rFonts w:asciiTheme="majorBidi" w:hAnsiTheme="majorBidi" w:cstheme="majorBidi"/>
          <w:szCs w:val="24"/>
        </w:rPr>
        <w:t>,</w:t>
      </w:r>
      <w:r w:rsidRPr="00006F33">
        <w:rPr>
          <w:rFonts w:asciiTheme="majorBidi" w:hAnsiTheme="majorBidi" w:cstheme="majorBidi"/>
          <w:szCs w:val="24"/>
        </w:rPr>
        <w:t xml:space="preserve"> and </w:t>
      </w:r>
      <w:r>
        <w:rPr>
          <w:rFonts w:asciiTheme="majorBidi" w:hAnsiTheme="majorBidi" w:cstheme="majorBidi"/>
          <w:szCs w:val="24"/>
        </w:rPr>
        <w:t>made recommendations</w:t>
      </w:r>
      <w:r w:rsidRPr="00006F33">
        <w:rPr>
          <w:rFonts w:asciiTheme="majorBidi" w:hAnsiTheme="majorBidi" w:cstheme="majorBidi"/>
          <w:szCs w:val="24"/>
        </w:rPr>
        <w:t xml:space="preserve"> for future research. </w:t>
      </w:r>
      <w:r>
        <w:rPr>
          <w:rFonts w:asciiTheme="majorBidi" w:hAnsiTheme="majorBidi" w:cstheme="majorBidi"/>
          <w:szCs w:val="24"/>
        </w:rPr>
        <w:t xml:space="preserve">In particular, future researchers may build on </w:t>
      </w:r>
      <w:r w:rsidRPr="00006F33">
        <w:rPr>
          <w:rFonts w:asciiTheme="majorBidi" w:hAnsiTheme="majorBidi" w:cstheme="majorBidi"/>
          <w:szCs w:val="24"/>
        </w:rPr>
        <w:t xml:space="preserve">the </w:t>
      </w:r>
      <w:r>
        <w:rPr>
          <w:rFonts w:asciiTheme="majorBidi" w:hAnsiTheme="majorBidi" w:cstheme="majorBidi"/>
          <w:szCs w:val="24"/>
        </w:rPr>
        <w:t xml:space="preserve">study </w:t>
      </w:r>
      <w:r w:rsidRPr="00006F33">
        <w:rPr>
          <w:rFonts w:asciiTheme="majorBidi" w:hAnsiTheme="majorBidi" w:cstheme="majorBidi"/>
          <w:szCs w:val="24"/>
        </w:rPr>
        <w:t>model by adding more enablers</w:t>
      </w:r>
      <w:r>
        <w:rPr>
          <w:rFonts w:asciiTheme="majorBidi" w:hAnsiTheme="majorBidi" w:cstheme="majorBidi"/>
          <w:szCs w:val="24"/>
        </w:rPr>
        <w:t xml:space="preserve">, and </w:t>
      </w:r>
      <w:r w:rsidRPr="00006F33">
        <w:rPr>
          <w:rFonts w:asciiTheme="majorBidi" w:hAnsiTheme="majorBidi" w:cstheme="majorBidi"/>
          <w:szCs w:val="24"/>
        </w:rPr>
        <w:t xml:space="preserve">develop other frameworks that include knowledge management benefits or organizational learning as dependent variables. </w:t>
      </w:r>
      <w:r>
        <w:rPr>
          <w:rFonts w:asciiTheme="majorBidi" w:hAnsiTheme="majorBidi" w:cstheme="majorBidi"/>
          <w:szCs w:val="24"/>
        </w:rPr>
        <w:t>They may also explore other</w:t>
      </w:r>
      <w:r w:rsidRPr="00006F33">
        <w:rPr>
          <w:rFonts w:asciiTheme="majorBidi" w:hAnsiTheme="majorBidi" w:cstheme="majorBidi"/>
          <w:szCs w:val="24"/>
        </w:rPr>
        <w:t xml:space="preserve"> knowledge management benefits </w:t>
      </w:r>
      <w:r>
        <w:rPr>
          <w:rFonts w:asciiTheme="majorBidi" w:hAnsiTheme="majorBidi" w:cstheme="majorBidi"/>
          <w:szCs w:val="24"/>
        </w:rPr>
        <w:t>at</w:t>
      </w:r>
      <w:r w:rsidRPr="00006F33">
        <w:rPr>
          <w:rFonts w:asciiTheme="majorBidi" w:hAnsiTheme="majorBidi" w:cstheme="majorBidi"/>
          <w:szCs w:val="24"/>
        </w:rPr>
        <w:t xml:space="preserve"> individual, team, and organization</w:t>
      </w:r>
      <w:r>
        <w:rPr>
          <w:rFonts w:asciiTheme="majorBidi" w:hAnsiTheme="majorBidi" w:cstheme="majorBidi"/>
          <w:szCs w:val="24"/>
        </w:rPr>
        <w:t>al level</w:t>
      </w:r>
      <w:r w:rsidRPr="00006F33">
        <w:rPr>
          <w:rFonts w:asciiTheme="majorBidi" w:hAnsiTheme="majorBidi" w:cstheme="majorBidi"/>
          <w:szCs w:val="24"/>
        </w:rPr>
        <w:t xml:space="preserve">. </w:t>
      </w:r>
    </w:p>
    <w:p w14:paraId="6D83E7AA" w14:textId="3DAAF7A5" w:rsidR="00B27CEE" w:rsidRDefault="006012BC" w:rsidP="001D5F54">
      <w:pPr>
        <w:spacing w:line="480" w:lineRule="auto"/>
        <w:ind w:firstLine="720"/>
        <w:jc w:val="lowKashida"/>
        <w:rPr>
          <w:rFonts w:asciiTheme="majorBidi" w:hAnsiTheme="majorBidi" w:cstheme="majorBidi"/>
          <w:szCs w:val="24"/>
        </w:rPr>
      </w:pPr>
      <w:r>
        <w:rPr>
          <w:rFonts w:asciiTheme="majorBidi" w:hAnsiTheme="majorBidi" w:cstheme="majorBidi"/>
          <w:szCs w:val="24"/>
        </w:rPr>
        <w:t>The model that was proposed by this study</w:t>
      </w:r>
      <w:r w:rsidR="00B27CEE" w:rsidRPr="00006F33">
        <w:rPr>
          <w:rFonts w:asciiTheme="majorBidi" w:hAnsiTheme="majorBidi" w:cstheme="majorBidi"/>
          <w:szCs w:val="24"/>
        </w:rPr>
        <w:t xml:space="preserve"> is novel</w:t>
      </w:r>
      <w:r>
        <w:rPr>
          <w:rFonts w:asciiTheme="majorBidi" w:hAnsiTheme="majorBidi" w:cstheme="majorBidi"/>
          <w:szCs w:val="24"/>
        </w:rPr>
        <w:t xml:space="preserve"> and is</w:t>
      </w:r>
      <w:r w:rsidR="00B27CEE" w:rsidRPr="00006F33">
        <w:rPr>
          <w:rFonts w:asciiTheme="majorBidi" w:hAnsiTheme="majorBidi" w:cstheme="majorBidi"/>
          <w:szCs w:val="24"/>
        </w:rPr>
        <w:t xml:space="preserve"> likely to </w:t>
      </w:r>
      <w:r w:rsidR="00B27CEE">
        <w:rPr>
          <w:rFonts w:asciiTheme="majorBidi" w:hAnsiTheme="majorBidi" w:cstheme="majorBidi"/>
          <w:szCs w:val="24"/>
        </w:rPr>
        <w:t>have credibility</w:t>
      </w:r>
      <w:r w:rsidR="00B27CEE" w:rsidRPr="00006F33">
        <w:rPr>
          <w:rFonts w:asciiTheme="majorBidi" w:hAnsiTheme="majorBidi" w:cstheme="majorBidi"/>
          <w:szCs w:val="24"/>
        </w:rPr>
        <w:t xml:space="preserve">, especially in knowledge-intensive </w:t>
      </w:r>
      <w:r w:rsidR="00B27CEE">
        <w:rPr>
          <w:rFonts w:asciiTheme="majorBidi" w:hAnsiTheme="majorBidi" w:cstheme="majorBidi"/>
          <w:szCs w:val="24"/>
        </w:rPr>
        <w:t>settings</w:t>
      </w:r>
      <w:r w:rsidR="00B27CEE" w:rsidRPr="00006F33">
        <w:rPr>
          <w:rFonts w:asciiTheme="majorBidi" w:hAnsiTheme="majorBidi" w:cstheme="majorBidi"/>
          <w:szCs w:val="24"/>
        </w:rPr>
        <w:t xml:space="preserve"> such as policing organization</w:t>
      </w:r>
      <w:r w:rsidR="00B27CEE">
        <w:rPr>
          <w:rFonts w:asciiTheme="majorBidi" w:hAnsiTheme="majorBidi" w:cstheme="majorBidi"/>
          <w:szCs w:val="24"/>
        </w:rPr>
        <w:t>s</w:t>
      </w:r>
      <w:r w:rsidR="00B27CEE" w:rsidRPr="00006F33">
        <w:rPr>
          <w:rFonts w:asciiTheme="majorBidi" w:hAnsiTheme="majorBidi" w:cstheme="majorBidi"/>
          <w:szCs w:val="24"/>
        </w:rPr>
        <w:t xml:space="preserve">. Knowledge management benefits have often been neglected by organizations in the UAE, because of </w:t>
      </w:r>
      <w:r w:rsidR="00B27CEE">
        <w:rPr>
          <w:rFonts w:asciiTheme="majorBidi" w:hAnsiTheme="majorBidi" w:cstheme="majorBidi"/>
          <w:szCs w:val="24"/>
        </w:rPr>
        <w:t>the culture,</w:t>
      </w:r>
      <w:r w:rsidR="00B27CEE" w:rsidRPr="00006F33">
        <w:rPr>
          <w:rFonts w:asciiTheme="majorBidi" w:hAnsiTheme="majorBidi" w:cstheme="majorBidi"/>
          <w:szCs w:val="24"/>
        </w:rPr>
        <w:t xml:space="preserve"> </w:t>
      </w:r>
      <w:r w:rsidR="00B27CEE">
        <w:rPr>
          <w:rFonts w:asciiTheme="majorBidi" w:hAnsiTheme="majorBidi" w:cstheme="majorBidi"/>
          <w:szCs w:val="24"/>
        </w:rPr>
        <w:t>and</w:t>
      </w:r>
      <w:r w:rsidR="00B27CEE" w:rsidRPr="00006F33">
        <w:rPr>
          <w:rFonts w:asciiTheme="majorBidi" w:hAnsiTheme="majorBidi" w:cstheme="majorBidi"/>
          <w:szCs w:val="24"/>
        </w:rPr>
        <w:t xml:space="preserve"> the lack of </w:t>
      </w:r>
      <w:r w:rsidR="00B27CEE">
        <w:rPr>
          <w:rFonts w:asciiTheme="majorBidi" w:hAnsiTheme="majorBidi" w:cstheme="majorBidi"/>
          <w:szCs w:val="24"/>
        </w:rPr>
        <w:t xml:space="preserve">locally-relevant </w:t>
      </w:r>
      <w:r w:rsidR="00B27CEE" w:rsidRPr="00006F33">
        <w:rPr>
          <w:rFonts w:asciiTheme="majorBidi" w:hAnsiTheme="majorBidi" w:cstheme="majorBidi"/>
          <w:szCs w:val="24"/>
        </w:rPr>
        <w:t xml:space="preserve">research </w:t>
      </w:r>
      <w:r w:rsidR="00B27CEE">
        <w:rPr>
          <w:rFonts w:asciiTheme="majorBidi" w:hAnsiTheme="majorBidi" w:cstheme="majorBidi"/>
          <w:szCs w:val="24"/>
        </w:rPr>
        <w:t>about this issue</w:t>
      </w:r>
      <w:r w:rsidR="00B27CEE" w:rsidRPr="00006F33">
        <w:rPr>
          <w:rFonts w:asciiTheme="majorBidi" w:hAnsiTheme="majorBidi" w:cstheme="majorBidi"/>
          <w:szCs w:val="24"/>
        </w:rPr>
        <w:t>.</w:t>
      </w:r>
      <w:r>
        <w:rPr>
          <w:rFonts w:asciiTheme="majorBidi" w:hAnsiTheme="majorBidi" w:cstheme="majorBidi"/>
          <w:szCs w:val="24"/>
        </w:rPr>
        <w:t xml:space="preserve"> </w:t>
      </w:r>
      <w:r w:rsidR="0071588D">
        <w:rPr>
          <w:rFonts w:asciiTheme="majorBidi" w:hAnsiTheme="majorBidi" w:cstheme="majorBidi"/>
          <w:szCs w:val="24"/>
        </w:rPr>
        <w:t>T</w:t>
      </w:r>
      <w:r>
        <w:rPr>
          <w:rFonts w:asciiTheme="majorBidi" w:hAnsiTheme="majorBidi" w:cstheme="majorBidi"/>
          <w:szCs w:val="24"/>
        </w:rPr>
        <w:t xml:space="preserve">his model </w:t>
      </w:r>
      <w:r w:rsidR="0071588D">
        <w:rPr>
          <w:rFonts w:asciiTheme="majorBidi" w:hAnsiTheme="majorBidi" w:cstheme="majorBidi"/>
          <w:szCs w:val="24"/>
        </w:rPr>
        <w:t xml:space="preserve">may therefore be a genuine </w:t>
      </w:r>
      <w:r>
        <w:rPr>
          <w:rFonts w:asciiTheme="majorBidi" w:hAnsiTheme="majorBidi" w:cstheme="majorBidi"/>
          <w:szCs w:val="24"/>
        </w:rPr>
        <w:t xml:space="preserve">contribution to knowledge management in </w:t>
      </w:r>
      <w:r w:rsidR="0071588D">
        <w:rPr>
          <w:rFonts w:asciiTheme="majorBidi" w:hAnsiTheme="majorBidi" w:cstheme="majorBidi"/>
          <w:szCs w:val="24"/>
        </w:rPr>
        <w:t xml:space="preserve">the </w:t>
      </w:r>
      <w:r>
        <w:rPr>
          <w:rFonts w:asciiTheme="majorBidi" w:hAnsiTheme="majorBidi" w:cstheme="majorBidi"/>
          <w:szCs w:val="24"/>
        </w:rPr>
        <w:t xml:space="preserve">public sector. </w:t>
      </w:r>
    </w:p>
    <w:p w14:paraId="5E7362CB" w14:textId="0BA1E522" w:rsidR="006012BC" w:rsidRDefault="006012BC" w:rsidP="001D5F54">
      <w:pPr>
        <w:spacing w:line="480" w:lineRule="auto"/>
        <w:ind w:firstLine="720"/>
        <w:jc w:val="lowKashida"/>
        <w:rPr>
          <w:rFonts w:asciiTheme="majorBidi" w:hAnsiTheme="majorBidi"/>
        </w:rPr>
      </w:pPr>
    </w:p>
    <w:p w14:paraId="11EC44E8" w14:textId="301C2218" w:rsidR="001A25B4" w:rsidRDefault="001A25B4" w:rsidP="001D5F54">
      <w:pPr>
        <w:spacing w:line="480" w:lineRule="auto"/>
        <w:ind w:firstLine="720"/>
        <w:jc w:val="lowKashida"/>
        <w:rPr>
          <w:lang w:bidi="en-US"/>
        </w:rPr>
      </w:pPr>
    </w:p>
    <w:p w14:paraId="4254B3D5" w14:textId="4683C64C" w:rsidR="001A25B4" w:rsidRDefault="001A25B4" w:rsidP="001D5F54">
      <w:pPr>
        <w:spacing w:line="480" w:lineRule="auto"/>
        <w:ind w:firstLine="720"/>
        <w:jc w:val="lowKashida"/>
        <w:rPr>
          <w:lang w:bidi="en-US"/>
        </w:rPr>
      </w:pPr>
    </w:p>
    <w:p w14:paraId="485B3C3B" w14:textId="6F228F7A" w:rsidR="001A25B4" w:rsidRDefault="001A25B4" w:rsidP="001D5F54">
      <w:pPr>
        <w:spacing w:line="480" w:lineRule="auto"/>
        <w:ind w:firstLine="720"/>
        <w:jc w:val="lowKashida"/>
        <w:rPr>
          <w:lang w:bidi="en-US"/>
        </w:rPr>
      </w:pPr>
    </w:p>
    <w:p w14:paraId="1BE738AE" w14:textId="10761A58" w:rsidR="001A25B4" w:rsidRDefault="001A25B4" w:rsidP="001D5F54">
      <w:pPr>
        <w:spacing w:line="480" w:lineRule="auto"/>
        <w:ind w:firstLine="720"/>
        <w:jc w:val="lowKashida"/>
        <w:rPr>
          <w:lang w:bidi="en-US"/>
        </w:rPr>
      </w:pPr>
    </w:p>
    <w:p w14:paraId="1DDD5F1D" w14:textId="50969767" w:rsidR="001A25B4" w:rsidRDefault="001A25B4" w:rsidP="001D5F54">
      <w:pPr>
        <w:spacing w:line="480" w:lineRule="auto"/>
        <w:ind w:firstLine="720"/>
        <w:jc w:val="lowKashida"/>
        <w:rPr>
          <w:lang w:bidi="en-US"/>
        </w:rPr>
      </w:pPr>
    </w:p>
    <w:p w14:paraId="3C3B2947" w14:textId="44AB60FC" w:rsidR="001A25B4" w:rsidRDefault="001A25B4" w:rsidP="001D5F54">
      <w:pPr>
        <w:spacing w:line="480" w:lineRule="auto"/>
        <w:ind w:firstLine="720"/>
        <w:jc w:val="lowKashida"/>
        <w:rPr>
          <w:lang w:bidi="en-US"/>
        </w:rPr>
      </w:pPr>
    </w:p>
    <w:p w14:paraId="14B2CB02" w14:textId="2A51A6B6" w:rsidR="00C43266" w:rsidRPr="002A7627" w:rsidRDefault="00C43266" w:rsidP="00825B55">
      <w:pPr>
        <w:rPr>
          <w:lang w:bidi="en-US"/>
        </w:rPr>
      </w:pPr>
    </w:p>
    <w:p w14:paraId="34B7C072" w14:textId="77777777" w:rsidR="0084184C" w:rsidRPr="002A7627" w:rsidRDefault="0084184C" w:rsidP="001D5F54">
      <w:pPr>
        <w:pStyle w:val="Title"/>
        <w:jc w:val="left"/>
        <w:rPr>
          <w:color w:val="000000"/>
        </w:rPr>
        <w:sectPr w:rsidR="0084184C" w:rsidRPr="002A7627" w:rsidSect="00A817FD">
          <w:pgSz w:w="12240" w:h="15840"/>
          <w:pgMar w:top="1800" w:right="2160" w:bottom="1800" w:left="2160" w:header="720" w:footer="720" w:gutter="0"/>
          <w:cols w:space="720"/>
          <w:docGrid w:linePitch="381"/>
        </w:sectPr>
      </w:pPr>
    </w:p>
    <w:p w14:paraId="0C934D7D" w14:textId="77777777" w:rsidR="006F269E" w:rsidRDefault="006F269E">
      <w:pPr>
        <w:widowControl/>
        <w:autoSpaceDE/>
        <w:autoSpaceDN/>
        <w:adjustRightInd/>
        <w:rPr>
          <w:rFonts w:eastAsiaTheme="majorEastAsia" w:cs="Times New Roman"/>
          <w:b/>
          <w:bCs/>
          <w:kern w:val="28"/>
          <w:szCs w:val="24"/>
          <w:lang w:bidi="en-US"/>
        </w:rPr>
      </w:pPr>
      <w:r>
        <w:br w:type="page"/>
      </w:r>
    </w:p>
    <w:p w14:paraId="513E2EAE" w14:textId="35EAD251" w:rsidR="008377FA" w:rsidRPr="002A7627" w:rsidRDefault="00677985" w:rsidP="00433598">
      <w:pPr>
        <w:pStyle w:val="Title"/>
        <w:rPr>
          <w:color w:val="000000"/>
        </w:rPr>
      </w:pPr>
      <w:bookmarkStart w:id="306" w:name="_Toc22331727"/>
      <w:r>
        <w:rPr>
          <w:color w:val="000000"/>
        </w:rPr>
        <w:t>REFERENCES</w:t>
      </w:r>
      <w:bookmarkEnd w:id="306"/>
    </w:p>
    <w:p w14:paraId="19754C75" w14:textId="5E8BA36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Abebe, M. A., &amp; Angriawan, A. (2014). Organizational and competitive influences of exploration and exploitation activities in small firms. </w:t>
      </w:r>
      <w:r w:rsidRPr="002A7627">
        <w:rPr>
          <w:rFonts w:cs="Times New Roman"/>
          <w:i/>
          <w:iCs/>
          <w:noProof/>
          <w:szCs w:val="24"/>
        </w:rPr>
        <w:t>Journal of Business Research</w:t>
      </w:r>
      <w:r w:rsidRPr="002A7627">
        <w:rPr>
          <w:rFonts w:cs="Times New Roman"/>
          <w:noProof/>
          <w:szCs w:val="24"/>
        </w:rPr>
        <w:t xml:space="preserve">, </w:t>
      </w:r>
      <w:r w:rsidRPr="002A7627">
        <w:rPr>
          <w:rFonts w:cs="Times New Roman"/>
          <w:i/>
          <w:iCs/>
          <w:noProof/>
          <w:szCs w:val="24"/>
        </w:rPr>
        <w:t>67</w:t>
      </w:r>
      <w:r w:rsidRPr="002A7627">
        <w:rPr>
          <w:rFonts w:cs="Times New Roman"/>
          <w:noProof/>
          <w:szCs w:val="24"/>
        </w:rPr>
        <w:t>(3), 339–345. https://doi.org/10.1016/j.jbusres.2013.01.015</w:t>
      </w:r>
    </w:p>
    <w:p w14:paraId="4402DA9A" w14:textId="3E0B9C8B"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Aboelmaged, M. G. (2018). Knowledge sharing through enterprise social network (ESN) systems: </w:t>
      </w:r>
      <w:r w:rsidR="004B5FB8">
        <w:rPr>
          <w:rFonts w:cs="Times New Roman"/>
          <w:noProof/>
          <w:szCs w:val="24"/>
        </w:rPr>
        <w:t>m</w:t>
      </w:r>
      <w:r w:rsidRPr="002A7627">
        <w:rPr>
          <w:rFonts w:cs="Times New Roman"/>
          <w:noProof/>
          <w:szCs w:val="24"/>
        </w:rPr>
        <w:t xml:space="preserve">otivational drivers and their impact on employees’ productivity.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22</w:t>
      </w:r>
      <w:r w:rsidRPr="002A7627">
        <w:rPr>
          <w:rFonts w:cs="Times New Roman"/>
          <w:noProof/>
          <w:szCs w:val="24"/>
        </w:rPr>
        <w:t>(2), 362–383. https://doi.org/10.1108/JKM-05-2017-0188</w:t>
      </w:r>
    </w:p>
    <w:p w14:paraId="3C892554"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Abu Dhabi Police. (2018). </w:t>
      </w:r>
      <w:r w:rsidRPr="00935DBF">
        <w:rPr>
          <w:rFonts w:cs="Times New Roman"/>
          <w:i/>
          <w:noProof/>
          <w:szCs w:val="24"/>
        </w:rPr>
        <w:t>Awards</w:t>
      </w:r>
      <w:r w:rsidRPr="002A7627">
        <w:rPr>
          <w:rFonts w:cs="Times New Roman"/>
          <w:noProof/>
          <w:szCs w:val="24"/>
        </w:rPr>
        <w:t>. Retrieved June 11, 2019, from https://www.adpolice.gov.ae/en/pages/awards.aspx</w:t>
      </w:r>
    </w:p>
    <w:p w14:paraId="7469EA1E"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Abu Dhabi Police. (2019). </w:t>
      </w:r>
      <w:r w:rsidRPr="00935DBF">
        <w:rPr>
          <w:rFonts w:cs="Times New Roman"/>
          <w:i/>
          <w:noProof/>
          <w:szCs w:val="24"/>
        </w:rPr>
        <w:t>Organization chart</w:t>
      </w:r>
      <w:r w:rsidRPr="002A7627">
        <w:rPr>
          <w:rFonts w:cs="Times New Roman"/>
          <w:noProof/>
          <w:szCs w:val="24"/>
        </w:rPr>
        <w:t>. Retrieved June 11, 2019, from https://www.adpolice.gov.ae/en/Pages/organization.aspx</w:t>
      </w:r>
    </w:p>
    <w:p w14:paraId="1E47829A"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Abualoush, S., Masa’deh, R., Bataineh, K., &amp; Alrowwad, A. (2018). The role of knowledge management process and intellectual capital as intermediary variables between knowledge management infrastructure and organization performance. </w:t>
      </w:r>
      <w:r w:rsidRPr="002A7627">
        <w:rPr>
          <w:rFonts w:cs="Times New Roman"/>
          <w:i/>
          <w:iCs/>
          <w:noProof/>
          <w:szCs w:val="24"/>
        </w:rPr>
        <w:t>Interdisciplinary Journal of Information, Knowledge, and Management</w:t>
      </w:r>
      <w:r w:rsidRPr="002A7627">
        <w:rPr>
          <w:rFonts w:cs="Times New Roman"/>
          <w:noProof/>
          <w:szCs w:val="24"/>
        </w:rPr>
        <w:t xml:space="preserve">, </w:t>
      </w:r>
      <w:r w:rsidRPr="002A7627">
        <w:rPr>
          <w:rFonts w:cs="Times New Roman"/>
          <w:i/>
          <w:iCs/>
          <w:noProof/>
          <w:szCs w:val="24"/>
        </w:rPr>
        <w:t>13</w:t>
      </w:r>
      <w:r w:rsidRPr="002A7627">
        <w:rPr>
          <w:rFonts w:cs="Times New Roman"/>
          <w:noProof/>
          <w:szCs w:val="24"/>
        </w:rPr>
        <w:t>, 279–309. https://doi.org/10.28945/4088</w:t>
      </w:r>
    </w:p>
    <w:p w14:paraId="1F2F1FA2" w14:textId="77777777" w:rsidR="00A817FD" w:rsidRDefault="00CD0B2F" w:rsidP="002A7627">
      <w:pPr>
        <w:spacing w:line="480" w:lineRule="auto"/>
        <w:ind w:left="480" w:hanging="480"/>
        <w:jc w:val="both"/>
        <w:rPr>
          <w:rFonts w:cs="Times New Roman"/>
          <w:noProof/>
          <w:szCs w:val="24"/>
        </w:rPr>
        <w:sectPr w:rsidR="00A817FD" w:rsidSect="00A817FD">
          <w:type w:val="continuous"/>
          <w:pgSz w:w="12240" w:h="15840"/>
          <w:pgMar w:top="2880" w:right="2160" w:bottom="1800" w:left="2160" w:header="720" w:footer="720" w:gutter="0"/>
          <w:cols w:space="720"/>
          <w:docGrid w:linePitch="381"/>
        </w:sectPr>
      </w:pPr>
      <w:r w:rsidRPr="002A7627">
        <w:rPr>
          <w:rFonts w:cs="Times New Roman"/>
          <w:noProof/>
          <w:szCs w:val="24"/>
        </w:rPr>
        <w:t xml:space="preserve">Akram, M., Goraya, M., Malik, A., &amp; Aljarallah, A. (2018). Organizational performance and sustainability: </w:t>
      </w:r>
      <w:r w:rsidR="004B5FB8">
        <w:rPr>
          <w:rFonts w:cs="Times New Roman"/>
          <w:noProof/>
          <w:szCs w:val="24"/>
        </w:rPr>
        <w:t>e</w:t>
      </w:r>
      <w:r w:rsidRPr="002A7627">
        <w:rPr>
          <w:rFonts w:cs="Times New Roman"/>
          <w:noProof/>
          <w:szCs w:val="24"/>
        </w:rPr>
        <w:t xml:space="preserve">xploring the roles of </w:t>
      </w:r>
      <w:r w:rsidR="004B5FB8">
        <w:rPr>
          <w:rFonts w:cs="Times New Roman"/>
          <w:noProof/>
          <w:szCs w:val="24"/>
        </w:rPr>
        <w:t>IT</w:t>
      </w:r>
      <w:r w:rsidR="004B5FB8" w:rsidRPr="002A7627">
        <w:rPr>
          <w:rFonts w:cs="Times New Roman"/>
          <w:noProof/>
          <w:szCs w:val="24"/>
        </w:rPr>
        <w:t xml:space="preserve"> </w:t>
      </w:r>
      <w:r w:rsidRPr="002A7627">
        <w:rPr>
          <w:rFonts w:cs="Times New Roman"/>
          <w:noProof/>
          <w:szCs w:val="24"/>
        </w:rPr>
        <w:t xml:space="preserve">capabilities and knowledge management capabilities. </w:t>
      </w:r>
      <w:r w:rsidRPr="002A7627">
        <w:rPr>
          <w:rFonts w:cs="Times New Roman"/>
          <w:i/>
          <w:iCs/>
          <w:noProof/>
          <w:szCs w:val="24"/>
        </w:rPr>
        <w:t>Sustainability</w:t>
      </w:r>
      <w:r w:rsidRPr="002A7627">
        <w:rPr>
          <w:rFonts w:cs="Times New Roman"/>
          <w:noProof/>
          <w:szCs w:val="24"/>
        </w:rPr>
        <w:t xml:space="preserve">, </w:t>
      </w:r>
      <w:r w:rsidRPr="002A7627">
        <w:rPr>
          <w:rFonts w:cs="Times New Roman"/>
          <w:i/>
          <w:iCs/>
          <w:noProof/>
          <w:szCs w:val="24"/>
        </w:rPr>
        <w:t>10</w:t>
      </w:r>
      <w:r w:rsidRPr="002A7627">
        <w:rPr>
          <w:rFonts w:cs="Times New Roman"/>
          <w:noProof/>
          <w:szCs w:val="24"/>
        </w:rPr>
        <w:t>(10), 3816.</w:t>
      </w:r>
    </w:p>
    <w:p w14:paraId="386A119B" w14:textId="5DF51B8F"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 https://doi.org/10.3390/su10103816</w:t>
      </w:r>
    </w:p>
    <w:p w14:paraId="583241F8" w14:textId="0B900914" w:rsidR="00CD0B2F" w:rsidRDefault="00CD0B2F" w:rsidP="002A7627">
      <w:pPr>
        <w:spacing w:line="480" w:lineRule="auto"/>
        <w:ind w:left="480" w:hanging="480"/>
        <w:jc w:val="both"/>
        <w:rPr>
          <w:rFonts w:cs="Times New Roman"/>
          <w:noProof/>
          <w:szCs w:val="24"/>
        </w:rPr>
      </w:pPr>
      <w:r w:rsidRPr="002A7627">
        <w:rPr>
          <w:rFonts w:cs="Times New Roman"/>
          <w:noProof/>
          <w:szCs w:val="24"/>
        </w:rPr>
        <w:t xml:space="preserve">Al-Abdullat, B. M., &amp; Dababneh, A. (2018). The mediating effect of job satisfaction on the relationship between organizational culture and knowledge management in Jordanian banking sector. </w:t>
      </w:r>
      <w:r w:rsidRPr="002A7627">
        <w:rPr>
          <w:rFonts w:cs="Times New Roman"/>
          <w:i/>
          <w:iCs/>
          <w:noProof/>
          <w:szCs w:val="24"/>
        </w:rPr>
        <w:t>Benchmarking</w:t>
      </w:r>
      <w:r w:rsidRPr="002A7627">
        <w:rPr>
          <w:rFonts w:cs="Times New Roman"/>
          <w:noProof/>
          <w:szCs w:val="24"/>
        </w:rPr>
        <w:t xml:space="preserve">, </w:t>
      </w:r>
      <w:r w:rsidRPr="002A7627">
        <w:rPr>
          <w:rFonts w:cs="Times New Roman"/>
          <w:i/>
          <w:iCs/>
          <w:noProof/>
          <w:szCs w:val="24"/>
        </w:rPr>
        <w:t>25</w:t>
      </w:r>
      <w:r w:rsidRPr="002A7627">
        <w:rPr>
          <w:rFonts w:cs="Times New Roman"/>
          <w:noProof/>
          <w:szCs w:val="24"/>
        </w:rPr>
        <w:t>(2), 517–544. https://doi.org/10.1108/BIJ-06-2016-0081</w:t>
      </w:r>
    </w:p>
    <w:p w14:paraId="1B19BF0E" w14:textId="5AA3DC84"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Al-Busaidi, A. K., Olfman, L., Ryan, T., &amp; Leroy, G. (2010). Sharing knowledge to a knowledge management system : </w:t>
      </w:r>
      <w:r w:rsidR="004B5FB8">
        <w:rPr>
          <w:rFonts w:cs="Times New Roman"/>
          <w:noProof/>
          <w:szCs w:val="24"/>
        </w:rPr>
        <w:t>e</w:t>
      </w:r>
      <w:r w:rsidRPr="002A7627">
        <w:rPr>
          <w:rFonts w:cs="Times New Roman"/>
          <w:noProof/>
          <w:szCs w:val="24"/>
        </w:rPr>
        <w:t xml:space="preserve">xamining the motivators and the benefits in an Omani organization. </w:t>
      </w:r>
      <w:r w:rsidRPr="002A7627">
        <w:rPr>
          <w:rFonts w:cs="Times New Roman"/>
          <w:i/>
          <w:iCs/>
          <w:noProof/>
          <w:szCs w:val="24"/>
        </w:rPr>
        <w:t>Journal of Organizational Knowledge Management</w:t>
      </w:r>
      <w:r w:rsidRPr="002A7627">
        <w:rPr>
          <w:rFonts w:cs="Times New Roman"/>
          <w:noProof/>
          <w:szCs w:val="24"/>
        </w:rPr>
        <w:t xml:space="preserve">, </w:t>
      </w:r>
      <w:r w:rsidRPr="002A7627">
        <w:rPr>
          <w:rFonts w:cs="Times New Roman"/>
          <w:i/>
          <w:iCs/>
          <w:noProof/>
          <w:szCs w:val="24"/>
        </w:rPr>
        <w:t>2010</w:t>
      </w:r>
      <w:r w:rsidRPr="002A7627">
        <w:rPr>
          <w:rFonts w:cs="Times New Roman"/>
          <w:noProof/>
          <w:szCs w:val="24"/>
        </w:rPr>
        <w:t>(1), 928–935. Retrieved from http://www.ibimapublishing.com/journals/JOKM/2010/325835/325835.pdf</w:t>
      </w:r>
    </w:p>
    <w:p w14:paraId="45C34E82"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Al-Shammari, M. (2008). Toward a knowledge management strategic framework in the Arab region. </w:t>
      </w:r>
      <w:r w:rsidRPr="002A7627">
        <w:rPr>
          <w:rFonts w:cs="Times New Roman"/>
          <w:i/>
          <w:iCs/>
          <w:noProof/>
          <w:szCs w:val="24"/>
        </w:rPr>
        <w:t>International Journal of Knowledge Management</w:t>
      </w:r>
      <w:r w:rsidRPr="002A7627">
        <w:rPr>
          <w:rFonts w:cs="Times New Roman"/>
          <w:noProof/>
          <w:szCs w:val="24"/>
        </w:rPr>
        <w:t xml:space="preserve">, </w:t>
      </w:r>
      <w:r w:rsidRPr="002A7627">
        <w:rPr>
          <w:rFonts w:cs="Times New Roman"/>
          <w:i/>
          <w:iCs/>
          <w:noProof/>
          <w:szCs w:val="24"/>
        </w:rPr>
        <w:t>4</w:t>
      </w:r>
      <w:r w:rsidRPr="002A7627">
        <w:rPr>
          <w:rFonts w:cs="Times New Roman"/>
          <w:noProof/>
          <w:szCs w:val="24"/>
        </w:rPr>
        <w:t>(3), 44–63. https://doi.org/10.4018/jkm.2008070104</w:t>
      </w:r>
    </w:p>
    <w:p w14:paraId="70A7A392" w14:textId="5B4F89F8"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Al-Shayeb, A., &amp; Hatemi-J, A. (2016). Trade openness and economic development in the UAE: </w:t>
      </w:r>
      <w:r w:rsidR="004B5FB8">
        <w:rPr>
          <w:rFonts w:cs="Times New Roman"/>
          <w:noProof/>
          <w:szCs w:val="24"/>
        </w:rPr>
        <w:t>a</w:t>
      </w:r>
      <w:r w:rsidRPr="002A7627">
        <w:rPr>
          <w:rFonts w:cs="Times New Roman"/>
          <w:noProof/>
          <w:szCs w:val="24"/>
        </w:rPr>
        <w:t xml:space="preserve">n asymmetric approach. </w:t>
      </w:r>
      <w:r w:rsidRPr="002A7627">
        <w:rPr>
          <w:rFonts w:cs="Times New Roman"/>
          <w:i/>
          <w:iCs/>
          <w:noProof/>
          <w:szCs w:val="24"/>
        </w:rPr>
        <w:t>Journal of Economic Studies</w:t>
      </w:r>
      <w:r w:rsidRPr="002A7627">
        <w:rPr>
          <w:rFonts w:cs="Times New Roman"/>
          <w:noProof/>
          <w:szCs w:val="24"/>
        </w:rPr>
        <w:t xml:space="preserve">, </w:t>
      </w:r>
      <w:r w:rsidRPr="002A7627">
        <w:rPr>
          <w:rFonts w:cs="Times New Roman"/>
          <w:i/>
          <w:iCs/>
          <w:noProof/>
          <w:szCs w:val="24"/>
        </w:rPr>
        <w:t>43</w:t>
      </w:r>
      <w:r w:rsidRPr="002A7627">
        <w:rPr>
          <w:rFonts w:cs="Times New Roman"/>
          <w:noProof/>
          <w:szCs w:val="24"/>
        </w:rPr>
        <w:t>(4), 587–597. https://doi.org/10.1108/JES-06-2015-0094</w:t>
      </w:r>
    </w:p>
    <w:p w14:paraId="6A3B09C7" w14:textId="156CDD04"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Al-</w:t>
      </w:r>
      <w:r w:rsidR="0080300F">
        <w:rPr>
          <w:rFonts w:cs="Times New Roman"/>
          <w:noProof/>
          <w:szCs w:val="24"/>
        </w:rPr>
        <w:t>T</w:t>
      </w:r>
      <w:r w:rsidRPr="002A7627">
        <w:rPr>
          <w:rFonts w:cs="Times New Roman"/>
          <w:noProof/>
          <w:szCs w:val="24"/>
        </w:rPr>
        <w:t xml:space="preserve">it, A., &amp; Hunitie, M. (2015). The mediating effect of employee engagement between its antecedents and consequences. </w:t>
      </w:r>
      <w:r w:rsidRPr="002A7627">
        <w:rPr>
          <w:rFonts w:cs="Times New Roman"/>
          <w:i/>
          <w:iCs/>
          <w:noProof/>
          <w:szCs w:val="24"/>
        </w:rPr>
        <w:t>Journal of Management Research</w:t>
      </w:r>
      <w:r w:rsidRPr="002A7627">
        <w:rPr>
          <w:rFonts w:cs="Times New Roman"/>
          <w:noProof/>
          <w:szCs w:val="24"/>
        </w:rPr>
        <w:t xml:space="preserve">, </w:t>
      </w:r>
      <w:r w:rsidRPr="002A7627">
        <w:rPr>
          <w:rFonts w:cs="Times New Roman"/>
          <w:i/>
          <w:iCs/>
          <w:noProof/>
          <w:szCs w:val="24"/>
        </w:rPr>
        <w:t>7</w:t>
      </w:r>
      <w:r w:rsidRPr="002A7627">
        <w:rPr>
          <w:rFonts w:cs="Times New Roman"/>
          <w:noProof/>
          <w:szCs w:val="24"/>
        </w:rPr>
        <w:t>(5), 47. https://doi.org/10.5296/jmr.v7i5.8048</w:t>
      </w:r>
    </w:p>
    <w:p w14:paraId="7C16E27A" w14:textId="77777777" w:rsidR="0080300F" w:rsidRPr="002A7627" w:rsidRDefault="0080300F" w:rsidP="0080300F">
      <w:pPr>
        <w:spacing w:line="480" w:lineRule="auto"/>
        <w:ind w:left="480" w:hanging="480"/>
        <w:jc w:val="both"/>
        <w:rPr>
          <w:rFonts w:cs="Times New Roman"/>
          <w:noProof/>
          <w:szCs w:val="24"/>
        </w:rPr>
      </w:pPr>
      <w:r>
        <w:t xml:space="preserve">Al Ahbabi, S. A., Singh, S. K., Balasubramanian, S., &amp; Gaur, S. S. (2019). Employee perception of impact of knowledge management processes on public sector performance. </w:t>
      </w:r>
      <w:r>
        <w:rPr>
          <w:i/>
          <w:iCs/>
        </w:rPr>
        <w:t>Journal of Knowledge Management</w:t>
      </w:r>
      <w:r>
        <w:t xml:space="preserve">, </w:t>
      </w:r>
      <w:r>
        <w:rPr>
          <w:i/>
          <w:iCs/>
        </w:rPr>
        <w:t>23</w:t>
      </w:r>
      <w:r>
        <w:t xml:space="preserve">(2), 351-373. </w:t>
      </w:r>
      <w:r w:rsidRPr="001C1D24">
        <w:t>https://doi.org/10.1108/JKM-08-2017-0348</w:t>
      </w:r>
    </w:p>
    <w:p w14:paraId="75F30D4D" w14:textId="0C67A7D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Al Dari, T., Jabeen, F., &amp; Papastathopoulos, A. (2018). Examining the role of leadership inspiration, rewards and its relationship with contribution to knowledge sharing. </w:t>
      </w:r>
      <w:r w:rsidRPr="002A7627">
        <w:rPr>
          <w:rFonts w:cs="Times New Roman"/>
          <w:i/>
          <w:iCs/>
          <w:noProof/>
          <w:szCs w:val="24"/>
        </w:rPr>
        <w:t>Journal of Workplace Learning</w:t>
      </w:r>
      <w:r w:rsidRPr="002A7627">
        <w:rPr>
          <w:rFonts w:cs="Times New Roman"/>
          <w:noProof/>
          <w:szCs w:val="24"/>
        </w:rPr>
        <w:t xml:space="preserve">, </w:t>
      </w:r>
      <w:r w:rsidRPr="002A7627">
        <w:rPr>
          <w:rFonts w:cs="Times New Roman"/>
          <w:i/>
          <w:iCs/>
          <w:noProof/>
          <w:szCs w:val="24"/>
        </w:rPr>
        <w:t>30</w:t>
      </w:r>
      <w:r w:rsidRPr="002A7627">
        <w:rPr>
          <w:rFonts w:cs="Times New Roman"/>
          <w:noProof/>
          <w:szCs w:val="24"/>
        </w:rPr>
        <w:t>(6), 488–512. https://doi.org/10.1108/JWL-11-2017-0105</w:t>
      </w:r>
    </w:p>
    <w:p w14:paraId="5763819B"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Al Maktoum Foundation. (2007). About us. Retrieved June 11, 2019, from https://mbrf.ae/en/foundation/about-us</w:t>
      </w:r>
    </w:p>
    <w:p w14:paraId="1F700D3F" w14:textId="493EAFB3"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Al Saifi, S. A. (2015). Positioning </w:t>
      </w:r>
      <w:r w:rsidR="00C52075">
        <w:rPr>
          <w:rFonts w:cs="Times New Roman"/>
          <w:noProof/>
          <w:szCs w:val="24"/>
        </w:rPr>
        <w:t>organizational</w:t>
      </w:r>
      <w:r w:rsidRPr="002A7627">
        <w:rPr>
          <w:rFonts w:cs="Times New Roman"/>
          <w:noProof/>
          <w:szCs w:val="24"/>
        </w:rPr>
        <w:t xml:space="preserve"> culture in knowledge management research.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19</w:t>
      </w:r>
      <w:r w:rsidRPr="002A7627">
        <w:rPr>
          <w:rFonts w:cs="Times New Roman"/>
          <w:noProof/>
          <w:szCs w:val="24"/>
        </w:rPr>
        <w:t>(2), 164–189. https://doi.org/10.1108/JKM-07-2014-0287</w:t>
      </w:r>
    </w:p>
    <w:p w14:paraId="0A687838" w14:textId="0C8805CC" w:rsidR="0080300F" w:rsidRPr="002A7627" w:rsidRDefault="0080300F" w:rsidP="0080300F">
      <w:pPr>
        <w:spacing w:line="480" w:lineRule="auto"/>
        <w:ind w:left="480" w:hanging="480"/>
        <w:jc w:val="both"/>
        <w:rPr>
          <w:rFonts w:cs="Times New Roman"/>
          <w:noProof/>
          <w:szCs w:val="24"/>
        </w:rPr>
      </w:pPr>
      <w:r w:rsidRPr="002A7627">
        <w:rPr>
          <w:rFonts w:cs="Times New Roman"/>
          <w:noProof/>
          <w:szCs w:val="24"/>
        </w:rPr>
        <w:t xml:space="preserve">Alavi, M., &amp; Leidner, D. E. (1999). Knowledge management systems: </w:t>
      </w:r>
      <w:r w:rsidR="004B5FB8">
        <w:rPr>
          <w:rFonts w:cs="Times New Roman"/>
          <w:noProof/>
          <w:szCs w:val="24"/>
        </w:rPr>
        <w:t>i</w:t>
      </w:r>
      <w:r w:rsidRPr="002A7627">
        <w:rPr>
          <w:rFonts w:cs="Times New Roman"/>
          <w:noProof/>
          <w:szCs w:val="24"/>
        </w:rPr>
        <w:t xml:space="preserve">ssues, challenges, and benefits. </w:t>
      </w:r>
      <w:r w:rsidRPr="002A7627">
        <w:rPr>
          <w:rFonts w:cs="Times New Roman"/>
          <w:i/>
          <w:iCs/>
          <w:noProof/>
          <w:szCs w:val="24"/>
        </w:rPr>
        <w:t>Communications of the AIS</w:t>
      </w:r>
      <w:r w:rsidRPr="002A7627">
        <w:rPr>
          <w:rFonts w:cs="Times New Roman"/>
          <w:noProof/>
          <w:szCs w:val="24"/>
        </w:rPr>
        <w:t xml:space="preserve">, </w:t>
      </w:r>
      <w:r w:rsidRPr="002A7627">
        <w:rPr>
          <w:rFonts w:cs="Times New Roman"/>
          <w:i/>
          <w:iCs/>
          <w:noProof/>
          <w:szCs w:val="24"/>
        </w:rPr>
        <w:t>1</w:t>
      </w:r>
      <w:r w:rsidRPr="002A7627">
        <w:rPr>
          <w:rFonts w:cs="Times New Roman"/>
          <w:noProof/>
          <w:szCs w:val="24"/>
        </w:rPr>
        <w:t>(7), 1–37. https://doi.org/10.1002/jhrm.20064</w:t>
      </w:r>
    </w:p>
    <w:p w14:paraId="64D8A28E" w14:textId="616E62FE" w:rsidR="0080300F" w:rsidRPr="002A7627" w:rsidRDefault="0080300F" w:rsidP="0080300F">
      <w:pPr>
        <w:spacing w:line="480" w:lineRule="auto"/>
        <w:ind w:left="480" w:hanging="480"/>
        <w:jc w:val="both"/>
        <w:rPr>
          <w:rFonts w:cs="Times New Roman"/>
          <w:noProof/>
          <w:szCs w:val="24"/>
        </w:rPr>
      </w:pPr>
      <w:r w:rsidRPr="002A7627">
        <w:rPr>
          <w:rFonts w:cs="Times New Roman"/>
          <w:noProof/>
          <w:szCs w:val="24"/>
        </w:rPr>
        <w:t xml:space="preserve">Alavi, M., &amp; Leidner, D. E. (2007). Knowledge management and knowledge management systems: </w:t>
      </w:r>
      <w:r w:rsidR="004B5FB8">
        <w:rPr>
          <w:rFonts w:cs="Times New Roman"/>
          <w:noProof/>
          <w:szCs w:val="24"/>
        </w:rPr>
        <w:t>c</w:t>
      </w:r>
      <w:r w:rsidRPr="002A7627">
        <w:rPr>
          <w:rFonts w:cs="Times New Roman"/>
          <w:noProof/>
          <w:szCs w:val="24"/>
        </w:rPr>
        <w:t xml:space="preserve">onceptual foundations and research issues. </w:t>
      </w:r>
      <w:r w:rsidRPr="002A7627">
        <w:rPr>
          <w:rFonts w:cs="Times New Roman"/>
          <w:i/>
          <w:iCs/>
          <w:noProof/>
          <w:szCs w:val="24"/>
        </w:rPr>
        <w:t>MIS Quarterly</w:t>
      </w:r>
      <w:r w:rsidRPr="002A7627">
        <w:rPr>
          <w:rFonts w:cs="Times New Roman"/>
          <w:noProof/>
          <w:szCs w:val="24"/>
        </w:rPr>
        <w:t xml:space="preserve">, </w:t>
      </w:r>
      <w:r w:rsidRPr="002A7627">
        <w:rPr>
          <w:rFonts w:cs="Times New Roman"/>
          <w:i/>
          <w:iCs/>
          <w:noProof/>
          <w:szCs w:val="24"/>
        </w:rPr>
        <w:t>25</w:t>
      </w:r>
      <w:r w:rsidRPr="002A7627">
        <w:rPr>
          <w:rFonts w:cs="Times New Roman"/>
          <w:noProof/>
          <w:szCs w:val="24"/>
        </w:rPr>
        <w:t>(1), 107. https://doi.org/10.2307/3250961</w:t>
      </w:r>
    </w:p>
    <w:p w14:paraId="5219F418"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Albers, S. (2010). PLS and success factor studies in marketing. In V. E. Vinzi (Ed.), </w:t>
      </w:r>
      <w:r w:rsidRPr="002A7627">
        <w:rPr>
          <w:rFonts w:cs="Times New Roman"/>
          <w:i/>
          <w:iCs/>
          <w:noProof/>
          <w:szCs w:val="24"/>
        </w:rPr>
        <w:t>Handbook of partial least squares</w:t>
      </w:r>
      <w:r w:rsidRPr="002A7627">
        <w:rPr>
          <w:rFonts w:cs="Times New Roman"/>
          <w:noProof/>
          <w:szCs w:val="24"/>
        </w:rPr>
        <w:t xml:space="preserve"> (pp. 409–425). Berlin, Germany: Springer.</w:t>
      </w:r>
    </w:p>
    <w:p w14:paraId="48B61F19" w14:textId="305E9250"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Allameh, S., &amp; Abbas, S. (2010). The relationship between knowledge management practices and innovation level in organizations: </w:t>
      </w:r>
      <w:r w:rsidR="004B5FB8">
        <w:rPr>
          <w:rFonts w:cs="Times New Roman"/>
          <w:noProof/>
          <w:szCs w:val="24"/>
        </w:rPr>
        <w:t>c</w:t>
      </w:r>
      <w:r w:rsidRPr="002A7627">
        <w:rPr>
          <w:rFonts w:cs="Times New Roman"/>
          <w:noProof/>
          <w:szCs w:val="24"/>
        </w:rPr>
        <w:t xml:space="preserve">ase study of sub-companies of selected corporations in the city </w:t>
      </w:r>
      <w:r w:rsidR="0080300F">
        <w:rPr>
          <w:rFonts w:cs="Times New Roman"/>
          <w:noProof/>
          <w:szCs w:val="24"/>
        </w:rPr>
        <w:t>o</w:t>
      </w:r>
      <w:r w:rsidRPr="002A7627">
        <w:rPr>
          <w:rFonts w:cs="Times New Roman"/>
          <w:noProof/>
          <w:szCs w:val="24"/>
        </w:rPr>
        <w:t xml:space="preserve">f Esfahan. </w:t>
      </w:r>
      <w:r w:rsidRPr="002A7627">
        <w:rPr>
          <w:rFonts w:cs="Times New Roman"/>
          <w:i/>
          <w:iCs/>
          <w:noProof/>
          <w:szCs w:val="24"/>
        </w:rPr>
        <w:t>Journal of Business Case Studies</w:t>
      </w:r>
      <w:r w:rsidRPr="002A7627">
        <w:rPr>
          <w:rFonts w:cs="Times New Roman"/>
          <w:noProof/>
          <w:szCs w:val="24"/>
        </w:rPr>
        <w:t xml:space="preserve">, </w:t>
      </w:r>
      <w:r w:rsidRPr="002A7627">
        <w:rPr>
          <w:rFonts w:cs="Times New Roman"/>
          <w:i/>
          <w:iCs/>
          <w:noProof/>
          <w:szCs w:val="24"/>
        </w:rPr>
        <w:t>6</w:t>
      </w:r>
      <w:r w:rsidRPr="002A7627">
        <w:rPr>
          <w:rFonts w:cs="Times New Roman"/>
          <w:noProof/>
          <w:szCs w:val="24"/>
        </w:rPr>
        <w:t>(1), 91–98.</w:t>
      </w:r>
    </w:p>
    <w:p w14:paraId="0DD3EEE2"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Alreck, P. L., &amp; Settle, R. B. (1995). </w:t>
      </w:r>
      <w:r w:rsidRPr="002A7627">
        <w:rPr>
          <w:rFonts w:cs="Times New Roman"/>
          <w:i/>
          <w:iCs/>
          <w:noProof/>
          <w:szCs w:val="24"/>
        </w:rPr>
        <w:t>The survey research handbook</w:t>
      </w:r>
      <w:r w:rsidRPr="002A7627">
        <w:rPr>
          <w:rFonts w:cs="Times New Roman"/>
          <w:noProof/>
          <w:szCs w:val="24"/>
        </w:rPr>
        <w:t xml:space="preserve"> (2nd ed.). Chicago, IL: Irwin.</w:t>
      </w:r>
    </w:p>
    <w:p w14:paraId="167FFDB1" w14:textId="371FD7D6"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Alsalami, E., Behery, M., &amp; Abdullah, S. (2014). Transformational leadership and its effects on organizational learning and innovation: </w:t>
      </w:r>
      <w:r w:rsidR="004B5FB8">
        <w:rPr>
          <w:rFonts w:cs="Times New Roman"/>
          <w:noProof/>
          <w:szCs w:val="24"/>
        </w:rPr>
        <w:t>e</w:t>
      </w:r>
      <w:r w:rsidRPr="002A7627">
        <w:rPr>
          <w:rFonts w:cs="Times New Roman"/>
          <w:noProof/>
          <w:szCs w:val="24"/>
        </w:rPr>
        <w:t xml:space="preserve">vidence from Dubai. </w:t>
      </w:r>
      <w:r w:rsidRPr="002A7627">
        <w:rPr>
          <w:rFonts w:cs="Times New Roman"/>
          <w:i/>
          <w:iCs/>
          <w:noProof/>
          <w:szCs w:val="24"/>
        </w:rPr>
        <w:t>The Journal of Applied Management and Entrepreneurship</w:t>
      </w:r>
      <w:r w:rsidRPr="002A7627">
        <w:rPr>
          <w:rFonts w:cs="Times New Roman"/>
          <w:noProof/>
          <w:szCs w:val="24"/>
        </w:rPr>
        <w:t xml:space="preserve">, </w:t>
      </w:r>
      <w:r w:rsidRPr="002A7627">
        <w:rPr>
          <w:rFonts w:cs="Times New Roman"/>
          <w:i/>
          <w:iCs/>
          <w:noProof/>
          <w:szCs w:val="24"/>
        </w:rPr>
        <w:t>19</w:t>
      </w:r>
      <w:r w:rsidRPr="002A7627">
        <w:rPr>
          <w:rFonts w:cs="Times New Roman"/>
          <w:noProof/>
          <w:szCs w:val="24"/>
        </w:rPr>
        <w:t>(4), 61–81. https://doi.org/10.9774/GLEAF.3709.2014.oc.00006</w:t>
      </w:r>
    </w:p>
    <w:p w14:paraId="47341B82" w14:textId="5BA7FF3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Alshamsi, O., Khan, M., &amp; Ajmal, M. M. (2017). Impact of </w:t>
      </w:r>
      <w:r w:rsidR="00C52075">
        <w:rPr>
          <w:rFonts w:cs="Times New Roman"/>
          <w:noProof/>
          <w:szCs w:val="24"/>
        </w:rPr>
        <w:t>organizational</w:t>
      </w:r>
      <w:r w:rsidRPr="002A7627">
        <w:rPr>
          <w:rFonts w:cs="Times New Roman"/>
          <w:noProof/>
          <w:szCs w:val="24"/>
        </w:rPr>
        <w:t xml:space="preserve"> practices on knowledge sharing: </w:t>
      </w:r>
      <w:r w:rsidR="004B5FB8">
        <w:rPr>
          <w:rFonts w:cs="Times New Roman"/>
          <w:noProof/>
          <w:szCs w:val="24"/>
        </w:rPr>
        <w:t>a</w:t>
      </w:r>
      <w:r w:rsidRPr="002A7627">
        <w:rPr>
          <w:rFonts w:cs="Times New Roman"/>
          <w:noProof/>
          <w:szCs w:val="24"/>
        </w:rPr>
        <w:t xml:space="preserve">n empirical study. </w:t>
      </w:r>
      <w:r w:rsidRPr="002A7627">
        <w:rPr>
          <w:rFonts w:cs="Times New Roman"/>
          <w:i/>
          <w:iCs/>
          <w:noProof/>
          <w:szCs w:val="24"/>
        </w:rPr>
        <w:t>International Journal of Knowledge and Learning</w:t>
      </w:r>
      <w:r w:rsidRPr="002A7627">
        <w:rPr>
          <w:rFonts w:cs="Times New Roman"/>
          <w:noProof/>
          <w:szCs w:val="24"/>
        </w:rPr>
        <w:t xml:space="preserve">, </w:t>
      </w:r>
      <w:r w:rsidRPr="002A7627">
        <w:rPr>
          <w:rFonts w:cs="Times New Roman"/>
          <w:i/>
          <w:iCs/>
          <w:noProof/>
          <w:szCs w:val="24"/>
        </w:rPr>
        <w:t>12</w:t>
      </w:r>
      <w:r w:rsidRPr="002A7627">
        <w:rPr>
          <w:rFonts w:cs="Times New Roman"/>
          <w:noProof/>
          <w:szCs w:val="24"/>
        </w:rPr>
        <w:t>(1), 74. https://doi.org/10.1504/ijkl.2017.10009133</w:t>
      </w:r>
    </w:p>
    <w:p w14:paraId="35102A83"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Anantatmula, V. S. (2007). Linking KM effectiveness attributes to organizational performance. </w:t>
      </w:r>
      <w:r w:rsidRPr="002A7627">
        <w:rPr>
          <w:rFonts w:cs="Times New Roman"/>
          <w:i/>
          <w:iCs/>
          <w:noProof/>
          <w:szCs w:val="24"/>
        </w:rPr>
        <w:t>Vine</w:t>
      </w:r>
      <w:r w:rsidRPr="002A7627">
        <w:rPr>
          <w:rFonts w:cs="Times New Roman"/>
          <w:noProof/>
          <w:szCs w:val="24"/>
        </w:rPr>
        <w:t xml:space="preserve">, </w:t>
      </w:r>
      <w:r w:rsidRPr="002A7627">
        <w:rPr>
          <w:rFonts w:cs="Times New Roman"/>
          <w:i/>
          <w:iCs/>
          <w:noProof/>
          <w:szCs w:val="24"/>
        </w:rPr>
        <w:t>37</w:t>
      </w:r>
      <w:r w:rsidRPr="002A7627">
        <w:rPr>
          <w:rFonts w:cs="Times New Roman"/>
          <w:noProof/>
          <w:szCs w:val="24"/>
        </w:rPr>
        <w:t>(2), 133–149. https://doi.org/10.1108/03055720710759928</w:t>
      </w:r>
    </w:p>
    <w:p w14:paraId="483BA6BA"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Anantatmula, V. S., &amp; Kanungo, S. (2006). Structuring the underlying relations among the knowledge management outcomes.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10</w:t>
      </w:r>
      <w:r w:rsidRPr="002A7627">
        <w:rPr>
          <w:rFonts w:cs="Times New Roman"/>
          <w:noProof/>
          <w:szCs w:val="24"/>
        </w:rPr>
        <w:t>(4), 25–42. https://doi.org/10.1108/13673270610679345</w:t>
      </w:r>
    </w:p>
    <w:p w14:paraId="3377FDD2" w14:textId="56F7A07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Anderson, J. C., &amp; Gerbing, D. W. (1988). Structural equation modeling in practice: </w:t>
      </w:r>
      <w:r w:rsidR="004B5FB8">
        <w:rPr>
          <w:rFonts w:cs="Times New Roman"/>
          <w:noProof/>
          <w:szCs w:val="24"/>
        </w:rPr>
        <w:t>a</w:t>
      </w:r>
      <w:r w:rsidRPr="002A7627">
        <w:rPr>
          <w:rFonts w:cs="Times New Roman"/>
          <w:noProof/>
          <w:szCs w:val="24"/>
        </w:rPr>
        <w:t xml:space="preserve"> review and recommended two-step approach. </w:t>
      </w:r>
      <w:r w:rsidRPr="002A7627">
        <w:rPr>
          <w:rFonts w:cs="Times New Roman"/>
          <w:i/>
          <w:iCs/>
          <w:noProof/>
          <w:szCs w:val="24"/>
        </w:rPr>
        <w:t>Psychological Bulletin</w:t>
      </w:r>
      <w:r w:rsidRPr="002A7627">
        <w:rPr>
          <w:rFonts w:cs="Times New Roman"/>
          <w:noProof/>
          <w:szCs w:val="24"/>
        </w:rPr>
        <w:t xml:space="preserve">, </w:t>
      </w:r>
      <w:r w:rsidRPr="002A7627">
        <w:rPr>
          <w:rFonts w:cs="Times New Roman"/>
          <w:i/>
          <w:iCs/>
          <w:noProof/>
          <w:szCs w:val="24"/>
        </w:rPr>
        <w:t>103</w:t>
      </w:r>
      <w:r w:rsidRPr="002A7627">
        <w:rPr>
          <w:rFonts w:cs="Times New Roman"/>
          <w:noProof/>
          <w:szCs w:val="24"/>
        </w:rPr>
        <w:t>(3), 411–423. https://doi.org/10.1037/0033-2909.103.3.411</w:t>
      </w:r>
    </w:p>
    <w:p w14:paraId="1D51295F"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Andreeva, T., &amp; Kianto, A. (2012). Does knowledge management really matter? Linking knowledge management practices, competitiveness and economic performance.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16</w:t>
      </w:r>
      <w:r w:rsidRPr="002A7627">
        <w:rPr>
          <w:rFonts w:cs="Times New Roman"/>
          <w:noProof/>
          <w:szCs w:val="24"/>
        </w:rPr>
        <w:t>(4), 617–636. https://doi.org/10.1108/13673271211246185</w:t>
      </w:r>
    </w:p>
    <w:p w14:paraId="4DACF14F" w14:textId="74D42F93" w:rsidR="00CD0B2F" w:rsidRDefault="00CD0B2F" w:rsidP="002A7627">
      <w:pPr>
        <w:spacing w:line="480" w:lineRule="auto"/>
        <w:ind w:left="480" w:hanging="480"/>
        <w:jc w:val="both"/>
        <w:rPr>
          <w:rFonts w:cs="Times New Roman"/>
          <w:noProof/>
          <w:szCs w:val="24"/>
        </w:rPr>
      </w:pPr>
      <w:r w:rsidRPr="002A7627">
        <w:rPr>
          <w:rFonts w:cs="Times New Roman"/>
          <w:noProof/>
          <w:szCs w:val="24"/>
        </w:rPr>
        <w:t>Andreeva, T., &amp; Sergeeva, A. (2016). The more the better</w:t>
      </w:r>
      <w:r w:rsidR="00B111A8">
        <w:rPr>
          <w:rFonts w:cs="Times New Roman"/>
          <w:noProof/>
          <w:szCs w:val="24"/>
        </w:rPr>
        <w:t>,</w:t>
      </w:r>
      <w:r w:rsidRPr="002A7627">
        <w:rPr>
          <w:rFonts w:cs="Times New Roman"/>
          <w:noProof/>
          <w:szCs w:val="24"/>
        </w:rPr>
        <w:t xml:space="preserve"> or is it? The contradictory effects of HR practices on knowledge-sharing motivation and behaviour. </w:t>
      </w:r>
      <w:r w:rsidRPr="002A7627">
        <w:rPr>
          <w:rFonts w:cs="Times New Roman"/>
          <w:i/>
          <w:iCs/>
          <w:noProof/>
          <w:szCs w:val="24"/>
        </w:rPr>
        <w:t>Human Resource Management Journal</w:t>
      </w:r>
      <w:r w:rsidRPr="002A7627">
        <w:rPr>
          <w:rFonts w:cs="Times New Roman"/>
          <w:noProof/>
          <w:szCs w:val="24"/>
        </w:rPr>
        <w:t xml:space="preserve">, </w:t>
      </w:r>
      <w:r w:rsidRPr="002A7627">
        <w:rPr>
          <w:rFonts w:cs="Times New Roman"/>
          <w:i/>
          <w:iCs/>
          <w:noProof/>
          <w:szCs w:val="24"/>
        </w:rPr>
        <w:t>26</w:t>
      </w:r>
      <w:r w:rsidRPr="002A7627">
        <w:rPr>
          <w:rFonts w:cs="Times New Roman"/>
          <w:noProof/>
          <w:szCs w:val="24"/>
        </w:rPr>
        <w:t xml:space="preserve">(2), 151–171. </w:t>
      </w:r>
      <w:hyperlink r:id="rId38" w:history="1">
        <w:r w:rsidR="00D84A8E" w:rsidRPr="00590969">
          <w:rPr>
            <w:rStyle w:val="Hyperlink"/>
            <w:rFonts w:cs="Times New Roman"/>
            <w:noProof/>
            <w:color w:val="000000" w:themeColor="text1"/>
            <w:szCs w:val="24"/>
            <w:u w:val="none"/>
          </w:rPr>
          <w:t>https://doi.org/10.1111/1748-8583.12100</w:t>
        </w:r>
      </w:hyperlink>
    </w:p>
    <w:p w14:paraId="7EB24EB1" w14:textId="0B3210A5"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Aragón-Correa, J. A., García-Morales, V. J., &amp; Cordón-Pozo, E. (2007). Leadership and organizational learning’s role on innovation and performance: </w:t>
      </w:r>
      <w:r w:rsidR="004B5FB8">
        <w:rPr>
          <w:rFonts w:cs="Times New Roman"/>
          <w:noProof/>
          <w:szCs w:val="24"/>
        </w:rPr>
        <w:t>l</w:t>
      </w:r>
      <w:r w:rsidRPr="002A7627">
        <w:rPr>
          <w:rFonts w:cs="Times New Roman"/>
          <w:noProof/>
          <w:szCs w:val="24"/>
        </w:rPr>
        <w:t xml:space="preserve">essons from Spain. </w:t>
      </w:r>
      <w:r w:rsidRPr="002A7627">
        <w:rPr>
          <w:rFonts w:cs="Times New Roman"/>
          <w:i/>
          <w:iCs/>
          <w:noProof/>
          <w:szCs w:val="24"/>
        </w:rPr>
        <w:t>Industrial Marketing Management</w:t>
      </w:r>
      <w:r w:rsidRPr="002A7627">
        <w:rPr>
          <w:rFonts w:cs="Times New Roman"/>
          <w:noProof/>
          <w:szCs w:val="24"/>
        </w:rPr>
        <w:t xml:space="preserve">, </w:t>
      </w:r>
      <w:r w:rsidRPr="002A7627">
        <w:rPr>
          <w:rFonts w:cs="Times New Roman"/>
          <w:i/>
          <w:iCs/>
          <w:noProof/>
          <w:szCs w:val="24"/>
        </w:rPr>
        <w:t>36</w:t>
      </w:r>
      <w:r w:rsidRPr="002A7627">
        <w:rPr>
          <w:rFonts w:cs="Times New Roman"/>
          <w:noProof/>
          <w:szCs w:val="24"/>
        </w:rPr>
        <w:t>(3), 349–359. https://doi.org/10.1016/j.indmarman.2005.09.006</w:t>
      </w:r>
    </w:p>
    <w:p w14:paraId="1981EB31"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Argote, L. (2013). </w:t>
      </w:r>
      <w:r w:rsidRPr="002A7627">
        <w:rPr>
          <w:rFonts w:cs="Times New Roman"/>
          <w:i/>
          <w:iCs/>
          <w:noProof/>
          <w:szCs w:val="24"/>
        </w:rPr>
        <w:t>Organizational learning: Creating, retaining and transferring knowledge</w:t>
      </w:r>
      <w:r w:rsidRPr="002A7627">
        <w:rPr>
          <w:rFonts w:cs="Times New Roman"/>
          <w:noProof/>
          <w:szCs w:val="24"/>
        </w:rPr>
        <w:t>. Boston, MA: Springer.</w:t>
      </w:r>
    </w:p>
    <w:p w14:paraId="28287944" w14:textId="1AB52F55"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Argote, L., &amp; Miron-Spektor, E. (2011). Organizational learning: </w:t>
      </w:r>
      <w:r w:rsidR="004B5FB8">
        <w:rPr>
          <w:rFonts w:cs="Times New Roman"/>
          <w:noProof/>
          <w:szCs w:val="24"/>
        </w:rPr>
        <w:t>f</w:t>
      </w:r>
      <w:r w:rsidRPr="002A7627">
        <w:rPr>
          <w:rFonts w:cs="Times New Roman"/>
          <w:noProof/>
          <w:szCs w:val="24"/>
        </w:rPr>
        <w:t xml:space="preserve">rom experience to knowledge. </w:t>
      </w:r>
      <w:r w:rsidRPr="002A7627">
        <w:rPr>
          <w:rFonts w:cs="Times New Roman"/>
          <w:i/>
          <w:iCs/>
          <w:noProof/>
          <w:szCs w:val="24"/>
        </w:rPr>
        <w:t>Organization Science</w:t>
      </w:r>
      <w:r w:rsidRPr="002A7627">
        <w:rPr>
          <w:rFonts w:cs="Times New Roman"/>
          <w:noProof/>
          <w:szCs w:val="24"/>
        </w:rPr>
        <w:t xml:space="preserve">, </w:t>
      </w:r>
      <w:r w:rsidRPr="002A7627">
        <w:rPr>
          <w:rFonts w:cs="Times New Roman"/>
          <w:i/>
          <w:iCs/>
          <w:noProof/>
          <w:szCs w:val="24"/>
        </w:rPr>
        <w:t>22</w:t>
      </w:r>
      <w:r w:rsidRPr="002A7627">
        <w:rPr>
          <w:rFonts w:cs="Times New Roman"/>
          <w:noProof/>
          <w:szCs w:val="24"/>
        </w:rPr>
        <w:t>(5), 1123–1137. https://doi.org/10.1287/orsc.1100.0621</w:t>
      </w:r>
    </w:p>
    <w:p w14:paraId="33C0DD9A" w14:textId="33E59BDB"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Argyris, C., &amp; Schon, D. (1978). </w:t>
      </w:r>
      <w:r w:rsidRPr="002A7627">
        <w:rPr>
          <w:rFonts w:cs="Times New Roman"/>
          <w:i/>
          <w:iCs/>
          <w:noProof/>
          <w:szCs w:val="24"/>
        </w:rPr>
        <w:t xml:space="preserve">Organizational learning: </w:t>
      </w:r>
      <w:r w:rsidR="004B5FB8">
        <w:rPr>
          <w:rFonts w:cs="Times New Roman"/>
          <w:i/>
          <w:iCs/>
          <w:noProof/>
          <w:szCs w:val="24"/>
        </w:rPr>
        <w:t>a</w:t>
      </w:r>
      <w:r w:rsidRPr="002A7627">
        <w:rPr>
          <w:rFonts w:cs="Times New Roman"/>
          <w:i/>
          <w:iCs/>
          <w:noProof/>
          <w:szCs w:val="24"/>
        </w:rPr>
        <w:t xml:space="preserve"> theory of action approach</w:t>
      </w:r>
      <w:r w:rsidRPr="002A7627">
        <w:rPr>
          <w:rFonts w:cs="Times New Roman"/>
          <w:noProof/>
          <w:szCs w:val="24"/>
        </w:rPr>
        <w:t>. New York, NY: Wiley.</w:t>
      </w:r>
    </w:p>
    <w:p w14:paraId="090223C2"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Argyris, C., &amp; Schon, D. (1996). </w:t>
      </w:r>
      <w:r w:rsidRPr="002A7627">
        <w:rPr>
          <w:rFonts w:cs="Times New Roman"/>
          <w:i/>
          <w:iCs/>
          <w:noProof/>
          <w:szCs w:val="24"/>
        </w:rPr>
        <w:t>Organiational learning II</w:t>
      </w:r>
      <w:r w:rsidRPr="002A7627">
        <w:rPr>
          <w:rFonts w:cs="Times New Roman"/>
          <w:noProof/>
          <w:szCs w:val="24"/>
        </w:rPr>
        <w:t>. New York, NY: Addison Wesley.</w:t>
      </w:r>
    </w:p>
    <w:p w14:paraId="32226F8B" w14:textId="0A990172"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Arunprasad, P. (2015a). </w:t>
      </w:r>
      <w:r w:rsidR="00C52075">
        <w:rPr>
          <w:rFonts w:cs="Times New Roman"/>
          <w:noProof/>
          <w:szCs w:val="24"/>
        </w:rPr>
        <w:t>Organization</w:t>
      </w:r>
      <w:r w:rsidRPr="002A7627">
        <w:rPr>
          <w:rFonts w:cs="Times New Roman"/>
          <w:noProof/>
          <w:szCs w:val="24"/>
        </w:rPr>
        <w:t xml:space="preserve"> learners’ competence to overcome </w:t>
      </w:r>
      <w:r w:rsidR="00C52075">
        <w:rPr>
          <w:rFonts w:cs="Times New Roman"/>
          <w:noProof/>
          <w:szCs w:val="24"/>
        </w:rPr>
        <w:t>organization</w:t>
      </w:r>
      <w:r w:rsidRPr="002A7627">
        <w:rPr>
          <w:rFonts w:cs="Times New Roman"/>
          <w:noProof/>
          <w:szCs w:val="24"/>
        </w:rPr>
        <w:t xml:space="preserve">’s learning inertia: </w:t>
      </w:r>
      <w:r w:rsidR="004B5FB8">
        <w:rPr>
          <w:rFonts w:cs="Times New Roman"/>
          <w:noProof/>
          <w:szCs w:val="24"/>
        </w:rPr>
        <w:t>a</w:t>
      </w:r>
      <w:r w:rsidRPr="002A7627">
        <w:rPr>
          <w:rFonts w:cs="Times New Roman"/>
          <w:noProof/>
          <w:szCs w:val="24"/>
        </w:rPr>
        <w:t xml:space="preserve"> conceptual framework. </w:t>
      </w:r>
      <w:r w:rsidRPr="002A7627">
        <w:rPr>
          <w:rFonts w:cs="Times New Roman"/>
          <w:i/>
          <w:iCs/>
          <w:noProof/>
          <w:szCs w:val="24"/>
        </w:rPr>
        <w:t>International Journal of Learning and Change</w:t>
      </w:r>
      <w:r w:rsidRPr="002A7627">
        <w:rPr>
          <w:rFonts w:cs="Times New Roman"/>
          <w:noProof/>
          <w:szCs w:val="24"/>
        </w:rPr>
        <w:t xml:space="preserve">, </w:t>
      </w:r>
      <w:r w:rsidRPr="002A7627">
        <w:rPr>
          <w:rFonts w:cs="Times New Roman"/>
          <w:i/>
          <w:iCs/>
          <w:noProof/>
          <w:szCs w:val="24"/>
        </w:rPr>
        <w:t>8</w:t>
      </w:r>
      <w:r w:rsidRPr="002A7627">
        <w:rPr>
          <w:rFonts w:cs="Times New Roman"/>
          <w:noProof/>
          <w:szCs w:val="24"/>
        </w:rPr>
        <w:t>(1), 42. https://doi.org/10.1504/ijlc.2015.069072</w:t>
      </w:r>
    </w:p>
    <w:p w14:paraId="6E1DE576" w14:textId="2AD92092"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Arunprasad, P. (2015b). Strategic fulcrum for a knowledge-based economy: </w:t>
      </w:r>
      <w:r w:rsidR="004B5FB8">
        <w:rPr>
          <w:rFonts w:cs="Times New Roman"/>
          <w:noProof/>
          <w:szCs w:val="24"/>
        </w:rPr>
        <w:t>a</w:t>
      </w:r>
      <w:r w:rsidRPr="002A7627">
        <w:rPr>
          <w:rFonts w:cs="Times New Roman"/>
          <w:noProof/>
          <w:szCs w:val="24"/>
        </w:rPr>
        <w:t xml:space="preserve"> conceptual “knowledge-HR” archetype. </w:t>
      </w:r>
      <w:r w:rsidRPr="002A7627">
        <w:rPr>
          <w:rFonts w:cs="Times New Roman"/>
          <w:i/>
          <w:iCs/>
          <w:noProof/>
          <w:szCs w:val="24"/>
        </w:rPr>
        <w:t>Middle East Journal of Management</w:t>
      </w:r>
      <w:r w:rsidRPr="002A7627">
        <w:rPr>
          <w:rFonts w:cs="Times New Roman"/>
          <w:noProof/>
          <w:szCs w:val="24"/>
        </w:rPr>
        <w:t xml:space="preserve">, </w:t>
      </w:r>
      <w:r w:rsidRPr="002A7627">
        <w:rPr>
          <w:rFonts w:cs="Times New Roman"/>
          <w:i/>
          <w:iCs/>
          <w:noProof/>
          <w:szCs w:val="24"/>
        </w:rPr>
        <w:t>2</w:t>
      </w:r>
      <w:r w:rsidRPr="002A7627">
        <w:rPr>
          <w:rFonts w:cs="Times New Roman"/>
          <w:noProof/>
          <w:szCs w:val="24"/>
        </w:rPr>
        <w:t>(2), 97–120. https://doi.org/10.1504/MEJM.2015.070750</w:t>
      </w:r>
    </w:p>
    <w:p w14:paraId="0BF8C207" w14:textId="66C356AE"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Arunprasad, P. (2017). Inevitable knowledge strategy: </w:t>
      </w:r>
      <w:r w:rsidR="004B5FB8">
        <w:rPr>
          <w:rFonts w:cs="Times New Roman"/>
          <w:noProof/>
          <w:szCs w:val="24"/>
        </w:rPr>
        <w:t>a</w:t>
      </w:r>
      <w:r w:rsidRPr="002A7627">
        <w:rPr>
          <w:rFonts w:cs="Times New Roman"/>
          <w:noProof/>
          <w:szCs w:val="24"/>
        </w:rPr>
        <w:t xml:space="preserve"> paradigm shift in strategic HRM practices to augment firm’s performance. </w:t>
      </w:r>
      <w:r w:rsidRPr="002A7627">
        <w:rPr>
          <w:rFonts w:cs="Times New Roman"/>
          <w:i/>
          <w:iCs/>
          <w:noProof/>
          <w:szCs w:val="24"/>
        </w:rPr>
        <w:t>Employee Relations</w:t>
      </w:r>
      <w:r w:rsidRPr="002A7627">
        <w:rPr>
          <w:rFonts w:cs="Times New Roman"/>
          <w:noProof/>
          <w:szCs w:val="24"/>
        </w:rPr>
        <w:t xml:space="preserve">, </w:t>
      </w:r>
      <w:r w:rsidRPr="002A7627">
        <w:rPr>
          <w:rFonts w:cs="Times New Roman"/>
          <w:i/>
          <w:iCs/>
          <w:noProof/>
          <w:szCs w:val="24"/>
        </w:rPr>
        <w:t>39</w:t>
      </w:r>
      <w:r w:rsidRPr="002A7627">
        <w:rPr>
          <w:rFonts w:cs="Times New Roman"/>
          <w:noProof/>
          <w:szCs w:val="24"/>
        </w:rPr>
        <w:t>(5), 753–774. https://doi.org/10.1108/ER-01-2016-0006</w:t>
      </w:r>
    </w:p>
    <w:p w14:paraId="61383838"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Attia, A., &amp; Essam Eldin, I. (2018). Organizational learning, knowledge management capability and supply chain management practices in the Saudi food industry.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22</w:t>
      </w:r>
      <w:r w:rsidRPr="002A7627">
        <w:rPr>
          <w:rFonts w:cs="Times New Roman"/>
          <w:noProof/>
          <w:szCs w:val="24"/>
        </w:rPr>
        <w:t>(6), 1217–1242. https://doi.org/10.1108/JKM-09-2017-0409</w:t>
      </w:r>
    </w:p>
    <w:p w14:paraId="44D1A698"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Bandura, A. (1986a). </w:t>
      </w:r>
      <w:r w:rsidRPr="002A7627">
        <w:rPr>
          <w:rFonts w:cs="Times New Roman"/>
          <w:i/>
          <w:iCs/>
          <w:noProof/>
          <w:szCs w:val="24"/>
        </w:rPr>
        <w:t>Social Foundations of Thought and Action: A Social-Cognitive View</w:t>
      </w:r>
      <w:r w:rsidRPr="002A7627">
        <w:rPr>
          <w:rFonts w:cs="Times New Roman"/>
          <w:noProof/>
          <w:szCs w:val="24"/>
        </w:rPr>
        <w:t xml:space="preserve">. </w:t>
      </w:r>
      <w:r w:rsidRPr="002A7627">
        <w:rPr>
          <w:rFonts w:cs="Times New Roman"/>
          <w:i/>
          <w:iCs/>
          <w:noProof/>
          <w:szCs w:val="24"/>
        </w:rPr>
        <w:t>Academy of Management Review</w:t>
      </w:r>
      <w:r w:rsidRPr="002A7627">
        <w:rPr>
          <w:rFonts w:cs="Times New Roman"/>
          <w:noProof/>
          <w:szCs w:val="24"/>
        </w:rPr>
        <w:t>. Englewood Cliffs, NJ: Prentice-Hall.</w:t>
      </w:r>
    </w:p>
    <w:p w14:paraId="39F0DE6D"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Bandura, A. (1986b). The explanatory and predictive scope of self-efficacy theory. </w:t>
      </w:r>
      <w:r w:rsidRPr="002A7627">
        <w:rPr>
          <w:rFonts w:cs="Times New Roman"/>
          <w:i/>
          <w:iCs/>
          <w:noProof/>
          <w:szCs w:val="24"/>
        </w:rPr>
        <w:t>Journal of Social and Clinical Psychology</w:t>
      </w:r>
      <w:r w:rsidRPr="002A7627">
        <w:rPr>
          <w:rFonts w:cs="Times New Roman"/>
          <w:noProof/>
          <w:szCs w:val="24"/>
        </w:rPr>
        <w:t xml:space="preserve">, </w:t>
      </w:r>
      <w:r w:rsidRPr="002A7627">
        <w:rPr>
          <w:rFonts w:cs="Times New Roman"/>
          <w:i/>
          <w:iCs/>
          <w:noProof/>
          <w:szCs w:val="24"/>
        </w:rPr>
        <w:t>4</w:t>
      </w:r>
      <w:r w:rsidRPr="002A7627">
        <w:rPr>
          <w:rFonts w:cs="Times New Roman"/>
          <w:noProof/>
          <w:szCs w:val="24"/>
        </w:rPr>
        <w:t>(3), 359–373. https://doi.org/10.1521/jscp.1986.4.3.359</w:t>
      </w:r>
    </w:p>
    <w:p w14:paraId="6891C0D4" w14:textId="6EE142A6"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Bao, Y., Chen, X., &amp; Zhou, K. Z. (2012). External learning, market dynamics, and radical innovation: </w:t>
      </w:r>
      <w:r w:rsidR="004B5FB8">
        <w:rPr>
          <w:rFonts w:cs="Times New Roman"/>
          <w:noProof/>
          <w:szCs w:val="24"/>
        </w:rPr>
        <w:t>e</w:t>
      </w:r>
      <w:r w:rsidRPr="002A7627">
        <w:rPr>
          <w:rFonts w:cs="Times New Roman"/>
          <w:noProof/>
          <w:szCs w:val="24"/>
        </w:rPr>
        <w:t xml:space="preserve">vidence from China’s high-tech firms. </w:t>
      </w:r>
      <w:r w:rsidRPr="002A7627">
        <w:rPr>
          <w:rFonts w:cs="Times New Roman"/>
          <w:i/>
          <w:iCs/>
          <w:noProof/>
          <w:szCs w:val="24"/>
        </w:rPr>
        <w:t>Journal of Business Research</w:t>
      </w:r>
      <w:r w:rsidRPr="002A7627">
        <w:rPr>
          <w:rFonts w:cs="Times New Roman"/>
          <w:noProof/>
          <w:szCs w:val="24"/>
        </w:rPr>
        <w:t xml:space="preserve">, </w:t>
      </w:r>
      <w:r w:rsidRPr="002A7627">
        <w:rPr>
          <w:rFonts w:cs="Times New Roman"/>
          <w:i/>
          <w:iCs/>
          <w:noProof/>
          <w:szCs w:val="24"/>
        </w:rPr>
        <w:t>65</w:t>
      </w:r>
      <w:r w:rsidRPr="002A7627">
        <w:rPr>
          <w:rFonts w:cs="Times New Roman"/>
          <w:noProof/>
          <w:szCs w:val="24"/>
        </w:rPr>
        <w:t>(8), 1226–1233. https://doi.org/10.1016/j.jbusres.2011.06.036</w:t>
      </w:r>
    </w:p>
    <w:p w14:paraId="3A9F7EED" w14:textId="52C6DAA8"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Bapuji, H., &amp; Crossan, M. (2004). From questions to answers: </w:t>
      </w:r>
      <w:r w:rsidR="004B5FB8">
        <w:rPr>
          <w:rFonts w:cs="Times New Roman"/>
          <w:noProof/>
          <w:szCs w:val="24"/>
        </w:rPr>
        <w:t>r</w:t>
      </w:r>
      <w:r w:rsidRPr="002A7627">
        <w:rPr>
          <w:rFonts w:cs="Times New Roman"/>
          <w:noProof/>
          <w:szCs w:val="24"/>
        </w:rPr>
        <w:t xml:space="preserve">eviewing organizational learning research. </w:t>
      </w:r>
      <w:r w:rsidRPr="002A7627">
        <w:rPr>
          <w:rFonts w:cs="Times New Roman"/>
          <w:i/>
          <w:iCs/>
          <w:noProof/>
          <w:szCs w:val="24"/>
        </w:rPr>
        <w:t>Management Learning</w:t>
      </w:r>
      <w:r w:rsidRPr="002A7627">
        <w:rPr>
          <w:rFonts w:cs="Times New Roman"/>
          <w:noProof/>
          <w:szCs w:val="24"/>
        </w:rPr>
        <w:t xml:space="preserve">, </w:t>
      </w:r>
      <w:r w:rsidRPr="002A7627">
        <w:rPr>
          <w:rFonts w:cs="Times New Roman"/>
          <w:i/>
          <w:iCs/>
          <w:noProof/>
          <w:szCs w:val="24"/>
        </w:rPr>
        <w:t>35</w:t>
      </w:r>
      <w:r w:rsidRPr="002A7627">
        <w:rPr>
          <w:rFonts w:cs="Times New Roman"/>
          <w:noProof/>
          <w:szCs w:val="24"/>
        </w:rPr>
        <w:t>(4), 397–417. https://doi.org/10.1177/1350507604048270</w:t>
      </w:r>
    </w:p>
    <w:p w14:paraId="13D511E2"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Barney, J. (1991). Firm resources and sustained competitive advantage. </w:t>
      </w:r>
      <w:r w:rsidRPr="002A7627">
        <w:rPr>
          <w:rFonts w:cs="Times New Roman"/>
          <w:i/>
          <w:iCs/>
          <w:noProof/>
          <w:szCs w:val="24"/>
        </w:rPr>
        <w:t>Journal of Management</w:t>
      </w:r>
      <w:r w:rsidRPr="002A7627">
        <w:rPr>
          <w:rFonts w:cs="Times New Roman"/>
          <w:noProof/>
          <w:szCs w:val="24"/>
        </w:rPr>
        <w:t xml:space="preserve">, </w:t>
      </w:r>
      <w:r w:rsidRPr="002A7627">
        <w:rPr>
          <w:rFonts w:cs="Times New Roman"/>
          <w:i/>
          <w:iCs/>
          <w:noProof/>
          <w:szCs w:val="24"/>
        </w:rPr>
        <w:t>17</w:t>
      </w:r>
      <w:r w:rsidRPr="002A7627">
        <w:rPr>
          <w:rFonts w:cs="Times New Roman"/>
          <w:noProof/>
          <w:szCs w:val="24"/>
        </w:rPr>
        <w:t>(1), 99–120.</w:t>
      </w:r>
    </w:p>
    <w:p w14:paraId="701BBF06" w14:textId="31BF3EB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Batra, S. (2009). Strengthening human capital for knowledge economy needs: </w:t>
      </w:r>
      <w:r w:rsidR="004B5FB8">
        <w:rPr>
          <w:rFonts w:cs="Times New Roman"/>
          <w:noProof/>
          <w:szCs w:val="24"/>
        </w:rPr>
        <w:t>a</w:t>
      </w:r>
      <w:r w:rsidRPr="002A7627">
        <w:rPr>
          <w:rFonts w:cs="Times New Roman"/>
          <w:noProof/>
          <w:szCs w:val="24"/>
        </w:rPr>
        <w:t xml:space="preserve">n Indian perspective.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13</w:t>
      </w:r>
      <w:r w:rsidRPr="002A7627">
        <w:rPr>
          <w:rFonts w:cs="Times New Roman"/>
          <w:noProof/>
          <w:szCs w:val="24"/>
        </w:rPr>
        <w:t>(5), 345–358. https://doi.org/10.1108/13673270910988150</w:t>
      </w:r>
    </w:p>
    <w:p w14:paraId="737C44A9" w14:textId="10D5CA9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Bello-Pintado, A. (2015). Bundles of HRM practices and performance: </w:t>
      </w:r>
      <w:r w:rsidR="004B5FB8">
        <w:rPr>
          <w:rFonts w:cs="Times New Roman"/>
          <w:noProof/>
          <w:szCs w:val="24"/>
        </w:rPr>
        <w:t>e</w:t>
      </w:r>
      <w:r w:rsidRPr="002A7627">
        <w:rPr>
          <w:rFonts w:cs="Times New Roman"/>
          <w:noProof/>
          <w:szCs w:val="24"/>
        </w:rPr>
        <w:t xml:space="preserve">mpirical evidence from a Latin American context. </w:t>
      </w:r>
      <w:r w:rsidRPr="002A7627">
        <w:rPr>
          <w:rFonts w:cs="Times New Roman"/>
          <w:i/>
          <w:iCs/>
          <w:noProof/>
          <w:szCs w:val="24"/>
        </w:rPr>
        <w:t>Human Resource Management Journal</w:t>
      </w:r>
      <w:r w:rsidRPr="002A7627">
        <w:rPr>
          <w:rFonts w:cs="Times New Roman"/>
          <w:noProof/>
          <w:szCs w:val="24"/>
        </w:rPr>
        <w:t xml:space="preserve">, </w:t>
      </w:r>
      <w:r w:rsidRPr="002A7627">
        <w:rPr>
          <w:rFonts w:cs="Times New Roman"/>
          <w:i/>
          <w:iCs/>
          <w:noProof/>
          <w:szCs w:val="24"/>
        </w:rPr>
        <w:t>25</w:t>
      </w:r>
      <w:r w:rsidRPr="002A7627">
        <w:rPr>
          <w:rFonts w:cs="Times New Roman"/>
          <w:noProof/>
          <w:szCs w:val="24"/>
        </w:rPr>
        <w:t>(3), 311–330. https://doi.org/10.1111/1748-8583.12067</w:t>
      </w:r>
    </w:p>
    <w:p w14:paraId="0162EE6D"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Bentler, P. M., &amp; Bonett, D. G. (1980). Significance tests and goodness of fit in the analysis of covariance structures. </w:t>
      </w:r>
      <w:r w:rsidRPr="002A7627">
        <w:rPr>
          <w:rFonts w:cs="Times New Roman"/>
          <w:i/>
          <w:iCs/>
          <w:noProof/>
          <w:szCs w:val="24"/>
        </w:rPr>
        <w:t>Psychological Bulletin</w:t>
      </w:r>
      <w:r w:rsidRPr="002A7627">
        <w:rPr>
          <w:rFonts w:cs="Times New Roman"/>
          <w:noProof/>
          <w:szCs w:val="24"/>
        </w:rPr>
        <w:t xml:space="preserve">, </w:t>
      </w:r>
      <w:r w:rsidRPr="002A7627">
        <w:rPr>
          <w:rFonts w:cs="Times New Roman"/>
          <w:i/>
          <w:iCs/>
          <w:noProof/>
          <w:szCs w:val="24"/>
        </w:rPr>
        <w:t>88</w:t>
      </w:r>
      <w:r w:rsidRPr="002A7627">
        <w:rPr>
          <w:rFonts w:cs="Times New Roman"/>
          <w:noProof/>
          <w:szCs w:val="24"/>
        </w:rPr>
        <w:t>(3), 588–606.</w:t>
      </w:r>
    </w:p>
    <w:p w14:paraId="4B6175C8"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Bierly, P. E., &amp; Chakrabarti, A. (1996). Generic knowledge strategies in the U.S. pharmaceutical industry. </w:t>
      </w:r>
      <w:r w:rsidRPr="002A7627">
        <w:rPr>
          <w:rFonts w:cs="Times New Roman"/>
          <w:i/>
          <w:iCs/>
          <w:noProof/>
          <w:szCs w:val="24"/>
        </w:rPr>
        <w:t>Strategic Management Journal</w:t>
      </w:r>
      <w:r w:rsidRPr="002A7627">
        <w:rPr>
          <w:rFonts w:cs="Times New Roman"/>
          <w:noProof/>
          <w:szCs w:val="24"/>
        </w:rPr>
        <w:t xml:space="preserve">, </w:t>
      </w:r>
      <w:r w:rsidRPr="002A7627">
        <w:rPr>
          <w:rFonts w:cs="Times New Roman"/>
          <w:i/>
          <w:iCs/>
          <w:noProof/>
          <w:szCs w:val="24"/>
        </w:rPr>
        <w:t>17</w:t>
      </w:r>
      <w:r w:rsidRPr="002A7627">
        <w:rPr>
          <w:rFonts w:cs="Times New Roman"/>
          <w:noProof/>
          <w:szCs w:val="24"/>
        </w:rPr>
        <w:t>(S2), 123–135. https://doi.org/10.1002/smj.4250171111</w:t>
      </w:r>
    </w:p>
    <w:p w14:paraId="74F05D9C"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Bierly, P. E., &amp; Daly, P. (2002). Aligning human resource management practices and knowledge strategies. In C. W. Choo &amp; N. Bontis (Eds.), </w:t>
      </w:r>
      <w:r w:rsidRPr="002A7627">
        <w:rPr>
          <w:rFonts w:cs="Times New Roman"/>
          <w:i/>
          <w:iCs/>
          <w:noProof/>
          <w:szCs w:val="24"/>
        </w:rPr>
        <w:t>The strategic management of intellectual capital and organizational knowledge</w:t>
      </w:r>
      <w:r w:rsidRPr="002A7627">
        <w:rPr>
          <w:rFonts w:cs="Times New Roman"/>
          <w:noProof/>
          <w:szCs w:val="24"/>
        </w:rPr>
        <w:t xml:space="preserve"> (pp. 277–295). New York, NY: Oxford University Press.</w:t>
      </w:r>
    </w:p>
    <w:p w14:paraId="44441AD0" w14:textId="74CA1A6F"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Birasnav, M., Rangnekar, S., &amp; Dalpati, A. (2011). Transformational leadership and human capital benefits: </w:t>
      </w:r>
      <w:r w:rsidR="004B5FB8">
        <w:rPr>
          <w:rFonts w:cs="Times New Roman"/>
          <w:noProof/>
          <w:szCs w:val="24"/>
        </w:rPr>
        <w:t>t</w:t>
      </w:r>
      <w:r w:rsidRPr="002A7627">
        <w:rPr>
          <w:rFonts w:cs="Times New Roman"/>
          <w:noProof/>
          <w:szCs w:val="24"/>
        </w:rPr>
        <w:t xml:space="preserve">he role of knowledge management. </w:t>
      </w:r>
      <w:r w:rsidRPr="002A7627">
        <w:rPr>
          <w:rFonts w:cs="Times New Roman"/>
          <w:i/>
          <w:iCs/>
          <w:noProof/>
          <w:szCs w:val="24"/>
        </w:rPr>
        <w:t>Leadership and Organization Development Journal</w:t>
      </w:r>
      <w:r w:rsidRPr="002A7627">
        <w:rPr>
          <w:rFonts w:cs="Times New Roman"/>
          <w:noProof/>
          <w:szCs w:val="24"/>
        </w:rPr>
        <w:t xml:space="preserve">, </w:t>
      </w:r>
      <w:r w:rsidRPr="002A7627">
        <w:rPr>
          <w:rFonts w:cs="Times New Roman"/>
          <w:i/>
          <w:iCs/>
          <w:noProof/>
          <w:szCs w:val="24"/>
        </w:rPr>
        <w:t>32</w:t>
      </w:r>
      <w:r w:rsidRPr="002A7627">
        <w:rPr>
          <w:rFonts w:cs="Times New Roman"/>
          <w:noProof/>
          <w:szCs w:val="24"/>
        </w:rPr>
        <w:t>(2), 106–126. https://doi.org/10.1108/01437731111112962</w:t>
      </w:r>
    </w:p>
    <w:p w14:paraId="03C58232" w14:textId="4F6063A4"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Biygautane, M., &amp; Al-yahya, K. (2011). Knowledge </w:t>
      </w:r>
      <w:r w:rsidR="0059614D">
        <w:rPr>
          <w:rFonts w:cs="Times New Roman"/>
          <w:noProof/>
          <w:szCs w:val="24"/>
        </w:rPr>
        <w:t>m</w:t>
      </w:r>
      <w:r w:rsidRPr="002A7627">
        <w:rPr>
          <w:rFonts w:cs="Times New Roman"/>
          <w:noProof/>
          <w:szCs w:val="24"/>
        </w:rPr>
        <w:t xml:space="preserve">anagement in the UAE’s </w:t>
      </w:r>
      <w:r w:rsidR="0059614D">
        <w:rPr>
          <w:rFonts w:cs="Times New Roman"/>
          <w:noProof/>
          <w:szCs w:val="24"/>
        </w:rPr>
        <w:t>p</w:t>
      </w:r>
      <w:r w:rsidRPr="002A7627">
        <w:rPr>
          <w:rFonts w:cs="Times New Roman"/>
          <w:noProof/>
          <w:szCs w:val="24"/>
        </w:rPr>
        <w:t xml:space="preserve">ublic </w:t>
      </w:r>
      <w:r w:rsidR="0059614D">
        <w:rPr>
          <w:rFonts w:cs="Times New Roman"/>
          <w:noProof/>
          <w:szCs w:val="24"/>
        </w:rPr>
        <w:t>s</w:t>
      </w:r>
      <w:r w:rsidRPr="002A7627">
        <w:rPr>
          <w:rFonts w:cs="Times New Roman"/>
          <w:noProof/>
          <w:szCs w:val="24"/>
        </w:rPr>
        <w:t>ector:</w:t>
      </w:r>
      <w:r w:rsidR="0059614D">
        <w:rPr>
          <w:rFonts w:cs="Times New Roman"/>
          <w:noProof/>
          <w:szCs w:val="24"/>
        </w:rPr>
        <w:t xml:space="preserve"> t</w:t>
      </w:r>
      <w:r w:rsidRPr="002A7627">
        <w:rPr>
          <w:rFonts w:cs="Times New Roman"/>
          <w:noProof/>
          <w:szCs w:val="24"/>
        </w:rPr>
        <w:t xml:space="preserve">he </w:t>
      </w:r>
      <w:r w:rsidR="0059614D">
        <w:rPr>
          <w:rFonts w:cs="Times New Roman"/>
          <w:noProof/>
          <w:szCs w:val="24"/>
        </w:rPr>
        <w:t>c</w:t>
      </w:r>
      <w:r w:rsidRPr="002A7627">
        <w:rPr>
          <w:rFonts w:cs="Times New Roman"/>
          <w:noProof/>
          <w:szCs w:val="24"/>
        </w:rPr>
        <w:t xml:space="preserve">ase of Dubai. In </w:t>
      </w:r>
      <w:r w:rsidRPr="002A7627">
        <w:rPr>
          <w:rFonts w:cs="Times New Roman"/>
          <w:i/>
          <w:iCs/>
          <w:noProof/>
          <w:szCs w:val="24"/>
        </w:rPr>
        <w:t>Gulf Research Meeting Conference at the University of Cambridge, UK.</w:t>
      </w:r>
      <w:r w:rsidRPr="002A7627">
        <w:rPr>
          <w:rFonts w:cs="Times New Roman"/>
          <w:noProof/>
          <w:szCs w:val="24"/>
        </w:rPr>
        <w:t xml:space="preserve"> Cambridge, UK: University of Cambridge.</w:t>
      </w:r>
    </w:p>
    <w:p w14:paraId="4B206977"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Blau, P. (1964). </w:t>
      </w:r>
      <w:r w:rsidRPr="002A7627">
        <w:rPr>
          <w:rFonts w:cs="Times New Roman"/>
          <w:i/>
          <w:iCs/>
          <w:noProof/>
          <w:szCs w:val="24"/>
        </w:rPr>
        <w:t>Power and exchange in social life</w:t>
      </w:r>
      <w:r w:rsidRPr="002A7627">
        <w:rPr>
          <w:rFonts w:cs="Times New Roman"/>
          <w:noProof/>
          <w:szCs w:val="24"/>
        </w:rPr>
        <w:t>. New York, NY: John Wiley &amp; Sons.</w:t>
      </w:r>
    </w:p>
    <w:p w14:paraId="0A2B0DC6" w14:textId="3FDB6B76" w:rsidR="00AE6FCE" w:rsidRPr="00590969" w:rsidRDefault="00CD0B2F" w:rsidP="00AE6FCE">
      <w:pPr>
        <w:spacing w:line="480" w:lineRule="auto"/>
        <w:ind w:left="480" w:hanging="480"/>
        <w:jc w:val="both"/>
        <w:rPr>
          <w:rFonts w:cs="Times New Roman"/>
          <w:noProof/>
          <w:color w:val="000000" w:themeColor="text1"/>
          <w:szCs w:val="24"/>
        </w:rPr>
      </w:pPr>
      <w:r w:rsidRPr="002A7627">
        <w:rPr>
          <w:rFonts w:cs="Times New Roman"/>
          <w:noProof/>
          <w:szCs w:val="24"/>
        </w:rPr>
        <w:t xml:space="preserve">Bock, G. W., Zmud, R. W., Kim, Y.-G., &amp; Lee, J. N. (2005). Behavioral intention formation in knowledge sharing: </w:t>
      </w:r>
      <w:r w:rsidR="004B5FB8">
        <w:rPr>
          <w:rFonts w:cs="Times New Roman"/>
          <w:noProof/>
          <w:szCs w:val="24"/>
        </w:rPr>
        <w:t>e</w:t>
      </w:r>
      <w:r w:rsidRPr="002A7627">
        <w:rPr>
          <w:rFonts w:cs="Times New Roman"/>
          <w:noProof/>
          <w:szCs w:val="24"/>
        </w:rPr>
        <w:t xml:space="preserve">xamining the roles of extrinsic motivators, social-psychological forces, and organizational climate. </w:t>
      </w:r>
      <w:r w:rsidRPr="002A7627">
        <w:rPr>
          <w:rFonts w:cs="Times New Roman"/>
          <w:i/>
          <w:iCs/>
          <w:noProof/>
          <w:szCs w:val="24"/>
        </w:rPr>
        <w:t>MIS Quarterly</w:t>
      </w:r>
      <w:r w:rsidRPr="002A7627">
        <w:rPr>
          <w:rFonts w:cs="Times New Roman"/>
          <w:noProof/>
          <w:szCs w:val="24"/>
        </w:rPr>
        <w:t xml:space="preserve">, </w:t>
      </w:r>
      <w:r w:rsidRPr="002A7627">
        <w:rPr>
          <w:rFonts w:cs="Times New Roman"/>
          <w:i/>
          <w:iCs/>
          <w:noProof/>
          <w:szCs w:val="24"/>
        </w:rPr>
        <w:t>29</w:t>
      </w:r>
      <w:r w:rsidRPr="002A7627">
        <w:rPr>
          <w:rFonts w:cs="Times New Roman"/>
          <w:noProof/>
          <w:szCs w:val="24"/>
        </w:rPr>
        <w:t>(1), 87</w:t>
      </w:r>
      <w:r w:rsidRPr="00590969">
        <w:rPr>
          <w:rFonts w:cs="Times New Roman"/>
          <w:noProof/>
          <w:color w:val="000000" w:themeColor="text1"/>
          <w:szCs w:val="24"/>
        </w:rPr>
        <w:t xml:space="preserve">. </w:t>
      </w:r>
      <w:hyperlink r:id="rId39" w:history="1">
        <w:r w:rsidR="00AE6FCE" w:rsidRPr="00590969">
          <w:rPr>
            <w:rStyle w:val="Hyperlink"/>
            <w:rFonts w:cs="Times New Roman"/>
            <w:noProof/>
            <w:color w:val="000000" w:themeColor="text1"/>
            <w:szCs w:val="24"/>
            <w:u w:val="none"/>
          </w:rPr>
          <w:t>https://doi.org/10.2307/25148669</w:t>
        </w:r>
      </w:hyperlink>
    </w:p>
    <w:p w14:paraId="472325CF"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Bolisani, E., &amp; Bratianu, C. (2018). Knowledge as a strategic weapon. In </w:t>
      </w:r>
      <w:r w:rsidRPr="002A7627">
        <w:rPr>
          <w:rFonts w:cs="Times New Roman"/>
          <w:i/>
          <w:iCs/>
          <w:noProof/>
          <w:szCs w:val="24"/>
        </w:rPr>
        <w:t>Emergent knowledge strategies</w:t>
      </w:r>
      <w:r w:rsidRPr="002A7627">
        <w:rPr>
          <w:rFonts w:cs="Times New Roman"/>
          <w:noProof/>
          <w:szCs w:val="24"/>
        </w:rPr>
        <w:t xml:space="preserve"> (pp. 49–72). Cham, Switzerland: Springer.</w:t>
      </w:r>
    </w:p>
    <w:p w14:paraId="2A6E5FED" w14:textId="6E0D09B8" w:rsidR="00CD0B2F" w:rsidRDefault="00CD0B2F" w:rsidP="002A7627">
      <w:pPr>
        <w:spacing w:line="480" w:lineRule="auto"/>
        <w:ind w:left="480" w:hanging="480"/>
        <w:jc w:val="both"/>
        <w:rPr>
          <w:rFonts w:cs="Times New Roman"/>
          <w:noProof/>
          <w:szCs w:val="24"/>
        </w:rPr>
      </w:pPr>
      <w:r w:rsidRPr="002A7627">
        <w:rPr>
          <w:rFonts w:cs="Times New Roman"/>
          <w:noProof/>
          <w:szCs w:val="24"/>
        </w:rPr>
        <w:t xml:space="preserve">Bollen, K. A., &amp; Stine, R. A. (1992). Bootstrapping goodness-of-fit measures in structural equation models. </w:t>
      </w:r>
      <w:r w:rsidRPr="002A7627">
        <w:rPr>
          <w:rFonts w:cs="Times New Roman"/>
          <w:i/>
          <w:iCs/>
          <w:noProof/>
          <w:szCs w:val="24"/>
        </w:rPr>
        <w:t>Sociological Methods and Research</w:t>
      </w:r>
      <w:r w:rsidRPr="002A7627">
        <w:rPr>
          <w:rFonts w:cs="Times New Roman"/>
          <w:noProof/>
          <w:szCs w:val="24"/>
        </w:rPr>
        <w:t xml:space="preserve">, </w:t>
      </w:r>
      <w:r w:rsidRPr="002A7627">
        <w:rPr>
          <w:rFonts w:cs="Times New Roman"/>
          <w:i/>
          <w:iCs/>
          <w:noProof/>
          <w:szCs w:val="24"/>
        </w:rPr>
        <w:t>21</w:t>
      </w:r>
      <w:r w:rsidRPr="002A7627">
        <w:rPr>
          <w:rFonts w:cs="Times New Roman"/>
          <w:noProof/>
          <w:szCs w:val="24"/>
        </w:rPr>
        <w:t>(2), 205–229.</w:t>
      </w:r>
      <w:r w:rsidRPr="00590969">
        <w:rPr>
          <w:rFonts w:cs="Times New Roman"/>
          <w:noProof/>
          <w:color w:val="000000" w:themeColor="text1"/>
          <w:szCs w:val="24"/>
        </w:rPr>
        <w:t xml:space="preserve"> </w:t>
      </w:r>
      <w:hyperlink r:id="rId40" w:history="1">
        <w:r w:rsidR="00AE6FCE" w:rsidRPr="00AF3C37">
          <w:rPr>
            <w:rStyle w:val="Hyperlink"/>
            <w:rFonts w:cs="Times New Roman"/>
            <w:noProof/>
            <w:color w:val="000000" w:themeColor="text1"/>
            <w:szCs w:val="24"/>
            <w:u w:val="none"/>
          </w:rPr>
          <w:t>https://doi.org/10.1177/0049124192021002004</w:t>
        </w:r>
      </w:hyperlink>
    </w:p>
    <w:p w14:paraId="7BE4E531" w14:textId="6FD6EF50" w:rsidR="00AE6FCE" w:rsidRPr="002A7627" w:rsidRDefault="00AE6FCE" w:rsidP="002A7627">
      <w:pPr>
        <w:spacing w:line="480" w:lineRule="auto"/>
        <w:ind w:left="480" w:hanging="480"/>
        <w:jc w:val="both"/>
        <w:rPr>
          <w:rFonts w:cs="Times New Roman"/>
          <w:noProof/>
          <w:szCs w:val="24"/>
        </w:rPr>
      </w:pPr>
      <w:r>
        <w:t xml:space="preserve">Bollinger, A. S., &amp; Smith, R. D. (2001). Managing organizational knowledge as a strategic asset. </w:t>
      </w:r>
      <w:r>
        <w:rPr>
          <w:i/>
          <w:iCs/>
        </w:rPr>
        <w:t>Journal of knowledge management</w:t>
      </w:r>
      <w:r>
        <w:t xml:space="preserve">, </w:t>
      </w:r>
      <w:r>
        <w:rPr>
          <w:i/>
          <w:iCs/>
        </w:rPr>
        <w:t>5</w:t>
      </w:r>
      <w:r>
        <w:t xml:space="preserve">(1), 8-18. </w:t>
      </w:r>
      <w:hyperlink r:id="rId41" w:tooltip="DOI: https://doi.org/10.1108/13673270110384365" w:history="1">
        <w:r w:rsidRPr="00AF3C37">
          <w:rPr>
            <w:rStyle w:val="Hyperlink"/>
            <w:color w:val="000000" w:themeColor="text1"/>
            <w:u w:val="none"/>
          </w:rPr>
          <w:t>https://doi.org/10.1108/13673270110384365</w:t>
        </w:r>
      </w:hyperlink>
    </w:p>
    <w:p w14:paraId="6762C5E3"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Boumarafi, B., &amp; Jabnoun, N. (2008). Knowledge management and performance in UAE business organizations. </w:t>
      </w:r>
      <w:r w:rsidRPr="002A7627">
        <w:rPr>
          <w:rFonts w:cs="Times New Roman"/>
          <w:i/>
          <w:iCs/>
          <w:noProof/>
          <w:szCs w:val="24"/>
        </w:rPr>
        <w:t>Knowledge Management Research and Practice</w:t>
      </w:r>
      <w:r w:rsidRPr="002A7627">
        <w:rPr>
          <w:rFonts w:cs="Times New Roman"/>
          <w:noProof/>
          <w:szCs w:val="24"/>
        </w:rPr>
        <w:t xml:space="preserve">, </w:t>
      </w:r>
      <w:r w:rsidRPr="002A7627">
        <w:rPr>
          <w:rFonts w:cs="Times New Roman"/>
          <w:i/>
          <w:iCs/>
          <w:noProof/>
          <w:szCs w:val="24"/>
        </w:rPr>
        <w:t>6</w:t>
      </w:r>
      <w:r w:rsidRPr="002A7627">
        <w:rPr>
          <w:rFonts w:cs="Times New Roman"/>
          <w:noProof/>
          <w:szCs w:val="24"/>
        </w:rPr>
        <w:t>(3), 233–238. https://doi.org/10.1057/kmrp.2008.16</w:t>
      </w:r>
    </w:p>
    <w:p w14:paraId="534E778C" w14:textId="5FB66262"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Bouthillier, F., &amp; Dalkir, K. (2005). Knowledge management and competitive intelligence: </w:t>
      </w:r>
      <w:r w:rsidR="004B5FB8">
        <w:rPr>
          <w:rFonts w:cs="Times New Roman"/>
          <w:noProof/>
          <w:szCs w:val="24"/>
        </w:rPr>
        <w:t>e</w:t>
      </w:r>
      <w:r w:rsidRPr="002A7627">
        <w:rPr>
          <w:rFonts w:cs="Times New Roman"/>
          <w:noProof/>
          <w:szCs w:val="24"/>
        </w:rPr>
        <w:t xml:space="preserve">xamination of similarities, differences and intersections. In S. Hawamdeh (Ed.), </w:t>
      </w:r>
      <w:r w:rsidRPr="002A7627">
        <w:rPr>
          <w:rFonts w:cs="Times New Roman"/>
          <w:i/>
          <w:iCs/>
          <w:noProof/>
          <w:szCs w:val="24"/>
        </w:rPr>
        <w:t>Knowledge management: Nurturing culture, innovation, and technology</w:t>
      </w:r>
      <w:r w:rsidRPr="002A7627">
        <w:rPr>
          <w:rFonts w:cs="Times New Roman"/>
          <w:noProof/>
          <w:szCs w:val="24"/>
        </w:rPr>
        <w:t xml:space="preserve"> (pp. 603–610). New York, NY: World Scientific.</w:t>
      </w:r>
    </w:p>
    <w:p w14:paraId="044D06C9" w14:textId="7A203CBF"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Bradley, G. (2010). </w:t>
      </w:r>
      <w:r w:rsidRPr="002A7627">
        <w:rPr>
          <w:rFonts w:cs="Times New Roman"/>
          <w:i/>
          <w:iCs/>
          <w:noProof/>
          <w:szCs w:val="24"/>
        </w:rPr>
        <w:t>Benefit realisation management </w:t>
      </w:r>
      <w:r w:rsidR="004B5FB8">
        <w:rPr>
          <w:rFonts w:cs="Times New Roman"/>
          <w:i/>
          <w:iCs/>
          <w:noProof/>
          <w:szCs w:val="24"/>
        </w:rPr>
        <w:t>:</w:t>
      </w:r>
      <w:r w:rsidRPr="002A7627">
        <w:rPr>
          <w:rFonts w:cs="Times New Roman"/>
          <w:i/>
          <w:iCs/>
          <w:noProof/>
          <w:szCs w:val="24"/>
        </w:rPr>
        <w:t xml:space="preserve"> </w:t>
      </w:r>
      <w:r w:rsidR="004B5FB8">
        <w:rPr>
          <w:rFonts w:cs="Times New Roman"/>
          <w:i/>
          <w:iCs/>
          <w:noProof/>
          <w:szCs w:val="24"/>
        </w:rPr>
        <w:t>a</w:t>
      </w:r>
      <w:r w:rsidRPr="002A7627">
        <w:rPr>
          <w:rFonts w:cs="Times New Roman"/>
          <w:i/>
          <w:iCs/>
          <w:noProof/>
          <w:szCs w:val="24"/>
        </w:rPr>
        <w:t xml:space="preserve"> practical guide to achieving benefits through change</w:t>
      </w:r>
      <w:r w:rsidRPr="002A7627">
        <w:rPr>
          <w:rFonts w:cs="Times New Roman"/>
          <w:noProof/>
          <w:szCs w:val="24"/>
        </w:rPr>
        <w:t xml:space="preserve"> (2nd ed.). London, UK: Routledge.</w:t>
      </w:r>
    </w:p>
    <w:p w14:paraId="1A0A0717"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Brahma, S., &amp; Mishra, S. (2015). Understanding researchable issues in knowledge management.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13</w:t>
      </w:r>
      <w:r w:rsidRPr="002A7627">
        <w:rPr>
          <w:rFonts w:cs="Times New Roman"/>
          <w:noProof/>
          <w:szCs w:val="24"/>
        </w:rPr>
        <w:t>(4), 45–69.</w:t>
      </w:r>
    </w:p>
    <w:p w14:paraId="0DBECE6E" w14:textId="41C76BE4"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Brewer, P. D., &amp; Brewer, K. L. (2010). Knowledge management, human resource management, and higher education: </w:t>
      </w:r>
      <w:r w:rsidR="004B5FB8">
        <w:rPr>
          <w:rFonts w:cs="Times New Roman"/>
          <w:noProof/>
          <w:szCs w:val="24"/>
        </w:rPr>
        <w:t>a</w:t>
      </w:r>
      <w:r w:rsidRPr="002A7627">
        <w:rPr>
          <w:rFonts w:cs="Times New Roman"/>
          <w:noProof/>
          <w:szCs w:val="24"/>
        </w:rPr>
        <w:t xml:space="preserve"> theoretical model. </w:t>
      </w:r>
      <w:r w:rsidRPr="002A7627">
        <w:rPr>
          <w:rFonts w:cs="Times New Roman"/>
          <w:i/>
          <w:iCs/>
          <w:noProof/>
          <w:szCs w:val="24"/>
        </w:rPr>
        <w:t>Journal of Education for Business</w:t>
      </w:r>
      <w:r w:rsidRPr="002A7627">
        <w:rPr>
          <w:rFonts w:cs="Times New Roman"/>
          <w:noProof/>
          <w:szCs w:val="24"/>
        </w:rPr>
        <w:t xml:space="preserve">, </w:t>
      </w:r>
      <w:r w:rsidRPr="002A7627">
        <w:rPr>
          <w:rFonts w:cs="Times New Roman"/>
          <w:i/>
          <w:iCs/>
          <w:noProof/>
          <w:szCs w:val="24"/>
        </w:rPr>
        <w:t>85</w:t>
      </w:r>
      <w:r w:rsidRPr="002A7627">
        <w:rPr>
          <w:rFonts w:cs="Times New Roman"/>
          <w:noProof/>
          <w:szCs w:val="24"/>
        </w:rPr>
        <w:t>(6), 330–335. https://doi.org/10.1080/08832321003604938</w:t>
      </w:r>
    </w:p>
    <w:p w14:paraId="6C0219F7" w14:textId="1A82D116"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Brown, J. S., &amp; Cook, S. D. N. (1999). Bridging epistemologies: </w:t>
      </w:r>
      <w:r w:rsidR="004B5FB8">
        <w:rPr>
          <w:rFonts w:cs="Times New Roman"/>
          <w:noProof/>
          <w:szCs w:val="24"/>
        </w:rPr>
        <w:t>t</w:t>
      </w:r>
      <w:r w:rsidRPr="002A7627">
        <w:rPr>
          <w:rFonts w:cs="Times New Roman"/>
          <w:noProof/>
          <w:szCs w:val="24"/>
        </w:rPr>
        <w:t xml:space="preserve">he generative dance between organizational knowledge and organizational knowing. </w:t>
      </w:r>
      <w:r w:rsidRPr="002A7627">
        <w:rPr>
          <w:rFonts w:cs="Times New Roman"/>
          <w:i/>
          <w:iCs/>
          <w:noProof/>
          <w:szCs w:val="24"/>
        </w:rPr>
        <w:t>Organization Science</w:t>
      </w:r>
      <w:r w:rsidRPr="002A7627">
        <w:rPr>
          <w:rFonts w:cs="Times New Roman"/>
          <w:noProof/>
          <w:szCs w:val="24"/>
        </w:rPr>
        <w:t xml:space="preserve">, </w:t>
      </w:r>
      <w:r w:rsidRPr="002A7627">
        <w:rPr>
          <w:rFonts w:cs="Times New Roman"/>
          <w:i/>
          <w:iCs/>
          <w:noProof/>
          <w:szCs w:val="24"/>
        </w:rPr>
        <w:t>10</w:t>
      </w:r>
      <w:r w:rsidRPr="002A7627">
        <w:rPr>
          <w:rFonts w:cs="Times New Roman"/>
          <w:noProof/>
          <w:szCs w:val="24"/>
        </w:rPr>
        <w:t>(4), 381–400. https://doi.org/10.1287/orsc.10.4.381</w:t>
      </w:r>
    </w:p>
    <w:p w14:paraId="27AB07ED" w14:textId="279C08DE"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Bryant, S. E. (2005). The impact of peer mentoring on organizational knowledge creation and sharing: </w:t>
      </w:r>
      <w:r w:rsidR="004B5FB8">
        <w:rPr>
          <w:rFonts w:cs="Times New Roman"/>
          <w:noProof/>
          <w:szCs w:val="24"/>
        </w:rPr>
        <w:t>a</w:t>
      </w:r>
      <w:r w:rsidRPr="002A7627">
        <w:rPr>
          <w:rFonts w:cs="Times New Roman"/>
          <w:noProof/>
          <w:szCs w:val="24"/>
        </w:rPr>
        <w:t xml:space="preserve">n empirical study in a software firm. </w:t>
      </w:r>
      <w:r w:rsidRPr="002A7627">
        <w:rPr>
          <w:rFonts w:cs="Times New Roman"/>
          <w:i/>
          <w:iCs/>
          <w:noProof/>
          <w:szCs w:val="24"/>
        </w:rPr>
        <w:t>Group and Organization Management</w:t>
      </w:r>
      <w:r w:rsidRPr="002A7627">
        <w:rPr>
          <w:rFonts w:cs="Times New Roman"/>
          <w:noProof/>
          <w:szCs w:val="24"/>
        </w:rPr>
        <w:t xml:space="preserve">, </w:t>
      </w:r>
      <w:r w:rsidRPr="002A7627">
        <w:rPr>
          <w:rFonts w:cs="Times New Roman"/>
          <w:i/>
          <w:iCs/>
          <w:noProof/>
          <w:szCs w:val="24"/>
        </w:rPr>
        <w:t>30</w:t>
      </w:r>
      <w:r w:rsidRPr="002A7627">
        <w:rPr>
          <w:rFonts w:cs="Times New Roman"/>
          <w:noProof/>
          <w:szCs w:val="24"/>
        </w:rPr>
        <w:t>(3), 319–338. https://doi.org/10.1177/1059601103258439</w:t>
      </w:r>
    </w:p>
    <w:p w14:paraId="675BD7DA"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Bryman, A. (2003). </w:t>
      </w:r>
      <w:r w:rsidRPr="002A7627">
        <w:rPr>
          <w:rFonts w:cs="Times New Roman"/>
          <w:i/>
          <w:iCs/>
          <w:noProof/>
          <w:szCs w:val="24"/>
        </w:rPr>
        <w:t>Quantity and quality in social research</w:t>
      </w:r>
      <w:r w:rsidRPr="002A7627">
        <w:rPr>
          <w:rFonts w:cs="Times New Roman"/>
          <w:noProof/>
          <w:szCs w:val="24"/>
        </w:rPr>
        <w:t>. London, UK: Routledge.</w:t>
      </w:r>
    </w:p>
    <w:p w14:paraId="4974AE58" w14:textId="280CF841"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Byrne, B. M. (2008). </w:t>
      </w:r>
      <w:r w:rsidRPr="002A7627">
        <w:rPr>
          <w:rFonts w:cs="Times New Roman"/>
          <w:i/>
          <w:iCs/>
          <w:noProof/>
          <w:szCs w:val="24"/>
        </w:rPr>
        <w:t xml:space="preserve">Structural equation modeling with EQs: </w:t>
      </w:r>
      <w:r w:rsidR="004B5FB8">
        <w:rPr>
          <w:rFonts w:cs="Times New Roman"/>
          <w:i/>
          <w:iCs/>
          <w:noProof/>
          <w:szCs w:val="24"/>
        </w:rPr>
        <w:t>b</w:t>
      </w:r>
      <w:r w:rsidRPr="002A7627">
        <w:rPr>
          <w:rFonts w:cs="Times New Roman"/>
          <w:i/>
          <w:iCs/>
          <w:noProof/>
          <w:szCs w:val="24"/>
        </w:rPr>
        <w:t>asic concepts, applications, and programming</w:t>
      </w:r>
      <w:r w:rsidRPr="002A7627">
        <w:rPr>
          <w:rFonts w:cs="Times New Roman"/>
          <w:noProof/>
          <w:szCs w:val="24"/>
        </w:rPr>
        <w:t>. New York, NY: Psychology Press.</w:t>
      </w:r>
    </w:p>
    <w:p w14:paraId="1C51523E" w14:textId="149C93A8"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Byron, K., &amp; Khazanchi, S. (2012). Rewards and creative performance: </w:t>
      </w:r>
      <w:r w:rsidR="004B5FB8">
        <w:rPr>
          <w:rFonts w:cs="Times New Roman"/>
          <w:noProof/>
          <w:szCs w:val="24"/>
        </w:rPr>
        <w:t>a</w:t>
      </w:r>
      <w:r w:rsidRPr="002A7627">
        <w:rPr>
          <w:rFonts w:cs="Times New Roman"/>
          <w:noProof/>
          <w:szCs w:val="24"/>
        </w:rPr>
        <w:t xml:space="preserve"> meta-analytic test of theoretically derived hypotheses. </w:t>
      </w:r>
      <w:r w:rsidRPr="002A7627">
        <w:rPr>
          <w:rFonts w:cs="Times New Roman"/>
          <w:i/>
          <w:iCs/>
          <w:noProof/>
          <w:szCs w:val="24"/>
        </w:rPr>
        <w:t>Psychological Bulletin</w:t>
      </w:r>
      <w:r w:rsidRPr="002A7627">
        <w:rPr>
          <w:rFonts w:cs="Times New Roman"/>
          <w:noProof/>
          <w:szCs w:val="24"/>
        </w:rPr>
        <w:t xml:space="preserve">, </w:t>
      </w:r>
      <w:r w:rsidRPr="002A7627">
        <w:rPr>
          <w:rFonts w:cs="Times New Roman"/>
          <w:i/>
          <w:iCs/>
          <w:noProof/>
          <w:szCs w:val="24"/>
        </w:rPr>
        <w:t>138</w:t>
      </w:r>
      <w:r w:rsidRPr="002A7627">
        <w:rPr>
          <w:rFonts w:cs="Times New Roman"/>
          <w:noProof/>
          <w:szCs w:val="24"/>
        </w:rPr>
        <w:t>(4), 809–830. https://doi.org/10.1037/a0027652</w:t>
      </w:r>
    </w:p>
    <w:p w14:paraId="76CCDA0E"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Cabrera, A., Collins, W. C., &amp; Salgado, J. F. (2006). Determinants of individual engagement in knowledge sharing. </w:t>
      </w:r>
      <w:r w:rsidRPr="002A7627">
        <w:rPr>
          <w:rFonts w:cs="Times New Roman"/>
          <w:i/>
          <w:iCs/>
          <w:noProof/>
          <w:szCs w:val="24"/>
        </w:rPr>
        <w:t>The International Journal of Human Resource Management</w:t>
      </w:r>
      <w:r w:rsidRPr="002A7627">
        <w:rPr>
          <w:rFonts w:cs="Times New Roman"/>
          <w:noProof/>
          <w:szCs w:val="24"/>
        </w:rPr>
        <w:t xml:space="preserve">, </w:t>
      </w:r>
      <w:r w:rsidRPr="002A7627">
        <w:rPr>
          <w:rFonts w:cs="Times New Roman"/>
          <w:i/>
          <w:iCs/>
          <w:noProof/>
          <w:szCs w:val="24"/>
        </w:rPr>
        <w:t>17</w:t>
      </w:r>
      <w:r w:rsidRPr="002A7627">
        <w:rPr>
          <w:rFonts w:cs="Times New Roman"/>
          <w:noProof/>
          <w:szCs w:val="24"/>
        </w:rPr>
        <w:t>(2), 245–264.</w:t>
      </w:r>
    </w:p>
    <w:p w14:paraId="2BD63A82" w14:textId="55D956CB"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Carlson, J., Rahman, M., Voola, R., &amp; De Vries, N. (2018). Customer engagement behaviours in social media: </w:t>
      </w:r>
      <w:r w:rsidR="004B5FB8">
        <w:rPr>
          <w:rFonts w:cs="Times New Roman"/>
          <w:noProof/>
          <w:szCs w:val="24"/>
        </w:rPr>
        <w:t>c</w:t>
      </w:r>
      <w:r w:rsidRPr="002A7627">
        <w:rPr>
          <w:rFonts w:cs="Times New Roman"/>
          <w:noProof/>
          <w:szCs w:val="24"/>
        </w:rPr>
        <w:t xml:space="preserve">apturing innovation opportunities. </w:t>
      </w:r>
      <w:r w:rsidRPr="002A7627">
        <w:rPr>
          <w:rFonts w:cs="Times New Roman"/>
          <w:i/>
          <w:iCs/>
          <w:noProof/>
          <w:szCs w:val="24"/>
        </w:rPr>
        <w:t>Journal of Services Marketing</w:t>
      </w:r>
      <w:r w:rsidRPr="002A7627">
        <w:rPr>
          <w:rFonts w:cs="Times New Roman"/>
          <w:noProof/>
          <w:szCs w:val="24"/>
        </w:rPr>
        <w:t xml:space="preserve">, </w:t>
      </w:r>
      <w:r w:rsidRPr="002A7627">
        <w:rPr>
          <w:rFonts w:cs="Times New Roman"/>
          <w:i/>
          <w:iCs/>
          <w:noProof/>
          <w:szCs w:val="24"/>
        </w:rPr>
        <w:t>32</w:t>
      </w:r>
      <w:r w:rsidRPr="002A7627">
        <w:rPr>
          <w:rFonts w:cs="Times New Roman"/>
          <w:noProof/>
          <w:szCs w:val="24"/>
        </w:rPr>
        <w:t>(1), 83–94. https://doi.org/10.1108/JSM-02-2017-0059</w:t>
      </w:r>
    </w:p>
    <w:p w14:paraId="548F4499"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Castaneda, D. I., Manrique, L. F., &amp; Cuellar, S. (2018). Is organizational learning being absorbed by knowledge management? A systematic review.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22</w:t>
      </w:r>
      <w:r w:rsidRPr="002A7627">
        <w:rPr>
          <w:rFonts w:cs="Times New Roman"/>
          <w:noProof/>
          <w:szCs w:val="24"/>
        </w:rPr>
        <w:t>(2), 299–325. https://doi.org/10.1108/JKM-01-2017-0041</w:t>
      </w:r>
    </w:p>
    <w:p w14:paraId="17478457" w14:textId="0DE37D85"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Cegarra-Navarro, J.-G., Soto-Acosta, P., &amp; Wensley, A. K. P. (2016). Structured knowledge processes and firm performance: </w:t>
      </w:r>
      <w:r w:rsidR="004B5FB8">
        <w:rPr>
          <w:rFonts w:cs="Times New Roman"/>
          <w:noProof/>
          <w:szCs w:val="24"/>
        </w:rPr>
        <w:t>t</w:t>
      </w:r>
      <w:r w:rsidRPr="002A7627">
        <w:rPr>
          <w:rFonts w:cs="Times New Roman"/>
          <w:noProof/>
          <w:szCs w:val="24"/>
        </w:rPr>
        <w:t xml:space="preserve">he role of organizational agility. </w:t>
      </w:r>
      <w:r w:rsidRPr="002A7627">
        <w:rPr>
          <w:rFonts w:cs="Times New Roman"/>
          <w:i/>
          <w:iCs/>
          <w:noProof/>
          <w:szCs w:val="24"/>
        </w:rPr>
        <w:t>Journal of Business Research</w:t>
      </w:r>
      <w:r w:rsidRPr="002A7627">
        <w:rPr>
          <w:rFonts w:cs="Times New Roman"/>
          <w:noProof/>
          <w:szCs w:val="24"/>
        </w:rPr>
        <w:t xml:space="preserve">, </w:t>
      </w:r>
      <w:r w:rsidRPr="002A7627">
        <w:rPr>
          <w:rFonts w:cs="Times New Roman"/>
          <w:i/>
          <w:iCs/>
          <w:noProof/>
          <w:szCs w:val="24"/>
        </w:rPr>
        <w:t>69</w:t>
      </w:r>
      <w:r w:rsidRPr="002A7627">
        <w:rPr>
          <w:rFonts w:cs="Times New Roman"/>
          <w:noProof/>
          <w:szCs w:val="24"/>
        </w:rPr>
        <w:t>(5), 1544–1549. https://doi.org/10.1016/J.JBUSRES.2015.10.014</w:t>
      </w:r>
    </w:p>
    <w:p w14:paraId="2DACC085" w14:textId="6B530DA3"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Chae, H.-C., Koh, C. E., &amp; Park, K. O. (2018). Information technology capability and firm performance: </w:t>
      </w:r>
      <w:r w:rsidR="004B5FB8">
        <w:rPr>
          <w:rFonts w:cs="Times New Roman"/>
          <w:noProof/>
          <w:szCs w:val="24"/>
        </w:rPr>
        <w:t>r</w:t>
      </w:r>
      <w:r w:rsidRPr="002A7627">
        <w:rPr>
          <w:rFonts w:cs="Times New Roman"/>
          <w:noProof/>
          <w:szCs w:val="24"/>
        </w:rPr>
        <w:t xml:space="preserve">ole of industry. </w:t>
      </w:r>
      <w:r w:rsidRPr="002A7627">
        <w:rPr>
          <w:rFonts w:cs="Times New Roman"/>
          <w:i/>
          <w:iCs/>
          <w:noProof/>
          <w:szCs w:val="24"/>
        </w:rPr>
        <w:t>Information and Management</w:t>
      </w:r>
      <w:r w:rsidRPr="002A7627">
        <w:rPr>
          <w:rFonts w:cs="Times New Roman"/>
          <w:noProof/>
          <w:szCs w:val="24"/>
        </w:rPr>
        <w:t xml:space="preserve">, </w:t>
      </w:r>
      <w:r w:rsidRPr="002A7627">
        <w:rPr>
          <w:rFonts w:cs="Times New Roman"/>
          <w:i/>
          <w:iCs/>
          <w:noProof/>
          <w:szCs w:val="24"/>
        </w:rPr>
        <w:t>55</w:t>
      </w:r>
      <w:r w:rsidRPr="002A7627">
        <w:rPr>
          <w:rFonts w:cs="Times New Roman"/>
          <w:noProof/>
          <w:szCs w:val="24"/>
        </w:rPr>
        <w:t>(5), 525–546. https://doi.org/10.1016/j.im.2017.10.001</w:t>
      </w:r>
    </w:p>
    <w:p w14:paraId="576269A9"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Chang, Y.-Y., Gong, Y., &amp; Peng, M. W. (2012). Expatriate knowledge transfer, subsidiary absorptive capacity, and subsidiary performance. </w:t>
      </w:r>
      <w:r w:rsidRPr="002A7627">
        <w:rPr>
          <w:rFonts w:cs="Times New Roman"/>
          <w:i/>
          <w:iCs/>
          <w:noProof/>
          <w:szCs w:val="24"/>
        </w:rPr>
        <w:t>Academy of Management Journal</w:t>
      </w:r>
      <w:r w:rsidRPr="002A7627">
        <w:rPr>
          <w:rFonts w:cs="Times New Roman"/>
          <w:noProof/>
          <w:szCs w:val="24"/>
        </w:rPr>
        <w:t xml:space="preserve">, </w:t>
      </w:r>
      <w:r w:rsidRPr="002A7627">
        <w:rPr>
          <w:rFonts w:cs="Times New Roman"/>
          <w:i/>
          <w:iCs/>
          <w:noProof/>
          <w:szCs w:val="24"/>
        </w:rPr>
        <w:t>55</w:t>
      </w:r>
      <w:r w:rsidRPr="002A7627">
        <w:rPr>
          <w:rFonts w:cs="Times New Roman"/>
          <w:noProof/>
          <w:szCs w:val="24"/>
        </w:rPr>
        <w:t>(4), 927–948.</w:t>
      </w:r>
    </w:p>
    <w:p w14:paraId="757C4CD6" w14:textId="6C3F1A80"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Chen, C.-A., &amp; Hsieh, C.-W. (2015). Knowledge sharing motivation in the public sector: </w:t>
      </w:r>
      <w:r w:rsidR="004B5FB8">
        <w:rPr>
          <w:rFonts w:cs="Times New Roman"/>
          <w:noProof/>
          <w:szCs w:val="24"/>
        </w:rPr>
        <w:t>t</w:t>
      </w:r>
      <w:r w:rsidRPr="002A7627">
        <w:rPr>
          <w:rFonts w:cs="Times New Roman"/>
          <w:noProof/>
          <w:szCs w:val="24"/>
        </w:rPr>
        <w:t xml:space="preserve">he role of public service motivation. </w:t>
      </w:r>
      <w:r w:rsidRPr="002A7627">
        <w:rPr>
          <w:rFonts w:cs="Times New Roman"/>
          <w:i/>
          <w:iCs/>
          <w:noProof/>
          <w:szCs w:val="24"/>
        </w:rPr>
        <w:t>International Review of Administrative Sciences</w:t>
      </w:r>
      <w:r w:rsidRPr="002A7627">
        <w:rPr>
          <w:rFonts w:cs="Times New Roman"/>
          <w:noProof/>
          <w:szCs w:val="24"/>
        </w:rPr>
        <w:t xml:space="preserve">, </w:t>
      </w:r>
      <w:r w:rsidRPr="002A7627">
        <w:rPr>
          <w:rFonts w:cs="Times New Roman"/>
          <w:i/>
          <w:iCs/>
          <w:noProof/>
          <w:szCs w:val="24"/>
        </w:rPr>
        <w:t>81</w:t>
      </w:r>
      <w:r w:rsidRPr="002A7627">
        <w:rPr>
          <w:rFonts w:cs="Times New Roman"/>
          <w:noProof/>
          <w:szCs w:val="24"/>
        </w:rPr>
        <w:t>(4), 812–832. https://doi.org/10.1177/0020852314558032</w:t>
      </w:r>
    </w:p>
    <w:p w14:paraId="3C9CA2C8" w14:textId="4BE89D1B"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Chen, L., &amp; Fong, P. S. W. (2015). Evaluation of knowledge management performance: </w:t>
      </w:r>
      <w:r w:rsidR="004B5FB8">
        <w:rPr>
          <w:rFonts w:cs="Times New Roman"/>
          <w:noProof/>
          <w:szCs w:val="24"/>
        </w:rPr>
        <w:t>a</w:t>
      </w:r>
      <w:r w:rsidRPr="002A7627">
        <w:rPr>
          <w:rFonts w:cs="Times New Roman"/>
          <w:noProof/>
          <w:szCs w:val="24"/>
        </w:rPr>
        <w:t xml:space="preserve">n organic approach. </w:t>
      </w:r>
      <w:r w:rsidRPr="002A7627">
        <w:rPr>
          <w:rFonts w:cs="Times New Roman"/>
          <w:i/>
          <w:iCs/>
          <w:noProof/>
          <w:szCs w:val="24"/>
        </w:rPr>
        <w:t>Information and Management</w:t>
      </w:r>
      <w:r w:rsidRPr="002A7627">
        <w:rPr>
          <w:rFonts w:cs="Times New Roman"/>
          <w:noProof/>
          <w:szCs w:val="24"/>
        </w:rPr>
        <w:t xml:space="preserve">, </w:t>
      </w:r>
      <w:r w:rsidRPr="002A7627">
        <w:rPr>
          <w:rFonts w:cs="Times New Roman"/>
          <w:i/>
          <w:iCs/>
          <w:noProof/>
          <w:szCs w:val="24"/>
        </w:rPr>
        <w:t>52</w:t>
      </w:r>
      <w:r w:rsidRPr="002A7627">
        <w:rPr>
          <w:rFonts w:cs="Times New Roman"/>
          <w:noProof/>
          <w:szCs w:val="24"/>
        </w:rPr>
        <w:t>(4), 431–453. https://doi.org/10.1016/j.im.2015.01.005</w:t>
      </w:r>
    </w:p>
    <w:p w14:paraId="601DA201"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Chen, Y.-S., Lin, M.-J. J., &amp; Chang, C.-H. (2009). The positive effects of relationship learning and absorptive capacity on innovation performance and competitive advantage in industrial markets. </w:t>
      </w:r>
      <w:r w:rsidRPr="002A7627">
        <w:rPr>
          <w:rFonts w:cs="Times New Roman"/>
          <w:i/>
          <w:iCs/>
          <w:noProof/>
          <w:szCs w:val="24"/>
        </w:rPr>
        <w:t>Industrial Marketing Management</w:t>
      </w:r>
      <w:r w:rsidRPr="002A7627">
        <w:rPr>
          <w:rFonts w:cs="Times New Roman"/>
          <w:noProof/>
          <w:szCs w:val="24"/>
        </w:rPr>
        <w:t xml:space="preserve">, </w:t>
      </w:r>
      <w:r w:rsidRPr="002A7627">
        <w:rPr>
          <w:rFonts w:cs="Times New Roman"/>
          <w:i/>
          <w:iCs/>
          <w:noProof/>
          <w:szCs w:val="24"/>
        </w:rPr>
        <w:t>38</w:t>
      </w:r>
      <w:r w:rsidRPr="002A7627">
        <w:rPr>
          <w:rFonts w:cs="Times New Roman"/>
          <w:noProof/>
          <w:szCs w:val="24"/>
        </w:rPr>
        <w:t>(2), 152–158. https://doi.org/10.1016/j.indmarman.2008.12.003</w:t>
      </w:r>
    </w:p>
    <w:p w14:paraId="6BDCE7E9" w14:textId="35DFF15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Chintagunta, P., Erdem, T., Rossi, P. E., &amp; Wedel, M. (2006). Structural modeling in marketing: </w:t>
      </w:r>
      <w:r w:rsidR="004B5FB8">
        <w:rPr>
          <w:rFonts w:cs="Times New Roman"/>
          <w:noProof/>
          <w:szCs w:val="24"/>
        </w:rPr>
        <w:t>r</w:t>
      </w:r>
      <w:r w:rsidRPr="002A7627">
        <w:rPr>
          <w:rFonts w:cs="Times New Roman"/>
          <w:noProof/>
          <w:szCs w:val="24"/>
        </w:rPr>
        <w:t xml:space="preserve">eview and assessment. </w:t>
      </w:r>
      <w:r w:rsidRPr="002A7627">
        <w:rPr>
          <w:rFonts w:cs="Times New Roman"/>
          <w:i/>
          <w:iCs/>
          <w:noProof/>
          <w:szCs w:val="24"/>
        </w:rPr>
        <w:t>Marketing Science</w:t>
      </w:r>
      <w:r w:rsidRPr="002A7627">
        <w:rPr>
          <w:rFonts w:cs="Times New Roman"/>
          <w:noProof/>
          <w:szCs w:val="24"/>
        </w:rPr>
        <w:t xml:space="preserve">, </w:t>
      </w:r>
      <w:r w:rsidRPr="002A7627">
        <w:rPr>
          <w:rFonts w:cs="Times New Roman"/>
          <w:i/>
          <w:iCs/>
          <w:noProof/>
          <w:szCs w:val="24"/>
        </w:rPr>
        <w:t>25</w:t>
      </w:r>
      <w:r w:rsidRPr="002A7627">
        <w:rPr>
          <w:rFonts w:cs="Times New Roman"/>
          <w:noProof/>
          <w:szCs w:val="24"/>
        </w:rPr>
        <w:t>(6), 604–616. https://doi.org/10.1287/mksc.1050.0161</w:t>
      </w:r>
    </w:p>
    <w:p w14:paraId="14B9D6E6" w14:textId="6B3AA352"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Chiu, C.-M., Hsu, M.-H., &amp; Wang, E. T. G. (2006). Understanding knowledge sharing in virtual communities: </w:t>
      </w:r>
      <w:r w:rsidR="004B5FB8">
        <w:rPr>
          <w:rFonts w:cs="Times New Roman"/>
          <w:noProof/>
          <w:szCs w:val="24"/>
        </w:rPr>
        <w:t>a</w:t>
      </w:r>
      <w:r w:rsidRPr="002A7627">
        <w:rPr>
          <w:rFonts w:cs="Times New Roman"/>
          <w:noProof/>
          <w:szCs w:val="24"/>
        </w:rPr>
        <w:t xml:space="preserve">n integration of social capital and social cognitive theories. </w:t>
      </w:r>
      <w:r w:rsidRPr="002A7627">
        <w:rPr>
          <w:rFonts w:cs="Times New Roman"/>
          <w:i/>
          <w:iCs/>
          <w:noProof/>
          <w:szCs w:val="24"/>
        </w:rPr>
        <w:t>Decision Support Systems</w:t>
      </w:r>
      <w:r w:rsidRPr="002A7627">
        <w:rPr>
          <w:rFonts w:cs="Times New Roman"/>
          <w:noProof/>
          <w:szCs w:val="24"/>
        </w:rPr>
        <w:t xml:space="preserve">, </w:t>
      </w:r>
      <w:r w:rsidRPr="002A7627">
        <w:rPr>
          <w:rFonts w:cs="Times New Roman"/>
          <w:i/>
          <w:iCs/>
          <w:noProof/>
          <w:szCs w:val="24"/>
        </w:rPr>
        <w:t>42</w:t>
      </w:r>
      <w:r w:rsidRPr="002A7627">
        <w:rPr>
          <w:rFonts w:cs="Times New Roman"/>
          <w:noProof/>
          <w:szCs w:val="24"/>
        </w:rPr>
        <w:t>(3), 1872–1888.</w:t>
      </w:r>
    </w:p>
    <w:p w14:paraId="3875F5C5"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Chong, S. C. (2005). Critical factors in the successful implementation of knowledge management. </w:t>
      </w:r>
      <w:r w:rsidRPr="002A7627">
        <w:rPr>
          <w:rFonts w:cs="Times New Roman"/>
          <w:i/>
          <w:iCs/>
          <w:noProof/>
          <w:szCs w:val="24"/>
        </w:rPr>
        <w:t>Journal of Knowledge Management Practice</w:t>
      </w:r>
      <w:r w:rsidRPr="002A7627">
        <w:rPr>
          <w:rFonts w:cs="Times New Roman"/>
          <w:noProof/>
          <w:szCs w:val="24"/>
        </w:rPr>
        <w:t xml:space="preserve">, </w:t>
      </w:r>
      <w:r w:rsidRPr="002A7627">
        <w:rPr>
          <w:rFonts w:cs="Times New Roman"/>
          <w:i/>
          <w:iCs/>
          <w:noProof/>
          <w:szCs w:val="24"/>
        </w:rPr>
        <w:t>6</w:t>
      </w:r>
      <w:r w:rsidRPr="002A7627">
        <w:rPr>
          <w:rFonts w:cs="Times New Roman"/>
          <w:noProof/>
          <w:szCs w:val="24"/>
        </w:rPr>
        <w:t>(1), 1–19.</w:t>
      </w:r>
    </w:p>
    <w:p w14:paraId="20625398" w14:textId="43985F46"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Choudhary, A. I., Akhtar, S. A., &amp; Zaheer, A. (2013). Impact of transformational and servant leadership on organizational performance: </w:t>
      </w:r>
      <w:r w:rsidR="0059614D">
        <w:rPr>
          <w:rFonts w:cs="Times New Roman"/>
          <w:noProof/>
          <w:szCs w:val="24"/>
        </w:rPr>
        <w:t>a</w:t>
      </w:r>
      <w:r w:rsidRPr="002A7627">
        <w:rPr>
          <w:rFonts w:cs="Times New Roman"/>
          <w:noProof/>
          <w:szCs w:val="24"/>
        </w:rPr>
        <w:t xml:space="preserve"> comparative analysis. </w:t>
      </w:r>
      <w:r w:rsidRPr="002A7627">
        <w:rPr>
          <w:rFonts w:cs="Times New Roman"/>
          <w:i/>
          <w:iCs/>
          <w:noProof/>
          <w:szCs w:val="24"/>
        </w:rPr>
        <w:t>Journal of Business Ethics</w:t>
      </w:r>
      <w:r w:rsidRPr="002A7627">
        <w:rPr>
          <w:rFonts w:cs="Times New Roman"/>
          <w:noProof/>
          <w:szCs w:val="24"/>
        </w:rPr>
        <w:t xml:space="preserve">, </w:t>
      </w:r>
      <w:r w:rsidRPr="002A7627">
        <w:rPr>
          <w:rFonts w:cs="Times New Roman"/>
          <w:i/>
          <w:iCs/>
          <w:noProof/>
          <w:szCs w:val="24"/>
        </w:rPr>
        <w:t>116</w:t>
      </w:r>
      <w:r w:rsidRPr="002A7627">
        <w:rPr>
          <w:rFonts w:cs="Times New Roman"/>
          <w:noProof/>
          <w:szCs w:val="24"/>
        </w:rPr>
        <w:t>(2), 433–440. https://doi.org/10.1007/s10551-012-1470-8</w:t>
      </w:r>
    </w:p>
    <w:p w14:paraId="772DBD91" w14:textId="478BDC3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Choy, C. S., &amp; </w:t>
      </w:r>
      <w:r w:rsidR="0059614D">
        <w:rPr>
          <w:rFonts w:cs="Times New Roman"/>
          <w:noProof/>
          <w:szCs w:val="24"/>
        </w:rPr>
        <w:t>Suk</w:t>
      </w:r>
      <w:r w:rsidRPr="002A7627">
        <w:rPr>
          <w:rFonts w:cs="Times New Roman"/>
          <w:noProof/>
          <w:szCs w:val="24"/>
        </w:rPr>
        <w:t xml:space="preserve">, C. Y. (2005). Critical factors in the successful implementation of knowledge management. </w:t>
      </w:r>
      <w:r w:rsidRPr="002A7627">
        <w:rPr>
          <w:rFonts w:cs="Times New Roman"/>
          <w:i/>
          <w:iCs/>
          <w:noProof/>
          <w:szCs w:val="24"/>
        </w:rPr>
        <w:t>Journal of Knowledge Management Practice</w:t>
      </w:r>
      <w:r w:rsidRPr="002A7627">
        <w:rPr>
          <w:rFonts w:cs="Times New Roman"/>
          <w:noProof/>
          <w:szCs w:val="24"/>
        </w:rPr>
        <w:t xml:space="preserve">, </w:t>
      </w:r>
      <w:r w:rsidRPr="002A7627">
        <w:rPr>
          <w:rFonts w:cs="Times New Roman"/>
          <w:i/>
          <w:iCs/>
          <w:noProof/>
          <w:szCs w:val="24"/>
        </w:rPr>
        <w:t>6</w:t>
      </w:r>
      <w:r w:rsidRPr="002A7627">
        <w:rPr>
          <w:rFonts w:cs="Times New Roman"/>
          <w:noProof/>
          <w:szCs w:val="24"/>
        </w:rPr>
        <w:t>(1), 234–258. Retrieved from http://www.tlainc.com/articl90.htm</w:t>
      </w:r>
    </w:p>
    <w:p w14:paraId="30CE4B3A" w14:textId="423FBCC3"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Choy, C. S., Yew, W. K., &amp; Lin, B. (2006). Criteria for measuring KM performance outcomes in </w:t>
      </w:r>
      <w:r w:rsidR="00C52075">
        <w:rPr>
          <w:rFonts w:cs="Times New Roman"/>
          <w:noProof/>
          <w:szCs w:val="24"/>
        </w:rPr>
        <w:t>organization</w:t>
      </w:r>
      <w:r w:rsidRPr="002A7627">
        <w:rPr>
          <w:rFonts w:cs="Times New Roman"/>
          <w:noProof/>
          <w:szCs w:val="24"/>
        </w:rPr>
        <w:t xml:space="preserve">s. </w:t>
      </w:r>
      <w:r w:rsidRPr="002A7627">
        <w:rPr>
          <w:rFonts w:cs="Times New Roman"/>
          <w:i/>
          <w:iCs/>
          <w:noProof/>
          <w:szCs w:val="24"/>
        </w:rPr>
        <w:t>Industrial Management and Data Systems</w:t>
      </w:r>
      <w:r w:rsidRPr="002A7627">
        <w:rPr>
          <w:rFonts w:cs="Times New Roman"/>
          <w:noProof/>
          <w:szCs w:val="24"/>
        </w:rPr>
        <w:t xml:space="preserve">, </w:t>
      </w:r>
      <w:r w:rsidRPr="002A7627">
        <w:rPr>
          <w:rFonts w:cs="Times New Roman"/>
          <w:i/>
          <w:iCs/>
          <w:noProof/>
          <w:szCs w:val="24"/>
        </w:rPr>
        <w:t>106</w:t>
      </w:r>
      <w:r w:rsidRPr="002A7627">
        <w:rPr>
          <w:rFonts w:cs="Times New Roman"/>
          <w:noProof/>
          <w:szCs w:val="24"/>
        </w:rPr>
        <w:t>(7), 917–936. https://doi.org/10.1108/02635570610688850</w:t>
      </w:r>
    </w:p>
    <w:p w14:paraId="3FC04C34" w14:textId="6D792F1D" w:rsidR="002A5132" w:rsidRDefault="002A5132" w:rsidP="002A7627">
      <w:pPr>
        <w:spacing w:line="480" w:lineRule="auto"/>
        <w:ind w:left="480" w:hanging="480"/>
        <w:jc w:val="both"/>
        <w:rPr>
          <w:rFonts w:cs="Times New Roman"/>
          <w:noProof/>
          <w:szCs w:val="24"/>
        </w:rPr>
      </w:pPr>
      <w:r>
        <w:t xml:space="preserve">Chua, A., &amp; Lam, W. (2005). Why KM projects fail: a multi-case analysis. </w:t>
      </w:r>
      <w:r>
        <w:rPr>
          <w:i/>
          <w:iCs/>
        </w:rPr>
        <w:t>Journal of knowledge management</w:t>
      </w:r>
      <w:r>
        <w:t xml:space="preserve">, </w:t>
      </w:r>
      <w:r>
        <w:rPr>
          <w:i/>
          <w:iCs/>
        </w:rPr>
        <w:t>9</w:t>
      </w:r>
      <w:r>
        <w:t xml:space="preserve">(3), 6-17. </w:t>
      </w:r>
      <w:r w:rsidRPr="002A5132">
        <w:rPr>
          <w:rFonts w:cs="Times New Roman"/>
          <w:noProof/>
          <w:szCs w:val="24"/>
        </w:rPr>
        <w:t>https:// doi.org/10.1108/136732705106027</w:t>
      </w:r>
    </w:p>
    <w:p w14:paraId="7528CB1B" w14:textId="1DC8E9DC"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Chuang, C.-H., Jackson, S. E., &amp; Jiang, Y. (2016). Can knowledge-intensive teamwork be managed? Examining the roles of hrm systems, leadership, and tacit knowledge. </w:t>
      </w:r>
      <w:r w:rsidRPr="002A7627">
        <w:rPr>
          <w:rFonts w:cs="Times New Roman"/>
          <w:i/>
          <w:iCs/>
          <w:noProof/>
          <w:szCs w:val="24"/>
        </w:rPr>
        <w:t>Journal of Management</w:t>
      </w:r>
      <w:r w:rsidRPr="002A7627">
        <w:rPr>
          <w:rFonts w:cs="Times New Roman"/>
          <w:noProof/>
          <w:szCs w:val="24"/>
        </w:rPr>
        <w:t xml:space="preserve">, </w:t>
      </w:r>
      <w:r w:rsidRPr="002A7627">
        <w:rPr>
          <w:rFonts w:cs="Times New Roman"/>
          <w:i/>
          <w:iCs/>
          <w:noProof/>
          <w:szCs w:val="24"/>
        </w:rPr>
        <w:t>42</w:t>
      </w:r>
      <w:r w:rsidRPr="002A7627">
        <w:rPr>
          <w:rFonts w:cs="Times New Roman"/>
          <w:noProof/>
          <w:szCs w:val="24"/>
        </w:rPr>
        <w:t>(2), 524–554. https://doi.org/10.1177/0149206313478189</w:t>
      </w:r>
    </w:p>
    <w:p w14:paraId="3904BF3F" w14:textId="0F4550A4"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Chuang, S.-H. (2004). A resource-based perspective on knowledge management capability and competitive advantage: </w:t>
      </w:r>
      <w:r w:rsidR="004B5FB8">
        <w:rPr>
          <w:rFonts w:cs="Times New Roman"/>
          <w:noProof/>
          <w:szCs w:val="24"/>
        </w:rPr>
        <w:t>a</w:t>
      </w:r>
      <w:r w:rsidRPr="002A7627">
        <w:rPr>
          <w:rFonts w:cs="Times New Roman"/>
          <w:noProof/>
          <w:szCs w:val="24"/>
        </w:rPr>
        <w:t xml:space="preserve">n empirical investigation. </w:t>
      </w:r>
      <w:r w:rsidRPr="002A7627">
        <w:rPr>
          <w:rFonts w:cs="Times New Roman"/>
          <w:i/>
          <w:iCs/>
          <w:noProof/>
          <w:szCs w:val="24"/>
        </w:rPr>
        <w:t>Expert Systems with Applications</w:t>
      </w:r>
      <w:r w:rsidRPr="002A7627">
        <w:rPr>
          <w:rFonts w:cs="Times New Roman"/>
          <w:noProof/>
          <w:szCs w:val="24"/>
        </w:rPr>
        <w:t xml:space="preserve">, </w:t>
      </w:r>
      <w:r w:rsidRPr="002A7627">
        <w:rPr>
          <w:rFonts w:cs="Times New Roman"/>
          <w:i/>
          <w:iCs/>
          <w:noProof/>
          <w:szCs w:val="24"/>
        </w:rPr>
        <w:t>27</w:t>
      </w:r>
      <w:r w:rsidRPr="002A7627">
        <w:rPr>
          <w:rFonts w:cs="Times New Roman"/>
          <w:noProof/>
          <w:szCs w:val="24"/>
        </w:rPr>
        <w:t>(3), 459–465. https://doi.org/10.1016/J.ESWA.2004.05.008</w:t>
      </w:r>
    </w:p>
    <w:p w14:paraId="0629B838" w14:textId="46421C85" w:rsidR="00CD0B2F" w:rsidRDefault="00CD0B2F" w:rsidP="002A7627">
      <w:pPr>
        <w:spacing w:line="480" w:lineRule="auto"/>
        <w:ind w:left="480" w:hanging="480"/>
        <w:jc w:val="both"/>
        <w:rPr>
          <w:rFonts w:cs="Times New Roman"/>
          <w:noProof/>
          <w:szCs w:val="24"/>
        </w:rPr>
      </w:pPr>
      <w:r w:rsidRPr="002A7627">
        <w:rPr>
          <w:rFonts w:cs="Times New Roman"/>
          <w:noProof/>
          <w:szCs w:val="24"/>
        </w:rPr>
        <w:t xml:space="preserve">Cohen, J. (1988). </w:t>
      </w:r>
      <w:r w:rsidRPr="002A7627">
        <w:rPr>
          <w:rFonts w:cs="Times New Roman"/>
          <w:i/>
          <w:iCs/>
          <w:noProof/>
          <w:szCs w:val="24"/>
        </w:rPr>
        <w:t>Statistical power analysis for the behavioral sciences</w:t>
      </w:r>
      <w:r w:rsidRPr="002A7627">
        <w:rPr>
          <w:rFonts w:cs="Times New Roman"/>
          <w:noProof/>
          <w:szCs w:val="24"/>
        </w:rPr>
        <w:t>. Mahwah, NJ: Lawrence Erlbaum.</w:t>
      </w:r>
    </w:p>
    <w:p w14:paraId="714CEE88" w14:textId="730BEBEF" w:rsidR="00362F14" w:rsidRPr="002A7627" w:rsidRDefault="00362F14" w:rsidP="002A7627">
      <w:pPr>
        <w:spacing w:line="480" w:lineRule="auto"/>
        <w:ind w:left="480" w:hanging="480"/>
        <w:jc w:val="both"/>
        <w:rPr>
          <w:rFonts w:cs="Times New Roman"/>
          <w:noProof/>
          <w:szCs w:val="24"/>
        </w:rPr>
      </w:pPr>
      <w:r>
        <w:t xml:space="preserve">Cohen, J. (2016). The earth is round (p&lt;. 05). In </w:t>
      </w:r>
      <w:r>
        <w:rPr>
          <w:i/>
          <w:iCs/>
        </w:rPr>
        <w:t>What if there were no significance tests?</w:t>
      </w:r>
      <w:r>
        <w:t xml:space="preserve"> (pp. 69-82). Routledge.</w:t>
      </w:r>
    </w:p>
    <w:p w14:paraId="098CF824" w14:textId="5B8C1760" w:rsidR="00CD0B2F" w:rsidRPr="00590969" w:rsidRDefault="00CD0B2F" w:rsidP="002A7627">
      <w:pPr>
        <w:spacing w:line="480" w:lineRule="auto"/>
        <w:ind w:left="480" w:hanging="480"/>
        <w:jc w:val="both"/>
        <w:rPr>
          <w:rFonts w:cs="Times New Roman"/>
          <w:noProof/>
          <w:color w:val="000000" w:themeColor="text1"/>
          <w:szCs w:val="24"/>
        </w:rPr>
      </w:pPr>
      <w:r w:rsidRPr="002A7627">
        <w:rPr>
          <w:rFonts w:cs="Times New Roman"/>
          <w:noProof/>
          <w:szCs w:val="24"/>
        </w:rPr>
        <w:t xml:space="preserve">Cohen, W. M., &amp; Levinthal, D. A. (1990). Absorptive capacity: </w:t>
      </w:r>
      <w:r w:rsidR="004B5FB8">
        <w:rPr>
          <w:rFonts w:cs="Times New Roman"/>
          <w:noProof/>
          <w:szCs w:val="24"/>
        </w:rPr>
        <w:t>a</w:t>
      </w:r>
      <w:r w:rsidR="004B5FB8" w:rsidRPr="002A7627">
        <w:rPr>
          <w:rFonts w:cs="Times New Roman"/>
          <w:noProof/>
          <w:szCs w:val="24"/>
        </w:rPr>
        <w:t xml:space="preserve"> </w:t>
      </w:r>
      <w:r w:rsidRPr="002A7627">
        <w:rPr>
          <w:rFonts w:cs="Times New Roman"/>
          <w:noProof/>
          <w:szCs w:val="24"/>
        </w:rPr>
        <w:t xml:space="preserve">new perspective on learning and innovation. </w:t>
      </w:r>
      <w:r w:rsidRPr="002A7627">
        <w:rPr>
          <w:rFonts w:cs="Times New Roman"/>
          <w:i/>
          <w:iCs/>
          <w:noProof/>
          <w:szCs w:val="24"/>
        </w:rPr>
        <w:t>Administrative Science Quarterly</w:t>
      </w:r>
      <w:r w:rsidRPr="002A7627">
        <w:rPr>
          <w:rFonts w:cs="Times New Roman"/>
          <w:noProof/>
          <w:szCs w:val="24"/>
        </w:rPr>
        <w:t xml:space="preserve">, </w:t>
      </w:r>
      <w:r w:rsidRPr="002A7627">
        <w:rPr>
          <w:rFonts w:cs="Times New Roman"/>
          <w:i/>
          <w:iCs/>
          <w:noProof/>
          <w:szCs w:val="24"/>
        </w:rPr>
        <w:t>35</w:t>
      </w:r>
      <w:r w:rsidRPr="002A7627">
        <w:rPr>
          <w:rFonts w:cs="Times New Roman"/>
          <w:noProof/>
          <w:szCs w:val="24"/>
        </w:rPr>
        <w:t xml:space="preserve">(1), 128. </w:t>
      </w:r>
      <w:hyperlink r:id="rId42" w:history="1">
        <w:r w:rsidR="00710067" w:rsidRPr="00590969">
          <w:rPr>
            <w:rStyle w:val="Hyperlink"/>
            <w:rFonts w:cs="Times New Roman"/>
            <w:noProof/>
            <w:color w:val="000000" w:themeColor="text1"/>
            <w:szCs w:val="24"/>
            <w:u w:val="none"/>
          </w:rPr>
          <w:t>https://doi.org/10.2307/2393553</w:t>
        </w:r>
      </w:hyperlink>
    </w:p>
    <w:p w14:paraId="2D63DE64" w14:textId="7CDF7354" w:rsidR="00D84A8E" w:rsidRDefault="00D84A8E" w:rsidP="002A7627">
      <w:pPr>
        <w:spacing w:line="480" w:lineRule="auto"/>
        <w:ind w:left="480" w:hanging="480"/>
        <w:jc w:val="both"/>
        <w:rPr>
          <w:rFonts w:cs="Times New Roman"/>
          <w:noProof/>
          <w:szCs w:val="24"/>
        </w:rPr>
      </w:pPr>
      <w:r w:rsidRPr="00935DBF">
        <w:rPr>
          <w:rStyle w:val="Emphasis"/>
          <w:i w:val="0"/>
          <w:iCs w:val="0"/>
        </w:rPr>
        <w:t>Cohen</w:t>
      </w:r>
      <w:r w:rsidRPr="00935DBF">
        <w:rPr>
          <w:rStyle w:val="st"/>
          <w:iCs/>
        </w:rPr>
        <w:t>, L</w:t>
      </w:r>
      <w:r w:rsidRPr="00935DBF">
        <w:rPr>
          <w:rStyle w:val="st"/>
          <w:i/>
        </w:rPr>
        <w:t xml:space="preserve">., </w:t>
      </w:r>
      <w:r w:rsidRPr="00935DBF">
        <w:rPr>
          <w:rStyle w:val="Emphasis"/>
          <w:i w:val="0"/>
          <w:iCs w:val="0"/>
        </w:rPr>
        <w:t>Manion</w:t>
      </w:r>
      <w:r w:rsidRPr="00935DBF">
        <w:rPr>
          <w:rStyle w:val="st"/>
          <w:iCs/>
        </w:rPr>
        <w:t>, L</w:t>
      </w:r>
      <w:r w:rsidRPr="00935DBF">
        <w:rPr>
          <w:rStyle w:val="st"/>
          <w:i/>
        </w:rPr>
        <w:t xml:space="preserve">., &amp; </w:t>
      </w:r>
      <w:r w:rsidRPr="00935DBF">
        <w:rPr>
          <w:rStyle w:val="Emphasis"/>
          <w:i w:val="0"/>
          <w:iCs w:val="0"/>
        </w:rPr>
        <w:t>Morrison</w:t>
      </w:r>
      <w:r w:rsidRPr="00935DBF">
        <w:rPr>
          <w:rStyle w:val="st"/>
          <w:iCs/>
        </w:rPr>
        <w:t>, K. (2011).</w:t>
      </w:r>
      <w:r>
        <w:rPr>
          <w:rStyle w:val="st"/>
        </w:rPr>
        <w:t xml:space="preserve"> </w:t>
      </w:r>
      <w:r w:rsidRPr="00935DBF">
        <w:rPr>
          <w:rStyle w:val="st"/>
          <w:i/>
          <w:iCs/>
        </w:rPr>
        <w:t>Research Methods in Education</w:t>
      </w:r>
      <w:r>
        <w:rPr>
          <w:rStyle w:val="st"/>
        </w:rPr>
        <w:t xml:space="preserve"> (7th ed.). London Routledge.</w:t>
      </w:r>
    </w:p>
    <w:p w14:paraId="00182E9C" w14:textId="770D8C3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Combs, J., Liu, Y., Hall, A., &amp; Ketchen, D. (2006). How much do high</w:t>
      </w:r>
      <w:r w:rsidR="0059614D">
        <w:rPr>
          <w:rFonts w:cs="Times New Roman"/>
          <w:noProof/>
          <w:szCs w:val="24"/>
        </w:rPr>
        <w:t>-</w:t>
      </w:r>
      <w:r w:rsidRPr="002A7627">
        <w:rPr>
          <w:rFonts w:cs="Times New Roman"/>
          <w:noProof/>
          <w:szCs w:val="24"/>
        </w:rPr>
        <w:t>performance work practices matter? A meta</w:t>
      </w:r>
      <w:r w:rsidR="0059614D">
        <w:rPr>
          <w:rFonts w:cs="Times New Roman"/>
          <w:noProof/>
          <w:szCs w:val="24"/>
        </w:rPr>
        <w:t>-</w:t>
      </w:r>
      <w:r w:rsidRPr="002A7627">
        <w:rPr>
          <w:rFonts w:cs="Times New Roman"/>
          <w:noProof/>
          <w:szCs w:val="24"/>
        </w:rPr>
        <w:t xml:space="preserve">analysis of their effects on organizational performance. </w:t>
      </w:r>
      <w:r w:rsidRPr="002A7627">
        <w:rPr>
          <w:rFonts w:cs="Times New Roman"/>
          <w:i/>
          <w:iCs/>
          <w:noProof/>
          <w:szCs w:val="24"/>
        </w:rPr>
        <w:t>Personnel Psychology</w:t>
      </w:r>
      <w:r w:rsidRPr="002A7627">
        <w:rPr>
          <w:rFonts w:cs="Times New Roman"/>
          <w:noProof/>
          <w:szCs w:val="24"/>
        </w:rPr>
        <w:t xml:space="preserve">, </w:t>
      </w:r>
      <w:r w:rsidRPr="002A7627">
        <w:rPr>
          <w:rFonts w:cs="Times New Roman"/>
          <w:i/>
          <w:iCs/>
          <w:noProof/>
          <w:szCs w:val="24"/>
        </w:rPr>
        <w:t>59</w:t>
      </w:r>
      <w:r w:rsidRPr="002A7627">
        <w:rPr>
          <w:rFonts w:cs="Times New Roman"/>
          <w:noProof/>
          <w:szCs w:val="24"/>
        </w:rPr>
        <w:t>(3), 501–528.</w:t>
      </w:r>
    </w:p>
    <w:p w14:paraId="3AC0CC9F"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Córdova, F. M., &amp; Gutiérrez, F. A. (2018). Knowledge management system in service companies. </w:t>
      </w:r>
      <w:r w:rsidRPr="002A7627">
        <w:rPr>
          <w:rFonts w:cs="Times New Roman"/>
          <w:i/>
          <w:iCs/>
          <w:noProof/>
          <w:szCs w:val="24"/>
        </w:rPr>
        <w:t>Procedia Computer Science</w:t>
      </w:r>
      <w:r w:rsidRPr="002A7627">
        <w:rPr>
          <w:rFonts w:cs="Times New Roman"/>
          <w:noProof/>
          <w:szCs w:val="24"/>
        </w:rPr>
        <w:t xml:space="preserve">, </w:t>
      </w:r>
      <w:r w:rsidRPr="002A7627">
        <w:rPr>
          <w:rFonts w:cs="Times New Roman"/>
          <w:i/>
          <w:iCs/>
          <w:noProof/>
          <w:szCs w:val="24"/>
        </w:rPr>
        <w:t>139</w:t>
      </w:r>
      <w:r w:rsidRPr="002A7627">
        <w:rPr>
          <w:rFonts w:cs="Times New Roman"/>
          <w:noProof/>
          <w:szCs w:val="24"/>
        </w:rPr>
        <w:t>, 392–400. https://doi.org/10.1016/j.procs.2018.10.275</w:t>
      </w:r>
    </w:p>
    <w:p w14:paraId="13DF06BE" w14:textId="5DC9239F"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Creswell, J. W. (2009). </w:t>
      </w:r>
      <w:r w:rsidRPr="002A7627">
        <w:rPr>
          <w:rFonts w:cs="Times New Roman"/>
          <w:i/>
          <w:iCs/>
          <w:noProof/>
          <w:szCs w:val="24"/>
        </w:rPr>
        <w:t xml:space="preserve">Research design: </w:t>
      </w:r>
      <w:r w:rsidR="004B5FB8">
        <w:rPr>
          <w:rFonts w:cs="Times New Roman"/>
          <w:i/>
          <w:iCs/>
          <w:noProof/>
          <w:szCs w:val="24"/>
        </w:rPr>
        <w:t>q</w:t>
      </w:r>
      <w:r w:rsidRPr="002A7627">
        <w:rPr>
          <w:rFonts w:cs="Times New Roman"/>
          <w:i/>
          <w:iCs/>
          <w:noProof/>
          <w:szCs w:val="24"/>
        </w:rPr>
        <w:t>ualitative, quantitative, and mixed methods approaches</w:t>
      </w:r>
      <w:r w:rsidRPr="002A7627">
        <w:rPr>
          <w:rFonts w:cs="Times New Roman"/>
          <w:noProof/>
          <w:szCs w:val="24"/>
        </w:rPr>
        <w:t xml:space="preserve"> (3rd ed.). London, UK: Sage.</w:t>
      </w:r>
    </w:p>
    <w:p w14:paraId="6E125D7E" w14:textId="08687E88"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Crotty, M. (1998). </w:t>
      </w:r>
      <w:r w:rsidRPr="002A7627">
        <w:rPr>
          <w:rFonts w:cs="Times New Roman"/>
          <w:i/>
          <w:iCs/>
          <w:noProof/>
          <w:szCs w:val="24"/>
        </w:rPr>
        <w:t xml:space="preserve">The foundations of social research: </w:t>
      </w:r>
      <w:r w:rsidR="004B5FB8">
        <w:rPr>
          <w:rFonts w:cs="Times New Roman"/>
          <w:i/>
          <w:iCs/>
          <w:noProof/>
          <w:szCs w:val="24"/>
        </w:rPr>
        <w:t>m</w:t>
      </w:r>
      <w:r w:rsidRPr="002A7627">
        <w:rPr>
          <w:rFonts w:cs="Times New Roman"/>
          <w:i/>
          <w:iCs/>
          <w:noProof/>
          <w:szCs w:val="24"/>
        </w:rPr>
        <w:t>eaning and perspective in the research process</w:t>
      </w:r>
      <w:r w:rsidRPr="002A7627">
        <w:rPr>
          <w:rFonts w:cs="Times New Roman"/>
          <w:noProof/>
          <w:szCs w:val="24"/>
        </w:rPr>
        <w:t>. London, UK: Sage.</w:t>
      </w:r>
    </w:p>
    <w:p w14:paraId="5199AD00" w14:textId="43AB7C1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Cruz, A. P. (2013). Random rewards as incentives for knowledge sharing. In </w:t>
      </w:r>
      <w:r w:rsidRPr="002A7627">
        <w:rPr>
          <w:rFonts w:cs="Times New Roman"/>
          <w:i/>
          <w:iCs/>
          <w:noProof/>
          <w:szCs w:val="24"/>
        </w:rPr>
        <w:t xml:space="preserve">Proceedings of American </w:t>
      </w:r>
      <w:r w:rsidR="0059614D">
        <w:rPr>
          <w:rFonts w:cs="Times New Roman"/>
          <w:i/>
          <w:iCs/>
          <w:noProof/>
          <w:szCs w:val="24"/>
        </w:rPr>
        <w:t>S</w:t>
      </w:r>
      <w:r w:rsidRPr="002A7627">
        <w:rPr>
          <w:rFonts w:cs="Times New Roman"/>
          <w:i/>
          <w:iCs/>
          <w:noProof/>
          <w:szCs w:val="24"/>
        </w:rPr>
        <w:t xml:space="preserve">ociety of </w:t>
      </w:r>
      <w:r w:rsidR="0059614D">
        <w:rPr>
          <w:rFonts w:cs="Times New Roman"/>
          <w:i/>
          <w:iCs/>
          <w:noProof/>
          <w:szCs w:val="24"/>
        </w:rPr>
        <w:t>B</w:t>
      </w:r>
      <w:r w:rsidRPr="002A7627">
        <w:rPr>
          <w:rFonts w:cs="Times New Roman"/>
          <w:i/>
          <w:iCs/>
          <w:noProof/>
          <w:szCs w:val="24"/>
        </w:rPr>
        <w:t xml:space="preserve">usiness and </w:t>
      </w:r>
      <w:r w:rsidR="0059614D">
        <w:rPr>
          <w:rFonts w:cs="Times New Roman"/>
          <w:i/>
          <w:iCs/>
          <w:noProof/>
          <w:szCs w:val="24"/>
        </w:rPr>
        <w:t>B</w:t>
      </w:r>
      <w:r w:rsidRPr="002A7627">
        <w:rPr>
          <w:rFonts w:cs="Times New Roman"/>
          <w:i/>
          <w:iCs/>
          <w:noProof/>
          <w:szCs w:val="24"/>
        </w:rPr>
        <w:t xml:space="preserve">ehavioral </w:t>
      </w:r>
      <w:r w:rsidR="0059614D">
        <w:rPr>
          <w:rFonts w:cs="Times New Roman"/>
          <w:i/>
          <w:iCs/>
          <w:noProof/>
          <w:szCs w:val="24"/>
        </w:rPr>
        <w:t>S</w:t>
      </w:r>
      <w:r w:rsidRPr="002A7627">
        <w:rPr>
          <w:rFonts w:cs="Times New Roman"/>
          <w:i/>
          <w:iCs/>
          <w:noProof/>
          <w:szCs w:val="24"/>
        </w:rPr>
        <w:t xml:space="preserve">ciences (ASBBS) </w:t>
      </w:r>
      <w:r w:rsidR="0059614D" w:rsidRPr="002A7627">
        <w:rPr>
          <w:rFonts w:cs="Times New Roman"/>
          <w:i/>
          <w:iCs/>
          <w:noProof/>
          <w:szCs w:val="24"/>
        </w:rPr>
        <w:t>Annual Conference</w:t>
      </w:r>
      <w:r w:rsidR="0059614D" w:rsidRPr="002A7627">
        <w:rPr>
          <w:rFonts w:cs="Times New Roman"/>
          <w:noProof/>
          <w:szCs w:val="24"/>
        </w:rPr>
        <w:t xml:space="preserve"> </w:t>
      </w:r>
      <w:r w:rsidRPr="002A7627">
        <w:rPr>
          <w:rFonts w:cs="Times New Roman"/>
          <w:noProof/>
          <w:szCs w:val="24"/>
        </w:rPr>
        <w:t>(Vol. 20, pp. 522–528). Las Vegas, CA: ASBBS.</w:t>
      </w:r>
    </w:p>
    <w:p w14:paraId="0F8EA727"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Curasi, C. F. (2001). A critical exploration of face-to face interviewing vs. computer-mediated interviewing. </w:t>
      </w:r>
      <w:r w:rsidRPr="002A7627">
        <w:rPr>
          <w:rFonts w:cs="Times New Roman"/>
          <w:i/>
          <w:iCs/>
          <w:noProof/>
          <w:szCs w:val="24"/>
        </w:rPr>
        <w:t>International Journal of Market Research</w:t>
      </w:r>
      <w:r w:rsidRPr="002A7627">
        <w:rPr>
          <w:rFonts w:cs="Times New Roman"/>
          <w:noProof/>
          <w:szCs w:val="24"/>
        </w:rPr>
        <w:t xml:space="preserve">, </w:t>
      </w:r>
      <w:r w:rsidRPr="002A7627">
        <w:rPr>
          <w:rFonts w:cs="Times New Roman"/>
          <w:i/>
          <w:iCs/>
          <w:noProof/>
          <w:szCs w:val="24"/>
        </w:rPr>
        <w:t>43</w:t>
      </w:r>
      <w:r w:rsidRPr="002A7627">
        <w:rPr>
          <w:rFonts w:cs="Times New Roman"/>
          <w:noProof/>
          <w:szCs w:val="24"/>
        </w:rPr>
        <w:t>(4), 1–13. https://doi.org/10.1177/147078530104300402</w:t>
      </w:r>
    </w:p>
    <w:p w14:paraId="6EAF47F3" w14:textId="25CFB0BB"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Currie, G., &amp; Kerrin, M. (2003). Human resource management and knowledge management: </w:t>
      </w:r>
      <w:r w:rsidR="004B5FB8">
        <w:rPr>
          <w:rFonts w:cs="Times New Roman"/>
          <w:noProof/>
          <w:szCs w:val="24"/>
        </w:rPr>
        <w:t>e</w:t>
      </w:r>
      <w:r w:rsidRPr="002A7627">
        <w:rPr>
          <w:rFonts w:cs="Times New Roman"/>
          <w:noProof/>
          <w:szCs w:val="24"/>
        </w:rPr>
        <w:t xml:space="preserve">nhancing knowledge sharing in a pharmaceutical company. </w:t>
      </w:r>
      <w:r w:rsidRPr="002A7627">
        <w:rPr>
          <w:rFonts w:cs="Times New Roman"/>
          <w:i/>
          <w:iCs/>
          <w:noProof/>
          <w:szCs w:val="24"/>
        </w:rPr>
        <w:t>International Journal of Human Resource Management</w:t>
      </w:r>
      <w:r w:rsidRPr="002A7627">
        <w:rPr>
          <w:rFonts w:cs="Times New Roman"/>
          <w:noProof/>
          <w:szCs w:val="24"/>
        </w:rPr>
        <w:t xml:space="preserve">, </w:t>
      </w:r>
      <w:r w:rsidRPr="002A7627">
        <w:rPr>
          <w:rFonts w:cs="Times New Roman"/>
          <w:i/>
          <w:iCs/>
          <w:noProof/>
          <w:szCs w:val="24"/>
        </w:rPr>
        <w:t>14</w:t>
      </w:r>
      <w:r w:rsidRPr="002A7627">
        <w:rPr>
          <w:rFonts w:cs="Times New Roman"/>
          <w:noProof/>
          <w:szCs w:val="24"/>
        </w:rPr>
        <w:t>(6), 1027–1045. https://doi.org/10.1080/0958519032000124641</w:t>
      </w:r>
    </w:p>
    <w:p w14:paraId="55682BBD"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Cyert, R. M., &amp; March, J. G. (1963). A summary of basic concepts in the behavioral theory of the firm. In </w:t>
      </w:r>
      <w:r w:rsidRPr="002A7627">
        <w:rPr>
          <w:rFonts w:cs="Times New Roman"/>
          <w:i/>
          <w:iCs/>
          <w:noProof/>
          <w:szCs w:val="24"/>
        </w:rPr>
        <w:t>A behavioral theory of the firm</w:t>
      </w:r>
      <w:r w:rsidRPr="002A7627">
        <w:rPr>
          <w:rFonts w:cs="Times New Roman"/>
          <w:noProof/>
          <w:szCs w:val="24"/>
        </w:rPr>
        <w:t>. Englewood Cliffs, NJ: Prentice-Hall.</w:t>
      </w:r>
    </w:p>
    <w:p w14:paraId="1862D23F"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Dalkir, K. (2017). </w:t>
      </w:r>
      <w:r w:rsidRPr="002A7627">
        <w:rPr>
          <w:rFonts w:cs="Times New Roman"/>
          <w:i/>
          <w:iCs/>
          <w:noProof/>
          <w:szCs w:val="24"/>
        </w:rPr>
        <w:t>Knowledge management in theory and practice</w:t>
      </w:r>
      <w:r w:rsidRPr="002A7627">
        <w:rPr>
          <w:rFonts w:cs="Times New Roman"/>
          <w:noProof/>
          <w:szCs w:val="24"/>
        </w:rPr>
        <w:t>. Cambridge, MA: Massachusetts Institute of Technology.</w:t>
      </w:r>
    </w:p>
    <w:p w14:paraId="22287389"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Darroch, J., &amp; McNaughton, R. (2002). Examining the link between knowledge management practices and types of innovation. </w:t>
      </w:r>
      <w:r w:rsidRPr="002A7627">
        <w:rPr>
          <w:rFonts w:cs="Times New Roman"/>
          <w:i/>
          <w:iCs/>
          <w:noProof/>
          <w:szCs w:val="24"/>
        </w:rPr>
        <w:t>Journal of Intellectual Capital</w:t>
      </w:r>
      <w:r w:rsidRPr="002A7627">
        <w:rPr>
          <w:rFonts w:cs="Times New Roman"/>
          <w:noProof/>
          <w:szCs w:val="24"/>
        </w:rPr>
        <w:t xml:space="preserve">, </w:t>
      </w:r>
      <w:r w:rsidRPr="002A7627">
        <w:rPr>
          <w:rFonts w:cs="Times New Roman"/>
          <w:i/>
          <w:iCs/>
          <w:noProof/>
          <w:szCs w:val="24"/>
        </w:rPr>
        <w:t>3</w:t>
      </w:r>
      <w:r w:rsidRPr="002A7627">
        <w:rPr>
          <w:rFonts w:cs="Times New Roman"/>
          <w:noProof/>
          <w:szCs w:val="24"/>
        </w:rPr>
        <w:t>(3), 210–222. https://doi.org/10.1108/14691930210435570</w:t>
      </w:r>
    </w:p>
    <w:p w14:paraId="04E50E8A"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Davcik, N. S. (2014). The use and misuse of structural equation modeling in management research. </w:t>
      </w:r>
      <w:r w:rsidRPr="002A7627">
        <w:rPr>
          <w:rFonts w:cs="Times New Roman"/>
          <w:i/>
          <w:iCs/>
          <w:noProof/>
          <w:szCs w:val="24"/>
        </w:rPr>
        <w:t>Journal of Advances in Management Research</w:t>
      </w:r>
      <w:r w:rsidRPr="002A7627">
        <w:rPr>
          <w:rFonts w:cs="Times New Roman"/>
          <w:noProof/>
          <w:szCs w:val="24"/>
        </w:rPr>
        <w:t xml:space="preserve">, </w:t>
      </w:r>
      <w:r w:rsidRPr="002A7627">
        <w:rPr>
          <w:rFonts w:cs="Times New Roman"/>
          <w:i/>
          <w:iCs/>
          <w:noProof/>
          <w:szCs w:val="24"/>
        </w:rPr>
        <w:t>11</w:t>
      </w:r>
      <w:r w:rsidRPr="002A7627">
        <w:rPr>
          <w:rFonts w:cs="Times New Roman"/>
          <w:noProof/>
          <w:szCs w:val="24"/>
        </w:rPr>
        <w:t>(1), 47–81. https://doi.org/10.1108/JAMR-07-2013-0043</w:t>
      </w:r>
    </w:p>
    <w:p w14:paraId="626B6759" w14:textId="2BBBAB6F"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Davenport, T. H., &amp; Prusak, L. (1998). </w:t>
      </w:r>
      <w:r w:rsidRPr="002A7627">
        <w:rPr>
          <w:rFonts w:cs="Times New Roman"/>
          <w:i/>
          <w:iCs/>
          <w:noProof/>
          <w:szCs w:val="24"/>
        </w:rPr>
        <w:t xml:space="preserve">Working knowledge: </w:t>
      </w:r>
      <w:r w:rsidR="004B5FB8">
        <w:rPr>
          <w:rFonts w:cs="Times New Roman"/>
          <w:i/>
          <w:iCs/>
          <w:noProof/>
          <w:szCs w:val="24"/>
        </w:rPr>
        <w:t>h</w:t>
      </w:r>
      <w:r w:rsidRPr="002A7627">
        <w:rPr>
          <w:rFonts w:cs="Times New Roman"/>
          <w:i/>
          <w:iCs/>
          <w:noProof/>
          <w:szCs w:val="24"/>
        </w:rPr>
        <w:t>ow organizations manage what they know</w:t>
      </w:r>
      <w:r w:rsidRPr="002A7627">
        <w:rPr>
          <w:rFonts w:cs="Times New Roman"/>
          <w:noProof/>
          <w:szCs w:val="24"/>
        </w:rPr>
        <w:t xml:space="preserve">. </w:t>
      </w:r>
      <w:r w:rsidRPr="002A7627">
        <w:rPr>
          <w:rFonts w:cs="Times New Roman"/>
          <w:i/>
          <w:iCs/>
          <w:noProof/>
          <w:szCs w:val="24"/>
        </w:rPr>
        <w:t>Knowledge Creation Diffusion Utilization</w:t>
      </w:r>
      <w:r w:rsidRPr="002A7627">
        <w:rPr>
          <w:rFonts w:cs="Times New Roman"/>
          <w:noProof/>
          <w:szCs w:val="24"/>
        </w:rPr>
        <w:t>. Cambridge, MA: Harvard Business School Press. https://doi.org/10.1109/EMR.2003.1267012</w:t>
      </w:r>
    </w:p>
    <w:p w14:paraId="4D68A968" w14:textId="59AC8F53"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de Menezes, L. M., Wood, S., &amp; Gelade, G. (2010). The integration of human resource and operation management practices and its link with performance: </w:t>
      </w:r>
      <w:r w:rsidR="004B5FB8">
        <w:rPr>
          <w:rFonts w:cs="Times New Roman"/>
          <w:noProof/>
          <w:szCs w:val="24"/>
        </w:rPr>
        <w:t>a</w:t>
      </w:r>
      <w:r w:rsidR="004B5FB8" w:rsidRPr="002A7627">
        <w:rPr>
          <w:rFonts w:cs="Times New Roman"/>
          <w:noProof/>
          <w:szCs w:val="24"/>
        </w:rPr>
        <w:t xml:space="preserve"> </w:t>
      </w:r>
      <w:r w:rsidRPr="002A7627">
        <w:rPr>
          <w:rFonts w:cs="Times New Roman"/>
          <w:noProof/>
          <w:szCs w:val="24"/>
        </w:rPr>
        <w:t xml:space="preserve">longitudinal latent class study. </w:t>
      </w:r>
      <w:r w:rsidRPr="002A7627">
        <w:rPr>
          <w:rFonts w:cs="Times New Roman"/>
          <w:i/>
          <w:iCs/>
          <w:noProof/>
          <w:szCs w:val="24"/>
        </w:rPr>
        <w:t>Journal of Operations Management</w:t>
      </w:r>
      <w:r w:rsidRPr="002A7627">
        <w:rPr>
          <w:rFonts w:cs="Times New Roman"/>
          <w:noProof/>
          <w:szCs w:val="24"/>
        </w:rPr>
        <w:t xml:space="preserve">, </w:t>
      </w:r>
      <w:r w:rsidRPr="002A7627">
        <w:rPr>
          <w:rFonts w:cs="Times New Roman"/>
          <w:i/>
          <w:iCs/>
          <w:noProof/>
          <w:szCs w:val="24"/>
        </w:rPr>
        <w:t>28</w:t>
      </w:r>
      <w:r w:rsidRPr="002A7627">
        <w:rPr>
          <w:rFonts w:cs="Times New Roman"/>
          <w:noProof/>
          <w:szCs w:val="24"/>
        </w:rPr>
        <w:t>(6), 455–471.</w:t>
      </w:r>
    </w:p>
    <w:p w14:paraId="4337E016" w14:textId="4C03405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Deci, E. L., &amp; Ryan, R. M. (1985). The general causality orientations scale: </w:t>
      </w:r>
      <w:r w:rsidR="004B5FB8">
        <w:rPr>
          <w:rFonts w:cs="Times New Roman"/>
          <w:noProof/>
          <w:szCs w:val="24"/>
        </w:rPr>
        <w:t>s</w:t>
      </w:r>
      <w:r w:rsidRPr="002A7627">
        <w:rPr>
          <w:rFonts w:cs="Times New Roman"/>
          <w:noProof/>
          <w:szCs w:val="24"/>
        </w:rPr>
        <w:t xml:space="preserve">elf-determination in personality. </w:t>
      </w:r>
      <w:r w:rsidRPr="002A7627">
        <w:rPr>
          <w:rFonts w:cs="Times New Roman"/>
          <w:i/>
          <w:iCs/>
          <w:noProof/>
          <w:szCs w:val="24"/>
        </w:rPr>
        <w:t>Journal of Research in Personality</w:t>
      </w:r>
      <w:r w:rsidRPr="002A7627">
        <w:rPr>
          <w:rFonts w:cs="Times New Roman"/>
          <w:noProof/>
          <w:szCs w:val="24"/>
        </w:rPr>
        <w:t xml:space="preserve">, </w:t>
      </w:r>
      <w:r w:rsidRPr="002A7627">
        <w:rPr>
          <w:rFonts w:cs="Times New Roman"/>
          <w:i/>
          <w:iCs/>
          <w:noProof/>
          <w:szCs w:val="24"/>
        </w:rPr>
        <w:t>19</w:t>
      </w:r>
      <w:r w:rsidRPr="002A7627">
        <w:rPr>
          <w:rFonts w:cs="Times New Roman"/>
          <w:noProof/>
          <w:szCs w:val="24"/>
        </w:rPr>
        <w:t>(2), 109–134. https://doi.org/10.1016/0092-6566(85)90023-6</w:t>
      </w:r>
    </w:p>
    <w:p w14:paraId="519C75A5" w14:textId="33C90820"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Deci, E.</w:t>
      </w:r>
      <w:r w:rsidR="00396C8B">
        <w:rPr>
          <w:rFonts w:cs="Times New Roman"/>
          <w:noProof/>
          <w:szCs w:val="24"/>
        </w:rPr>
        <w:t xml:space="preserve"> L.</w:t>
      </w:r>
      <w:r w:rsidRPr="002A7627">
        <w:rPr>
          <w:rFonts w:cs="Times New Roman"/>
          <w:noProof/>
          <w:szCs w:val="24"/>
        </w:rPr>
        <w:t>, &amp; Ryan</w:t>
      </w:r>
      <w:r w:rsidR="00396C8B">
        <w:rPr>
          <w:rFonts w:cs="Times New Roman"/>
          <w:noProof/>
          <w:szCs w:val="24"/>
        </w:rPr>
        <w:t>, R. M</w:t>
      </w:r>
      <w:r w:rsidRPr="002A7627">
        <w:rPr>
          <w:rFonts w:cs="Times New Roman"/>
          <w:noProof/>
          <w:szCs w:val="24"/>
        </w:rPr>
        <w:t xml:space="preserve">. (2014). </w:t>
      </w:r>
      <w:r w:rsidRPr="002A7627">
        <w:rPr>
          <w:rFonts w:cs="Times New Roman"/>
          <w:i/>
          <w:iCs/>
          <w:noProof/>
          <w:szCs w:val="24"/>
        </w:rPr>
        <w:t>The importance of universal psychological needs for understanding motivation in the workplace</w:t>
      </w:r>
      <w:r w:rsidRPr="002A7627">
        <w:rPr>
          <w:rFonts w:cs="Times New Roman"/>
          <w:noProof/>
          <w:szCs w:val="24"/>
        </w:rPr>
        <w:t>. New York, NY: Oxford University Press.</w:t>
      </w:r>
    </w:p>
    <w:p w14:paraId="7A5A29FB"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Delen, D., &amp; Al-Hawamdeh, S. (2009). A holistic framework for knowledge discovery and management. </w:t>
      </w:r>
      <w:r w:rsidRPr="002A7627">
        <w:rPr>
          <w:rFonts w:cs="Times New Roman"/>
          <w:i/>
          <w:iCs/>
          <w:noProof/>
          <w:szCs w:val="24"/>
        </w:rPr>
        <w:t>Communications of the ACM</w:t>
      </w:r>
      <w:r w:rsidRPr="002A7627">
        <w:rPr>
          <w:rFonts w:cs="Times New Roman"/>
          <w:noProof/>
          <w:szCs w:val="24"/>
        </w:rPr>
        <w:t xml:space="preserve">, </w:t>
      </w:r>
      <w:r w:rsidRPr="002A7627">
        <w:rPr>
          <w:rFonts w:cs="Times New Roman"/>
          <w:i/>
          <w:iCs/>
          <w:noProof/>
          <w:szCs w:val="24"/>
        </w:rPr>
        <w:t>52</w:t>
      </w:r>
      <w:r w:rsidRPr="002A7627">
        <w:rPr>
          <w:rFonts w:cs="Times New Roman"/>
          <w:noProof/>
          <w:szCs w:val="24"/>
        </w:rPr>
        <w:t>(6), 141. https://doi.org/10.1145/1516046.1516082</w:t>
      </w:r>
    </w:p>
    <w:p w14:paraId="700989BA" w14:textId="42499362"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Delery, J., &amp; Gupta, N. (2016). Human resource management practices and organizational effectiveness: </w:t>
      </w:r>
      <w:r w:rsidR="00396C8B">
        <w:rPr>
          <w:rFonts w:cs="Times New Roman"/>
          <w:noProof/>
          <w:szCs w:val="24"/>
        </w:rPr>
        <w:t>i</w:t>
      </w:r>
      <w:r w:rsidRPr="002A7627">
        <w:rPr>
          <w:rFonts w:cs="Times New Roman"/>
          <w:noProof/>
          <w:szCs w:val="24"/>
        </w:rPr>
        <w:t xml:space="preserve">nternal fit matters. </w:t>
      </w:r>
      <w:r w:rsidRPr="002A7627">
        <w:rPr>
          <w:rFonts w:cs="Times New Roman"/>
          <w:i/>
          <w:iCs/>
          <w:noProof/>
          <w:szCs w:val="24"/>
        </w:rPr>
        <w:t>Journal of Organizational Effectiveness</w:t>
      </w:r>
      <w:r w:rsidRPr="002A7627">
        <w:rPr>
          <w:rFonts w:cs="Times New Roman"/>
          <w:noProof/>
          <w:szCs w:val="24"/>
        </w:rPr>
        <w:t xml:space="preserve">, </w:t>
      </w:r>
      <w:r w:rsidRPr="002A7627">
        <w:rPr>
          <w:rFonts w:cs="Times New Roman"/>
          <w:i/>
          <w:iCs/>
          <w:noProof/>
          <w:szCs w:val="24"/>
        </w:rPr>
        <w:t>3</w:t>
      </w:r>
      <w:r w:rsidRPr="002A7627">
        <w:rPr>
          <w:rFonts w:cs="Times New Roman"/>
          <w:noProof/>
          <w:szCs w:val="24"/>
        </w:rPr>
        <w:t>(2), 139–163. https://doi.org/10.1108/JOEPP-03-2016-0028</w:t>
      </w:r>
    </w:p>
    <w:p w14:paraId="38F5950A"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Denscombe, M. (2014). </w:t>
      </w:r>
      <w:r w:rsidRPr="002A7627">
        <w:rPr>
          <w:rFonts w:cs="Times New Roman"/>
          <w:i/>
          <w:iCs/>
          <w:noProof/>
          <w:szCs w:val="24"/>
        </w:rPr>
        <w:t>The good research guide for small-scale research projects</w:t>
      </w:r>
      <w:r w:rsidRPr="002A7627">
        <w:rPr>
          <w:rFonts w:cs="Times New Roman"/>
          <w:noProof/>
          <w:szCs w:val="24"/>
        </w:rPr>
        <w:t xml:space="preserve"> (5th ed.). London, UK: Open University Press.</w:t>
      </w:r>
    </w:p>
    <w:p w14:paraId="26C9EFEF" w14:textId="6BF52512" w:rsidR="00EB7624" w:rsidRPr="00EB7624" w:rsidRDefault="00CD0B2F" w:rsidP="002A7627">
      <w:pPr>
        <w:spacing w:line="480" w:lineRule="auto"/>
        <w:ind w:left="480" w:hanging="480"/>
        <w:jc w:val="both"/>
        <w:rPr>
          <w:rFonts w:cs="Times New Roman"/>
          <w:noProof/>
          <w:color w:val="000000" w:themeColor="text1"/>
          <w:szCs w:val="24"/>
        </w:rPr>
      </w:pPr>
      <w:r w:rsidRPr="002A7627">
        <w:rPr>
          <w:rFonts w:cs="Times New Roman"/>
          <w:noProof/>
          <w:szCs w:val="24"/>
        </w:rPr>
        <w:t>Department of Economic Development, &amp; INSEAD Innovation and Policy Initiative Statistics Centre (</w:t>
      </w:r>
      <w:r w:rsidR="00B614E5" w:rsidRPr="002A7627">
        <w:rPr>
          <w:rFonts w:cs="Times New Roman"/>
          <w:noProof/>
          <w:szCs w:val="24"/>
        </w:rPr>
        <w:t>201</w:t>
      </w:r>
      <w:r w:rsidR="00B614E5">
        <w:rPr>
          <w:rFonts w:cs="Times New Roman"/>
          <w:noProof/>
          <w:szCs w:val="24"/>
        </w:rPr>
        <w:t>4</w:t>
      </w:r>
      <w:r w:rsidRPr="002A7627">
        <w:rPr>
          <w:rFonts w:cs="Times New Roman"/>
          <w:noProof/>
          <w:szCs w:val="24"/>
        </w:rPr>
        <w:t xml:space="preserve">). </w:t>
      </w:r>
      <w:r w:rsidRPr="002A7627">
        <w:rPr>
          <w:rFonts w:cs="Times New Roman"/>
          <w:i/>
          <w:iCs/>
          <w:noProof/>
          <w:szCs w:val="24"/>
        </w:rPr>
        <w:t>The Abu Dhabi inn</w:t>
      </w:r>
      <w:r w:rsidR="000D754D">
        <w:rPr>
          <w:rFonts w:cs="Times New Roman"/>
          <w:i/>
          <w:iCs/>
          <w:noProof/>
          <w:szCs w:val="24"/>
        </w:rPr>
        <w:t>o</w:t>
      </w:r>
      <w:r w:rsidRPr="002A7627">
        <w:rPr>
          <w:rFonts w:cs="Times New Roman"/>
          <w:i/>
          <w:iCs/>
          <w:noProof/>
          <w:szCs w:val="24"/>
        </w:rPr>
        <w:t>vation index</w:t>
      </w:r>
      <w:r w:rsidRPr="002A7627">
        <w:rPr>
          <w:rFonts w:cs="Times New Roman"/>
          <w:noProof/>
          <w:szCs w:val="24"/>
        </w:rPr>
        <w:t>. Abu Dhabi, UAE: Department of Economic Development.</w:t>
      </w:r>
      <w:r w:rsidR="00EB7624">
        <w:rPr>
          <w:rFonts w:cs="Times New Roman"/>
          <w:noProof/>
          <w:szCs w:val="24"/>
        </w:rPr>
        <w:t xml:space="preserve"> Retrived from: </w:t>
      </w:r>
      <w:hyperlink r:id="rId43" w:history="1">
        <w:r w:rsidR="00EB7624" w:rsidRPr="00EB7624">
          <w:rPr>
            <w:rStyle w:val="Hyperlink"/>
            <w:rFonts w:cs="Times New Roman"/>
            <w:noProof/>
            <w:color w:val="000000" w:themeColor="text1"/>
            <w:szCs w:val="24"/>
            <w:u w:val="none"/>
          </w:rPr>
          <w:t>https://centres.insead.edu/innovation-policy/publications/documents/</w:t>
        </w:r>
      </w:hyperlink>
    </w:p>
    <w:p w14:paraId="40636CD6" w14:textId="1628657B" w:rsidR="00CD0B2F" w:rsidRDefault="00EB7624" w:rsidP="00EB7624">
      <w:pPr>
        <w:spacing w:line="480" w:lineRule="auto"/>
        <w:ind w:left="993" w:hanging="480"/>
        <w:jc w:val="both"/>
        <w:rPr>
          <w:rFonts w:cs="Times New Roman"/>
          <w:noProof/>
          <w:szCs w:val="24"/>
        </w:rPr>
      </w:pPr>
      <w:r w:rsidRPr="00EB7624">
        <w:rPr>
          <w:rFonts w:cs="Times New Roman"/>
          <w:noProof/>
          <w:szCs w:val="24"/>
        </w:rPr>
        <w:t>En_IndexReport.pdf</w:t>
      </w:r>
    </w:p>
    <w:p w14:paraId="41531D2B" w14:textId="49C3B6F1"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Dhamija, P. (2012). E-</w:t>
      </w:r>
      <w:r w:rsidR="00396C8B">
        <w:rPr>
          <w:rFonts w:cs="Times New Roman"/>
          <w:noProof/>
          <w:szCs w:val="24"/>
        </w:rPr>
        <w:t>r</w:t>
      </w:r>
      <w:r w:rsidRPr="002A7627">
        <w:rPr>
          <w:rFonts w:cs="Times New Roman"/>
          <w:noProof/>
          <w:szCs w:val="24"/>
        </w:rPr>
        <w:t xml:space="preserve">ecruitment: </w:t>
      </w:r>
      <w:r w:rsidR="004B5FB8">
        <w:rPr>
          <w:rFonts w:cs="Times New Roman"/>
          <w:noProof/>
          <w:szCs w:val="24"/>
        </w:rPr>
        <w:t>a</w:t>
      </w:r>
      <w:r w:rsidRPr="002A7627">
        <w:rPr>
          <w:rFonts w:cs="Times New Roman"/>
          <w:noProof/>
          <w:szCs w:val="24"/>
        </w:rPr>
        <w:t xml:space="preserve"> roadmap towards e-human resource management. </w:t>
      </w:r>
      <w:r w:rsidRPr="002A7627">
        <w:rPr>
          <w:rFonts w:cs="Times New Roman"/>
          <w:i/>
          <w:iCs/>
          <w:noProof/>
          <w:szCs w:val="24"/>
        </w:rPr>
        <w:t>Researchers World: Journal of Arts, Science and Commerce</w:t>
      </w:r>
      <w:r w:rsidRPr="002A7627">
        <w:rPr>
          <w:rFonts w:cs="Times New Roman"/>
          <w:noProof/>
          <w:szCs w:val="24"/>
        </w:rPr>
        <w:t xml:space="preserve">, </w:t>
      </w:r>
      <w:r w:rsidRPr="002A7627">
        <w:rPr>
          <w:rFonts w:cs="Times New Roman"/>
          <w:i/>
          <w:iCs/>
          <w:noProof/>
          <w:szCs w:val="24"/>
        </w:rPr>
        <w:t>3</w:t>
      </w:r>
      <w:r w:rsidRPr="002A7627">
        <w:rPr>
          <w:rFonts w:cs="Times New Roman"/>
          <w:noProof/>
          <w:szCs w:val="24"/>
        </w:rPr>
        <w:t>(3), 33. https://doi.org/10.1177/030913330102500103</w:t>
      </w:r>
    </w:p>
    <w:p w14:paraId="2C92C2C7" w14:textId="744E23FF"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Diamantopoulos, A., Sarstedt, M., Fuchs, C., Wilczynski, P., &amp; Kaiser, S. (2012). Guidelines for choosing between multi-item and single-item scales for construct measurement: </w:t>
      </w:r>
      <w:r w:rsidR="004B5FB8">
        <w:rPr>
          <w:rFonts w:cs="Times New Roman"/>
          <w:noProof/>
          <w:szCs w:val="24"/>
        </w:rPr>
        <w:t>a</w:t>
      </w:r>
      <w:r w:rsidR="004B5FB8" w:rsidRPr="002A7627">
        <w:rPr>
          <w:rFonts w:cs="Times New Roman"/>
          <w:noProof/>
          <w:szCs w:val="24"/>
        </w:rPr>
        <w:t xml:space="preserve"> </w:t>
      </w:r>
      <w:r w:rsidRPr="002A7627">
        <w:rPr>
          <w:rFonts w:cs="Times New Roman"/>
          <w:noProof/>
          <w:szCs w:val="24"/>
        </w:rPr>
        <w:t xml:space="preserve">predictive validity perspective. </w:t>
      </w:r>
      <w:r w:rsidRPr="002A7627">
        <w:rPr>
          <w:rFonts w:cs="Times New Roman"/>
          <w:i/>
          <w:iCs/>
          <w:noProof/>
          <w:szCs w:val="24"/>
        </w:rPr>
        <w:t>Journal of the Academy of Marketing Science</w:t>
      </w:r>
      <w:r w:rsidRPr="002A7627">
        <w:rPr>
          <w:rFonts w:cs="Times New Roman"/>
          <w:noProof/>
          <w:szCs w:val="24"/>
        </w:rPr>
        <w:t xml:space="preserve">, </w:t>
      </w:r>
      <w:r w:rsidRPr="002A7627">
        <w:rPr>
          <w:rFonts w:cs="Times New Roman"/>
          <w:i/>
          <w:iCs/>
          <w:noProof/>
          <w:szCs w:val="24"/>
        </w:rPr>
        <w:t>40</w:t>
      </w:r>
      <w:r w:rsidRPr="002A7627">
        <w:rPr>
          <w:rFonts w:cs="Times New Roman"/>
          <w:noProof/>
          <w:szCs w:val="24"/>
        </w:rPr>
        <w:t>(3), 434–449. https://doi.org/10.1007/s11747-011-0300-3</w:t>
      </w:r>
    </w:p>
    <w:p w14:paraId="15472310" w14:textId="362CD525"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Dijkstra, T. K., &amp; Henseler, J. (2015). </w:t>
      </w:r>
      <w:r w:rsidR="00396C8B">
        <w:rPr>
          <w:rFonts w:cs="Times New Roman"/>
          <w:noProof/>
          <w:szCs w:val="24"/>
        </w:rPr>
        <w:t>C</w:t>
      </w:r>
      <w:r w:rsidR="00396C8B" w:rsidRPr="002A7627">
        <w:rPr>
          <w:rFonts w:cs="Times New Roman"/>
          <w:noProof/>
          <w:szCs w:val="24"/>
        </w:rPr>
        <w:t>onsistent an</w:t>
      </w:r>
      <w:r w:rsidRPr="002A7627">
        <w:rPr>
          <w:rFonts w:cs="Times New Roman"/>
          <w:noProof/>
          <w:szCs w:val="24"/>
        </w:rPr>
        <w:t xml:space="preserve">d asymptotically normal PLS estimators for linear structural equations. </w:t>
      </w:r>
      <w:r w:rsidRPr="002A7627">
        <w:rPr>
          <w:rFonts w:cs="Times New Roman"/>
          <w:i/>
          <w:iCs/>
          <w:noProof/>
          <w:szCs w:val="24"/>
        </w:rPr>
        <w:t>Computational Statistics and Data Analysis</w:t>
      </w:r>
      <w:r w:rsidRPr="002A7627">
        <w:rPr>
          <w:rFonts w:cs="Times New Roman"/>
          <w:noProof/>
          <w:szCs w:val="24"/>
        </w:rPr>
        <w:t xml:space="preserve">, </w:t>
      </w:r>
      <w:r w:rsidRPr="002A7627">
        <w:rPr>
          <w:rFonts w:cs="Times New Roman"/>
          <w:i/>
          <w:iCs/>
          <w:noProof/>
          <w:szCs w:val="24"/>
        </w:rPr>
        <w:t>81</w:t>
      </w:r>
      <w:r w:rsidRPr="002A7627">
        <w:rPr>
          <w:rFonts w:cs="Times New Roman"/>
          <w:noProof/>
          <w:szCs w:val="24"/>
        </w:rPr>
        <w:t>, 10–23. https://doi.org/10.1016/j.csda.2014.07.008</w:t>
      </w:r>
    </w:p>
    <w:p w14:paraId="6518DD53" w14:textId="70F9BE0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Dixon, N. M. (2000). </w:t>
      </w:r>
      <w:r w:rsidRPr="002A7627">
        <w:rPr>
          <w:rFonts w:cs="Times New Roman"/>
          <w:i/>
          <w:iCs/>
          <w:noProof/>
          <w:szCs w:val="24"/>
        </w:rPr>
        <w:t xml:space="preserve">Common knowledge: </w:t>
      </w:r>
      <w:r w:rsidR="004B5FB8">
        <w:rPr>
          <w:rFonts w:cs="Times New Roman"/>
          <w:i/>
          <w:iCs/>
          <w:noProof/>
          <w:szCs w:val="24"/>
        </w:rPr>
        <w:t>h</w:t>
      </w:r>
      <w:r w:rsidRPr="002A7627">
        <w:rPr>
          <w:rFonts w:cs="Times New Roman"/>
          <w:i/>
          <w:iCs/>
          <w:noProof/>
          <w:szCs w:val="24"/>
        </w:rPr>
        <w:t>ow companies thrive by sharing what they know</w:t>
      </w:r>
      <w:r w:rsidRPr="002A7627">
        <w:rPr>
          <w:rFonts w:cs="Times New Roman"/>
          <w:noProof/>
          <w:szCs w:val="24"/>
        </w:rPr>
        <w:t>. New York, NY: Harvard Business School Press.</w:t>
      </w:r>
    </w:p>
    <w:p w14:paraId="05EFA20E" w14:textId="02B77281" w:rsidR="00CD0B2F" w:rsidRDefault="00CD0B2F" w:rsidP="002A7627">
      <w:pPr>
        <w:spacing w:line="480" w:lineRule="auto"/>
        <w:ind w:left="480" w:hanging="480"/>
        <w:jc w:val="both"/>
        <w:rPr>
          <w:rFonts w:cs="Times New Roman"/>
          <w:noProof/>
          <w:szCs w:val="24"/>
        </w:rPr>
      </w:pPr>
      <w:r w:rsidRPr="002A7627">
        <w:rPr>
          <w:rFonts w:cs="Times New Roman"/>
          <w:noProof/>
          <w:szCs w:val="24"/>
        </w:rPr>
        <w:t xml:space="preserve">Donate, M. J., &amp; Guadamillas, F. (2015). An empirical study on the relationships between knowledge management, knowledge-oriented human resource practices and innovation. </w:t>
      </w:r>
      <w:r w:rsidRPr="002A7627">
        <w:rPr>
          <w:rFonts w:cs="Times New Roman"/>
          <w:i/>
          <w:iCs/>
          <w:noProof/>
          <w:szCs w:val="24"/>
        </w:rPr>
        <w:t>Knowledge Management Research and Practice</w:t>
      </w:r>
      <w:r w:rsidRPr="002A7627">
        <w:rPr>
          <w:rFonts w:cs="Times New Roman"/>
          <w:noProof/>
          <w:szCs w:val="24"/>
        </w:rPr>
        <w:t xml:space="preserve">, </w:t>
      </w:r>
      <w:r w:rsidRPr="002A7627">
        <w:rPr>
          <w:rFonts w:cs="Times New Roman"/>
          <w:i/>
          <w:iCs/>
          <w:noProof/>
          <w:szCs w:val="24"/>
        </w:rPr>
        <w:t>13</w:t>
      </w:r>
      <w:r w:rsidRPr="002A7627">
        <w:rPr>
          <w:rFonts w:cs="Times New Roman"/>
          <w:noProof/>
          <w:szCs w:val="24"/>
        </w:rPr>
        <w:t>(2), 134–148.</w:t>
      </w:r>
      <w:r w:rsidRPr="00935DBF">
        <w:rPr>
          <w:rFonts w:cs="Times New Roman"/>
          <w:noProof/>
          <w:color w:val="000000" w:themeColor="text1"/>
          <w:szCs w:val="24"/>
        </w:rPr>
        <w:t xml:space="preserve"> </w:t>
      </w:r>
      <w:hyperlink r:id="rId44" w:history="1">
        <w:r w:rsidR="001940E1" w:rsidRPr="00935DBF">
          <w:rPr>
            <w:rStyle w:val="Hyperlink"/>
            <w:rFonts w:cs="Times New Roman"/>
            <w:noProof/>
            <w:color w:val="000000" w:themeColor="text1"/>
            <w:szCs w:val="24"/>
            <w:u w:val="none"/>
          </w:rPr>
          <w:t>https://doi.org/10.1057/kmrp.2013.36</w:t>
        </w:r>
      </w:hyperlink>
    </w:p>
    <w:p w14:paraId="6D6CA182" w14:textId="4D524C38" w:rsidR="001940E1" w:rsidRPr="00935DBF" w:rsidRDefault="001940E1" w:rsidP="00935DBF">
      <w:pPr>
        <w:spacing w:line="480" w:lineRule="auto"/>
        <w:ind w:left="480" w:hanging="480"/>
        <w:jc w:val="mediumKashida"/>
      </w:pPr>
      <w:r>
        <w:t xml:space="preserve">Donate, M. J., &amp; de Pablo, J. D. S. (2015). The role of knowledge-oriented leadership in knowledge management practices and innovation. </w:t>
      </w:r>
      <w:r>
        <w:rPr>
          <w:i/>
          <w:iCs/>
        </w:rPr>
        <w:t>Journal of Business Research</w:t>
      </w:r>
      <w:r>
        <w:t xml:space="preserve">, </w:t>
      </w:r>
      <w:r>
        <w:rPr>
          <w:i/>
          <w:iCs/>
        </w:rPr>
        <w:t>68</w:t>
      </w:r>
      <w:r>
        <w:t xml:space="preserve">(2), 360-370.  </w:t>
      </w:r>
      <w:hyperlink r:id="rId45" w:history="1">
        <w:r w:rsidRPr="00935DBF">
          <w:rPr>
            <w:rStyle w:val="Hyperlink"/>
            <w:color w:val="000000" w:themeColor="text1"/>
            <w:u w:val="none"/>
          </w:rPr>
          <w:t>https://doi.org/10.1016/j.jbusres.2014.06.022</w:t>
        </w:r>
      </w:hyperlink>
    </w:p>
    <w:p w14:paraId="5528B1F3" w14:textId="66CAE36E"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Durham, K., &amp; Kennedy, B. (1997). Intellectual capital: </w:t>
      </w:r>
      <w:r w:rsidR="004B5FB8">
        <w:rPr>
          <w:rFonts w:cs="Times New Roman"/>
          <w:noProof/>
          <w:szCs w:val="24"/>
        </w:rPr>
        <w:t>r</w:t>
      </w:r>
      <w:r w:rsidRPr="002A7627">
        <w:rPr>
          <w:rFonts w:cs="Times New Roman"/>
          <w:noProof/>
          <w:szCs w:val="24"/>
        </w:rPr>
        <w:t xml:space="preserve">ealizing your company’s true value by finding its hidden brainpower. </w:t>
      </w:r>
      <w:r w:rsidRPr="002A7627">
        <w:rPr>
          <w:rFonts w:cs="Times New Roman"/>
          <w:i/>
          <w:iCs/>
          <w:noProof/>
          <w:szCs w:val="24"/>
        </w:rPr>
        <w:t>Reaseacrh Technology Management</w:t>
      </w:r>
      <w:r w:rsidRPr="002A7627">
        <w:rPr>
          <w:rFonts w:cs="Times New Roman"/>
          <w:noProof/>
          <w:szCs w:val="24"/>
        </w:rPr>
        <w:t xml:space="preserve">, </w:t>
      </w:r>
      <w:r w:rsidRPr="002A7627">
        <w:rPr>
          <w:rFonts w:cs="Times New Roman"/>
          <w:i/>
          <w:iCs/>
          <w:noProof/>
          <w:szCs w:val="24"/>
        </w:rPr>
        <w:t>40</w:t>
      </w:r>
      <w:r w:rsidRPr="002A7627">
        <w:rPr>
          <w:rFonts w:cs="Times New Roman"/>
          <w:noProof/>
          <w:szCs w:val="24"/>
        </w:rPr>
        <w:t>(5), 59. https://doi.org/0887308414</w:t>
      </w:r>
    </w:p>
    <w:p w14:paraId="153FA054"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Durmusoglu, S., Jacobs, M., Zamantili Nayir, D., Khilji, S., &amp; Wang, X. (2014). The quasi-moderating role of organizational culture in the relationship between rewards and knowledge shared and gained.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18</w:t>
      </w:r>
      <w:r w:rsidRPr="002A7627">
        <w:rPr>
          <w:rFonts w:cs="Times New Roman"/>
          <w:noProof/>
          <w:szCs w:val="24"/>
        </w:rPr>
        <w:t>(1), 19–37. https://doi.org/10.1108/JKM-05-2013-0183</w:t>
      </w:r>
    </w:p>
    <w:p w14:paraId="44F68351"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Easterby-Smith, M., &amp; Lyles, M. A. (2015). The evolving field of organizational learning and knowledge management. In M. Easterby-Smith (Ed.), </w:t>
      </w:r>
      <w:r w:rsidRPr="002A7627">
        <w:rPr>
          <w:rFonts w:cs="Times New Roman"/>
          <w:i/>
          <w:iCs/>
          <w:noProof/>
          <w:szCs w:val="24"/>
        </w:rPr>
        <w:t>Handbook of organizational learning and knowledge management</w:t>
      </w:r>
      <w:r w:rsidRPr="002A7627">
        <w:rPr>
          <w:rFonts w:cs="Times New Roman"/>
          <w:noProof/>
          <w:szCs w:val="24"/>
        </w:rPr>
        <w:t xml:space="preserve"> (pp. 1–20). Hoboken, NJ: John Wiley &amp; Sons.</w:t>
      </w:r>
    </w:p>
    <w:p w14:paraId="40189B3C"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Easterby-Smith, M., Thorpe, R., &amp; Jackson, P. (2012). </w:t>
      </w:r>
      <w:r w:rsidRPr="002A7627">
        <w:rPr>
          <w:rFonts w:cs="Times New Roman"/>
          <w:i/>
          <w:iCs/>
          <w:noProof/>
          <w:szCs w:val="24"/>
        </w:rPr>
        <w:t>Management research</w:t>
      </w:r>
      <w:r w:rsidRPr="002A7627">
        <w:rPr>
          <w:rFonts w:cs="Times New Roman"/>
          <w:noProof/>
          <w:szCs w:val="24"/>
        </w:rPr>
        <w:t>. New York, NY: Sage.</w:t>
      </w:r>
    </w:p>
    <w:p w14:paraId="0B081A5A"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Edvardsson, I. R. (2008). HRM and knowledge management. </w:t>
      </w:r>
      <w:r w:rsidRPr="002A7627">
        <w:rPr>
          <w:rFonts w:cs="Times New Roman"/>
          <w:i/>
          <w:iCs/>
          <w:noProof/>
          <w:szCs w:val="24"/>
        </w:rPr>
        <w:t>Employee Relations</w:t>
      </w:r>
      <w:r w:rsidRPr="002A7627">
        <w:rPr>
          <w:rFonts w:cs="Times New Roman"/>
          <w:noProof/>
          <w:szCs w:val="24"/>
        </w:rPr>
        <w:t xml:space="preserve">, </w:t>
      </w:r>
      <w:r w:rsidRPr="002A7627">
        <w:rPr>
          <w:rFonts w:cs="Times New Roman"/>
          <w:i/>
          <w:iCs/>
          <w:noProof/>
          <w:szCs w:val="24"/>
        </w:rPr>
        <w:t>30</w:t>
      </w:r>
      <w:r w:rsidRPr="002A7627">
        <w:rPr>
          <w:rFonts w:cs="Times New Roman"/>
          <w:noProof/>
          <w:szCs w:val="24"/>
        </w:rPr>
        <w:t>(5), 553–561. https://doi.org/10.1108/01425450810888303</w:t>
      </w:r>
    </w:p>
    <w:p w14:paraId="50E7A218"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Edvardsson, I. R., &amp; Durst, S. (2013). The benefits of knowledge management in small and medium-sized enterprises. </w:t>
      </w:r>
      <w:r w:rsidRPr="002A7627">
        <w:rPr>
          <w:rFonts w:cs="Times New Roman"/>
          <w:i/>
          <w:iCs/>
          <w:noProof/>
          <w:szCs w:val="24"/>
        </w:rPr>
        <w:t>Procedia - Social and Behavioral Sciences</w:t>
      </w:r>
      <w:r w:rsidRPr="002A7627">
        <w:rPr>
          <w:rFonts w:cs="Times New Roman"/>
          <w:noProof/>
          <w:szCs w:val="24"/>
        </w:rPr>
        <w:t xml:space="preserve">, </w:t>
      </w:r>
      <w:r w:rsidRPr="002A7627">
        <w:rPr>
          <w:rFonts w:cs="Times New Roman"/>
          <w:i/>
          <w:iCs/>
          <w:noProof/>
          <w:szCs w:val="24"/>
        </w:rPr>
        <w:t>81</w:t>
      </w:r>
      <w:r w:rsidRPr="002A7627">
        <w:rPr>
          <w:rFonts w:cs="Times New Roman"/>
          <w:noProof/>
          <w:szCs w:val="24"/>
        </w:rPr>
        <w:t>, 351–354. https://doi.org/10.1016/j.sbspro.2013.06.441</w:t>
      </w:r>
    </w:p>
    <w:p w14:paraId="614263C9"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Evans, J. R., &amp; Mathur, A. (2005). The value of online surveys. </w:t>
      </w:r>
      <w:r w:rsidRPr="002A7627">
        <w:rPr>
          <w:rFonts w:cs="Times New Roman"/>
          <w:i/>
          <w:iCs/>
          <w:noProof/>
          <w:szCs w:val="24"/>
        </w:rPr>
        <w:t>Internet Research</w:t>
      </w:r>
      <w:r w:rsidRPr="002A7627">
        <w:rPr>
          <w:rFonts w:cs="Times New Roman"/>
          <w:noProof/>
          <w:szCs w:val="24"/>
        </w:rPr>
        <w:t xml:space="preserve">, </w:t>
      </w:r>
      <w:r w:rsidRPr="002A7627">
        <w:rPr>
          <w:rFonts w:cs="Times New Roman"/>
          <w:i/>
          <w:iCs/>
          <w:noProof/>
          <w:szCs w:val="24"/>
        </w:rPr>
        <w:t>15</w:t>
      </w:r>
      <w:r w:rsidRPr="002A7627">
        <w:rPr>
          <w:rFonts w:cs="Times New Roman"/>
          <w:noProof/>
          <w:szCs w:val="24"/>
        </w:rPr>
        <w:t>(2), 195–219. https://doi.org/10.1108/10662240510590360</w:t>
      </w:r>
    </w:p>
    <w:p w14:paraId="4AFAF388"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Fairoz, F. M., Hirobumi, T., &amp; Tanaka, Y. (2010). Entrepreneurial orientation and business performance of small and medium scale enterprises of hambantota district Sri Lanka. </w:t>
      </w:r>
      <w:r w:rsidRPr="002A7627">
        <w:rPr>
          <w:rFonts w:cs="Times New Roman"/>
          <w:i/>
          <w:iCs/>
          <w:noProof/>
          <w:szCs w:val="24"/>
        </w:rPr>
        <w:t>Asian Social Science</w:t>
      </w:r>
      <w:r w:rsidRPr="002A7627">
        <w:rPr>
          <w:rFonts w:cs="Times New Roman"/>
          <w:noProof/>
          <w:szCs w:val="24"/>
        </w:rPr>
        <w:t xml:space="preserve">, </w:t>
      </w:r>
      <w:r w:rsidRPr="002A7627">
        <w:rPr>
          <w:rFonts w:cs="Times New Roman"/>
          <w:i/>
          <w:iCs/>
          <w:noProof/>
          <w:szCs w:val="24"/>
        </w:rPr>
        <w:t>6</w:t>
      </w:r>
      <w:r w:rsidRPr="002A7627">
        <w:rPr>
          <w:rFonts w:cs="Times New Roman"/>
          <w:noProof/>
          <w:szCs w:val="24"/>
        </w:rPr>
        <w:t>(3), 34–46. https://doi.org/10.5539/ass.v6n3p34</w:t>
      </w:r>
    </w:p>
    <w:p w14:paraId="185D7642"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Farh, J.-L., Earley, P. C., &amp; Lin, S.-C. (1997). Impetus for action: A cultural analysis of justice and organizational citizenship behavior in Chinese society. </w:t>
      </w:r>
      <w:r w:rsidRPr="002A7627">
        <w:rPr>
          <w:rFonts w:cs="Times New Roman"/>
          <w:i/>
          <w:iCs/>
          <w:noProof/>
          <w:szCs w:val="24"/>
        </w:rPr>
        <w:t>Administrative Science Quarterly</w:t>
      </w:r>
      <w:r w:rsidRPr="002A7627">
        <w:rPr>
          <w:rFonts w:cs="Times New Roman"/>
          <w:noProof/>
          <w:szCs w:val="24"/>
        </w:rPr>
        <w:t xml:space="preserve">, </w:t>
      </w:r>
      <w:r w:rsidRPr="002A7627">
        <w:rPr>
          <w:rFonts w:cs="Times New Roman"/>
          <w:i/>
          <w:iCs/>
          <w:noProof/>
          <w:szCs w:val="24"/>
        </w:rPr>
        <w:t>42</w:t>
      </w:r>
      <w:r w:rsidRPr="002A7627">
        <w:rPr>
          <w:rFonts w:cs="Times New Roman"/>
          <w:noProof/>
          <w:szCs w:val="24"/>
        </w:rPr>
        <w:t>(3), 421. https://doi.org/10.2307/2393733</w:t>
      </w:r>
    </w:p>
    <w:p w14:paraId="548E9140" w14:textId="1083E4B5"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Fawzy, S., &amp; Keri, S. (2000). Strategies for implementing knowledge management: </w:t>
      </w:r>
      <w:r w:rsidR="004B5FB8">
        <w:rPr>
          <w:rFonts w:cs="Times New Roman"/>
          <w:noProof/>
          <w:szCs w:val="24"/>
        </w:rPr>
        <w:t>r</w:t>
      </w:r>
      <w:r w:rsidRPr="002A7627">
        <w:rPr>
          <w:rFonts w:cs="Times New Roman"/>
          <w:noProof/>
          <w:szCs w:val="24"/>
        </w:rPr>
        <w:t xml:space="preserve">ole of human resources management.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4</w:t>
      </w:r>
      <w:r w:rsidRPr="002A7627">
        <w:rPr>
          <w:rFonts w:cs="Times New Roman"/>
          <w:noProof/>
          <w:szCs w:val="24"/>
        </w:rPr>
        <w:t>(4), 337. https://doi.org/http://dx.doi.org/10.1108/13673270010379894</w:t>
      </w:r>
    </w:p>
    <w:p w14:paraId="7C6724D4"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Figueiredo, E., Pais, L., Monteiro, S., &amp; Mónico, L. (2016). Human resource management impact on knowledge management. </w:t>
      </w:r>
      <w:r w:rsidRPr="002A7627">
        <w:rPr>
          <w:rFonts w:cs="Times New Roman"/>
          <w:i/>
          <w:iCs/>
          <w:noProof/>
          <w:szCs w:val="24"/>
        </w:rPr>
        <w:t>Journal of Service Theory and Practice</w:t>
      </w:r>
      <w:r w:rsidRPr="002A7627">
        <w:rPr>
          <w:rFonts w:cs="Times New Roman"/>
          <w:noProof/>
          <w:szCs w:val="24"/>
        </w:rPr>
        <w:t xml:space="preserve">, </w:t>
      </w:r>
      <w:r w:rsidRPr="002A7627">
        <w:rPr>
          <w:rFonts w:cs="Times New Roman"/>
          <w:i/>
          <w:iCs/>
          <w:noProof/>
          <w:szCs w:val="24"/>
        </w:rPr>
        <w:t>26</w:t>
      </w:r>
      <w:r w:rsidRPr="002A7627">
        <w:rPr>
          <w:rFonts w:cs="Times New Roman"/>
          <w:noProof/>
          <w:szCs w:val="24"/>
        </w:rPr>
        <w:t>(4), 497–528. https://doi.org/10.1108/JSTP-12-2014-0269</w:t>
      </w:r>
    </w:p>
    <w:p w14:paraId="1BFCDE64" w14:textId="2EE99CE4"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Finlay, W., Appelbaum, E., Bailey, T., Berg, P., &amp; Kalleberg, A. L. (2001). Manufacturing advantage: </w:t>
      </w:r>
      <w:r w:rsidR="004B5FB8">
        <w:rPr>
          <w:rFonts w:cs="Times New Roman"/>
          <w:noProof/>
          <w:szCs w:val="24"/>
        </w:rPr>
        <w:t>w</w:t>
      </w:r>
      <w:r w:rsidRPr="002A7627">
        <w:rPr>
          <w:rFonts w:cs="Times New Roman"/>
          <w:noProof/>
          <w:szCs w:val="24"/>
        </w:rPr>
        <w:t xml:space="preserve">hy high-performance work systems pay off. </w:t>
      </w:r>
      <w:r w:rsidRPr="002A7627">
        <w:rPr>
          <w:rFonts w:cs="Times New Roman"/>
          <w:i/>
          <w:iCs/>
          <w:noProof/>
          <w:szCs w:val="24"/>
        </w:rPr>
        <w:t>Administrative Science Quarterly</w:t>
      </w:r>
      <w:r w:rsidRPr="002A7627">
        <w:rPr>
          <w:rFonts w:cs="Times New Roman"/>
          <w:noProof/>
          <w:szCs w:val="24"/>
        </w:rPr>
        <w:t xml:space="preserve">, </w:t>
      </w:r>
      <w:r w:rsidRPr="002A7627">
        <w:rPr>
          <w:rFonts w:cs="Times New Roman"/>
          <w:i/>
          <w:iCs/>
          <w:noProof/>
          <w:szCs w:val="24"/>
        </w:rPr>
        <w:t>46</w:t>
      </w:r>
      <w:r w:rsidRPr="002A7627">
        <w:rPr>
          <w:rFonts w:cs="Times New Roman"/>
          <w:noProof/>
          <w:szCs w:val="24"/>
        </w:rPr>
        <w:t>(4), 781. https://doi.org/10.2307/3094834</w:t>
      </w:r>
    </w:p>
    <w:p w14:paraId="5D7BFC4C" w14:textId="78FF2F9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Fischer, C., Malycha, C. P., &amp; Schafmann, E. (2019). The influence of intrinsic motivation and synergistic extrinsic motivators on creativity and innovation. </w:t>
      </w:r>
      <w:r w:rsidRPr="002A7627">
        <w:rPr>
          <w:rFonts w:cs="Times New Roman"/>
          <w:i/>
          <w:iCs/>
          <w:noProof/>
          <w:szCs w:val="24"/>
        </w:rPr>
        <w:t>Frontiers in Psychology</w:t>
      </w:r>
      <w:r w:rsidRPr="002A7627">
        <w:rPr>
          <w:rFonts w:cs="Times New Roman"/>
          <w:noProof/>
          <w:szCs w:val="24"/>
        </w:rPr>
        <w:t xml:space="preserve">, </w:t>
      </w:r>
      <w:r w:rsidRPr="002A7627">
        <w:rPr>
          <w:rFonts w:cs="Times New Roman"/>
          <w:i/>
          <w:iCs/>
          <w:noProof/>
          <w:szCs w:val="24"/>
        </w:rPr>
        <w:t>10</w:t>
      </w:r>
      <w:r w:rsidR="00396C8B">
        <w:rPr>
          <w:rFonts w:cs="Times New Roman"/>
          <w:noProof/>
          <w:szCs w:val="24"/>
        </w:rPr>
        <w:t>, 137.</w:t>
      </w:r>
      <w:r w:rsidRPr="002A7627">
        <w:rPr>
          <w:rFonts w:cs="Times New Roman"/>
          <w:noProof/>
          <w:szCs w:val="24"/>
        </w:rPr>
        <w:t xml:space="preserve"> https://doi.org/10.3389/fpsyg.2019.00137</w:t>
      </w:r>
    </w:p>
    <w:p w14:paraId="788AD7AF" w14:textId="0B2ADB92"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Fong, C., Ooi, K., Tan, B., Lee, V., &amp; </w:t>
      </w:r>
      <w:r w:rsidR="00C81FC8">
        <w:rPr>
          <w:rFonts w:cs="Times New Roman"/>
          <w:noProof/>
          <w:szCs w:val="24"/>
        </w:rPr>
        <w:t xml:space="preserve">Chong, A. </w:t>
      </w:r>
      <w:r w:rsidRPr="002A7627">
        <w:rPr>
          <w:rFonts w:cs="Times New Roman"/>
          <w:noProof/>
          <w:szCs w:val="24"/>
        </w:rPr>
        <w:t>Y</w:t>
      </w:r>
      <w:r w:rsidR="00C81FC8">
        <w:rPr>
          <w:rFonts w:cs="Times New Roman"/>
          <w:noProof/>
          <w:szCs w:val="24"/>
        </w:rPr>
        <w:t>.-</w:t>
      </w:r>
      <w:r w:rsidRPr="002A7627">
        <w:rPr>
          <w:rFonts w:cs="Times New Roman"/>
          <w:noProof/>
          <w:szCs w:val="24"/>
        </w:rPr>
        <w:t>L</w:t>
      </w:r>
      <w:r w:rsidR="00C81FC8">
        <w:rPr>
          <w:rFonts w:cs="Times New Roman"/>
          <w:noProof/>
          <w:szCs w:val="24"/>
        </w:rPr>
        <w:t>.</w:t>
      </w:r>
      <w:r w:rsidRPr="002A7627">
        <w:rPr>
          <w:rFonts w:cs="Times New Roman"/>
          <w:noProof/>
          <w:szCs w:val="24"/>
        </w:rPr>
        <w:t xml:space="preserve"> (2011). HRM practices and knowledge sharing: </w:t>
      </w:r>
      <w:r w:rsidR="004B5FB8">
        <w:rPr>
          <w:rFonts w:cs="Times New Roman"/>
          <w:noProof/>
          <w:szCs w:val="24"/>
        </w:rPr>
        <w:t>a</w:t>
      </w:r>
      <w:r w:rsidRPr="002A7627">
        <w:rPr>
          <w:rFonts w:cs="Times New Roman"/>
          <w:noProof/>
          <w:szCs w:val="24"/>
        </w:rPr>
        <w:t xml:space="preserve">n empirical study. </w:t>
      </w:r>
      <w:r w:rsidRPr="002A7627">
        <w:rPr>
          <w:rFonts w:cs="Times New Roman"/>
          <w:i/>
          <w:iCs/>
          <w:noProof/>
          <w:szCs w:val="24"/>
        </w:rPr>
        <w:t>International Journal of Manpower</w:t>
      </w:r>
      <w:r w:rsidRPr="002A7627">
        <w:rPr>
          <w:rFonts w:cs="Times New Roman"/>
          <w:noProof/>
          <w:szCs w:val="24"/>
        </w:rPr>
        <w:t xml:space="preserve">, </w:t>
      </w:r>
      <w:r w:rsidRPr="002A7627">
        <w:rPr>
          <w:rFonts w:cs="Times New Roman"/>
          <w:i/>
          <w:iCs/>
          <w:noProof/>
          <w:szCs w:val="24"/>
        </w:rPr>
        <w:t>32</w:t>
      </w:r>
      <w:r w:rsidRPr="002A7627">
        <w:rPr>
          <w:rFonts w:cs="Times New Roman"/>
          <w:noProof/>
          <w:szCs w:val="24"/>
        </w:rPr>
        <w:t>(5/6), 704–723. https://doi.org/10.1108/01437721111158288</w:t>
      </w:r>
    </w:p>
    <w:p w14:paraId="018139E2" w14:textId="063614AF"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Fong, P. S. W., Men, C., Luo, J., &amp; Jia, R. (2018). Knowledge hiding and team creativity: </w:t>
      </w:r>
      <w:r w:rsidR="004B5FB8">
        <w:rPr>
          <w:rFonts w:cs="Times New Roman"/>
          <w:noProof/>
          <w:szCs w:val="24"/>
        </w:rPr>
        <w:t>t</w:t>
      </w:r>
      <w:r w:rsidRPr="002A7627">
        <w:rPr>
          <w:rFonts w:cs="Times New Roman"/>
          <w:noProof/>
          <w:szCs w:val="24"/>
        </w:rPr>
        <w:t xml:space="preserve">he contingent role of task interdependence. </w:t>
      </w:r>
      <w:r w:rsidRPr="002A7627">
        <w:rPr>
          <w:rFonts w:cs="Times New Roman"/>
          <w:i/>
          <w:iCs/>
          <w:noProof/>
          <w:szCs w:val="24"/>
        </w:rPr>
        <w:t>Management Decision</w:t>
      </w:r>
      <w:r w:rsidRPr="002A7627">
        <w:rPr>
          <w:rFonts w:cs="Times New Roman"/>
          <w:noProof/>
          <w:szCs w:val="24"/>
        </w:rPr>
        <w:t xml:space="preserve">, </w:t>
      </w:r>
      <w:r w:rsidRPr="002A7627">
        <w:rPr>
          <w:rFonts w:cs="Times New Roman"/>
          <w:i/>
          <w:iCs/>
          <w:noProof/>
          <w:szCs w:val="24"/>
        </w:rPr>
        <w:t>56</w:t>
      </w:r>
      <w:r w:rsidRPr="002A7627">
        <w:rPr>
          <w:rFonts w:cs="Times New Roman"/>
          <w:noProof/>
          <w:szCs w:val="24"/>
        </w:rPr>
        <w:t>(2), 329–343. https://doi.org/10.1108/MD-11-2016-0778</w:t>
      </w:r>
    </w:p>
    <w:p w14:paraId="55963664"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Fornell, C., &amp; Larcker, D. F. (1981). Evaluating structural equation models with unobservable variables and measurement error. </w:t>
      </w:r>
      <w:r w:rsidRPr="002A7627">
        <w:rPr>
          <w:rFonts w:cs="Times New Roman"/>
          <w:i/>
          <w:iCs/>
          <w:noProof/>
          <w:szCs w:val="24"/>
        </w:rPr>
        <w:t>Source Journal of Marketing Research</w:t>
      </w:r>
      <w:r w:rsidRPr="002A7627">
        <w:rPr>
          <w:rFonts w:cs="Times New Roman"/>
          <w:noProof/>
          <w:szCs w:val="24"/>
        </w:rPr>
        <w:t xml:space="preserve">, </w:t>
      </w:r>
      <w:r w:rsidRPr="002A7627">
        <w:rPr>
          <w:rFonts w:cs="Times New Roman"/>
          <w:i/>
          <w:iCs/>
          <w:noProof/>
          <w:szCs w:val="24"/>
        </w:rPr>
        <w:t>18</w:t>
      </w:r>
      <w:r w:rsidRPr="002A7627">
        <w:rPr>
          <w:rFonts w:cs="Times New Roman"/>
          <w:noProof/>
          <w:szCs w:val="24"/>
        </w:rPr>
        <w:t>(1), 39–50. https://doi.org/10.2307/3151312</w:t>
      </w:r>
    </w:p>
    <w:p w14:paraId="7EB1895F" w14:textId="63C42A3B"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Foss, N. J. (2009). Alternative research strategies in the knowledge movement: </w:t>
      </w:r>
      <w:r w:rsidR="004B5FB8">
        <w:rPr>
          <w:rFonts w:cs="Times New Roman"/>
          <w:noProof/>
          <w:szCs w:val="24"/>
        </w:rPr>
        <w:t>f</w:t>
      </w:r>
      <w:r w:rsidRPr="002A7627">
        <w:rPr>
          <w:rFonts w:cs="Times New Roman"/>
          <w:noProof/>
          <w:szCs w:val="24"/>
        </w:rPr>
        <w:t xml:space="preserve">rom macro bias to micro-foundations and multi-level explanation. </w:t>
      </w:r>
      <w:r w:rsidRPr="002A7627">
        <w:rPr>
          <w:rFonts w:cs="Times New Roman"/>
          <w:i/>
          <w:iCs/>
          <w:noProof/>
          <w:szCs w:val="24"/>
        </w:rPr>
        <w:t>European Management Review</w:t>
      </w:r>
      <w:r w:rsidRPr="002A7627">
        <w:rPr>
          <w:rFonts w:cs="Times New Roman"/>
          <w:noProof/>
          <w:szCs w:val="24"/>
        </w:rPr>
        <w:t xml:space="preserve">, </w:t>
      </w:r>
      <w:r w:rsidRPr="002A7627">
        <w:rPr>
          <w:rFonts w:cs="Times New Roman"/>
          <w:i/>
          <w:iCs/>
          <w:noProof/>
          <w:szCs w:val="24"/>
        </w:rPr>
        <w:t>6</w:t>
      </w:r>
      <w:r w:rsidRPr="002A7627">
        <w:rPr>
          <w:rFonts w:cs="Times New Roman"/>
          <w:noProof/>
          <w:szCs w:val="24"/>
        </w:rPr>
        <w:t>(1), 16–28. https://doi.org/10.1057/emr.2009.2</w:t>
      </w:r>
    </w:p>
    <w:p w14:paraId="7BEFEE28" w14:textId="7794FD2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Foss, N. J., Minbaeva, D. B., Pedersen, T., &amp; Reinholt, M. (2009). Encouraging knowledge sharing among employees: </w:t>
      </w:r>
      <w:r w:rsidR="004B5FB8">
        <w:rPr>
          <w:rFonts w:cs="Times New Roman"/>
          <w:noProof/>
          <w:szCs w:val="24"/>
        </w:rPr>
        <w:t>h</w:t>
      </w:r>
      <w:r w:rsidRPr="002A7627">
        <w:rPr>
          <w:rFonts w:cs="Times New Roman"/>
          <w:noProof/>
          <w:szCs w:val="24"/>
        </w:rPr>
        <w:t xml:space="preserve">ow job design matters. </w:t>
      </w:r>
      <w:r w:rsidRPr="002A7627">
        <w:rPr>
          <w:rFonts w:cs="Times New Roman"/>
          <w:i/>
          <w:iCs/>
          <w:noProof/>
          <w:szCs w:val="24"/>
        </w:rPr>
        <w:t>Human Resource Management</w:t>
      </w:r>
      <w:r w:rsidRPr="002A7627">
        <w:rPr>
          <w:rFonts w:cs="Times New Roman"/>
          <w:noProof/>
          <w:szCs w:val="24"/>
        </w:rPr>
        <w:t xml:space="preserve">, </w:t>
      </w:r>
      <w:r w:rsidRPr="002A7627">
        <w:rPr>
          <w:rFonts w:cs="Times New Roman"/>
          <w:i/>
          <w:iCs/>
          <w:noProof/>
          <w:szCs w:val="24"/>
        </w:rPr>
        <w:t>48</w:t>
      </w:r>
      <w:r w:rsidRPr="002A7627">
        <w:rPr>
          <w:rFonts w:cs="Times New Roman"/>
          <w:noProof/>
          <w:szCs w:val="24"/>
        </w:rPr>
        <w:t>(6), 871–893.</w:t>
      </w:r>
    </w:p>
    <w:p w14:paraId="3E905D0E" w14:textId="29C10508"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Franke, G., &amp; Sarstedt, M. (2019). Heuristics versus statistics in discriminant validity testing: </w:t>
      </w:r>
      <w:r w:rsidR="004B5FB8">
        <w:rPr>
          <w:rFonts w:cs="Times New Roman"/>
          <w:noProof/>
          <w:szCs w:val="24"/>
        </w:rPr>
        <w:t>a</w:t>
      </w:r>
      <w:r w:rsidRPr="002A7627">
        <w:rPr>
          <w:rFonts w:cs="Times New Roman"/>
          <w:noProof/>
          <w:szCs w:val="24"/>
        </w:rPr>
        <w:t xml:space="preserve"> comparison of four procedures. </w:t>
      </w:r>
      <w:r w:rsidRPr="002A7627">
        <w:rPr>
          <w:rFonts w:cs="Times New Roman"/>
          <w:i/>
          <w:iCs/>
          <w:noProof/>
          <w:szCs w:val="24"/>
        </w:rPr>
        <w:t>Internet Research</w:t>
      </w:r>
      <w:r w:rsidRPr="002A7627">
        <w:rPr>
          <w:rFonts w:cs="Times New Roman"/>
          <w:noProof/>
          <w:szCs w:val="24"/>
        </w:rPr>
        <w:t xml:space="preserve">, </w:t>
      </w:r>
      <w:r w:rsidRPr="002A7627">
        <w:rPr>
          <w:rFonts w:cs="Times New Roman"/>
          <w:i/>
          <w:iCs/>
          <w:noProof/>
          <w:szCs w:val="24"/>
        </w:rPr>
        <w:t>29</w:t>
      </w:r>
      <w:r w:rsidRPr="002A7627">
        <w:rPr>
          <w:rFonts w:cs="Times New Roman"/>
          <w:noProof/>
          <w:szCs w:val="24"/>
        </w:rPr>
        <w:t>(3), 430–447. https://doi.org/10.1108/IntR-12-2017-0515</w:t>
      </w:r>
    </w:p>
    <w:p w14:paraId="434ECAE9"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Fullwood, R., Rowley, J., &amp; Delbridge, R. (2013). Knowledge sharing amongst academics in UK universities.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17</w:t>
      </w:r>
      <w:r w:rsidRPr="002A7627">
        <w:rPr>
          <w:rFonts w:cs="Times New Roman"/>
          <w:noProof/>
          <w:szCs w:val="24"/>
        </w:rPr>
        <w:t>(1), 123–136. https://doi.org/10.1108/13673271311300831</w:t>
      </w:r>
    </w:p>
    <w:p w14:paraId="40CB2AE8" w14:textId="6CEAD68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Gagné, M. (2009). A model of knowledge</w:t>
      </w:r>
      <w:r w:rsidR="004B5FB8">
        <w:rPr>
          <w:rFonts w:cs="Times New Roman"/>
          <w:noProof/>
          <w:szCs w:val="24"/>
        </w:rPr>
        <w:t>-</w:t>
      </w:r>
      <w:r w:rsidRPr="002A7627">
        <w:rPr>
          <w:rFonts w:cs="Times New Roman"/>
          <w:noProof/>
          <w:szCs w:val="24"/>
        </w:rPr>
        <w:t xml:space="preserve">sharing motivation. </w:t>
      </w:r>
      <w:r w:rsidRPr="002A7627">
        <w:rPr>
          <w:rFonts w:cs="Times New Roman"/>
          <w:i/>
          <w:iCs/>
          <w:noProof/>
          <w:szCs w:val="24"/>
        </w:rPr>
        <w:t>Human Resource Management</w:t>
      </w:r>
      <w:r w:rsidRPr="002A7627">
        <w:rPr>
          <w:rFonts w:cs="Times New Roman"/>
          <w:noProof/>
          <w:szCs w:val="24"/>
        </w:rPr>
        <w:t xml:space="preserve">, </w:t>
      </w:r>
      <w:r w:rsidRPr="002A7627">
        <w:rPr>
          <w:rFonts w:cs="Times New Roman"/>
          <w:i/>
          <w:iCs/>
          <w:noProof/>
          <w:szCs w:val="24"/>
        </w:rPr>
        <w:t>48</w:t>
      </w:r>
      <w:r w:rsidRPr="002A7627">
        <w:rPr>
          <w:rFonts w:cs="Times New Roman"/>
          <w:noProof/>
          <w:szCs w:val="24"/>
        </w:rPr>
        <w:t>(4), 571–589.</w:t>
      </w:r>
    </w:p>
    <w:p w14:paraId="4D39CD17"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García-Peñalvo, F. J., &amp; Conde, M. Á. (2014). Using informal learning for business decision making and knowledge management. </w:t>
      </w:r>
      <w:r w:rsidRPr="002A7627">
        <w:rPr>
          <w:rFonts w:cs="Times New Roman"/>
          <w:i/>
          <w:iCs/>
          <w:noProof/>
          <w:szCs w:val="24"/>
        </w:rPr>
        <w:t>Journal of Business Research</w:t>
      </w:r>
      <w:r w:rsidRPr="002A7627">
        <w:rPr>
          <w:rFonts w:cs="Times New Roman"/>
          <w:noProof/>
          <w:szCs w:val="24"/>
        </w:rPr>
        <w:t xml:space="preserve">, </w:t>
      </w:r>
      <w:r w:rsidRPr="002A7627">
        <w:rPr>
          <w:rFonts w:cs="Times New Roman"/>
          <w:i/>
          <w:iCs/>
          <w:noProof/>
          <w:szCs w:val="24"/>
        </w:rPr>
        <w:t>67</w:t>
      </w:r>
      <w:r w:rsidRPr="002A7627">
        <w:rPr>
          <w:rFonts w:cs="Times New Roman"/>
          <w:noProof/>
          <w:szCs w:val="24"/>
        </w:rPr>
        <w:t>(5), 686–691. https://doi.org/10.1016/j.jbusres.2013.11.028</w:t>
      </w:r>
    </w:p>
    <w:p w14:paraId="1B0057FD"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Gavrilova, T., &amp; Andreeva, T. (2012). Knowledge elicitation techniques in a knowledge management context.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16</w:t>
      </w:r>
      <w:r w:rsidRPr="002A7627">
        <w:rPr>
          <w:rFonts w:cs="Times New Roman"/>
          <w:noProof/>
          <w:szCs w:val="24"/>
        </w:rPr>
        <w:t>(4), 523–537.</w:t>
      </w:r>
    </w:p>
    <w:p w14:paraId="773C40B3"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Gillet, N., Huart, I., Colombat, P., &amp; Fouquereau, E. (2013). Perceived organizational support, motivation, and engagement among police officers. </w:t>
      </w:r>
      <w:r w:rsidRPr="002A7627">
        <w:rPr>
          <w:rFonts w:cs="Times New Roman"/>
          <w:i/>
          <w:iCs/>
          <w:noProof/>
          <w:szCs w:val="24"/>
        </w:rPr>
        <w:t>Professional Psychology: Research and Practice</w:t>
      </w:r>
      <w:r w:rsidRPr="002A7627">
        <w:rPr>
          <w:rFonts w:cs="Times New Roman"/>
          <w:noProof/>
          <w:szCs w:val="24"/>
        </w:rPr>
        <w:t xml:space="preserve">, </w:t>
      </w:r>
      <w:r w:rsidRPr="002A7627">
        <w:rPr>
          <w:rFonts w:cs="Times New Roman"/>
          <w:i/>
          <w:iCs/>
          <w:noProof/>
          <w:szCs w:val="24"/>
        </w:rPr>
        <w:t>44</w:t>
      </w:r>
      <w:r w:rsidRPr="002A7627">
        <w:rPr>
          <w:rFonts w:cs="Times New Roman"/>
          <w:noProof/>
          <w:szCs w:val="24"/>
        </w:rPr>
        <w:t>(1), 46–55. https://doi.org/10.1037/a0030066</w:t>
      </w:r>
    </w:p>
    <w:p w14:paraId="5D8B1148" w14:textId="0835C67A"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Gilson, L. L., &amp; Shalley, C. E. (2004). A little creativity goes a long way: </w:t>
      </w:r>
      <w:r w:rsidR="004B5FB8">
        <w:rPr>
          <w:rFonts w:cs="Times New Roman"/>
          <w:noProof/>
          <w:szCs w:val="24"/>
        </w:rPr>
        <w:t>a</w:t>
      </w:r>
      <w:r w:rsidRPr="002A7627">
        <w:rPr>
          <w:rFonts w:cs="Times New Roman"/>
          <w:noProof/>
          <w:szCs w:val="24"/>
        </w:rPr>
        <w:t xml:space="preserve">n examination of teams’ engagement in creative processes. </w:t>
      </w:r>
      <w:r w:rsidRPr="002A7627">
        <w:rPr>
          <w:rFonts w:cs="Times New Roman"/>
          <w:i/>
          <w:iCs/>
          <w:noProof/>
          <w:szCs w:val="24"/>
        </w:rPr>
        <w:t>Journal of Management</w:t>
      </w:r>
      <w:r w:rsidRPr="002A7627">
        <w:rPr>
          <w:rFonts w:cs="Times New Roman"/>
          <w:noProof/>
          <w:szCs w:val="24"/>
        </w:rPr>
        <w:t xml:space="preserve">, </w:t>
      </w:r>
      <w:r w:rsidRPr="002A7627">
        <w:rPr>
          <w:rFonts w:cs="Times New Roman"/>
          <w:i/>
          <w:iCs/>
          <w:noProof/>
          <w:szCs w:val="24"/>
        </w:rPr>
        <w:t>30</w:t>
      </w:r>
      <w:r w:rsidRPr="002A7627">
        <w:rPr>
          <w:rFonts w:cs="Times New Roman"/>
          <w:noProof/>
          <w:szCs w:val="24"/>
        </w:rPr>
        <w:t>(4), 453–470. https://doi.org/10.1016/j.jm.2003.07.001</w:t>
      </w:r>
    </w:p>
    <w:p w14:paraId="3B22D38B"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Gittell, J. H., Seidner, R., &amp; Wimbush, J. (2008). A relational model of high performance work systems. </w:t>
      </w:r>
      <w:r w:rsidRPr="002A7627">
        <w:rPr>
          <w:rFonts w:cs="Times New Roman"/>
          <w:i/>
          <w:iCs/>
          <w:noProof/>
          <w:szCs w:val="24"/>
        </w:rPr>
        <w:t>Academy of Management Proceedings</w:t>
      </w:r>
      <w:r w:rsidRPr="002A7627">
        <w:rPr>
          <w:rFonts w:cs="Times New Roman"/>
          <w:noProof/>
          <w:szCs w:val="24"/>
        </w:rPr>
        <w:t xml:space="preserve">, </w:t>
      </w:r>
      <w:r w:rsidRPr="002A7627">
        <w:rPr>
          <w:rFonts w:cs="Times New Roman"/>
          <w:i/>
          <w:iCs/>
          <w:noProof/>
          <w:szCs w:val="24"/>
        </w:rPr>
        <w:t>2008</w:t>
      </w:r>
      <w:r w:rsidRPr="002A7627">
        <w:rPr>
          <w:rFonts w:cs="Times New Roman"/>
          <w:noProof/>
          <w:szCs w:val="24"/>
        </w:rPr>
        <w:t>(1), 1–6. https://doi.org/10.5465/ambpp.2008.33622315</w:t>
      </w:r>
    </w:p>
    <w:p w14:paraId="421A53E9"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Gittell, J. H., Seidner, R., &amp; Wimbush, J. (2010). A relational model of how high-performance work systems work. </w:t>
      </w:r>
      <w:r w:rsidRPr="002A7627">
        <w:rPr>
          <w:rFonts w:cs="Times New Roman"/>
          <w:i/>
          <w:iCs/>
          <w:noProof/>
          <w:szCs w:val="24"/>
        </w:rPr>
        <w:t>Organization Science</w:t>
      </w:r>
      <w:r w:rsidRPr="002A7627">
        <w:rPr>
          <w:rFonts w:cs="Times New Roman"/>
          <w:noProof/>
          <w:szCs w:val="24"/>
        </w:rPr>
        <w:t xml:space="preserve">, </w:t>
      </w:r>
      <w:r w:rsidRPr="002A7627">
        <w:rPr>
          <w:rFonts w:cs="Times New Roman"/>
          <w:i/>
          <w:iCs/>
          <w:noProof/>
          <w:szCs w:val="24"/>
        </w:rPr>
        <w:t>21</w:t>
      </w:r>
      <w:r w:rsidRPr="002A7627">
        <w:rPr>
          <w:rFonts w:cs="Times New Roman"/>
          <w:noProof/>
          <w:szCs w:val="24"/>
        </w:rPr>
        <w:t>(2), 490–506. https://doi.org/10.1287/orsc.1090.0446</w:t>
      </w:r>
    </w:p>
    <w:p w14:paraId="0711F860" w14:textId="13574608"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Gold, A. H., Malhotra, A., &amp; Segars, A. H. (2001). Knowledge management: </w:t>
      </w:r>
      <w:r w:rsidR="004B5FB8">
        <w:rPr>
          <w:rFonts w:cs="Times New Roman"/>
          <w:noProof/>
          <w:szCs w:val="24"/>
        </w:rPr>
        <w:t>a</w:t>
      </w:r>
      <w:r w:rsidRPr="002A7627">
        <w:rPr>
          <w:rFonts w:cs="Times New Roman"/>
          <w:noProof/>
          <w:szCs w:val="24"/>
        </w:rPr>
        <w:t xml:space="preserve">n organizational capabilities perspective. </w:t>
      </w:r>
      <w:r w:rsidRPr="002A7627">
        <w:rPr>
          <w:rFonts w:cs="Times New Roman"/>
          <w:i/>
          <w:iCs/>
          <w:noProof/>
          <w:szCs w:val="24"/>
        </w:rPr>
        <w:t>Journal of Management Information Systems</w:t>
      </w:r>
      <w:r w:rsidRPr="002A7627">
        <w:rPr>
          <w:rFonts w:cs="Times New Roman"/>
          <w:noProof/>
          <w:szCs w:val="24"/>
        </w:rPr>
        <w:t xml:space="preserve">, </w:t>
      </w:r>
      <w:r w:rsidRPr="002A7627">
        <w:rPr>
          <w:rFonts w:cs="Times New Roman"/>
          <w:i/>
          <w:iCs/>
          <w:noProof/>
          <w:szCs w:val="24"/>
        </w:rPr>
        <w:t>18</w:t>
      </w:r>
      <w:r w:rsidRPr="002A7627">
        <w:rPr>
          <w:rFonts w:cs="Times New Roman"/>
          <w:noProof/>
          <w:szCs w:val="24"/>
        </w:rPr>
        <w:t>(1), 185–214. https://doi.org/10.1080/07421222.2001.11045669</w:t>
      </w:r>
    </w:p>
    <w:p w14:paraId="57722F79"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Goldoni, V., &amp; Oliveira, M. (2010). Knowledge management metrics in software development companies in Brazil.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14</w:t>
      </w:r>
      <w:r w:rsidRPr="002A7627">
        <w:rPr>
          <w:rFonts w:cs="Times New Roman"/>
          <w:noProof/>
          <w:szCs w:val="24"/>
        </w:rPr>
        <w:t>(2), 301–313. https://doi.org/10.1108/13673271011032427</w:t>
      </w:r>
    </w:p>
    <w:p w14:paraId="5294226D" w14:textId="16266F5C"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Gope, S., Elia, G., &amp; Passiante, G. (2018). The effect of HRM practices on knowledge management capacity: </w:t>
      </w:r>
      <w:r w:rsidR="004B5FB8">
        <w:rPr>
          <w:rFonts w:cs="Times New Roman"/>
          <w:noProof/>
          <w:szCs w:val="24"/>
        </w:rPr>
        <w:t>a</w:t>
      </w:r>
      <w:r w:rsidRPr="002A7627">
        <w:rPr>
          <w:rFonts w:cs="Times New Roman"/>
          <w:noProof/>
          <w:szCs w:val="24"/>
        </w:rPr>
        <w:t xml:space="preserve"> comparative study in Indian IT industry.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22</w:t>
      </w:r>
      <w:r w:rsidRPr="002A7627">
        <w:rPr>
          <w:rFonts w:cs="Times New Roman"/>
          <w:noProof/>
          <w:szCs w:val="24"/>
        </w:rPr>
        <w:t>(3), 649–677. https://doi.org/10.1108/JKM-10-2017-0453</w:t>
      </w:r>
    </w:p>
    <w:p w14:paraId="17F997E7"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Grant, R. M. (1996). Toward a knowledge-based theory of the firm. </w:t>
      </w:r>
      <w:r w:rsidRPr="002A7627">
        <w:rPr>
          <w:rFonts w:cs="Times New Roman"/>
          <w:i/>
          <w:iCs/>
          <w:noProof/>
          <w:szCs w:val="24"/>
        </w:rPr>
        <w:t>Strategic Management Journal</w:t>
      </w:r>
      <w:r w:rsidRPr="002A7627">
        <w:rPr>
          <w:rFonts w:cs="Times New Roman"/>
          <w:noProof/>
          <w:szCs w:val="24"/>
        </w:rPr>
        <w:t xml:space="preserve">, </w:t>
      </w:r>
      <w:r w:rsidRPr="002A7627">
        <w:rPr>
          <w:rFonts w:cs="Times New Roman"/>
          <w:i/>
          <w:iCs/>
          <w:noProof/>
          <w:szCs w:val="24"/>
        </w:rPr>
        <w:t>17</w:t>
      </w:r>
      <w:r w:rsidRPr="002A7627">
        <w:rPr>
          <w:rFonts w:cs="Times New Roman"/>
          <w:noProof/>
          <w:szCs w:val="24"/>
        </w:rPr>
        <w:t>(S2), 109–122. https://doi.org/10.1002/smj.4250171110</w:t>
      </w:r>
    </w:p>
    <w:p w14:paraId="5D452666"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Greener, S. (2008). </w:t>
      </w:r>
      <w:r w:rsidRPr="002A7627">
        <w:rPr>
          <w:rFonts w:cs="Times New Roman"/>
          <w:i/>
          <w:iCs/>
          <w:noProof/>
          <w:szCs w:val="24"/>
        </w:rPr>
        <w:t>Business research methods</w:t>
      </w:r>
      <w:r w:rsidRPr="002A7627">
        <w:rPr>
          <w:rFonts w:cs="Times New Roman"/>
          <w:noProof/>
          <w:szCs w:val="24"/>
        </w:rPr>
        <w:t>. London, UK: Greener &amp; Ventus.</w:t>
      </w:r>
    </w:p>
    <w:p w14:paraId="40DEFAB6" w14:textId="5B8AD6B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Guerci, M., Radaelli, G., Siletti, E., Cirella, S., &amp; Rami Shani, A. B. (2015). The impact of human resource management practices and corporate sustainability on organizational ethical climates: </w:t>
      </w:r>
      <w:r w:rsidR="004B5FB8">
        <w:rPr>
          <w:rFonts w:cs="Times New Roman"/>
          <w:noProof/>
          <w:szCs w:val="24"/>
        </w:rPr>
        <w:t>a</w:t>
      </w:r>
      <w:r w:rsidRPr="002A7627">
        <w:rPr>
          <w:rFonts w:cs="Times New Roman"/>
          <w:noProof/>
          <w:szCs w:val="24"/>
        </w:rPr>
        <w:t xml:space="preserve">n employee perspective. </w:t>
      </w:r>
      <w:r w:rsidRPr="002A7627">
        <w:rPr>
          <w:rFonts w:cs="Times New Roman"/>
          <w:i/>
          <w:iCs/>
          <w:noProof/>
          <w:szCs w:val="24"/>
        </w:rPr>
        <w:t>Journal of Business Ethics</w:t>
      </w:r>
      <w:r w:rsidRPr="002A7627">
        <w:rPr>
          <w:rFonts w:cs="Times New Roman"/>
          <w:noProof/>
          <w:szCs w:val="24"/>
        </w:rPr>
        <w:t xml:space="preserve">, </w:t>
      </w:r>
      <w:r w:rsidRPr="002A7627">
        <w:rPr>
          <w:rFonts w:cs="Times New Roman"/>
          <w:i/>
          <w:iCs/>
          <w:noProof/>
          <w:szCs w:val="24"/>
        </w:rPr>
        <w:t>126</w:t>
      </w:r>
      <w:r w:rsidRPr="002A7627">
        <w:rPr>
          <w:rFonts w:cs="Times New Roman"/>
          <w:noProof/>
          <w:szCs w:val="24"/>
        </w:rPr>
        <w:t>(2), 325–342. https://doi.org/10.1007/s10551-013-1946-1</w:t>
      </w:r>
    </w:p>
    <w:p w14:paraId="4544E1EC"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Gupta, A. K., Smith, K. G., &amp; Shalley, C. E. (2006). The interplay between exploration and exploitation. </w:t>
      </w:r>
      <w:r w:rsidRPr="002A7627">
        <w:rPr>
          <w:rFonts w:cs="Times New Roman"/>
          <w:i/>
          <w:iCs/>
          <w:noProof/>
          <w:szCs w:val="24"/>
        </w:rPr>
        <w:t>Academy of Management Journal</w:t>
      </w:r>
      <w:r w:rsidRPr="002A7627">
        <w:rPr>
          <w:rFonts w:cs="Times New Roman"/>
          <w:noProof/>
          <w:szCs w:val="24"/>
        </w:rPr>
        <w:t xml:space="preserve">, </w:t>
      </w:r>
      <w:r w:rsidRPr="002A7627">
        <w:rPr>
          <w:rFonts w:cs="Times New Roman"/>
          <w:i/>
          <w:iCs/>
          <w:noProof/>
          <w:szCs w:val="24"/>
        </w:rPr>
        <w:t>49</w:t>
      </w:r>
      <w:r w:rsidRPr="002A7627">
        <w:rPr>
          <w:rFonts w:cs="Times New Roman"/>
          <w:noProof/>
          <w:szCs w:val="24"/>
        </w:rPr>
        <w:t>(4), 693–706. https://doi.org/10.5465/amj.2006.22083026</w:t>
      </w:r>
    </w:p>
    <w:p w14:paraId="7E9BF159" w14:textId="785C1074"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Guthrie, J. P., Flood, P. C., Liu, W., &amp; MacCurtain, S. (2009). High performance work systems in Ireland: </w:t>
      </w:r>
      <w:r w:rsidR="006A70F4">
        <w:rPr>
          <w:rFonts w:cs="Times New Roman"/>
          <w:noProof/>
          <w:szCs w:val="24"/>
        </w:rPr>
        <w:t>h</w:t>
      </w:r>
      <w:r w:rsidRPr="002A7627">
        <w:rPr>
          <w:rFonts w:cs="Times New Roman"/>
          <w:noProof/>
          <w:szCs w:val="24"/>
        </w:rPr>
        <w:t xml:space="preserve">uman resource and organizational outcomes. </w:t>
      </w:r>
      <w:r w:rsidRPr="002A7627">
        <w:rPr>
          <w:rFonts w:cs="Times New Roman"/>
          <w:i/>
          <w:iCs/>
          <w:noProof/>
          <w:szCs w:val="24"/>
        </w:rPr>
        <w:t>The International Journal of Human Resource Management</w:t>
      </w:r>
      <w:r w:rsidRPr="002A7627">
        <w:rPr>
          <w:rFonts w:cs="Times New Roman"/>
          <w:noProof/>
          <w:szCs w:val="24"/>
        </w:rPr>
        <w:t xml:space="preserve">, </w:t>
      </w:r>
      <w:r w:rsidRPr="002A7627">
        <w:rPr>
          <w:rFonts w:cs="Times New Roman"/>
          <w:i/>
          <w:iCs/>
          <w:noProof/>
          <w:szCs w:val="24"/>
        </w:rPr>
        <w:t>20</w:t>
      </w:r>
      <w:r w:rsidRPr="002A7627">
        <w:rPr>
          <w:rFonts w:cs="Times New Roman"/>
          <w:noProof/>
          <w:szCs w:val="24"/>
        </w:rPr>
        <w:t>(1), 112–125. https://doi.org/10.1080/09585190802528433</w:t>
      </w:r>
    </w:p>
    <w:p w14:paraId="3F86E2A3"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Haak-Saheem, W., &amp; Darwish, T. K. (2014). The role of knowledge management in creating a culture of learning. </w:t>
      </w:r>
      <w:r w:rsidRPr="002A7627">
        <w:rPr>
          <w:rFonts w:cs="Times New Roman"/>
          <w:i/>
          <w:iCs/>
          <w:noProof/>
          <w:szCs w:val="24"/>
        </w:rPr>
        <w:t>Management Decision</w:t>
      </w:r>
      <w:r w:rsidRPr="002A7627">
        <w:rPr>
          <w:rFonts w:cs="Times New Roman"/>
          <w:noProof/>
          <w:szCs w:val="24"/>
        </w:rPr>
        <w:t xml:space="preserve">, </w:t>
      </w:r>
      <w:r w:rsidRPr="002A7627">
        <w:rPr>
          <w:rFonts w:cs="Times New Roman"/>
          <w:i/>
          <w:iCs/>
          <w:noProof/>
          <w:szCs w:val="24"/>
        </w:rPr>
        <w:t>52</w:t>
      </w:r>
      <w:r w:rsidRPr="002A7627">
        <w:rPr>
          <w:rFonts w:cs="Times New Roman"/>
          <w:noProof/>
          <w:szCs w:val="24"/>
        </w:rPr>
        <w:t>(9), 1611–1629. https://doi.org/10.1108/MD-08-2013-0427</w:t>
      </w:r>
    </w:p>
    <w:p w14:paraId="34B15212" w14:textId="61017D8B"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Haesli, A., &amp; Boxall, P. (2005). When knowledge management meets HR strategy: </w:t>
      </w:r>
      <w:r w:rsidR="004B5FB8">
        <w:rPr>
          <w:rFonts w:cs="Times New Roman"/>
          <w:noProof/>
          <w:szCs w:val="24"/>
        </w:rPr>
        <w:t>a</w:t>
      </w:r>
      <w:r w:rsidRPr="002A7627">
        <w:rPr>
          <w:rFonts w:cs="Times New Roman"/>
          <w:noProof/>
          <w:szCs w:val="24"/>
        </w:rPr>
        <w:t xml:space="preserve">n exploration of personalization-retention and codification-recruitment configurations. </w:t>
      </w:r>
      <w:r w:rsidRPr="002A7627">
        <w:rPr>
          <w:rFonts w:cs="Times New Roman"/>
          <w:i/>
          <w:iCs/>
          <w:noProof/>
          <w:szCs w:val="24"/>
        </w:rPr>
        <w:t>International Journal of Human Resource Management</w:t>
      </w:r>
      <w:r w:rsidRPr="002A7627">
        <w:rPr>
          <w:rFonts w:cs="Times New Roman"/>
          <w:noProof/>
          <w:szCs w:val="24"/>
        </w:rPr>
        <w:t xml:space="preserve">, </w:t>
      </w:r>
      <w:r w:rsidRPr="002A7627">
        <w:rPr>
          <w:rFonts w:cs="Times New Roman"/>
          <w:i/>
          <w:iCs/>
          <w:noProof/>
          <w:szCs w:val="24"/>
        </w:rPr>
        <w:t>16</w:t>
      </w:r>
      <w:r w:rsidRPr="002A7627">
        <w:rPr>
          <w:rFonts w:cs="Times New Roman"/>
          <w:noProof/>
          <w:szCs w:val="24"/>
        </w:rPr>
        <w:t>(11), 1955–1975. https://doi.org/10.1080/09585190500314680</w:t>
      </w:r>
    </w:p>
    <w:p w14:paraId="11A641A0"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Hair, J. F., Black, W. C., Babin, B. J., &amp; Anderson, R. E. (2010). Multivariate Data Analysis 7/e. </w:t>
      </w:r>
      <w:r w:rsidRPr="002A7627">
        <w:rPr>
          <w:rFonts w:cs="Times New Roman"/>
          <w:i/>
          <w:iCs/>
          <w:noProof/>
          <w:szCs w:val="24"/>
        </w:rPr>
        <w:t>Exploratory Data Analysis in Business and Economics</w:t>
      </w:r>
      <w:r w:rsidRPr="002A7627">
        <w:rPr>
          <w:rFonts w:cs="Times New Roman"/>
          <w:noProof/>
          <w:szCs w:val="24"/>
        </w:rPr>
        <w:t>. https://doi.org/10.1007/978-3-319-01517-0_3</w:t>
      </w:r>
    </w:p>
    <w:p w14:paraId="32305CBC"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Hair, J. F., Celsi, M., Money, A., Samouel, P., &amp; Page, M. (2015). </w:t>
      </w:r>
      <w:r w:rsidRPr="002A7627">
        <w:rPr>
          <w:rFonts w:cs="Times New Roman"/>
          <w:i/>
          <w:iCs/>
          <w:noProof/>
          <w:szCs w:val="24"/>
        </w:rPr>
        <w:t>The essentials of business research methods</w:t>
      </w:r>
      <w:r w:rsidRPr="002A7627">
        <w:rPr>
          <w:rFonts w:cs="Times New Roman"/>
          <w:noProof/>
          <w:szCs w:val="24"/>
        </w:rPr>
        <w:t xml:space="preserve"> (3rd ed.). New York, NY: Sharpe.</w:t>
      </w:r>
    </w:p>
    <w:p w14:paraId="04626853" w14:textId="113A2221"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Hair, J. F., Hult, G. T. M., Ringle, C. M., &amp; Sarstedt, M. (2017). </w:t>
      </w:r>
      <w:r w:rsidRPr="002A7627">
        <w:rPr>
          <w:rFonts w:cs="Times New Roman"/>
          <w:i/>
          <w:iCs/>
          <w:noProof/>
          <w:szCs w:val="24"/>
        </w:rPr>
        <w:t xml:space="preserve">A </w:t>
      </w:r>
      <w:r w:rsidR="006A70F4">
        <w:rPr>
          <w:rFonts w:cs="Times New Roman"/>
          <w:i/>
          <w:iCs/>
          <w:noProof/>
          <w:szCs w:val="24"/>
        </w:rPr>
        <w:t>p</w:t>
      </w:r>
      <w:r w:rsidRPr="002A7627">
        <w:rPr>
          <w:rFonts w:cs="Times New Roman"/>
          <w:i/>
          <w:iCs/>
          <w:noProof/>
          <w:szCs w:val="24"/>
        </w:rPr>
        <w:t>rimer on partial least squares structural equation modeling (PLS-SEM)</w:t>
      </w:r>
      <w:r w:rsidRPr="002A7627">
        <w:rPr>
          <w:rFonts w:cs="Times New Roman"/>
          <w:noProof/>
          <w:szCs w:val="24"/>
        </w:rPr>
        <w:t xml:space="preserve"> (2nd ed.). Thousand Oaks, CA: Sage.</w:t>
      </w:r>
    </w:p>
    <w:p w14:paraId="4E48EB54"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Hair, J. F., Risher, J. J., Sarstedt, M., &amp; Ringle, C. M. (2019). When to use and how to report the results of PLS-SEM. </w:t>
      </w:r>
      <w:r w:rsidRPr="002A7627">
        <w:rPr>
          <w:rFonts w:cs="Times New Roman"/>
          <w:i/>
          <w:iCs/>
          <w:noProof/>
          <w:szCs w:val="24"/>
        </w:rPr>
        <w:t>European Business Review</w:t>
      </w:r>
      <w:r w:rsidRPr="002A7627">
        <w:rPr>
          <w:rFonts w:cs="Times New Roman"/>
          <w:noProof/>
          <w:szCs w:val="24"/>
        </w:rPr>
        <w:t xml:space="preserve">, </w:t>
      </w:r>
      <w:r w:rsidRPr="002A7627">
        <w:rPr>
          <w:rFonts w:cs="Times New Roman"/>
          <w:i/>
          <w:iCs/>
          <w:noProof/>
          <w:szCs w:val="24"/>
        </w:rPr>
        <w:t>31</w:t>
      </w:r>
      <w:r w:rsidRPr="002A7627">
        <w:rPr>
          <w:rFonts w:cs="Times New Roman"/>
          <w:noProof/>
          <w:szCs w:val="24"/>
        </w:rPr>
        <w:t>(1), 2–24. https://doi.org/10.1108/EBR-11-2018-0203</w:t>
      </w:r>
    </w:p>
    <w:p w14:paraId="5E78D1AD"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Hair, J. F., Sarstedt, M., Hopkins, L., &amp; G. Kuppelwieser, V. (2014). Partial least squares structural equation modeling (PLS-SEM). </w:t>
      </w:r>
      <w:r w:rsidRPr="002A7627">
        <w:rPr>
          <w:rFonts w:cs="Times New Roman"/>
          <w:i/>
          <w:iCs/>
          <w:noProof/>
          <w:szCs w:val="24"/>
        </w:rPr>
        <w:t>European Business Review</w:t>
      </w:r>
      <w:r w:rsidRPr="002A7627">
        <w:rPr>
          <w:rFonts w:cs="Times New Roman"/>
          <w:noProof/>
          <w:szCs w:val="24"/>
        </w:rPr>
        <w:t xml:space="preserve">, </w:t>
      </w:r>
      <w:r w:rsidRPr="002A7627">
        <w:rPr>
          <w:rFonts w:cs="Times New Roman"/>
          <w:i/>
          <w:iCs/>
          <w:noProof/>
          <w:szCs w:val="24"/>
        </w:rPr>
        <w:t>26</w:t>
      </w:r>
      <w:r w:rsidRPr="002A7627">
        <w:rPr>
          <w:rFonts w:cs="Times New Roman"/>
          <w:noProof/>
          <w:szCs w:val="24"/>
        </w:rPr>
        <w:t>(2), 106–121. https://doi.org/10.1108/EBR-10-2013-0128</w:t>
      </w:r>
    </w:p>
    <w:p w14:paraId="5C10C3B8" w14:textId="7E3BFD4A"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Hamdi, S., Silong, A. D., Binti Omar, Z., &amp; Mohd Rasdi, R. (2016). Impact of T-shaped skill and top management support on innovation speed</w:t>
      </w:r>
      <w:r w:rsidR="004B5FB8">
        <w:rPr>
          <w:rFonts w:cs="Times New Roman"/>
          <w:noProof/>
          <w:szCs w:val="24"/>
        </w:rPr>
        <w:t>:</w:t>
      </w:r>
      <w:r w:rsidRPr="002A7627">
        <w:rPr>
          <w:rFonts w:cs="Times New Roman"/>
          <w:noProof/>
          <w:szCs w:val="24"/>
        </w:rPr>
        <w:t xml:space="preserve"> the moderating role of technology uncertainty. </w:t>
      </w:r>
      <w:r w:rsidRPr="002A7627">
        <w:rPr>
          <w:rFonts w:cs="Times New Roman"/>
          <w:i/>
          <w:iCs/>
          <w:noProof/>
          <w:szCs w:val="24"/>
        </w:rPr>
        <w:t>Cogent Business &amp; Management</w:t>
      </w:r>
      <w:r w:rsidRPr="002A7627">
        <w:rPr>
          <w:rFonts w:cs="Times New Roman"/>
          <w:noProof/>
          <w:szCs w:val="24"/>
        </w:rPr>
        <w:t xml:space="preserve">, </w:t>
      </w:r>
      <w:r w:rsidRPr="002A7627">
        <w:rPr>
          <w:rFonts w:cs="Times New Roman"/>
          <w:i/>
          <w:iCs/>
          <w:noProof/>
          <w:szCs w:val="24"/>
        </w:rPr>
        <w:t>3</w:t>
      </w:r>
      <w:r w:rsidRPr="002A7627">
        <w:rPr>
          <w:rFonts w:cs="Times New Roman"/>
          <w:noProof/>
          <w:szCs w:val="24"/>
        </w:rPr>
        <w:t>(1), 1153768. https://doi.org/10.1080/23311975.2016.1153768</w:t>
      </w:r>
    </w:p>
    <w:p w14:paraId="0A315CF0"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Hamid, M., Maheen, S., Cheem, A., &amp; Yaseen, R. (2017). Impact of human resource management on organizational performance. </w:t>
      </w:r>
      <w:r w:rsidRPr="002A7627">
        <w:rPr>
          <w:rFonts w:cs="Times New Roman"/>
          <w:i/>
          <w:iCs/>
          <w:noProof/>
          <w:szCs w:val="24"/>
        </w:rPr>
        <w:t>Journal of Accounting &amp; Marketing</w:t>
      </w:r>
      <w:r w:rsidRPr="002A7627">
        <w:rPr>
          <w:rFonts w:cs="Times New Roman"/>
          <w:noProof/>
          <w:szCs w:val="24"/>
        </w:rPr>
        <w:t xml:space="preserve">, </w:t>
      </w:r>
      <w:r w:rsidRPr="002A7627">
        <w:rPr>
          <w:rFonts w:cs="Times New Roman"/>
          <w:i/>
          <w:iCs/>
          <w:noProof/>
          <w:szCs w:val="24"/>
        </w:rPr>
        <w:t>6</w:t>
      </w:r>
      <w:r w:rsidRPr="002A7627">
        <w:rPr>
          <w:rFonts w:cs="Times New Roman"/>
          <w:noProof/>
          <w:szCs w:val="24"/>
        </w:rPr>
        <w:t>(1), 213. https://doi.org/10.4172/2168-9601.1000213</w:t>
      </w:r>
    </w:p>
    <w:p w14:paraId="22C716AA"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Hammad, N. M., Ahmad, S. Z., &amp; Papastathopoulos, A. (2017). Evaluating perceptions of residents’ towards impacts of tourism development in Emirates of Abu Dhabi, United Arab Emirates. </w:t>
      </w:r>
      <w:r w:rsidRPr="002A7627">
        <w:rPr>
          <w:rFonts w:cs="Times New Roman"/>
          <w:i/>
          <w:iCs/>
          <w:noProof/>
          <w:szCs w:val="24"/>
        </w:rPr>
        <w:t>Tourism Review</w:t>
      </w:r>
      <w:r w:rsidRPr="002A7627">
        <w:rPr>
          <w:rFonts w:cs="Times New Roman"/>
          <w:noProof/>
          <w:szCs w:val="24"/>
        </w:rPr>
        <w:t xml:space="preserve">, </w:t>
      </w:r>
      <w:r w:rsidRPr="002A7627">
        <w:rPr>
          <w:rFonts w:cs="Times New Roman"/>
          <w:i/>
          <w:iCs/>
          <w:noProof/>
          <w:szCs w:val="24"/>
        </w:rPr>
        <w:t>72</w:t>
      </w:r>
      <w:r w:rsidRPr="002A7627">
        <w:rPr>
          <w:rFonts w:cs="Times New Roman"/>
          <w:noProof/>
          <w:szCs w:val="24"/>
        </w:rPr>
        <w:t>(4), 448–461. https://doi.org/10.1108/TR-03-2017-0046</w:t>
      </w:r>
    </w:p>
    <w:p w14:paraId="4ABD496E"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Hammersley, M. (2012). </w:t>
      </w:r>
      <w:r w:rsidRPr="002A7627">
        <w:rPr>
          <w:rFonts w:cs="Times New Roman"/>
          <w:i/>
          <w:iCs/>
          <w:noProof/>
          <w:szCs w:val="24"/>
        </w:rPr>
        <w:t>What is qualitative research?</w:t>
      </w:r>
      <w:r w:rsidRPr="002A7627">
        <w:rPr>
          <w:rFonts w:cs="Times New Roman"/>
          <w:noProof/>
          <w:szCs w:val="24"/>
        </w:rPr>
        <w:t xml:space="preserve"> New York, NY: Bloomsbury.</w:t>
      </w:r>
    </w:p>
    <w:p w14:paraId="5AB6DA59" w14:textId="5E70EDA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Harris, S. G. (1990). The fifth discipline: </w:t>
      </w:r>
      <w:r w:rsidR="004B5FB8">
        <w:rPr>
          <w:rFonts w:cs="Times New Roman"/>
          <w:noProof/>
          <w:szCs w:val="24"/>
        </w:rPr>
        <w:t>t</w:t>
      </w:r>
      <w:r w:rsidRPr="002A7627">
        <w:rPr>
          <w:rFonts w:cs="Times New Roman"/>
          <w:noProof/>
          <w:szCs w:val="24"/>
        </w:rPr>
        <w:t xml:space="preserve">he art and practice of the learning organization. </w:t>
      </w:r>
      <w:r w:rsidRPr="002A7627">
        <w:rPr>
          <w:rFonts w:cs="Times New Roman"/>
          <w:i/>
          <w:iCs/>
          <w:noProof/>
          <w:szCs w:val="24"/>
        </w:rPr>
        <w:t>Human Resource Management</w:t>
      </w:r>
      <w:r w:rsidRPr="002A7627">
        <w:rPr>
          <w:rFonts w:cs="Times New Roman"/>
          <w:noProof/>
          <w:szCs w:val="24"/>
        </w:rPr>
        <w:t xml:space="preserve">, </w:t>
      </w:r>
      <w:r w:rsidRPr="002A7627">
        <w:rPr>
          <w:rFonts w:cs="Times New Roman"/>
          <w:i/>
          <w:iCs/>
          <w:noProof/>
          <w:szCs w:val="24"/>
        </w:rPr>
        <w:t>29</w:t>
      </w:r>
      <w:r w:rsidRPr="002A7627">
        <w:rPr>
          <w:rFonts w:cs="Times New Roman"/>
          <w:noProof/>
          <w:szCs w:val="24"/>
        </w:rPr>
        <w:t>(3), 343–348. https://doi.org/10.1002/hrm.3930290308</w:t>
      </w:r>
    </w:p>
    <w:p w14:paraId="33E37CEC"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Harrison, J. P., &amp; Daly, M. A. (2009). Leveraging health information technology to improve patient safety. </w:t>
      </w:r>
      <w:r w:rsidRPr="002A7627">
        <w:rPr>
          <w:rFonts w:cs="Times New Roman"/>
          <w:i/>
          <w:iCs/>
          <w:noProof/>
          <w:szCs w:val="24"/>
        </w:rPr>
        <w:t>Public Administration and Management</w:t>
      </w:r>
      <w:r w:rsidRPr="002A7627">
        <w:rPr>
          <w:rFonts w:cs="Times New Roman"/>
          <w:noProof/>
          <w:szCs w:val="24"/>
        </w:rPr>
        <w:t xml:space="preserve">, </w:t>
      </w:r>
      <w:r w:rsidRPr="002A7627">
        <w:rPr>
          <w:rFonts w:cs="Times New Roman"/>
          <w:i/>
          <w:iCs/>
          <w:noProof/>
          <w:szCs w:val="24"/>
        </w:rPr>
        <w:t>14</w:t>
      </w:r>
      <w:r w:rsidRPr="002A7627">
        <w:rPr>
          <w:rFonts w:cs="Times New Roman"/>
          <w:noProof/>
          <w:szCs w:val="24"/>
        </w:rPr>
        <w:t>(1), 218–237. https://doi.org/10.1109/ICARCV.2016.7838750</w:t>
      </w:r>
    </w:p>
    <w:p w14:paraId="393C357D"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Hedberg, B. L. T. (1981). How organizations learn and unlearn. In P. C. Nystrom &amp; W. H. Starbuck (Eds.), </w:t>
      </w:r>
      <w:r w:rsidRPr="002A7627">
        <w:rPr>
          <w:rFonts w:cs="Times New Roman"/>
          <w:i/>
          <w:iCs/>
          <w:noProof/>
          <w:szCs w:val="24"/>
        </w:rPr>
        <w:t>Handbook of organizational design</w:t>
      </w:r>
      <w:r w:rsidRPr="002A7627">
        <w:rPr>
          <w:rFonts w:cs="Times New Roman"/>
          <w:noProof/>
          <w:szCs w:val="24"/>
        </w:rPr>
        <w:t xml:space="preserve"> (pp. 3–27). New York, NY: Oxford University Press.</w:t>
      </w:r>
    </w:p>
    <w:p w14:paraId="55DCC863" w14:textId="2D59FD8E"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Heisig, P., Suraj, O. A., Kianto, A., Kemboi, C., Perez Arrau, G., &amp; Fathi Easa, N. (2016). Knowledge management and business performance: </w:t>
      </w:r>
      <w:r w:rsidR="004B5FB8">
        <w:rPr>
          <w:rFonts w:cs="Times New Roman"/>
          <w:noProof/>
          <w:szCs w:val="24"/>
        </w:rPr>
        <w:t>g</w:t>
      </w:r>
      <w:r w:rsidRPr="002A7627">
        <w:rPr>
          <w:rFonts w:cs="Times New Roman"/>
          <w:noProof/>
          <w:szCs w:val="24"/>
        </w:rPr>
        <w:t xml:space="preserve">lobal experts’ views on future research needs.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20</w:t>
      </w:r>
      <w:r w:rsidRPr="002A7627">
        <w:rPr>
          <w:rFonts w:cs="Times New Roman"/>
          <w:noProof/>
          <w:szCs w:val="24"/>
        </w:rPr>
        <w:t>(6), 1169–1198. https://doi.org/10.1108/JKM-12-2015-0521</w:t>
      </w:r>
    </w:p>
    <w:p w14:paraId="12005EDA" w14:textId="7060FAEA"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Henseler, J., Hubona, G., &amp; Ray, P. A. (2016). Using PLS path modeling in new technology research: </w:t>
      </w:r>
      <w:r w:rsidR="004B5FB8">
        <w:rPr>
          <w:rFonts w:cs="Times New Roman"/>
          <w:noProof/>
          <w:szCs w:val="24"/>
        </w:rPr>
        <w:t>u</w:t>
      </w:r>
      <w:r w:rsidRPr="002A7627">
        <w:rPr>
          <w:rFonts w:cs="Times New Roman"/>
          <w:noProof/>
          <w:szCs w:val="24"/>
        </w:rPr>
        <w:t xml:space="preserve">pdated guidelines. </w:t>
      </w:r>
      <w:r w:rsidRPr="002A7627">
        <w:rPr>
          <w:rFonts w:cs="Times New Roman"/>
          <w:i/>
          <w:iCs/>
          <w:noProof/>
          <w:szCs w:val="24"/>
        </w:rPr>
        <w:t>Industrial Management and Data Systems</w:t>
      </w:r>
      <w:r w:rsidRPr="002A7627">
        <w:rPr>
          <w:rFonts w:cs="Times New Roman"/>
          <w:noProof/>
          <w:szCs w:val="24"/>
        </w:rPr>
        <w:t xml:space="preserve">, </w:t>
      </w:r>
      <w:r w:rsidRPr="002A7627">
        <w:rPr>
          <w:rFonts w:cs="Times New Roman"/>
          <w:i/>
          <w:iCs/>
          <w:noProof/>
          <w:szCs w:val="24"/>
        </w:rPr>
        <w:t>116</w:t>
      </w:r>
      <w:r w:rsidRPr="002A7627">
        <w:rPr>
          <w:rFonts w:cs="Times New Roman"/>
          <w:noProof/>
          <w:szCs w:val="24"/>
        </w:rPr>
        <w:t>(1), 2–20. https://doi.org/10.1108/IMDS-09-2015-0382</w:t>
      </w:r>
    </w:p>
    <w:p w14:paraId="33437F5A"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Henseler, J., Ringle, C. M., &amp; Sarstedt, M. (2015). A new criterion for assessing discriminant validity in variance-based structural equation modeling. </w:t>
      </w:r>
      <w:r w:rsidRPr="002A7627">
        <w:rPr>
          <w:rFonts w:cs="Times New Roman"/>
          <w:i/>
          <w:iCs/>
          <w:noProof/>
          <w:szCs w:val="24"/>
        </w:rPr>
        <w:t>Journal of the Academy of Marketing Science</w:t>
      </w:r>
      <w:r w:rsidRPr="002A7627">
        <w:rPr>
          <w:rFonts w:cs="Times New Roman"/>
          <w:noProof/>
          <w:szCs w:val="24"/>
        </w:rPr>
        <w:t xml:space="preserve">, </w:t>
      </w:r>
      <w:r w:rsidRPr="002A7627">
        <w:rPr>
          <w:rFonts w:cs="Times New Roman"/>
          <w:i/>
          <w:iCs/>
          <w:noProof/>
          <w:szCs w:val="24"/>
        </w:rPr>
        <w:t>43</w:t>
      </w:r>
      <w:r w:rsidRPr="002A7627">
        <w:rPr>
          <w:rFonts w:cs="Times New Roman"/>
          <w:noProof/>
          <w:szCs w:val="24"/>
        </w:rPr>
        <w:t>(1), 115–135. https://doi.org/10.1007/s11747-014-0403-8</w:t>
      </w:r>
    </w:p>
    <w:p w14:paraId="3F797557"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Hidalgo-Peñate, A., Padrón-Robaina, V., &amp; Nieves, J. (2019). Knowledge as a driver of dynamic capabilities and learning outcomes. </w:t>
      </w:r>
      <w:r w:rsidRPr="002A7627">
        <w:rPr>
          <w:rFonts w:cs="Times New Roman"/>
          <w:i/>
          <w:iCs/>
          <w:noProof/>
          <w:szCs w:val="24"/>
        </w:rPr>
        <w:t>Journal of Hospitality, Leisure, Sport and Tourism Education</w:t>
      </w:r>
      <w:r w:rsidRPr="002A7627">
        <w:rPr>
          <w:rFonts w:cs="Times New Roman"/>
          <w:noProof/>
          <w:szCs w:val="24"/>
        </w:rPr>
        <w:t xml:space="preserve">, </w:t>
      </w:r>
      <w:r w:rsidRPr="002A7627">
        <w:rPr>
          <w:rFonts w:cs="Times New Roman"/>
          <w:i/>
          <w:iCs/>
          <w:noProof/>
          <w:szCs w:val="24"/>
        </w:rPr>
        <w:t>24</w:t>
      </w:r>
      <w:r w:rsidRPr="002A7627">
        <w:rPr>
          <w:rFonts w:cs="Times New Roman"/>
          <w:noProof/>
          <w:szCs w:val="24"/>
        </w:rPr>
        <w:t>, 143–154. https://doi.org/10.1016/j.jhlste.2019.02.004</w:t>
      </w:r>
    </w:p>
    <w:p w14:paraId="319755AF" w14:textId="5386C40A"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Hislop, D. (2013). </w:t>
      </w:r>
      <w:r w:rsidRPr="002A7627">
        <w:rPr>
          <w:rFonts w:cs="Times New Roman"/>
          <w:i/>
          <w:iCs/>
          <w:noProof/>
          <w:szCs w:val="24"/>
        </w:rPr>
        <w:t xml:space="preserve">Knowledge management in organizations: </w:t>
      </w:r>
      <w:r w:rsidR="004B5FB8">
        <w:rPr>
          <w:rFonts w:cs="Times New Roman"/>
          <w:i/>
          <w:iCs/>
          <w:noProof/>
          <w:szCs w:val="24"/>
        </w:rPr>
        <w:t>a</w:t>
      </w:r>
      <w:r w:rsidRPr="002A7627">
        <w:rPr>
          <w:rFonts w:cs="Times New Roman"/>
          <w:i/>
          <w:iCs/>
          <w:noProof/>
          <w:szCs w:val="24"/>
        </w:rPr>
        <w:t xml:space="preserve"> critical introduction</w:t>
      </w:r>
      <w:r w:rsidRPr="002A7627">
        <w:rPr>
          <w:rFonts w:cs="Times New Roman"/>
          <w:noProof/>
          <w:szCs w:val="24"/>
        </w:rPr>
        <w:t>. Oxford, UK: Oxford University Press.</w:t>
      </w:r>
    </w:p>
    <w:p w14:paraId="15BEF491" w14:textId="741B962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Hittleman, D. R., &amp; Simon, A. J. (1997). </w:t>
      </w:r>
      <w:r w:rsidRPr="002A7627">
        <w:rPr>
          <w:rFonts w:cs="Times New Roman"/>
          <w:i/>
          <w:iCs/>
          <w:noProof/>
          <w:szCs w:val="24"/>
        </w:rPr>
        <w:t xml:space="preserve">Interpreting educational research: </w:t>
      </w:r>
      <w:r w:rsidR="004B5FB8">
        <w:rPr>
          <w:rFonts w:cs="Times New Roman"/>
          <w:i/>
          <w:iCs/>
          <w:noProof/>
          <w:szCs w:val="24"/>
        </w:rPr>
        <w:t>a</w:t>
      </w:r>
      <w:r w:rsidRPr="002A7627">
        <w:rPr>
          <w:rFonts w:cs="Times New Roman"/>
          <w:i/>
          <w:iCs/>
          <w:noProof/>
          <w:szCs w:val="24"/>
        </w:rPr>
        <w:t>n introduction for consumers of research</w:t>
      </w:r>
      <w:r w:rsidRPr="002A7627">
        <w:rPr>
          <w:rFonts w:cs="Times New Roman"/>
          <w:noProof/>
          <w:szCs w:val="24"/>
        </w:rPr>
        <w:t>. New York, NY: Merrill.</w:t>
      </w:r>
    </w:p>
    <w:p w14:paraId="59B917EB"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Ho, L., Kuo, T., &amp; Lin, B. (2012). How social identification and trust influence organizational online knowledge sharing. </w:t>
      </w:r>
      <w:r w:rsidRPr="002A7627">
        <w:rPr>
          <w:rFonts w:cs="Times New Roman"/>
          <w:i/>
          <w:iCs/>
          <w:noProof/>
          <w:szCs w:val="24"/>
        </w:rPr>
        <w:t>Internet Research</w:t>
      </w:r>
      <w:r w:rsidRPr="002A7627">
        <w:rPr>
          <w:rFonts w:cs="Times New Roman"/>
          <w:noProof/>
          <w:szCs w:val="24"/>
        </w:rPr>
        <w:t xml:space="preserve">, </w:t>
      </w:r>
      <w:r w:rsidRPr="002A7627">
        <w:rPr>
          <w:rFonts w:cs="Times New Roman"/>
          <w:i/>
          <w:iCs/>
          <w:noProof/>
          <w:szCs w:val="24"/>
        </w:rPr>
        <w:t>22</w:t>
      </w:r>
      <w:r w:rsidRPr="002A7627">
        <w:rPr>
          <w:rFonts w:cs="Times New Roman"/>
          <w:noProof/>
          <w:szCs w:val="24"/>
        </w:rPr>
        <w:t>(1), 4–28. https://doi.org/10.1108/10662241211199942</w:t>
      </w:r>
    </w:p>
    <w:p w14:paraId="2CD789E2" w14:textId="615C9DA0"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Holgersson, S., Gottschalk, P., &amp; Dean, G. (2008). Knowledge management in law enforcement: </w:t>
      </w:r>
      <w:r w:rsidR="004B5FB8">
        <w:rPr>
          <w:rFonts w:cs="Times New Roman"/>
          <w:noProof/>
          <w:szCs w:val="24"/>
        </w:rPr>
        <w:t>k</w:t>
      </w:r>
      <w:r w:rsidRPr="002A7627">
        <w:rPr>
          <w:rFonts w:cs="Times New Roman"/>
          <w:noProof/>
          <w:szCs w:val="24"/>
        </w:rPr>
        <w:t xml:space="preserve">nowledge views for patrolling police officers. </w:t>
      </w:r>
      <w:r w:rsidRPr="002A7627">
        <w:rPr>
          <w:rFonts w:cs="Times New Roman"/>
          <w:i/>
          <w:iCs/>
          <w:noProof/>
          <w:szCs w:val="24"/>
        </w:rPr>
        <w:t>International Journal of Police Science and Management</w:t>
      </w:r>
      <w:r w:rsidRPr="002A7627">
        <w:rPr>
          <w:rFonts w:cs="Times New Roman"/>
          <w:noProof/>
          <w:szCs w:val="24"/>
        </w:rPr>
        <w:t xml:space="preserve">, </w:t>
      </w:r>
      <w:r w:rsidRPr="002A7627">
        <w:rPr>
          <w:rFonts w:cs="Times New Roman"/>
          <w:i/>
          <w:iCs/>
          <w:noProof/>
          <w:szCs w:val="24"/>
        </w:rPr>
        <w:t>10</w:t>
      </w:r>
      <w:r w:rsidRPr="002A7627">
        <w:rPr>
          <w:rFonts w:cs="Times New Roman"/>
          <w:noProof/>
          <w:szCs w:val="24"/>
        </w:rPr>
        <w:t>(1), 76–88. https://doi.org/10.1350/ijps.2008.10.1.76</w:t>
      </w:r>
    </w:p>
    <w:p w14:paraId="63D17213" w14:textId="3917F158"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Hong, J., Snell, R. S., &amp; Rowley, C. (Eds.). (2017). </w:t>
      </w:r>
      <w:r w:rsidRPr="002A7627">
        <w:rPr>
          <w:rFonts w:cs="Times New Roman"/>
          <w:i/>
          <w:iCs/>
          <w:noProof/>
          <w:szCs w:val="24"/>
        </w:rPr>
        <w:t xml:space="preserve">Organizational learning in Asia: </w:t>
      </w:r>
      <w:r w:rsidR="004B5FB8">
        <w:rPr>
          <w:rFonts w:cs="Times New Roman"/>
          <w:i/>
          <w:iCs/>
          <w:noProof/>
          <w:szCs w:val="24"/>
        </w:rPr>
        <w:t>i</w:t>
      </w:r>
      <w:r w:rsidRPr="002A7627">
        <w:rPr>
          <w:rFonts w:cs="Times New Roman"/>
          <w:i/>
          <w:iCs/>
          <w:noProof/>
          <w:szCs w:val="24"/>
        </w:rPr>
        <w:t>ssues and challenges</w:t>
      </w:r>
      <w:r w:rsidRPr="002A7627">
        <w:rPr>
          <w:rFonts w:cs="Times New Roman"/>
          <w:noProof/>
          <w:szCs w:val="24"/>
        </w:rPr>
        <w:t>. New York, NY: Elsevier.</w:t>
      </w:r>
    </w:p>
    <w:p w14:paraId="75122DF9" w14:textId="66929E3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Horvat, J., Sharma, K., &amp; Bobek, S. (2015). Knowledge sharing and performance appraisal of employees: </w:t>
      </w:r>
      <w:r w:rsidR="004B5FB8">
        <w:rPr>
          <w:rFonts w:cs="Times New Roman"/>
          <w:noProof/>
          <w:szCs w:val="24"/>
        </w:rPr>
        <w:t>a</w:t>
      </w:r>
      <w:r w:rsidRPr="002A7627">
        <w:rPr>
          <w:rFonts w:cs="Times New Roman"/>
          <w:noProof/>
          <w:szCs w:val="24"/>
        </w:rPr>
        <w:t xml:space="preserve"> pilot case study. </w:t>
      </w:r>
      <w:r w:rsidRPr="002A7627">
        <w:rPr>
          <w:rFonts w:cs="Times New Roman"/>
          <w:i/>
          <w:iCs/>
          <w:noProof/>
          <w:szCs w:val="24"/>
        </w:rPr>
        <w:t>Review of Integrated Business Economy</w:t>
      </w:r>
      <w:r w:rsidRPr="002A7627">
        <w:rPr>
          <w:rFonts w:cs="Times New Roman"/>
          <w:noProof/>
          <w:szCs w:val="24"/>
        </w:rPr>
        <w:t xml:space="preserve">, </w:t>
      </w:r>
      <w:r w:rsidRPr="002A7627">
        <w:rPr>
          <w:rFonts w:cs="Times New Roman"/>
          <w:i/>
          <w:iCs/>
          <w:noProof/>
          <w:szCs w:val="24"/>
        </w:rPr>
        <w:t>4</w:t>
      </w:r>
      <w:r w:rsidRPr="002A7627">
        <w:rPr>
          <w:rFonts w:cs="Times New Roman"/>
          <w:noProof/>
          <w:szCs w:val="24"/>
        </w:rPr>
        <w:t>(3), 62–73.</w:t>
      </w:r>
    </w:p>
    <w:p w14:paraId="557A98F3"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Houghton, J., &amp; Sheehan, P. (2000). </w:t>
      </w:r>
      <w:r w:rsidRPr="002A7627">
        <w:rPr>
          <w:rFonts w:cs="Times New Roman"/>
          <w:i/>
          <w:iCs/>
          <w:noProof/>
          <w:szCs w:val="24"/>
        </w:rPr>
        <w:t>A primer on the knowledge economy</w:t>
      </w:r>
      <w:r w:rsidRPr="002A7627">
        <w:rPr>
          <w:rFonts w:cs="Times New Roman"/>
          <w:noProof/>
          <w:szCs w:val="24"/>
        </w:rPr>
        <w:t xml:space="preserve"> (CSES Working Paper No. 18). Melbourne, Australia: Victoria University.</w:t>
      </w:r>
    </w:p>
    <w:p w14:paraId="5B4A86E8" w14:textId="21CCE812"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Hsiao, Y., Chen, C., &amp; Chang, S. (2011). Knowledge management capacity and organizational performance: </w:t>
      </w:r>
      <w:r w:rsidR="004B5FB8">
        <w:rPr>
          <w:rFonts w:cs="Times New Roman"/>
          <w:noProof/>
          <w:szCs w:val="24"/>
        </w:rPr>
        <w:t>t</w:t>
      </w:r>
      <w:r w:rsidRPr="002A7627">
        <w:rPr>
          <w:rFonts w:cs="Times New Roman"/>
          <w:noProof/>
          <w:szCs w:val="24"/>
        </w:rPr>
        <w:t xml:space="preserve">he social interaction view. </w:t>
      </w:r>
      <w:r w:rsidRPr="002A7627">
        <w:rPr>
          <w:rFonts w:cs="Times New Roman"/>
          <w:i/>
          <w:iCs/>
          <w:noProof/>
          <w:szCs w:val="24"/>
        </w:rPr>
        <w:t>International Journal of Manpower</w:t>
      </w:r>
      <w:r w:rsidRPr="002A7627">
        <w:rPr>
          <w:rFonts w:cs="Times New Roman"/>
          <w:noProof/>
          <w:szCs w:val="24"/>
        </w:rPr>
        <w:t xml:space="preserve">, </w:t>
      </w:r>
      <w:r w:rsidRPr="002A7627">
        <w:rPr>
          <w:rFonts w:cs="Times New Roman"/>
          <w:i/>
          <w:iCs/>
          <w:noProof/>
          <w:szCs w:val="24"/>
        </w:rPr>
        <w:t>32</w:t>
      </w:r>
      <w:r w:rsidRPr="002A7627">
        <w:rPr>
          <w:rFonts w:cs="Times New Roman"/>
          <w:noProof/>
          <w:szCs w:val="24"/>
        </w:rPr>
        <w:t>(5/6), 645–660. https://doi.org/10.1108/01437721111158242</w:t>
      </w:r>
    </w:p>
    <w:p w14:paraId="552649F2" w14:textId="4CEFBB94"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Hsu, M.-H., Ju, T. L., Yen, C.-H., &amp; Chang, C.-M. (2007). Knowledge sharing behavior in virtual communities: </w:t>
      </w:r>
      <w:r w:rsidR="004B5FB8">
        <w:rPr>
          <w:rFonts w:cs="Times New Roman"/>
          <w:noProof/>
          <w:szCs w:val="24"/>
        </w:rPr>
        <w:t>t</w:t>
      </w:r>
      <w:r w:rsidRPr="002A7627">
        <w:rPr>
          <w:rFonts w:cs="Times New Roman"/>
          <w:noProof/>
          <w:szCs w:val="24"/>
        </w:rPr>
        <w:t xml:space="preserve">he relationship between trust, self-efficacy, and outcome expectations. </w:t>
      </w:r>
      <w:r w:rsidRPr="002A7627">
        <w:rPr>
          <w:rFonts w:cs="Times New Roman"/>
          <w:i/>
          <w:iCs/>
          <w:noProof/>
          <w:szCs w:val="24"/>
        </w:rPr>
        <w:t>International Journal of Human-Computer Studies</w:t>
      </w:r>
      <w:r w:rsidRPr="002A7627">
        <w:rPr>
          <w:rFonts w:cs="Times New Roman"/>
          <w:noProof/>
          <w:szCs w:val="24"/>
        </w:rPr>
        <w:t xml:space="preserve">, </w:t>
      </w:r>
      <w:r w:rsidRPr="002A7627">
        <w:rPr>
          <w:rFonts w:cs="Times New Roman"/>
          <w:i/>
          <w:iCs/>
          <w:noProof/>
          <w:szCs w:val="24"/>
        </w:rPr>
        <w:t>65</w:t>
      </w:r>
      <w:r w:rsidRPr="002A7627">
        <w:rPr>
          <w:rFonts w:cs="Times New Roman"/>
          <w:noProof/>
          <w:szCs w:val="24"/>
        </w:rPr>
        <w:t>(2), 153–169. https://doi.org/10.1016/j.ijhcs.2006.09.003</w:t>
      </w:r>
    </w:p>
    <w:p w14:paraId="38EFB6AF" w14:textId="23FBE9B8"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Hu, L. T., &amp; Bentler, P. M. (1998). Fit indices in covariance structure modeling: </w:t>
      </w:r>
      <w:r w:rsidR="004B5FB8">
        <w:rPr>
          <w:rFonts w:cs="Times New Roman"/>
          <w:noProof/>
          <w:szCs w:val="24"/>
        </w:rPr>
        <w:t>s</w:t>
      </w:r>
      <w:r w:rsidRPr="002A7627">
        <w:rPr>
          <w:rFonts w:cs="Times New Roman"/>
          <w:noProof/>
          <w:szCs w:val="24"/>
        </w:rPr>
        <w:t xml:space="preserve">ensitivity to underparameterized model misspecification. </w:t>
      </w:r>
      <w:r w:rsidRPr="002A7627">
        <w:rPr>
          <w:rFonts w:cs="Times New Roman"/>
          <w:i/>
          <w:iCs/>
          <w:noProof/>
          <w:szCs w:val="24"/>
        </w:rPr>
        <w:t>Psychological Methods</w:t>
      </w:r>
      <w:r w:rsidRPr="002A7627">
        <w:rPr>
          <w:rFonts w:cs="Times New Roman"/>
          <w:noProof/>
          <w:szCs w:val="24"/>
        </w:rPr>
        <w:t xml:space="preserve">, </w:t>
      </w:r>
      <w:r w:rsidRPr="002A7627">
        <w:rPr>
          <w:rFonts w:cs="Times New Roman"/>
          <w:i/>
          <w:iCs/>
          <w:noProof/>
          <w:szCs w:val="24"/>
        </w:rPr>
        <w:t>3</w:t>
      </w:r>
      <w:r w:rsidRPr="002A7627">
        <w:rPr>
          <w:rFonts w:cs="Times New Roman"/>
          <w:noProof/>
          <w:szCs w:val="24"/>
        </w:rPr>
        <w:t>(4), 424–453.</w:t>
      </w:r>
    </w:p>
    <w:p w14:paraId="5F403562" w14:textId="1242003A"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Hu, L. T., &amp; Bentler, P. M. (1999). Cutoff criteria for fit indexes in covariance structure analysis: </w:t>
      </w:r>
      <w:r w:rsidR="004B5FB8">
        <w:rPr>
          <w:rFonts w:cs="Times New Roman"/>
          <w:noProof/>
          <w:szCs w:val="24"/>
        </w:rPr>
        <w:t>c</w:t>
      </w:r>
      <w:r w:rsidRPr="002A7627">
        <w:rPr>
          <w:rFonts w:cs="Times New Roman"/>
          <w:noProof/>
          <w:szCs w:val="24"/>
        </w:rPr>
        <w:t xml:space="preserve">onventional criteria versus new alternatives. </w:t>
      </w:r>
      <w:r w:rsidRPr="002A7627">
        <w:rPr>
          <w:rFonts w:cs="Times New Roman"/>
          <w:i/>
          <w:iCs/>
          <w:noProof/>
          <w:szCs w:val="24"/>
        </w:rPr>
        <w:t>Structural Equation Modeling</w:t>
      </w:r>
      <w:r w:rsidRPr="002A7627">
        <w:rPr>
          <w:rFonts w:cs="Times New Roman"/>
          <w:noProof/>
          <w:szCs w:val="24"/>
        </w:rPr>
        <w:t xml:space="preserve">, </w:t>
      </w:r>
      <w:r w:rsidRPr="002A7627">
        <w:rPr>
          <w:rFonts w:cs="Times New Roman"/>
          <w:i/>
          <w:iCs/>
          <w:noProof/>
          <w:szCs w:val="24"/>
        </w:rPr>
        <w:t>6</w:t>
      </w:r>
      <w:r w:rsidRPr="002A7627">
        <w:rPr>
          <w:rFonts w:cs="Times New Roman"/>
          <w:noProof/>
          <w:szCs w:val="24"/>
        </w:rPr>
        <w:t>(1), 1–55. https://doi.org/10.1080/10705519909540118</w:t>
      </w:r>
    </w:p>
    <w:p w14:paraId="3D4CDA53" w14:textId="313D41C1"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Huber, G. P. (1991). Organizational learning: </w:t>
      </w:r>
      <w:r w:rsidR="004B5FB8">
        <w:rPr>
          <w:rFonts w:cs="Times New Roman"/>
          <w:noProof/>
          <w:szCs w:val="24"/>
        </w:rPr>
        <w:t>t</w:t>
      </w:r>
      <w:r w:rsidRPr="002A7627">
        <w:rPr>
          <w:rFonts w:cs="Times New Roman"/>
          <w:noProof/>
          <w:szCs w:val="24"/>
        </w:rPr>
        <w:t xml:space="preserve">he contributing processes and the literatures. </w:t>
      </w:r>
      <w:r w:rsidRPr="002A7627">
        <w:rPr>
          <w:rFonts w:cs="Times New Roman"/>
          <w:i/>
          <w:iCs/>
          <w:noProof/>
          <w:szCs w:val="24"/>
        </w:rPr>
        <w:t>Organization Science</w:t>
      </w:r>
      <w:r w:rsidRPr="002A7627">
        <w:rPr>
          <w:rFonts w:cs="Times New Roman"/>
          <w:noProof/>
          <w:szCs w:val="24"/>
        </w:rPr>
        <w:t xml:space="preserve">, </w:t>
      </w:r>
      <w:r w:rsidRPr="002A7627">
        <w:rPr>
          <w:rFonts w:cs="Times New Roman"/>
          <w:i/>
          <w:iCs/>
          <w:noProof/>
          <w:szCs w:val="24"/>
        </w:rPr>
        <w:t>2</w:t>
      </w:r>
      <w:r w:rsidRPr="002A7627">
        <w:rPr>
          <w:rFonts w:cs="Times New Roman"/>
          <w:noProof/>
          <w:szCs w:val="24"/>
        </w:rPr>
        <w:t>(1), 88–115. https://doi.org/10.1287/orsc.2.1.88</w:t>
      </w:r>
    </w:p>
    <w:p w14:paraId="4860874E" w14:textId="16104CC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Hughes, V., &amp; Jackson, P. (2004). The influence of technical, social and structural factors on the effective use of information in a policing environment.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2</w:t>
      </w:r>
      <w:r w:rsidRPr="002A7627">
        <w:rPr>
          <w:rFonts w:cs="Times New Roman"/>
          <w:noProof/>
          <w:szCs w:val="24"/>
        </w:rPr>
        <w:t>(1), 65–76.</w:t>
      </w:r>
    </w:p>
    <w:p w14:paraId="3A339D6B" w14:textId="0A5E229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Hussain, M., Ajmal, M. M., Khan, M., &amp; Saber, H. (2015). Competitive priorities and knowledge management: </w:t>
      </w:r>
      <w:r w:rsidR="004B5FB8">
        <w:rPr>
          <w:rFonts w:cs="Times New Roman"/>
          <w:noProof/>
          <w:szCs w:val="24"/>
        </w:rPr>
        <w:t>a</w:t>
      </w:r>
      <w:r w:rsidRPr="002A7627">
        <w:rPr>
          <w:rFonts w:cs="Times New Roman"/>
          <w:noProof/>
          <w:szCs w:val="24"/>
        </w:rPr>
        <w:t xml:space="preserve">n empirical investigation of manufacturing companies in UAE. </w:t>
      </w:r>
      <w:r w:rsidRPr="002A7627">
        <w:rPr>
          <w:rFonts w:cs="Times New Roman"/>
          <w:i/>
          <w:iCs/>
          <w:noProof/>
          <w:szCs w:val="24"/>
        </w:rPr>
        <w:t>Journal of Manufacturing Technology Management</w:t>
      </w:r>
      <w:r w:rsidRPr="002A7627">
        <w:rPr>
          <w:rFonts w:cs="Times New Roman"/>
          <w:noProof/>
          <w:szCs w:val="24"/>
        </w:rPr>
        <w:t xml:space="preserve">, </w:t>
      </w:r>
      <w:r w:rsidRPr="002A7627">
        <w:rPr>
          <w:rFonts w:cs="Times New Roman"/>
          <w:i/>
          <w:iCs/>
          <w:noProof/>
          <w:szCs w:val="24"/>
        </w:rPr>
        <w:t>26</w:t>
      </w:r>
      <w:r w:rsidRPr="002A7627">
        <w:rPr>
          <w:rFonts w:cs="Times New Roman"/>
          <w:noProof/>
          <w:szCs w:val="24"/>
        </w:rPr>
        <w:t>(6), 791–806. https://doi.org/10.1108/JMTM-03-2014-0020</w:t>
      </w:r>
    </w:p>
    <w:p w14:paraId="692AE2CB" w14:textId="4AB922AE" w:rsidR="00CD0B2F" w:rsidRPr="001708DA" w:rsidRDefault="00CD0B2F" w:rsidP="002A7627">
      <w:pPr>
        <w:spacing w:line="480" w:lineRule="auto"/>
        <w:ind w:left="480" w:hanging="480"/>
        <w:jc w:val="both"/>
        <w:rPr>
          <w:rFonts w:cs="Times New Roman"/>
          <w:noProof/>
          <w:color w:val="000000" w:themeColor="text1"/>
          <w:szCs w:val="24"/>
        </w:rPr>
      </w:pPr>
      <w:r w:rsidRPr="002A7627">
        <w:rPr>
          <w:rFonts w:cs="Times New Roman"/>
          <w:noProof/>
          <w:szCs w:val="24"/>
        </w:rPr>
        <w:t xml:space="preserve">Hussein, A. T. T., Singh, S. K., Farouk, S., &amp; Sohal, A. S. (2016). Knowledge sharing enablers, processes and firm innovation capability. </w:t>
      </w:r>
      <w:r w:rsidRPr="002A7627">
        <w:rPr>
          <w:rFonts w:cs="Times New Roman"/>
          <w:i/>
          <w:iCs/>
          <w:noProof/>
          <w:szCs w:val="24"/>
        </w:rPr>
        <w:t>Journal of Workplace Learning</w:t>
      </w:r>
      <w:r w:rsidRPr="002A7627">
        <w:rPr>
          <w:rFonts w:cs="Times New Roman"/>
          <w:noProof/>
          <w:szCs w:val="24"/>
        </w:rPr>
        <w:t xml:space="preserve">, </w:t>
      </w:r>
      <w:r w:rsidRPr="002A7627">
        <w:rPr>
          <w:rFonts w:cs="Times New Roman"/>
          <w:i/>
          <w:iCs/>
          <w:noProof/>
          <w:szCs w:val="24"/>
        </w:rPr>
        <w:t>28</w:t>
      </w:r>
      <w:r w:rsidRPr="002A7627">
        <w:rPr>
          <w:rFonts w:cs="Times New Roman"/>
          <w:noProof/>
          <w:szCs w:val="24"/>
        </w:rPr>
        <w:t xml:space="preserve">(8), 484–495. </w:t>
      </w:r>
      <w:hyperlink r:id="rId46" w:history="1">
        <w:r w:rsidR="00B73F8C" w:rsidRPr="001708DA">
          <w:rPr>
            <w:rStyle w:val="Hyperlink"/>
            <w:rFonts w:cs="Times New Roman"/>
            <w:noProof/>
            <w:color w:val="000000" w:themeColor="text1"/>
            <w:szCs w:val="24"/>
            <w:u w:val="none"/>
          </w:rPr>
          <w:t>https://doi.org/10.1108/JWL-05-2016-0041</w:t>
        </w:r>
      </w:hyperlink>
    </w:p>
    <w:p w14:paraId="4D410AC3" w14:textId="58BEE422" w:rsidR="00B73F8C" w:rsidRPr="002A7627" w:rsidRDefault="00B73F8C" w:rsidP="002A7627">
      <w:pPr>
        <w:spacing w:line="480" w:lineRule="auto"/>
        <w:ind w:left="480" w:hanging="480"/>
        <w:jc w:val="both"/>
        <w:rPr>
          <w:rFonts w:cs="Times New Roman"/>
          <w:noProof/>
          <w:szCs w:val="24"/>
        </w:rPr>
      </w:pPr>
      <w:r>
        <w:t xml:space="preserve">Ihrig, M., &amp; MacMillan, I. (2015). Managing your mission-critical knowledge. </w:t>
      </w:r>
      <w:r>
        <w:rPr>
          <w:i/>
          <w:iCs/>
        </w:rPr>
        <w:t>Harvard business review</w:t>
      </w:r>
      <w:r>
        <w:t xml:space="preserve">, </w:t>
      </w:r>
      <w:r>
        <w:rPr>
          <w:i/>
          <w:iCs/>
        </w:rPr>
        <w:t>93</w:t>
      </w:r>
      <w:r>
        <w:t>(1), 17.</w:t>
      </w:r>
    </w:p>
    <w:p w14:paraId="409BC3C9"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Inkinen, H. T., Kianto, A., &amp; Vanhala, M. (2015). Knowledge management practices and innovation performance in Finland. </w:t>
      </w:r>
      <w:r w:rsidRPr="002A7627">
        <w:rPr>
          <w:rFonts w:cs="Times New Roman"/>
          <w:i/>
          <w:iCs/>
          <w:noProof/>
          <w:szCs w:val="24"/>
        </w:rPr>
        <w:t>Baltic Journal of Management</w:t>
      </w:r>
      <w:r w:rsidRPr="002A7627">
        <w:rPr>
          <w:rFonts w:cs="Times New Roman"/>
          <w:noProof/>
          <w:szCs w:val="24"/>
        </w:rPr>
        <w:t xml:space="preserve">, </w:t>
      </w:r>
      <w:r w:rsidRPr="002A7627">
        <w:rPr>
          <w:rFonts w:cs="Times New Roman"/>
          <w:i/>
          <w:iCs/>
          <w:noProof/>
          <w:szCs w:val="24"/>
        </w:rPr>
        <w:t>10</w:t>
      </w:r>
      <w:r w:rsidRPr="002A7627">
        <w:rPr>
          <w:rFonts w:cs="Times New Roman"/>
          <w:noProof/>
          <w:szCs w:val="24"/>
        </w:rPr>
        <w:t>(4), 432–455. https://doi.org/10.1108/BJM-10-2014-0178</w:t>
      </w:r>
    </w:p>
    <w:p w14:paraId="32B2BE07" w14:textId="5861F2D1"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INSEAD (2016). </w:t>
      </w:r>
      <w:r w:rsidRPr="002A7627">
        <w:rPr>
          <w:rFonts w:cs="Times New Roman"/>
          <w:i/>
          <w:iCs/>
          <w:noProof/>
          <w:szCs w:val="24"/>
        </w:rPr>
        <w:t>The global information technology report 2016</w:t>
      </w:r>
      <w:r w:rsidRPr="002A7627">
        <w:rPr>
          <w:rFonts w:cs="Times New Roman"/>
          <w:noProof/>
          <w:szCs w:val="24"/>
        </w:rPr>
        <w:t>. Geneva, Switzerland: World Economic Forum. Retrieved from http://www3.weforum.org/docs/GITR2016/WEF_GITR_Full_Report.pdf</w:t>
      </w:r>
    </w:p>
    <w:p w14:paraId="0E30DB60" w14:textId="4A0C3EAE"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Iyengar, K., Sweeney, J. R., &amp; Montealegre, R. (2015). Information technology use as a learning mechanism: </w:t>
      </w:r>
      <w:r w:rsidR="004B5FB8">
        <w:rPr>
          <w:rFonts w:cs="Times New Roman"/>
          <w:noProof/>
          <w:szCs w:val="24"/>
        </w:rPr>
        <w:t>t</w:t>
      </w:r>
      <w:r w:rsidRPr="002A7627">
        <w:rPr>
          <w:rFonts w:cs="Times New Roman"/>
          <w:noProof/>
          <w:szCs w:val="24"/>
        </w:rPr>
        <w:t xml:space="preserve">he impact of </w:t>
      </w:r>
      <w:r w:rsidR="004B5FB8">
        <w:rPr>
          <w:rFonts w:cs="Times New Roman"/>
          <w:noProof/>
          <w:szCs w:val="24"/>
        </w:rPr>
        <w:t>IT</w:t>
      </w:r>
      <w:r w:rsidR="004B5FB8" w:rsidRPr="002A7627">
        <w:rPr>
          <w:rFonts w:cs="Times New Roman"/>
          <w:noProof/>
          <w:szCs w:val="24"/>
        </w:rPr>
        <w:t xml:space="preserve"> </w:t>
      </w:r>
      <w:r w:rsidRPr="002A7627">
        <w:rPr>
          <w:rFonts w:cs="Times New Roman"/>
          <w:noProof/>
          <w:szCs w:val="24"/>
        </w:rPr>
        <w:t xml:space="preserve">use on knowledge transfer effectiveness, absorptive capacity, and franchisee performance. </w:t>
      </w:r>
      <w:r w:rsidRPr="002A7627">
        <w:rPr>
          <w:rFonts w:cs="Times New Roman"/>
          <w:i/>
          <w:iCs/>
          <w:noProof/>
          <w:szCs w:val="24"/>
        </w:rPr>
        <w:t>MIS Quarterly</w:t>
      </w:r>
      <w:r w:rsidRPr="002A7627">
        <w:rPr>
          <w:rFonts w:cs="Times New Roman"/>
          <w:noProof/>
          <w:szCs w:val="24"/>
        </w:rPr>
        <w:t xml:space="preserve">, </w:t>
      </w:r>
      <w:r w:rsidRPr="002A7627">
        <w:rPr>
          <w:rFonts w:cs="Times New Roman"/>
          <w:i/>
          <w:iCs/>
          <w:noProof/>
          <w:szCs w:val="24"/>
        </w:rPr>
        <w:t>39</w:t>
      </w:r>
      <w:r w:rsidRPr="002A7627">
        <w:rPr>
          <w:rFonts w:cs="Times New Roman"/>
          <w:noProof/>
          <w:szCs w:val="24"/>
        </w:rPr>
        <w:t>(3), 615–641. https://doi.org/10.25300/MISQ/2015/39.3.05</w:t>
      </w:r>
    </w:p>
    <w:p w14:paraId="035CBAA2" w14:textId="52CD649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Jaaron, A. A. M., &amp; Backhouse, C. J. (2017). Operationalising “double-loop” learning in service </w:t>
      </w:r>
      <w:r w:rsidR="00C52075">
        <w:rPr>
          <w:rFonts w:cs="Times New Roman"/>
          <w:noProof/>
          <w:szCs w:val="24"/>
        </w:rPr>
        <w:t>organization</w:t>
      </w:r>
      <w:r w:rsidRPr="002A7627">
        <w:rPr>
          <w:rFonts w:cs="Times New Roman"/>
          <w:noProof/>
          <w:szCs w:val="24"/>
        </w:rPr>
        <w:t xml:space="preserve">s: </w:t>
      </w:r>
      <w:r w:rsidR="004B5FB8">
        <w:rPr>
          <w:rFonts w:cs="Times New Roman"/>
          <w:noProof/>
          <w:szCs w:val="24"/>
        </w:rPr>
        <w:t>a</w:t>
      </w:r>
      <w:r w:rsidR="004B5FB8" w:rsidRPr="002A7627">
        <w:rPr>
          <w:rFonts w:cs="Times New Roman"/>
          <w:noProof/>
          <w:szCs w:val="24"/>
        </w:rPr>
        <w:t xml:space="preserve"> </w:t>
      </w:r>
      <w:r w:rsidRPr="002A7627">
        <w:rPr>
          <w:rFonts w:cs="Times New Roman"/>
          <w:noProof/>
          <w:szCs w:val="24"/>
        </w:rPr>
        <w:t xml:space="preserve">systems approach for creating knowledge. </w:t>
      </w:r>
      <w:r w:rsidRPr="002A7627">
        <w:rPr>
          <w:rFonts w:cs="Times New Roman"/>
          <w:i/>
          <w:iCs/>
          <w:noProof/>
          <w:szCs w:val="24"/>
        </w:rPr>
        <w:t>Systemic Practice and Action Research</w:t>
      </w:r>
      <w:r w:rsidRPr="002A7627">
        <w:rPr>
          <w:rFonts w:cs="Times New Roman"/>
          <w:noProof/>
          <w:szCs w:val="24"/>
        </w:rPr>
        <w:t xml:space="preserve">, </w:t>
      </w:r>
      <w:r w:rsidRPr="002A7627">
        <w:rPr>
          <w:rFonts w:cs="Times New Roman"/>
          <w:i/>
          <w:iCs/>
          <w:noProof/>
          <w:szCs w:val="24"/>
        </w:rPr>
        <w:t>30</w:t>
      </w:r>
      <w:r w:rsidRPr="002A7627">
        <w:rPr>
          <w:rFonts w:cs="Times New Roman"/>
          <w:noProof/>
          <w:szCs w:val="24"/>
        </w:rPr>
        <w:t>(4), 317–337. https://doi.org/10.1007/s11213-016-9397-0</w:t>
      </w:r>
    </w:p>
    <w:p w14:paraId="17709AA4"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Jääskelä, P., Häkkinen, P., &amp; Rasku-Puttonen, H. (2017). Teacher beliefs regarding learning, pedagogy, and the use of technology in higher education. </w:t>
      </w:r>
      <w:r w:rsidRPr="002A7627">
        <w:rPr>
          <w:rFonts w:cs="Times New Roman"/>
          <w:i/>
          <w:iCs/>
          <w:noProof/>
          <w:szCs w:val="24"/>
        </w:rPr>
        <w:t>Journal of Research on Technology in Education</w:t>
      </w:r>
      <w:r w:rsidRPr="002A7627">
        <w:rPr>
          <w:rFonts w:cs="Times New Roman"/>
          <w:noProof/>
          <w:szCs w:val="24"/>
        </w:rPr>
        <w:t xml:space="preserve">, </w:t>
      </w:r>
      <w:r w:rsidRPr="002A7627">
        <w:rPr>
          <w:rFonts w:cs="Times New Roman"/>
          <w:i/>
          <w:iCs/>
          <w:noProof/>
          <w:szCs w:val="24"/>
        </w:rPr>
        <w:t>49</w:t>
      </w:r>
      <w:r w:rsidRPr="002A7627">
        <w:rPr>
          <w:rFonts w:cs="Times New Roman"/>
          <w:noProof/>
          <w:szCs w:val="24"/>
        </w:rPr>
        <w:t>(3–4), 198–211. https://doi.org/10.1080/15391523.2017.1343691</w:t>
      </w:r>
    </w:p>
    <w:p w14:paraId="55E94B7C"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Jackson, S. E., Chuang, C.-H., Harden, E. E., &amp; Jiang, Y. (2006). Toward developing human resource management systems for knowledge-intensive teamwork. In W. B. Werther &amp; K. Davis (Eds.), </w:t>
      </w:r>
      <w:r w:rsidRPr="002A7627">
        <w:rPr>
          <w:rFonts w:cs="Times New Roman"/>
          <w:i/>
          <w:iCs/>
          <w:noProof/>
          <w:szCs w:val="24"/>
        </w:rPr>
        <w:t>Research in personnel and human resources management</w:t>
      </w:r>
      <w:r w:rsidRPr="002A7627">
        <w:rPr>
          <w:rFonts w:cs="Times New Roman"/>
          <w:noProof/>
          <w:szCs w:val="24"/>
        </w:rPr>
        <w:t xml:space="preserve"> (pp. 27–70). London, UK: Emerald.</w:t>
      </w:r>
    </w:p>
    <w:p w14:paraId="7201BFF1" w14:textId="2C98C45B"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Jackson, S. E., Hitt, M. A., &amp; DeNisi, A. S. (Eds.). (2003). </w:t>
      </w:r>
      <w:r w:rsidRPr="002A7627">
        <w:rPr>
          <w:rFonts w:cs="Times New Roman"/>
          <w:i/>
          <w:iCs/>
          <w:noProof/>
          <w:szCs w:val="24"/>
        </w:rPr>
        <w:t xml:space="preserve">Managing knowledge for sustained competitive advantage: </w:t>
      </w:r>
      <w:r w:rsidR="004B5FB8">
        <w:rPr>
          <w:rFonts w:cs="Times New Roman"/>
          <w:i/>
          <w:iCs/>
          <w:noProof/>
          <w:szCs w:val="24"/>
        </w:rPr>
        <w:t>d</w:t>
      </w:r>
      <w:r w:rsidRPr="002A7627">
        <w:rPr>
          <w:rFonts w:cs="Times New Roman"/>
          <w:i/>
          <w:iCs/>
          <w:noProof/>
          <w:szCs w:val="24"/>
        </w:rPr>
        <w:t>esigning strategies for effective human resource management</w:t>
      </w:r>
      <w:r w:rsidRPr="002A7627">
        <w:rPr>
          <w:rFonts w:cs="Times New Roman"/>
          <w:noProof/>
          <w:szCs w:val="24"/>
        </w:rPr>
        <w:t>. New York, NY: John Wiley &amp; Sons.</w:t>
      </w:r>
    </w:p>
    <w:p w14:paraId="482D6FF8" w14:textId="76C4A334" w:rsidR="00CD0B2F" w:rsidRPr="005C775D" w:rsidRDefault="00CD0B2F" w:rsidP="002A7627">
      <w:pPr>
        <w:spacing w:line="480" w:lineRule="auto"/>
        <w:ind w:left="480" w:hanging="480"/>
        <w:jc w:val="both"/>
        <w:rPr>
          <w:rFonts w:cs="Times New Roman"/>
          <w:noProof/>
          <w:color w:val="000000" w:themeColor="text1"/>
          <w:szCs w:val="24"/>
        </w:rPr>
      </w:pPr>
      <w:r w:rsidRPr="002A7627">
        <w:rPr>
          <w:rFonts w:cs="Times New Roman"/>
          <w:noProof/>
          <w:szCs w:val="24"/>
        </w:rPr>
        <w:t xml:space="preserve">Jennex, M. (2017). Re-examining the </w:t>
      </w:r>
      <w:r w:rsidR="006A70F4">
        <w:rPr>
          <w:rFonts w:cs="Times New Roman"/>
          <w:noProof/>
          <w:szCs w:val="24"/>
        </w:rPr>
        <w:t>J</w:t>
      </w:r>
      <w:r w:rsidRPr="002A7627">
        <w:rPr>
          <w:rFonts w:cs="Times New Roman"/>
          <w:noProof/>
          <w:szCs w:val="24"/>
        </w:rPr>
        <w:t xml:space="preserve">ennex </w:t>
      </w:r>
      <w:r w:rsidR="006A70F4">
        <w:rPr>
          <w:rFonts w:cs="Times New Roman"/>
          <w:noProof/>
          <w:szCs w:val="24"/>
        </w:rPr>
        <w:t>O</w:t>
      </w:r>
      <w:r w:rsidRPr="002A7627">
        <w:rPr>
          <w:rFonts w:cs="Times New Roman"/>
          <w:noProof/>
          <w:szCs w:val="24"/>
        </w:rPr>
        <w:t xml:space="preserve">lfman knowledge management success model. In </w:t>
      </w:r>
      <w:r w:rsidRPr="002A7627">
        <w:rPr>
          <w:rFonts w:cs="Times New Roman"/>
          <w:i/>
          <w:iCs/>
          <w:noProof/>
          <w:szCs w:val="24"/>
        </w:rPr>
        <w:t>Proceedings of the 50th Hawaii International Conference on System Sciences</w:t>
      </w:r>
      <w:r w:rsidRPr="002A7627">
        <w:rPr>
          <w:rFonts w:cs="Times New Roman"/>
          <w:noProof/>
          <w:szCs w:val="24"/>
        </w:rPr>
        <w:t xml:space="preserve">. Retrieved from </w:t>
      </w:r>
      <w:hyperlink r:id="rId47" w:history="1">
        <w:r w:rsidR="005C775D" w:rsidRPr="005C775D">
          <w:rPr>
            <w:rStyle w:val="Hyperlink"/>
            <w:rFonts w:cs="Times New Roman"/>
            <w:noProof/>
            <w:color w:val="000000" w:themeColor="text1"/>
            <w:szCs w:val="24"/>
            <w:u w:val="none"/>
          </w:rPr>
          <w:t>https://scholarspace.manoa.hawaii.edu/bitstream/10125/41691/paper0542.pdf</w:t>
        </w:r>
      </w:hyperlink>
    </w:p>
    <w:p w14:paraId="297653DA" w14:textId="09FEE270" w:rsidR="005C775D" w:rsidRPr="002A7627" w:rsidRDefault="005C775D" w:rsidP="002A7627">
      <w:pPr>
        <w:spacing w:line="480" w:lineRule="auto"/>
        <w:ind w:left="480" w:hanging="480"/>
        <w:jc w:val="both"/>
        <w:rPr>
          <w:rFonts w:cs="Times New Roman"/>
          <w:noProof/>
          <w:szCs w:val="24"/>
        </w:rPr>
      </w:pPr>
      <w:r>
        <w:t xml:space="preserve">Jain, K. K. (2005). Knowledge sharing–role of human resource management. </w:t>
      </w:r>
      <w:r>
        <w:rPr>
          <w:i/>
          <w:iCs/>
        </w:rPr>
        <w:t>Indian Journal of training and Development</w:t>
      </w:r>
      <w:r>
        <w:t xml:space="preserve">, </w:t>
      </w:r>
      <w:r>
        <w:rPr>
          <w:i/>
          <w:iCs/>
        </w:rPr>
        <w:t>35</w:t>
      </w:r>
      <w:r>
        <w:t>(4), 5-18.</w:t>
      </w:r>
    </w:p>
    <w:p w14:paraId="122D5AD5" w14:textId="0437192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Jiang, K., Lepak, D. P., Han, K., Hong, Y., Kim, A., &amp; Winkler, A.-L. (2012). Clarifying the construct of human resource systems: </w:t>
      </w:r>
      <w:r w:rsidR="004B5FB8">
        <w:rPr>
          <w:rFonts w:cs="Times New Roman"/>
          <w:noProof/>
          <w:szCs w:val="24"/>
        </w:rPr>
        <w:t>r</w:t>
      </w:r>
      <w:r w:rsidRPr="002A7627">
        <w:rPr>
          <w:rFonts w:cs="Times New Roman"/>
          <w:noProof/>
          <w:szCs w:val="24"/>
        </w:rPr>
        <w:t xml:space="preserve">elating human resource management to employee performance. </w:t>
      </w:r>
      <w:r w:rsidRPr="002A7627">
        <w:rPr>
          <w:rFonts w:cs="Times New Roman"/>
          <w:i/>
          <w:iCs/>
          <w:noProof/>
          <w:szCs w:val="24"/>
        </w:rPr>
        <w:t>Human Resource Management Review</w:t>
      </w:r>
      <w:r w:rsidRPr="002A7627">
        <w:rPr>
          <w:rFonts w:cs="Times New Roman"/>
          <w:noProof/>
          <w:szCs w:val="24"/>
        </w:rPr>
        <w:t xml:space="preserve">, </w:t>
      </w:r>
      <w:r w:rsidRPr="002A7627">
        <w:rPr>
          <w:rFonts w:cs="Times New Roman"/>
          <w:i/>
          <w:iCs/>
          <w:noProof/>
          <w:szCs w:val="24"/>
        </w:rPr>
        <w:t>22</w:t>
      </w:r>
      <w:r w:rsidRPr="002A7627">
        <w:rPr>
          <w:rFonts w:cs="Times New Roman"/>
          <w:noProof/>
          <w:szCs w:val="24"/>
        </w:rPr>
        <w:t>(2), 73–85. https://doi.org/10.1016/j.hrmr.2011.11.005</w:t>
      </w:r>
    </w:p>
    <w:p w14:paraId="710259C5"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Jiang, K., Lepak, D. P., Hu, J., &amp; Baer, J. C. (2012). How does human resource management influence organizational outcomes? A meta-analytic investigation of mediating mechanisms. </w:t>
      </w:r>
      <w:r w:rsidRPr="002A7627">
        <w:rPr>
          <w:rFonts w:cs="Times New Roman"/>
          <w:i/>
          <w:iCs/>
          <w:noProof/>
          <w:szCs w:val="24"/>
        </w:rPr>
        <w:t>Academy of Management Journal</w:t>
      </w:r>
      <w:r w:rsidRPr="002A7627">
        <w:rPr>
          <w:rFonts w:cs="Times New Roman"/>
          <w:noProof/>
          <w:szCs w:val="24"/>
        </w:rPr>
        <w:t xml:space="preserve">, </w:t>
      </w:r>
      <w:r w:rsidRPr="002A7627">
        <w:rPr>
          <w:rFonts w:cs="Times New Roman"/>
          <w:i/>
          <w:iCs/>
          <w:noProof/>
          <w:szCs w:val="24"/>
        </w:rPr>
        <w:t>55</w:t>
      </w:r>
      <w:r w:rsidRPr="002A7627">
        <w:rPr>
          <w:rFonts w:cs="Times New Roman"/>
          <w:noProof/>
          <w:szCs w:val="24"/>
        </w:rPr>
        <w:t>(6), 1264–1294.</w:t>
      </w:r>
    </w:p>
    <w:p w14:paraId="023AC3D8" w14:textId="74C06098"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Jimenez</w:t>
      </w:r>
      <w:r w:rsidR="006A70F4">
        <w:rPr>
          <w:rFonts w:cs="Times New Roman"/>
          <w:noProof/>
          <w:szCs w:val="24"/>
        </w:rPr>
        <w:t>-</w:t>
      </w:r>
      <w:r w:rsidRPr="002A7627">
        <w:rPr>
          <w:rFonts w:cs="Times New Roman"/>
          <w:noProof/>
          <w:szCs w:val="24"/>
        </w:rPr>
        <w:t>Jimenez, D., &amp; Sanz</w:t>
      </w:r>
      <w:r w:rsidR="006A70F4">
        <w:rPr>
          <w:rFonts w:cs="Times New Roman"/>
          <w:noProof/>
          <w:szCs w:val="24"/>
        </w:rPr>
        <w:t>-</w:t>
      </w:r>
      <w:r w:rsidRPr="002A7627">
        <w:rPr>
          <w:rFonts w:cs="Times New Roman"/>
          <w:noProof/>
          <w:szCs w:val="24"/>
        </w:rPr>
        <w:t xml:space="preserve">Valle, R. (2012). Studying the effect of HRM practices on the knowledge management process. </w:t>
      </w:r>
      <w:r w:rsidRPr="002A7627">
        <w:rPr>
          <w:rFonts w:cs="Times New Roman"/>
          <w:i/>
          <w:iCs/>
          <w:noProof/>
          <w:szCs w:val="24"/>
        </w:rPr>
        <w:t>Personnel Review</w:t>
      </w:r>
      <w:r w:rsidRPr="002A7627">
        <w:rPr>
          <w:rFonts w:cs="Times New Roman"/>
          <w:noProof/>
          <w:szCs w:val="24"/>
        </w:rPr>
        <w:t xml:space="preserve">, </w:t>
      </w:r>
      <w:r w:rsidRPr="002A7627">
        <w:rPr>
          <w:rFonts w:cs="Times New Roman"/>
          <w:i/>
          <w:iCs/>
          <w:noProof/>
          <w:szCs w:val="24"/>
        </w:rPr>
        <w:t>42</w:t>
      </w:r>
      <w:r w:rsidRPr="002A7627">
        <w:rPr>
          <w:rFonts w:cs="Times New Roman"/>
          <w:noProof/>
          <w:szCs w:val="24"/>
        </w:rPr>
        <w:t>(1), 28–49. https://doi.org/10.1108/00483481311285219</w:t>
      </w:r>
    </w:p>
    <w:p w14:paraId="2377F0E4" w14:textId="156FAFFE"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Johannessen, J</w:t>
      </w:r>
      <w:r w:rsidR="006A70F4">
        <w:rPr>
          <w:rFonts w:cs="Times New Roman"/>
          <w:noProof/>
          <w:szCs w:val="24"/>
        </w:rPr>
        <w:t>.</w:t>
      </w:r>
      <w:r w:rsidRPr="002A7627">
        <w:rPr>
          <w:rFonts w:cs="Times New Roman"/>
          <w:noProof/>
          <w:szCs w:val="24"/>
        </w:rPr>
        <w:t xml:space="preserve">-A. (2018). Knowledge management and organizational learning. In J.-A. Johannessen (Ed.), </w:t>
      </w:r>
      <w:r w:rsidRPr="002A7627">
        <w:rPr>
          <w:rFonts w:cs="Times New Roman"/>
          <w:i/>
          <w:iCs/>
          <w:noProof/>
          <w:szCs w:val="24"/>
        </w:rPr>
        <w:t>Knowledge Management as a Strategic Asset</w:t>
      </w:r>
      <w:r w:rsidRPr="002A7627">
        <w:rPr>
          <w:rFonts w:cs="Times New Roman"/>
          <w:noProof/>
          <w:szCs w:val="24"/>
        </w:rPr>
        <w:t xml:space="preserve"> (pp. 95–111). London, UK: Emerald.</w:t>
      </w:r>
    </w:p>
    <w:p w14:paraId="4B610FE1"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Johnson, P., &amp; Clark, M. (2014). </w:t>
      </w:r>
      <w:r w:rsidRPr="002A7627">
        <w:rPr>
          <w:rFonts w:cs="Times New Roman"/>
          <w:i/>
          <w:iCs/>
          <w:noProof/>
          <w:szCs w:val="24"/>
        </w:rPr>
        <w:t>Business and management research methodologies</w:t>
      </w:r>
      <w:r w:rsidRPr="002A7627">
        <w:rPr>
          <w:rFonts w:cs="Times New Roman"/>
          <w:noProof/>
          <w:szCs w:val="24"/>
        </w:rPr>
        <w:t>. London, UK: SAGE.</w:t>
      </w:r>
    </w:p>
    <w:p w14:paraId="65AB0C4B" w14:textId="78BF552C"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Johnson, R. B., &amp; Onwuegbuzie, A. J. (2004). Mixed methods research: </w:t>
      </w:r>
      <w:r w:rsidR="004B5FB8">
        <w:rPr>
          <w:rFonts w:cs="Times New Roman"/>
          <w:noProof/>
          <w:szCs w:val="24"/>
        </w:rPr>
        <w:t>a</w:t>
      </w:r>
      <w:r w:rsidR="004B5FB8" w:rsidRPr="002A7627">
        <w:rPr>
          <w:rFonts w:cs="Times New Roman"/>
          <w:noProof/>
          <w:szCs w:val="24"/>
        </w:rPr>
        <w:t xml:space="preserve"> </w:t>
      </w:r>
      <w:r w:rsidRPr="002A7627">
        <w:rPr>
          <w:rFonts w:cs="Times New Roman"/>
          <w:noProof/>
          <w:szCs w:val="24"/>
        </w:rPr>
        <w:t xml:space="preserve">research paradigm whose time has come. </w:t>
      </w:r>
      <w:r w:rsidRPr="002A7627">
        <w:rPr>
          <w:rFonts w:cs="Times New Roman"/>
          <w:i/>
          <w:iCs/>
          <w:noProof/>
          <w:szCs w:val="24"/>
        </w:rPr>
        <w:t>Educational Researcher</w:t>
      </w:r>
      <w:r w:rsidRPr="002A7627">
        <w:rPr>
          <w:rFonts w:cs="Times New Roman"/>
          <w:noProof/>
          <w:szCs w:val="24"/>
        </w:rPr>
        <w:t xml:space="preserve">, </w:t>
      </w:r>
      <w:r w:rsidRPr="002A7627">
        <w:rPr>
          <w:rFonts w:cs="Times New Roman"/>
          <w:i/>
          <w:iCs/>
          <w:noProof/>
          <w:szCs w:val="24"/>
        </w:rPr>
        <w:t>33</w:t>
      </w:r>
      <w:r w:rsidRPr="002A7627">
        <w:rPr>
          <w:rFonts w:cs="Times New Roman"/>
          <w:noProof/>
          <w:szCs w:val="24"/>
        </w:rPr>
        <w:t>(7), 14–26. https://doi.org/10.3102/0013189X033007014</w:t>
      </w:r>
    </w:p>
    <w:p w14:paraId="6E03861D"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Jones, N. B., &amp; Mahon, J. F. (2012). Nimble knowledge transfer in high velocity/turbulent environments.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16</w:t>
      </w:r>
      <w:r w:rsidRPr="002A7627">
        <w:rPr>
          <w:rFonts w:cs="Times New Roman"/>
          <w:noProof/>
          <w:szCs w:val="24"/>
        </w:rPr>
        <w:t>(5), 774–788. https://doi.org/10.1108/13673271211262808</w:t>
      </w:r>
    </w:p>
    <w:p w14:paraId="183D03D1"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Jöreskog, K. G. (1971). Statistical analysis of sets of congeneric tests. </w:t>
      </w:r>
      <w:r w:rsidRPr="002A7627">
        <w:rPr>
          <w:rFonts w:cs="Times New Roman"/>
          <w:i/>
          <w:iCs/>
          <w:noProof/>
          <w:szCs w:val="24"/>
        </w:rPr>
        <w:t>Psychometrika</w:t>
      </w:r>
      <w:r w:rsidRPr="002A7627">
        <w:rPr>
          <w:rFonts w:cs="Times New Roman"/>
          <w:noProof/>
          <w:szCs w:val="24"/>
        </w:rPr>
        <w:t xml:space="preserve">, </w:t>
      </w:r>
      <w:r w:rsidRPr="002A7627">
        <w:rPr>
          <w:rFonts w:cs="Times New Roman"/>
          <w:i/>
          <w:iCs/>
          <w:noProof/>
          <w:szCs w:val="24"/>
        </w:rPr>
        <w:t>36</w:t>
      </w:r>
      <w:r w:rsidRPr="002A7627">
        <w:rPr>
          <w:rFonts w:cs="Times New Roman"/>
          <w:noProof/>
          <w:szCs w:val="24"/>
        </w:rPr>
        <w:t>(2), 109–133.</w:t>
      </w:r>
    </w:p>
    <w:p w14:paraId="77C8375F" w14:textId="5F337823"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Joshi, K. D., Chi, L., Datta, A., &amp; Han, S. (2010). Changing the competitive landscape: </w:t>
      </w:r>
      <w:r w:rsidR="006A70F4">
        <w:rPr>
          <w:rFonts w:cs="Times New Roman"/>
          <w:noProof/>
          <w:szCs w:val="24"/>
        </w:rPr>
        <w:t>c</w:t>
      </w:r>
      <w:r w:rsidRPr="002A7627">
        <w:rPr>
          <w:rFonts w:cs="Times New Roman"/>
          <w:noProof/>
          <w:szCs w:val="24"/>
        </w:rPr>
        <w:t xml:space="preserve">ontinuous innovation through IT-enabled knowledge capabilities. </w:t>
      </w:r>
      <w:r w:rsidRPr="002A7627">
        <w:rPr>
          <w:rFonts w:cs="Times New Roman"/>
          <w:i/>
          <w:iCs/>
          <w:noProof/>
          <w:szCs w:val="24"/>
        </w:rPr>
        <w:t>Information Systems Research</w:t>
      </w:r>
      <w:r w:rsidRPr="002A7627">
        <w:rPr>
          <w:rFonts w:cs="Times New Roman"/>
          <w:noProof/>
          <w:szCs w:val="24"/>
        </w:rPr>
        <w:t xml:space="preserve">, </w:t>
      </w:r>
      <w:r w:rsidRPr="002A7627">
        <w:rPr>
          <w:rFonts w:cs="Times New Roman"/>
          <w:i/>
          <w:iCs/>
          <w:noProof/>
          <w:szCs w:val="24"/>
        </w:rPr>
        <w:t>21</w:t>
      </w:r>
      <w:r w:rsidRPr="002A7627">
        <w:rPr>
          <w:rFonts w:cs="Times New Roman"/>
          <w:noProof/>
          <w:szCs w:val="24"/>
        </w:rPr>
        <w:t>(3), 472–495. https://doi.org/10.1287/isre.1100.0298</w:t>
      </w:r>
    </w:p>
    <w:p w14:paraId="57013E88" w14:textId="5494B9FE"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Kahle, L. R., &amp; Malhotra, N. K. (1994). Marketing research: </w:t>
      </w:r>
      <w:r w:rsidR="006A70F4">
        <w:rPr>
          <w:rFonts w:cs="Times New Roman"/>
          <w:noProof/>
          <w:szCs w:val="24"/>
        </w:rPr>
        <w:t>a</w:t>
      </w:r>
      <w:r w:rsidRPr="002A7627">
        <w:rPr>
          <w:rFonts w:cs="Times New Roman"/>
          <w:noProof/>
          <w:szCs w:val="24"/>
        </w:rPr>
        <w:t xml:space="preserve">n applied orientation. </w:t>
      </w:r>
      <w:r w:rsidRPr="002A7627">
        <w:rPr>
          <w:rFonts w:cs="Times New Roman"/>
          <w:i/>
          <w:iCs/>
          <w:noProof/>
          <w:szCs w:val="24"/>
        </w:rPr>
        <w:t>Journal of Marketing Research</w:t>
      </w:r>
      <w:r w:rsidRPr="002A7627">
        <w:rPr>
          <w:rFonts w:cs="Times New Roman"/>
          <w:noProof/>
          <w:szCs w:val="24"/>
        </w:rPr>
        <w:t xml:space="preserve">, </w:t>
      </w:r>
      <w:r w:rsidRPr="002A7627">
        <w:rPr>
          <w:rFonts w:cs="Times New Roman"/>
          <w:i/>
          <w:iCs/>
          <w:noProof/>
          <w:szCs w:val="24"/>
        </w:rPr>
        <w:t>31</w:t>
      </w:r>
      <w:r w:rsidRPr="002A7627">
        <w:rPr>
          <w:rFonts w:cs="Times New Roman"/>
          <w:noProof/>
          <w:szCs w:val="24"/>
        </w:rPr>
        <w:t>(1), 137. https://doi.org/10.2307/3151953</w:t>
      </w:r>
    </w:p>
    <w:p w14:paraId="65C8CD88" w14:textId="68B038F6"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Kalmuk, G., &amp; Acar, A. Z. (2015). The mediating role of organizational learning capability on the relationship between innovation and firm’s performance: </w:t>
      </w:r>
      <w:r w:rsidR="004B5FB8">
        <w:rPr>
          <w:rFonts w:cs="Times New Roman"/>
          <w:noProof/>
          <w:szCs w:val="24"/>
        </w:rPr>
        <w:t>a</w:t>
      </w:r>
      <w:r w:rsidRPr="002A7627">
        <w:rPr>
          <w:rFonts w:cs="Times New Roman"/>
          <w:noProof/>
          <w:szCs w:val="24"/>
        </w:rPr>
        <w:t xml:space="preserve"> conceptual framework. </w:t>
      </w:r>
      <w:r w:rsidRPr="002A7627">
        <w:rPr>
          <w:rFonts w:cs="Times New Roman"/>
          <w:i/>
          <w:iCs/>
          <w:noProof/>
          <w:szCs w:val="24"/>
        </w:rPr>
        <w:t>Procedia - Social and Behavioral Sciences</w:t>
      </w:r>
      <w:r w:rsidRPr="002A7627">
        <w:rPr>
          <w:rFonts w:cs="Times New Roman"/>
          <w:noProof/>
          <w:szCs w:val="24"/>
        </w:rPr>
        <w:t xml:space="preserve">, </w:t>
      </w:r>
      <w:r w:rsidRPr="002A7627">
        <w:rPr>
          <w:rFonts w:cs="Times New Roman"/>
          <w:i/>
          <w:iCs/>
          <w:noProof/>
          <w:szCs w:val="24"/>
        </w:rPr>
        <w:t>210</w:t>
      </w:r>
      <w:r w:rsidRPr="002A7627">
        <w:rPr>
          <w:rFonts w:cs="Times New Roman"/>
          <w:noProof/>
          <w:szCs w:val="24"/>
        </w:rPr>
        <w:t>, 164–169. https://doi.org/10.1016/j.sbspro.2015.11.355</w:t>
      </w:r>
    </w:p>
    <w:p w14:paraId="6381CA59" w14:textId="4B86209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Kamhawi, E. M. (2012). Knowledge management fishbone: </w:t>
      </w:r>
      <w:r w:rsidR="004B5FB8">
        <w:rPr>
          <w:rFonts w:cs="Times New Roman"/>
          <w:noProof/>
          <w:szCs w:val="24"/>
        </w:rPr>
        <w:t>a</w:t>
      </w:r>
      <w:r w:rsidRPr="002A7627">
        <w:rPr>
          <w:rFonts w:cs="Times New Roman"/>
          <w:noProof/>
          <w:szCs w:val="24"/>
        </w:rPr>
        <w:t xml:space="preserve"> standard framework of organizational enablers.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16</w:t>
      </w:r>
      <w:r w:rsidRPr="002A7627">
        <w:rPr>
          <w:rFonts w:cs="Times New Roman"/>
          <w:noProof/>
          <w:szCs w:val="24"/>
        </w:rPr>
        <w:t>(5), 808–828. https://doi.org/10.1108/13673271211262826</w:t>
      </w:r>
    </w:p>
    <w:p w14:paraId="053CA069"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Kamoche, K., &amp; Mueller, F. (1998). Human resource management and the appropriation-learning perspective. </w:t>
      </w:r>
      <w:r w:rsidRPr="002A7627">
        <w:rPr>
          <w:rFonts w:cs="Times New Roman"/>
          <w:i/>
          <w:iCs/>
          <w:noProof/>
          <w:szCs w:val="24"/>
        </w:rPr>
        <w:t>Human Relations</w:t>
      </w:r>
      <w:r w:rsidRPr="002A7627">
        <w:rPr>
          <w:rFonts w:cs="Times New Roman"/>
          <w:noProof/>
          <w:szCs w:val="24"/>
        </w:rPr>
        <w:t xml:space="preserve">, </w:t>
      </w:r>
      <w:r w:rsidRPr="002A7627">
        <w:rPr>
          <w:rFonts w:cs="Times New Roman"/>
          <w:i/>
          <w:iCs/>
          <w:noProof/>
          <w:szCs w:val="24"/>
        </w:rPr>
        <w:t>51</w:t>
      </w:r>
      <w:r w:rsidRPr="002A7627">
        <w:rPr>
          <w:rFonts w:cs="Times New Roman"/>
          <w:noProof/>
          <w:szCs w:val="24"/>
        </w:rPr>
        <w:t>(8), 1033–1060. https://doi.org/10.1177/001872679805100803</w:t>
      </w:r>
    </w:p>
    <w:p w14:paraId="01E29B17" w14:textId="739D17EB"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Kane, G. C., &amp; Alavi, M. (2007). Information technology and organizational learning: </w:t>
      </w:r>
      <w:r w:rsidR="004B5FB8">
        <w:rPr>
          <w:rFonts w:cs="Times New Roman"/>
          <w:noProof/>
          <w:szCs w:val="24"/>
        </w:rPr>
        <w:t>a</w:t>
      </w:r>
      <w:r w:rsidRPr="002A7627">
        <w:rPr>
          <w:rFonts w:cs="Times New Roman"/>
          <w:noProof/>
          <w:szCs w:val="24"/>
        </w:rPr>
        <w:t xml:space="preserve">n investigation of exploration and exploitation processes. </w:t>
      </w:r>
      <w:r w:rsidRPr="002A7627">
        <w:rPr>
          <w:rFonts w:cs="Times New Roman"/>
          <w:i/>
          <w:iCs/>
          <w:noProof/>
          <w:szCs w:val="24"/>
        </w:rPr>
        <w:t>Organization Science</w:t>
      </w:r>
      <w:r w:rsidRPr="002A7627">
        <w:rPr>
          <w:rFonts w:cs="Times New Roman"/>
          <w:noProof/>
          <w:szCs w:val="24"/>
        </w:rPr>
        <w:t xml:space="preserve">, </w:t>
      </w:r>
      <w:r w:rsidRPr="002A7627">
        <w:rPr>
          <w:rFonts w:cs="Times New Roman"/>
          <w:i/>
          <w:iCs/>
          <w:noProof/>
          <w:szCs w:val="24"/>
        </w:rPr>
        <w:t>18</w:t>
      </w:r>
      <w:r w:rsidRPr="002A7627">
        <w:rPr>
          <w:rFonts w:cs="Times New Roman"/>
          <w:noProof/>
          <w:szCs w:val="24"/>
        </w:rPr>
        <w:t>(5), 796–812. https://doi.org/10.1287/orsc.1070.0286</w:t>
      </w:r>
    </w:p>
    <w:p w14:paraId="6D6464A5" w14:textId="0199B5C5" w:rsidR="00CD0B2F" w:rsidRDefault="00CD0B2F" w:rsidP="002A7627">
      <w:pPr>
        <w:spacing w:line="480" w:lineRule="auto"/>
        <w:ind w:left="480" w:hanging="480"/>
        <w:jc w:val="both"/>
        <w:rPr>
          <w:rFonts w:cs="Times New Roman"/>
          <w:noProof/>
          <w:szCs w:val="24"/>
        </w:rPr>
      </w:pPr>
      <w:r w:rsidRPr="002A7627">
        <w:rPr>
          <w:rFonts w:cs="Times New Roman"/>
          <w:noProof/>
          <w:szCs w:val="24"/>
        </w:rPr>
        <w:t xml:space="preserve">Kankanhalli, </w:t>
      </w:r>
      <w:r w:rsidR="006A70F4">
        <w:rPr>
          <w:rFonts w:cs="Times New Roman"/>
          <w:noProof/>
          <w:szCs w:val="24"/>
        </w:rPr>
        <w:t xml:space="preserve">A., </w:t>
      </w:r>
      <w:r w:rsidRPr="002A7627">
        <w:rPr>
          <w:rFonts w:cs="Times New Roman"/>
          <w:noProof/>
          <w:szCs w:val="24"/>
        </w:rPr>
        <w:t xml:space="preserve">Tan, </w:t>
      </w:r>
      <w:r w:rsidR="006A70F4">
        <w:rPr>
          <w:rFonts w:cs="Times New Roman"/>
          <w:noProof/>
          <w:szCs w:val="24"/>
        </w:rPr>
        <w:t xml:space="preserve">B. C., </w:t>
      </w:r>
      <w:r w:rsidRPr="002A7627">
        <w:rPr>
          <w:rFonts w:cs="Times New Roman"/>
          <w:noProof/>
          <w:szCs w:val="24"/>
        </w:rPr>
        <w:t>&amp; Wei</w:t>
      </w:r>
      <w:r w:rsidR="006A70F4">
        <w:rPr>
          <w:rFonts w:cs="Times New Roman"/>
          <w:noProof/>
          <w:szCs w:val="24"/>
        </w:rPr>
        <w:t>, K. K</w:t>
      </w:r>
      <w:r w:rsidRPr="002A7627">
        <w:rPr>
          <w:rFonts w:cs="Times New Roman"/>
          <w:noProof/>
          <w:szCs w:val="24"/>
        </w:rPr>
        <w:t xml:space="preserve">. (2017). Contributing knowledge to electronic knowledge repositories: </w:t>
      </w:r>
      <w:r w:rsidR="004B5FB8">
        <w:rPr>
          <w:rFonts w:cs="Times New Roman"/>
          <w:noProof/>
          <w:szCs w:val="24"/>
        </w:rPr>
        <w:t>a</w:t>
      </w:r>
      <w:r w:rsidRPr="002A7627">
        <w:rPr>
          <w:rFonts w:cs="Times New Roman"/>
          <w:noProof/>
          <w:szCs w:val="24"/>
        </w:rPr>
        <w:t xml:space="preserve">n empirical investigation. </w:t>
      </w:r>
      <w:r w:rsidRPr="002A7627">
        <w:rPr>
          <w:rFonts w:cs="Times New Roman"/>
          <w:i/>
          <w:iCs/>
          <w:noProof/>
          <w:szCs w:val="24"/>
        </w:rPr>
        <w:t>MIS Quarterly</w:t>
      </w:r>
      <w:r w:rsidRPr="002A7627">
        <w:rPr>
          <w:rFonts w:cs="Times New Roman"/>
          <w:noProof/>
          <w:szCs w:val="24"/>
        </w:rPr>
        <w:t xml:space="preserve">, </w:t>
      </w:r>
      <w:r w:rsidRPr="002A7627">
        <w:rPr>
          <w:rFonts w:cs="Times New Roman"/>
          <w:i/>
          <w:iCs/>
          <w:noProof/>
          <w:szCs w:val="24"/>
        </w:rPr>
        <w:t>29</w:t>
      </w:r>
      <w:r w:rsidRPr="002A7627">
        <w:rPr>
          <w:rFonts w:cs="Times New Roman"/>
          <w:noProof/>
          <w:szCs w:val="24"/>
        </w:rPr>
        <w:t>(1), 113. https://doi.org/10.2307/25148670</w:t>
      </w:r>
    </w:p>
    <w:p w14:paraId="00DF0A4E" w14:textId="5DE32963" w:rsidR="00E95CE8" w:rsidRPr="00E95CE8" w:rsidRDefault="00E95CE8" w:rsidP="00E95CE8">
      <w:pPr>
        <w:widowControl/>
        <w:autoSpaceDE/>
        <w:autoSpaceDN/>
        <w:adjustRightInd/>
        <w:spacing w:line="480" w:lineRule="auto"/>
        <w:ind w:left="540" w:hanging="540"/>
        <w:rPr>
          <w:rFonts w:eastAsia="Times New Roman" w:cs="Times New Roman"/>
          <w:color w:val="auto"/>
          <w:szCs w:val="24"/>
          <w:lang w:val="en-GB" w:eastAsia="en-GB"/>
        </w:rPr>
      </w:pPr>
      <w:r w:rsidRPr="00E95CE8">
        <w:rPr>
          <w:rFonts w:eastAsia="Times New Roman" w:cs="Times New Roman"/>
          <w:color w:val="auto"/>
          <w:szCs w:val="24"/>
          <w:lang w:val="en-GB" w:eastAsia="en-GB"/>
        </w:rPr>
        <w:t xml:space="preserve">Karkoulian, S., Canaan Messarra, L., &amp; McCarthy, R. (2013). The intriguing art of knowledge management and its relation to learning organizations. </w:t>
      </w:r>
      <w:r w:rsidRPr="00E95CE8">
        <w:rPr>
          <w:rFonts w:eastAsia="Times New Roman" w:cs="Times New Roman"/>
          <w:i/>
          <w:iCs/>
          <w:color w:val="auto"/>
          <w:szCs w:val="24"/>
          <w:lang w:val="en-GB" w:eastAsia="en-GB"/>
        </w:rPr>
        <w:t>Journal of Knowledge Management</w:t>
      </w:r>
      <w:r w:rsidRPr="00E95CE8">
        <w:rPr>
          <w:rFonts w:eastAsia="Times New Roman" w:cs="Times New Roman"/>
          <w:color w:val="auto"/>
          <w:szCs w:val="24"/>
          <w:lang w:val="en-GB" w:eastAsia="en-GB"/>
        </w:rPr>
        <w:t xml:space="preserve">, </w:t>
      </w:r>
      <w:r w:rsidRPr="00E95CE8">
        <w:rPr>
          <w:rFonts w:eastAsia="Times New Roman" w:cs="Times New Roman"/>
          <w:i/>
          <w:iCs/>
          <w:color w:val="auto"/>
          <w:szCs w:val="24"/>
          <w:lang w:val="en-GB" w:eastAsia="en-GB"/>
        </w:rPr>
        <w:t>17</w:t>
      </w:r>
      <w:r w:rsidRPr="00E95CE8">
        <w:rPr>
          <w:rFonts w:eastAsia="Times New Roman" w:cs="Times New Roman"/>
          <w:color w:val="auto"/>
          <w:szCs w:val="24"/>
          <w:lang w:val="en-GB" w:eastAsia="en-GB"/>
        </w:rPr>
        <w:t>(4), 511-526.</w:t>
      </w:r>
    </w:p>
    <w:p w14:paraId="3F75FCFD" w14:textId="33CB1985"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Kasemsap, K. (2016). The roles of knowledge management and organizational innovation in global business. In </w:t>
      </w:r>
      <w:r w:rsidRPr="002A7627">
        <w:rPr>
          <w:rFonts w:cs="Times New Roman"/>
          <w:i/>
          <w:iCs/>
          <w:noProof/>
          <w:szCs w:val="24"/>
        </w:rPr>
        <w:t xml:space="preserve">Civil and </w:t>
      </w:r>
      <w:r w:rsidR="006A70F4">
        <w:rPr>
          <w:rFonts w:cs="Times New Roman"/>
          <w:i/>
          <w:iCs/>
          <w:noProof/>
          <w:szCs w:val="24"/>
        </w:rPr>
        <w:t>E</w:t>
      </w:r>
      <w:r w:rsidRPr="002A7627">
        <w:rPr>
          <w:rFonts w:cs="Times New Roman"/>
          <w:i/>
          <w:iCs/>
          <w:noProof/>
          <w:szCs w:val="24"/>
        </w:rPr>
        <w:t xml:space="preserve">nvironmental </w:t>
      </w:r>
      <w:r w:rsidR="006A70F4">
        <w:rPr>
          <w:rFonts w:cs="Times New Roman"/>
          <w:i/>
          <w:iCs/>
          <w:noProof/>
          <w:szCs w:val="24"/>
        </w:rPr>
        <w:t>E</w:t>
      </w:r>
      <w:r w:rsidRPr="002A7627">
        <w:rPr>
          <w:rFonts w:cs="Times New Roman"/>
          <w:i/>
          <w:iCs/>
          <w:noProof/>
          <w:szCs w:val="24"/>
        </w:rPr>
        <w:t>ngineering</w:t>
      </w:r>
      <w:r w:rsidRPr="002A7627">
        <w:rPr>
          <w:rFonts w:cs="Times New Roman"/>
          <w:noProof/>
          <w:szCs w:val="24"/>
        </w:rPr>
        <w:t xml:space="preserve"> (pp. 1156–1180). London, UK: IGI Global. https://doi.org/10.4018/978-1-4666-9619-8.ch052</w:t>
      </w:r>
    </w:p>
    <w:p w14:paraId="2C7747CF"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Kehoe, R. R., &amp; Collins, C. J. (2017). Human resource management and unit performance in knowledge-intensive work. </w:t>
      </w:r>
      <w:r w:rsidRPr="002A7627">
        <w:rPr>
          <w:rFonts w:cs="Times New Roman"/>
          <w:i/>
          <w:iCs/>
          <w:noProof/>
          <w:szCs w:val="24"/>
        </w:rPr>
        <w:t>Journal of Applied Psychology</w:t>
      </w:r>
      <w:r w:rsidRPr="002A7627">
        <w:rPr>
          <w:rFonts w:cs="Times New Roman"/>
          <w:noProof/>
          <w:szCs w:val="24"/>
        </w:rPr>
        <w:t xml:space="preserve">, </w:t>
      </w:r>
      <w:r w:rsidRPr="002A7627">
        <w:rPr>
          <w:rFonts w:cs="Times New Roman"/>
          <w:i/>
          <w:iCs/>
          <w:noProof/>
          <w:szCs w:val="24"/>
        </w:rPr>
        <w:t>102</w:t>
      </w:r>
      <w:r w:rsidRPr="002A7627">
        <w:rPr>
          <w:rFonts w:cs="Times New Roman"/>
          <w:noProof/>
          <w:szCs w:val="24"/>
        </w:rPr>
        <w:t>(8), 1222–1236. https://doi.org/10.1037/apl0000216</w:t>
      </w:r>
    </w:p>
    <w:p w14:paraId="770A9821"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Kianto, A., Andreeva, T., &amp; Shi, X. (2011). Knowledge management across the globe – an international survey of KM awareness, spending, practices and performance. In F. Lehner &amp; K. Bredl (Eds.), </w:t>
      </w:r>
      <w:r w:rsidRPr="002A7627">
        <w:rPr>
          <w:rFonts w:cs="Times New Roman"/>
          <w:i/>
          <w:iCs/>
          <w:noProof/>
          <w:szCs w:val="24"/>
        </w:rPr>
        <w:t>12th European Conference on Knowledge Management</w:t>
      </w:r>
      <w:r w:rsidRPr="002A7627">
        <w:rPr>
          <w:rFonts w:cs="Times New Roman"/>
          <w:noProof/>
          <w:szCs w:val="24"/>
        </w:rPr>
        <w:t xml:space="preserve"> (pp. 2–3). Passau, Germany: Reading Academic Publishing.</w:t>
      </w:r>
    </w:p>
    <w:p w14:paraId="6C7B1236" w14:textId="119EE121"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Kim, S. (2003). Research paradigms in organizational learning and performance: </w:t>
      </w:r>
      <w:r w:rsidR="004B5FB8">
        <w:rPr>
          <w:rFonts w:cs="Times New Roman"/>
          <w:noProof/>
          <w:szCs w:val="24"/>
        </w:rPr>
        <w:t>c</w:t>
      </w:r>
      <w:r w:rsidRPr="002A7627">
        <w:rPr>
          <w:rFonts w:cs="Times New Roman"/>
          <w:noProof/>
          <w:szCs w:val="24"/>
        </w:rPr>
        <w:t xml:space="preserve">ompeting modes of inquiry. </w:t>
      </w:r>
      <w:r w:rsidRPr="002A7627">
        <w:rPr>
          <w:rFonts w:cs="Times New Roman"/>
          <w:i/>
          <w:iCs/>
          <w:noProof/>
          <w:szCs w:val="24"/>
        </w:rPr>
        <w:t>Information Technology, Learning, and Performance Journal</w:t>
      </w:r>
      <w:r w:rsidRPr="002A7627">
        <w:rPr>
          <w:rFonts w:cs="Times New Roman"/>
          <w:noProof/>
          <w:szCs w:val="24"/>
        </w:rPr>
        <w:t xml:space="preserve">, </w:t>
      </w:r>
      <w:r w:rsidRPr="002A7627">
        <w:rPr>
          <w:rFonts w:cs="Times New Roman"/>
          <w:i/>
          <w:iCs/>
          <w:noProof/>
          <w:szCs w:val="24"/>
        </w:rPr>
        <w:t>Spring 21</w:t>
      </w:r>
      <w:r w:rsidRPr="002A7627">
        <w:rPr>
          <w:rFonts w:cs="Times New Roman"/>
          <w:noProof/>
          <w:szCs w:val="24"/>
        </w:rPr>
        <w:t>(1), 9–18.</w:t>
      </w:r>
    </w:p>
    <w:p w14:paraId="487694EF" w14:textId="172F725A"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Kline, R. B. (2011). </w:t>
      </w:r>
      <w:r w:rsidRPr="002A7627">
        <w:rPr>
          <w:rFonts w:cs="Times New Roman"/>
          <w:i/>
          <w:iCs/>
          <w:noProof/>
          <w:szCs w:val="24"/>
        </w:rPr>
        <w:t>Principles and practice of structural equation modeling</w:t>
      </w:r>
      <w:r w:rsidRPr="002A7627">
        <w:rPr>
          <w:rFonts w:cs="Times New Roman"/>
          <w:noProof/>
          <w:szCs w:val="24"/>
        </w:rPr>
        <w:t xml:space="preserve">. New York, NY: Guilford </w:t>
      </w:r>
      <w:r w:rsidR="006A70F4">
        <w:rPr>
          <w:rFonts w:cs="Times New Roman"/>
          <w:noProof/>
          <w:szCs w:val="24"/>
        </w:rPr>
        <w:t>P</w:t>
      </w:r>
      <w:r w:rsidRPr="002A7627">
        <w:rPr>
          <w:rFonts w:cs="Times New Roman"/>
          <w:noProof/>
          <w:szCs w:val="24"/>
        </w:rPr>
        <w:t>ress.</w:t>
      </w:r>
    </w:p>
    <w:p w14:paraId="083C5D49" w14:textId="1242A57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Ko, D.-G., &amp; Dennis, A. R. (2011). Profiting from knowledge management: </w:t>
      </w:r>
      <w:r w:rsidR="004B5FB8">
        <w:rPr>
          <w:rFonts w:cs="Times New Roman"/>
          <w:noProof/>
          <w:szCs w:val="24"/>
        </w:rPr>
        <w:t>t</w:t>
      </w:r>
      <w:r w:rsidRPr="002A7627">
        <w:rPr>
          <w:rFonts w:cs="Times New Roman"/>
          <w:noProof/>
          <w:szCs w:val="24"/>
        </w:rPr>
        <w:t xml:space="preserve">he impact of time and experience. </w:t>
      </w:r>
      <w:r w:rsidRPr="002A7627">
        <w:rPr>
          <w:rFonts w:cs="Times New Roman"/>
          <w:i/>
          <w:iCs/>
          <w:noProof/>
          <w:szCs w:val="24"/>
        </w:rPr>
        <w:t>Information Systems Research</w:t>
      </w:r>
      <w:r w:rsidRPr="002A7627">
        <w:rPr>
          <w:rFonts w:cs="Times New Roman"/>
          <w:noProof/>
          <w:szCs w:val="24"/>
        </w:rPr>
        <w:t xml:space="preserve">, </w:t>
      </w:r>
      <w:r w:rsidRPr="002A7627">
        <w:rPr>
          <w:rFonts w:cs="Times New Roman"/>
          <w:i/>
          <w:iCs/>
          <w:noProof/>
          <w:szCs w:val="24"/>
        </w:rPr>
        <w:t>22</w:t>
      </w:r>
      <w:r w:rsidRPr="002A7627">
        <w:rPr>
          <w:rFonts w:cs="Times New Roman"/>
          <w:noProof/>
          <w:szCs w:val="24"/>
        </w:rPr>
        <w:t>(1), 134–152. https://doi.org/10.1287/isre.1090.0247</w:t>
      </w:r>
    </w:p>
    <w:p w14:paraId="0ED35F70" w14:textId="1572E433"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Koenig, </w:t>
      </w:r>
      <w:r w:rsidR="006A70F4">
        <w:rPr>
          <w:rFonts w:cs="Times New Roman"/>
          <w:noProof/>
          <w:szCs w:val="24"/>
        </w:rPr>
        <w:t xml:space="preserve">M. </w:t>
      </w:r>
      <w:r w:rsidRPr="002A7627">
        <w:rPr>
          <w:rFonts w:cs="Times New Roman"/>
          <w:noProof/>
          <w:szCs w:val="24"/>
        </w:rPr>
        <w:t xml:space="preserve">E. D., &amp; Srikantaiah, T. K. (2004). </w:t>
      </w:r>
      <w:r w:rsidRPr="002A7627">
        <w:rPr>
          <w:rFonts w:cs="Times New Roman"/>
          <w:i/>
          <w:iCs/>
          <w:noProof/>
          <w:szCs w:val="24"/>
        </w:rPr>
        <w:t>Knowledge management lessons learned: What works and what doesn’t</w:t>
      </w:r>
      <w:r w:rsidRPr="002A7627">
        <w:rPr>
          <w:rFonts w:cs="Times New Roman"/>
          <w:noProof/>
          <w:szCs w:val="24"/>
        </w:rPr>
        <w:t>. London, UK: Wiley.</w:t>
      </w:r>
    </w:p>
    <w:p w14:paraId="5E00FBB7" w14:textId="6D032494" w:rsidR="00CD0B2F" w:rsidRDefault="00CD0B2F" w:rsidP="002A7627">
      <w:pPr>
        <w:spacing w:line="480" w:lineRule="auto"/>
        <w:ind w:left="480" w:hanging="480"/>
        <w:jc w:val="both"/>
        <w:rPr>
          <w:rFonts w:cs="Times New Roman"/>
          <w:noProof/>
          <w:szCs w:val="24"/>
        </w:rPr>
      </w:pPr>
      <w:r w:rsidRPr="002A7627">
        <w:rPr>
          <w:rFonts w:cs="Times New Roman"/>
          <w:noProof/>
          <w:szCs w:val="24"/>
        </w:rPr>
        <w:t xml:space="preserve">Kohtamäki, M., Kraus, S., Mäkelä, M., &amp; Rönkkö, M. (2012). The role of personnel commitment to strategy implementation and </w:t>
      </w:r>
      <w:r w:rsidR="00C52075">
        <w:rPr>
          <w:rFonts w:cs="Times New Roman"/>
          <w:noProof/>
          <w:szCs w:val="24"/>
        </w:rPr>
        <w:t>organizational</w:t>
      </w:r>
      <w:r w:rsidRPr="002A7627">
        <w:rPr>
          <w:rFonts w:cs="Times New Roman"/>
          <w:noProof/>
          <w:szCs w:val="24"/>
        </w:rPr>
        <w:t xml:space="preserve"> learning within the relationship between strategic planning and company performance. </w:t>
      </w:r>
      <w:r w:rsidRPr="002A7627">
        <w:rPr>
          <w:rFonts w:cs="Times New Roman"/>
          <w:i/>
          <w:iCs/>
          <w:noProof/>
          <w:szCs w:val="24"/>
        </w:rPr>
        <w:t>International Journal of Entrepreneurial Behavior and Research</w:t>
      </w:r>
      <w:r w:rsidRPr="002A7627">
        <w:rPr>
          <w:rFonts w:cs="Times New Roman"/>
          <w:noProof/>
          <w:szCs w:val="24"/>
        </w:rPr>
        <w:t xml:space="preserve">, </w:t>
      </w:r>
      <w:r w:rsidRPr="002A7627">
        <w:rPr>
          <w:rFonts w:cs="Times New Roman"/>
          <w:i/>
          <w:iCs/>
          <w:noProof/>
          <w:szCs w:val="24"/>
        </w:rPr>
        <w:t>18</w:t>
      </w:r>
      <w:r w:rsidRPr="002A7627">
        <w:rPr>
          <w:rFonts w:cs="Times New Roman"/>
          <w:noProof/>
          <w:szCs w:val="24"/>
        </w:rPr>
        <w:t>(2), 159–178</w:t>
      </w:r>
      <w:r w:rsidRPr="004148D9">
        <w:rPr>
          <w:rFonts w:cs="Times New Roman"/>
          <w:noProof/>
          <w:color w:val="000000" w:themeColor="text1"/>
          <w:szCs w:val="24"/>
        </w:rPr>
        <w:t xml:space="preserve">. </w:t>
      </w:r>
      <w:hyperlink r:id="rId48" w:history="1">
        <w:r w:rsidR="00625C1A" w:rsidRPr="004148D9">
          <w:rPr>
            <w:rStyle w:val="Hyperlink"/>
            <w:rFonts w:cs="Times New Roman"/>
            <w:noProof/>
            <w:color w:val="000000" w:themeColor="text1"/>
            <w:szCs w:val="24"/>
          </w:rPr>
          <w:t>https://doi.org/10.1108/13552551211204201</w:t>
        </w:r>
      </w:hyperlink>
    </w:p>
    <w:p w14:paraId="66C585E0"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Krejcie, R. V., &amp; Morgan, D. W. (1970). Determining sample size for research activities. </w:t>
      </w:r>
      <w:r w:rsidRPr="002A7627">
        <w:rPr>
          <w:rFonts w:cs="Times New Roman"/>
          <w:i/>
          <w:iCs/>
          <w:noProof/>
          <w:szCs w:val="24"/>
        </w:rPr>
        <w:t>Educational and Psychological Measurement</w:t>
      </w:r>
      <w:r w:rsidRPr="002A7627">
        <w:rPr>
          <w:rFonts w:cs="Times New Roman"/>
          <w:noProof/>
          <w:szCs w:val="24"/>
        </w:rPr>
        <w:t xml:space="preserve">, </w:t>
      </w:r>
      <w:r w:rsidRPr="002A7627">
        <w:rPr>
          <w:rFonts w:cs="Times New Roman"/>
          <w:i/>
          <w:iCs/>
          <w:noProof/>
          <w:szCs w:val="24"/>
        </w:rPr>
        <w:t>30</w:t>
      </w:r>
      <w:r w:rsidRPr="002A7627">
        <w:rPr>
          <w:rFonts w:cs="Times New Roman"/>
          <w:noProof/>
          <w:szCs w:val="24"/>
        </w:rPr>
        <w:t>(3), 607–610. https://doi.org/10.1177/001316447003000308</w:t>
      </w:r>
    </w:p>
    <w:p w14:paraId="42ADDFE1"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Kumaraswamy, K., &amp; Chitale, C. M. (2012). Collaborative knowledge sharing strategy to enhance organizational learning. </w:t>
      </w:r>
      <w:r w:rsidRPr="002A7627">
        <w:rPr>
          <w:rFonts w:cs="Times New Roman"/>
          <w:i/>
          <w:iCs/>
          <w:noProof/>
          <w:szCs w:val="24"/>
        </w:rPr>
        <w:t>Journal of Management Development</w:t>
      </w:r>
      <w:r w:rsidRPr="002A7627">
        <w:rPr>
          <w:rFonts w:cs="Times New Roman"/>
          <w:noProof/>
          <w:szCs w:val="24"/>
        </w:rPr>
        <w:t xml:space="preserve">, </w:t>
      </w:r>
      <w:r w:rsidRPr="002A7627">
        <w:rPr>
          <w:rFonts w:cs="Times New Roman"/>
          <w:i/>
          <w:iCs/>
          <w:noProof/>
          <w:szCs w:val="24"/>
        </w:rPr>
        <w:t>31</w:t>
      </w:r>
      <w:r w:rsidRPr="002A7627">
        <w:rPr>
          <w:rFonts w:cs="Times New Roman"/>
          <w:noProof/>
          <w:szCs w:val="24"/>
        </w:rPr>
        <w:t>(3), 308–322. https://doi.org/10.1108/02621711211208934</w:t>
      </w:r>
    </w:p>
    <w:p w14:paraId="23729E18" w14:textId="21D36821"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Kundu, S. C., &amp; Gahlawat, N. (2018). Ability–motivation–opportunity enhancing human resource practices and firm performance: </w:t>
      </w:r>
      <w:r w:rsidR="004B5FB8">
        <w:rPr>
          <w:rFonts w:cs="Times New Roman"/>
          <w:noProof/>
          <w:szCs w:val="24"/>
        </w:rPr>
        <w:t>e</w:t>
      </w:r>
      <w:r w:rsidRPr="002A7627">
        <w:rPr>
          <w:rFonts w:cs="Times New Roman"/>
          <w:noProof/>
          <w:szCs w:val="24"/>
        </w:rPr>
        <w:t xml:space="preserve">vidence from India. </w:t>
      </w:r>
      <w:r w:rsidRPr="002A7627">
        <w:rPr>
          <w:rFonts w:cs="Times New Roman"/>
          <w:i/>
          <w:iCs/>
          <w:noProof/>
          <w:szCs w:val="24"/>
        </w:rPr>
        <w:t>Journal of Management and Organization</w:t>
      </w:r>
      <w:r w:rsidRPr="002A7627">
        <w:rPr>
          <w:rFonts w:cs="Times New Roman"/>
          <w:noProof/>
          <w:szCs w:val="24"/>
        </w:rPr>
        <w:t xml:space="preserve">, </w:t>
      </w:r>
      <w:r w:rsidRPr="002A7627">
        <w:rPr>
          <w:rFonts w:cs="Times New Roman"/>
          <w:i/>
          <w:iCs/>
          <w:noProof/>
          <w:szCs w:val="24"/>
        </w:rPr>
        <w:t>24</w:t>
      </w:r>
      <w:r w:rsidRPr="002A7627">
        <w:rPr>
          <w:rFonts w:cs="Times New Roman"/>
          <w:noProof/>
          <w:szCs w:val="24"/>
        </w:rPr>
        <w:t>(5), 730–747. https://doi.org/10.1017/jmo.2016.22</w:t>
      </w:r>
    </w:p>
    <w:p w14:paraId="7F27D302" w14:textId="464E8AE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Kuvaas, B., Buch, R., &amp; Dysvik, A. (2012). Perceived training intensity and knowledge sharing: </w:t>
      </w:r>
      <w:r w:rsidR="004B5FB8">
        <w:rPr>
          <w:rFonts w:cs="Times New Roman"/>
          <w:noProof/>
          <w:szCs w:val="24"/>
        </w:rPr>
        <w:t>s</w:t>
      </w:r>
      <w:r w:rsidRPr="002A7627">
        <w:rPr>
          <w:rFonts w:cs="Times New Roman"/>
          <w:noProof/>
          <w:szCs w:val="24"/>
        </w:rPr>
        <w:t xml:space="preserve">haring for intrinsic and prosocial reasons. </w:t>
      </w:r>
      <w:r w:rsidRPr="002A7627">
        <w:rPr>
          <w:rFonts w:cs="Times New Roman"/>
          <w:i/>
          <w:iCs/>
          <w:noProof/>
          <w:szCs w:val="24"/>
        </w:rPr>
        <w:t>Human Resource Management</w:t>
      </w:r>
      <w:r w:rsidRPr="002A7627">
        <w:rPr>
          <w:rFonts w:cs="Times New Roman"/>
          <w:noProof/>
          <w:szCs w:val="24"/>
        </w:rPr>
        <w:t xml:space="preserve">, </w:t>
      </w:r>
      <w:r w:rsidRPr="002A7627">
        <w:rPr>
          <w:rFonts w:cs="Times New Roman"/>
          <w:i/>
          <w:iCs/>
          <w:noProof/>
          <w:szCs w:val="24"/>
        </w:rPr>
        <w:t>51</w:t>
      </w:r>
      <w:r w:rsidRPr="002A7627">
        <w:rPr>
          <w:rFonts w:cs="Times New Roman"/>
          <w:noProof/>
          <w:szCs w:val="24"/>
        </w:rPr>
        <w:t>(2), 167–187. https://doi.org/10.1002/hrm.21464</w:t>
      </w:r>
    </w:p>
    <w:p w14:paraId="35D70131" w14:textId="4E33ED14"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Lai, S. C., &amp; Tong, C. (2016). The mediating effect of incentive and reward system on the relationship between enterprise ownership and knowledge sharing in electronic industry in southern China. </w:t>
      </w:r>
      <w:r w:rsidRPr="002A7627">
        <w:rPr>
          <w:rFonts w:cs="Times New Roman"/>
          <w:i/>
          <w:iCs/>
          <w:noProof/>
          <w:szCs w:val="24"/>
        </w:rPr>
        <w:t>International Journal of Interdisciplinary Social Sciences</w:t>
      </w:r>
      <w:r w:rsidRPr="002A7627">
        <w:rPr>
          <w:rFonts w:cs="Times New Roman"/>
          <w:noProof/>
          <w:szCs w:val="24"/>
        </w:rPr>
        <w:t xml:space="preserve">, </w:t>
      </w:r>
      <w:r w:rsidRPr="002A7627">
        <w:rPr>
          <w:rFonts w:cs="Times New Roman"/>
          <w:i/>
          <w:iCs/>
          <w:noProof/>
          <w:szCs w:val="24"/>
        </w:rPr>
        <w:t>5</w:t>
      </w:r>
      <w:r w:rsidRPr="002A7627">
        <w:rPr>
          <w:rFonts w:cs="Times New Roman"/>
          <w:noProof/>
          <w:szCs w:val="24"/>
        </w:rPr>
        <w:t>(5), 399–422. https://doi.org/10.18848/1833-1882/cgp/v05i05/51708</w:t>
      </w:r>
    </w:p>
    <w:p w14:paraId="14558C3F" w14:textId="391AE95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Lee, H., &amp; Choi, B. (2003). Knowledge management enablers, processes, and organizational performance: </w:t>
      </w:r>
      <w:r w:rsidR="004B5FB8">
        <w:rPr>
          <w:rFonts w:cs="Times New Roman"/>
          <w:noProof/>
          <w:szCs w:val="24"/>
        </w:rPr>
        <w:t>a</w:t>
      </w:r>
      <w:r w:rsidRPr="002A7627">
        <w:rPr>
          <w:rFonts w:cs="Times New Roman"/>
          <w:noProof/>
          <w:szCs w:val="24"/>
        </w:rPr>
        <w:t xml:space="preserve">n integrative view and empirical examination. </w:t>
      </w:r>
      <w:r w:rsidRPr="002A7627">
        <w:rPr>
          <w:rFonts w:cs="Times New Roman"/>
          <w:i/>
          <w:iCs/>
          <w:noProof/>
          <w:szCs w:val="24"/>
        </w:rPr>
        <w:t>Journal of Management Information Systems</w:t>
      </w:r>
      <w:r w:rsidRPr="002A7627">
        <w:rPr>
          <w:rFonts w:cs="Times New Roman"/>
          <w:noProof/>
          <w:szCs w:val="24"/>
        </w:rPr>
        <w:t xml:space="preserve">, </w:t>
      </w:r>
      <w:r w:rsidRPr="002A7627">
        <w:rPr>
          <w:rFonts w:cs="Times New Roman"/>
          <w:i/>
          <w:iCs/>
          <w:noProof/>
          <w:szCs w:val="24"/>
        </w:rPr>
        <w:t>20</w:t>
      </w:r>
      <w:r w:rsidRPr="002A7627">
        <w:rPr>
          <w:rFonts w:cs="Times New Roman"/>
          <w:noProof/>
          <w:szCs w:val="24"/>
        </w:rPr>
        <w:t>(1), 179–228. https://doi.org/10.1080/07421222.2003.11045756</w:t>
      </w:r>
    </w:p>
    <w:p w14:paraId="30F1FF64"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Lee, J.-C., Shiue, Y.-C., &amp; Chen, C.-Y. (2016). Examining the impacts of organizational culture and top management support of knowledge sharing on the success of software process improvement. </w:t>
      </w:r>
      <w:r w:rsidRPr="002A7627">
        <w:rPr>
          <w:rFonts w:cs="Times New Roman"/>
          <w:i/>
          <w:iCs/>
          <w:noProof/>
          <w:szCs w:val="24"/>
        </w:rPr>
        <w:t>Computers in Human Behavior</w:t>
      </w:r>
      <w:r w:rsidRPr="002A7627">
        <w:rPr>
          <w:rFonts w:cs="Times New Roman"/>
          <w:noProof/>
          <w:szCs w:val="24"/>
        </w:rPr>
        <w:t xml:space="preserve">, </w:t>
      </w:r>
      <w:r w:rsidRPr="002A7627">
        <w:rPr>
          <w:rFonts w:cs="Times New Roman"/>
          <w:i/>
          <w:iCs/>
          <w:noProof/>
          <w:szCs w:val="24"/>
        </w:rPr>
        <w:t>54</w:t>
      </w:r>
      <w:r w:rsidRPr="002A7627">
        <w:rPr>
          <w:rFonts w:cs="Times New Roman"/>
          <w:noProof/>
          <w:szCs w:val="24"/>
        </w:rPr>
        <w:t>, 462–474. https://doi.org/10.1016/j.chb.2015.08.030</w:t>
      </w:r>
    </w:p>
    <w:p w14:paraId="4EDF6323" w14:textId="5876769C"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Lee, Y.-C., &amp; Lee, S.-K. (2007). Capabilities, processes, and performance of knowledge management: </w:t>
      </w:r>
      <w:r w:rsidR="006A70F4">
        <w:rPr>
          <w:rFonts w:cs="Times New Roman"/>
          <w:noProof/>
          <w:szCs w:val="24"/>
        </w:rPr>
        <w:t>a</w:t>
      </w:r>
      <w:r w:rsidRPr="002A7627">
        <w:rPr>
          <w:rFonts w:cs="Times New Roman"/>
          <w:noProof/>
          <w:szCs w:val="24"/>
        </w:rPr>
        <w:t xml:space="preserve"> structural approach. </w:t>
      </w:r>
      <w:r w:rsidRPr="002A7627">
        <w:rPr>
          <w:rFonts w:cs="Times New Roman"/>
          <w:i/>
          <w:iCs/>
          <w:noProof/>
          <w:szCs w:val="24"/>
        </w:rPr>
        <w:t>Human Factors and Ergonomics in Manufacturing</w:t>
      </w:r>
      <w:r w:rsidRPr="002A7627">
        <w:rPr>
          <w:rFonts w:cs="Times New Roman"/>
          <w:noProof/>
          <w:szCs w:val="24"/>
        </w:rPr>
        <w:t xml:space="preserve">, </w:t>
      </w:r>
      <w:r w:rsidRPr="002A7627">
        <w:rPr>
          <w:rFonts w:cs="Times New Roman"/>
          <w:i/>
          <w:iCs/>
          <w:noProof/>
          <w:szCs w:val="24"/>
        </w:rPr>
        <w:t>17</w:t>
      </w:r>
      <w:r w:rsidRPr="002A7627">
        <w:rPr>
          <w:rFonts w:cs="Times New Roman"/>
          <w:noProof/>
          <w:szCs w:val="24"/>
        </w:rPr>
        <w:t>(1), 21–41. https://doi.org/10.1002/hfm.20065</w:t>
      </w:r>
    </w:p>
    <w:p w14:paraId="6AEB1E50" w14:textId="53B12DD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Lepak, D. P., Liao, H., Chung, Y., &amp; Harden, E. E. (2006). A conceptual review of human resource management systems in strategic human resource management research. In J. J. Martocchio (Ed.), </w:t>
      </w:r>
      <w:r w:rsidRPr="002A7627">
        <w:rPr>
          <w:rFonts w:cs="Times New Roman"/>
          <w:i/>
          <w:iCs/>
          <w:noProof/>
          <w:szCs w:val="24"/>
        </w:rPr>
        <w:t xml:space="preserve">Research in </w:t>
      </w:r>
      <w:r w:rsidR="006A70F4">
        <w:rPr>
          <w:rFonts w:cs="Times New Roman"/>
          <w:i/>
          <w:iCs/>
          <w:noProof/>
          <w:szCs w:val="24"/>
        </w:rPr>
        <w:t>P</w:t>
      </w:r>
      <w:r w:rsidRPr="002A7627">
        <w:rPr>
          <w:rFonts w:cs="Times New Roman"/>
          <w:i/>
          <w:iCs/>
          <w:noProof/>
          <w:szCs w:val="24"/>
        </w:rPr>
        <w:t xml:space="preserve">ersonnel and </w:t>
      </w:r>
      <w:r w:rsidR="006A70F4" w:rsidRPr="002A7627">
        <w:rPr>
          <w:rFonts w:cs="Times New Roman"/>
          <w:i/>
          <w:iCs/>
          <w:noProof/>
          <w:szCs w:val="24"/>
        </w:rPr>
        <w:t>Human Resources Management</w:t>
      </w:r>
      <w:r w:rsidR="006A70F4" w:rsidRPr="002A7627">
        <w:rPr>
          <w:rFonts w:cs="Times New Roman"/>
          <w:noProof/>
          <w:szCs w:val="24"/>
        </w:rPr>
        <w:t xml:space="preserve"> </w:t>
      </w:r>
      <w:r w:rsidRPr="002A7627">
        <w:rPr>
          <w:rFonts w:cs="Times New Roman"/>
          <w:noProof/>
          <w:szCs w:val="24"/>
        </w:rPr>
        <w:t>(pp. 217–271). Las Vegas, CA: Emerald.</w:t>
      </w:r>
    </w:p>
    <w:p w14:paraId="58F6D2C8" w14:textId="681A6591"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Liang, T., &amp; You, J. (2009). Resource-based view in information systems research: </w:t>
      </w:r>
      <w:r w:rsidR="004F5EC3">
        <w:rPr>
          <w:rFonts w:cs="Times New Roman"/>
          <w:noProof/>
          <w:szCs w:val="24"/>
        </w:rPr>
        <w:t>a</w:t>
      </w:r>
      <w:r w:rsidRPr="002A7627">
        <w:rPr>
          <w:rFonts w:cs="Times New Roman"/>
          <w:noProof/>
          <w:szCs w:val="24"/>
        </w:rPr>
        <w:t xml:space="preserve"> meta-analysis resource-based view in information systems. In </w:t>
      </w:r>
      <w:r w:rsidRPr="002A7627">
        <w:rPr>
          <w:rFonts w:cs="Times New Roman"/>
          <w:i/>
          <w:iCs/>
          <w:noProof/>
          <w:szCs w:val="24"/>
        </w:rPr>
        <w:t>Pacific Asia Conference on Information Systems Proceedings</w:t>
      </w:r>
      <w:r w:rsidRPr="002A7627">
        <w:rPr>
          <w:rFonts w:cs="Times New Roman"/>
          <w:noProof/>
          <w:szCs w:val="24"/>
        </w:rPr>
        <w:t>. China: Association for Information Systems.</w:t>
      </w:r>
    </w:p>
    <w:p w14:paraId="100115E8"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Liao, C., To, P.-L., &amp; Hsu, F.-C. (2013). Exploring knowledge sharing in virtual communities. </w:t>
      </w:r>
      <w:r w:rsidRPr="002A7627">
        <w:rPr>
          <w:rFonts w:cs="Times New Roman"/>
          <w:i/>
          <w:iCs/>
          <w:noProof/>
          <w:szCs w:val="24"/>
        </w:rPr>
        <w:t>Online Information Review</w:t>
      </w:r>
      <w:r w:rsidRPr="002A7627">
        <w:rPr>
          <w:rFonts w:cs="Times New Roman"/>
          <w:noProof/>
          <w:szCs w:val="24"/>
        </w:rPr>
        <w:t xml:space="preserve">, </w:t>
      </w:r>
      <w:r w:rsidRPr="002A7627">
        <w:rPr>
          <w:rFonts w:cs="Times New Roman"/>
          <w:i/>
          <w:iCs/>
          <w:noProof/>
          <w:szCs w:val="24"/>
        </w:rPr>
        <w:t>37</w:t>
      </w:r>
      <w:r w:rsidRPr="002A7627">
        <w:rPr>
          <w:rFonts w:cs="Times New Roman"/>
          <w:noProof/>
          <w:szCs w:val="24"/>
        </w:rPr>
        <w:t>(6), 891–909. https://doi.org/10.1108/OIR-11-2012-0196</w:t>
      </w:r>
    </w:p>
    <w:p w14:paraId="14B21131"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Lin, C., &amp; Tseng, S. M. (2005). Bridging the implementation gaps in the knowledge management system for enhancing corporate performance. </w:t>
      </w:r>
      <w:r w:rsidRPr="002A7627">
        <w:rPr>
          <w:rFonts w:cs="Times New Roman"/>
          <w:i/>
          <w:iCs/>
          <w:noProof/>
          <w:szCs w:val="24"/>
        </w:rPr>
        <w:t>Expert Systems with Applications</w:t>
      </w:r>
      <w:r w:rsidRPr="002A7627">
        <w:rPr>
          <w:rFonts w:cs="Times New Roman"/>
          <w:noProof/>
          <w:szCs w:val="24"/>
        </w:rPr>
        <w:t xml:space="preserve">, </w:t>
      </w:r>
      <w:r w:rsidRPr="002A7627">
        <w:rPr>
          <w:rFonts w:cs="Times New Roman"/>
          <w:i/>
          <w:iCs/>
          <w:noProof/>
          <w:szCs w:val="24"/>
        </w:rPr>
        <w:t>29</w:t>
      </w:r>
      <w:r w:rsidRPr="002A7627">
        <w:rPr>
          <w:rFonts w:cs="Times New Roman"/>
          <w:noProof/>
          <w:szCs w:val="24"/>
        </w:rPr>
        <w:t>(1), 163–173. https://doi.org/10.1016/j.eswa.2005.01.015</w:t>
      </w:r>
    </w:p>
    <w:p w14:paraId="0E4A4937"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Lin, H.-F. (2007). Effects of extrinsic and intrinsic motivation on employee knowledge sharing intentions. </w:t>
      </w:r>
      <w:r w:rsidRPr="002A7627">
        <w:rPr>
          <w:rFonts w:cs="Times New Roman"/>
          <w:i/>
          <w:iCs/>
          <w:noProof/>
          <w:szCs w:val="24"/>
        </w:rPr>
        <w:t>Journal of Information Science</w:t>
      </w:r>
      <w:r w:rsidRPr="002A7627">
        <w:rPr>
          <w:rFonts w:cs="Times New Roman"/>
          <w:noProof/>
          <w:szCs w:val="24"/>
        </w:rPr>
        <w:t xml:space="preserve">, </w:t>
      </w:r>
      <w:r w:rsidRPr="002A7627">
        <w:rPr>
          <w:rFonts w:cs="Times New Roman"/>
          <w:i/>
          <w:iCs/>
          <w:noProof/>
          <w:szCs w:val="24"/>
        </w:rPr>
        <w:t>33</w:t>
      </w:r>
      <w:r w:rsidRPr="002A7627">
        <w:rPr>
          <w:rFonts w:cs="Times New Roman"/>
          <w:noProof/>
          <w:szCs w:val="24"/>
        </w:rPr>
        <w:t>(2), 135–149.</w:t>
      </w:r>
    </w:p>
    <w:p w14:paraId="52E7703D" w14:textId="57B757F2"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Lin, H. (2011). Antecedents of the stage</w:t>
      </w:r>
      <w:r w:rsidR="006A70F4">
        <w:rPr>
          <w:rFonts w:cs="Times New Roman"/>
          <w:noProof/>
          <w:szCs w:val="24"/>
        </w:rPr>
        <w:t>-</w:t>
      </w:r>
      <w:r w:rsidRPr="002A7627">
        <w:rPr>
          <w:rFonts w:cs="Times New Roman"/>
          <w:noProof/>
          <w:szCs w:val="24"/>
        </w:rPr>
        <w:t xml:space="preserve">based knowledge management evolution.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15</w:t>
      </w:r>
      <w:r w:rsidRPr="002A7627">
        <w:rPr>
          <w:rFonts w:cs="Times New Roman"/>
          <w:noProof/>
          <w:szCs w:val="24"/>
        </w:rPr>
        <w:t>(1), 136–155. https://doi.org/10.1108/13673271111108747</w:t>
      </w:r>
    </w:p>
    <w:p w14:paraId="13C9A2EA"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Lin, M.-J. J., Hung, S.-W., &amp; Chen, C.-J. (2009). Fostering the determinants of knowledge sharing in professional virtual communities. </w:t>
      </w:r>
      <w:r w:rsidRPr="002A7627">
        <w:rPr>
          <w:rFonts w:cs="Times New Roman"/>
          <w:i/>
          <w:iCs/>
          <w:noProof/>
          <w:szCs w:val="24"/>
        </w:rPr>
        <w:t>Computers in Human Behavior</w:t>
      </w:r>
      <w:r w:rsidRPr="002A7627">
        <w:rPr>
          <w:rFonts w:cs="Times New Roman"/>
          <w:noProof/>
          <w:szCs w:val="24"/>
        </w:rPr>
        <w:t xml:space="preserve">, </w:t>
      </w:r>
      <w:r w:rsidRPr="002A7627">
        <w:rPr>
          <w:rFonts w:cs="Times New Roman"/>
          <w:i/>
          <w:iCs/>
          <w:noProof/>
          <w:szCs w:val="24"/>
        </w:rPr>
        <w:t>25</w:t>
      </w:r>
      <w:r w:rsidRPr="002A7627">
        <w:rPr>
          <w:rFonts w:cs="Times New Roman"/>
          <w:noProof/>
          <w:szCs w:val="24"/>
        </w:rPr>
        <w:t>(4), 929–939. https://doi.org/10.1016/j.chb.2009.03.008</w:t>
      </w:r>
    </w:p>
    <w:p w14:paraId="397B9AD0" w14:textId="2FB5CAD0" w:rsidR="00CD0B2F" w:rsidRDefault="00CD0B2F" w:rsidP="002A7627">
      <w:pPr>
        <w:spacing w:line="480" w:lineRule="auto"/>
        <w:ind w:left="480" w:hanging="480"/>
        <w:jc w:val="both"/>
        <w:rPr>
          <w:rFonts w:cs="Times New Roman"/>
          <w:noProof/>
          <w:szCs w:val="24"/>
        </w:rPr>
      </w:pPr>
      <w:r w:rsidRPr="002A7627">
        <w:rPr>
          <w:rFonts w:cs="Times New Roman"/>
          <w:noProof/>
          <w:szCs w:val="24"/>
        </w:rPr>
        <w:t xml:space="preserve">Liu, H., Ke, W., Wei, K. K., &amp; Hua, Z. (2013). The impact of IT capabilities on firm performance: </w:t>
      </w:r>
      <w:r w:rsidR="004F5EC3">
        <w:rPr>
          <w:rFonts w:cs="Times New Roman"/>
          <w:noProof/>
          <w:szCs w:val="24"/>
        </w:rPr>
        <w:t>t</w:t>
      </w:r>
      <w:r w:rsidRPr="002A7627">
        <w:rPr>
          <w:rFonts w:cs="Times New Roman"/>
          <w:noProof/>
          <w:szCs w:val="24"/>
        </w:rPr>
        <w:t xml:space="preserve">he mediating roles of absorptive capacity and supply chain agility. </w:t>
      </w:r>
      <w:r w:rsidRPr="002A7627">
        <w:rPr>
          <w:rFonts w:cs="Times New Roman"/>
          <w:i/>
          <w:iCs/>
          <w:noProof/>
          <w:szCs w:val="24"/>
        </w:rPr>
        <w:t>Decision Support Systems</w:t>
      </w:r>
      <w:r w:rsidRPr="002A7627">
        <w:rPr>
          <w:rFonts w:cs="Times New Roman"/>
          <w:noProof/>
          <w:szCs w:val="24"/>
        </w:rPr>
        <w:t xml:space="preserve">, </w:t>
      </w:r>
      <w:r w:rsidRPr="002A7627">
        <w:rPr>
          <w:rFonts w:cs="Times New Roman"/>
          <w:i/>
          <w:iCs/>
          <w:noProof/>
          <w:szCs w:val="24"/>
        </w:rPr>
        <w:t>54</w:t>
      </w:r>
      <w:r w:rsidRPr="002A7627">
        <w:rPr>
          <w:rFonts w:cs="Times New Roman"/>
          <w:noProof/>
          <w:szCs w:val="24"/>
        </w:rPr>
        <w:t xml:space="preserve">(3), 1452–1462. </w:t>
      </w:r>
      <w:hyperlink r:id="rId49" w:history="1">
        <w:r w:rsidR="0012275A" w:rsidRPr="00A817FD">
          <w:rPr>
            <w:rStyle w:val="Hyperlink"/>
            <w:rFonts w:cs="Times New Roman"/>
            <w:noProof/>
            <w:color w:val="000000" w:themeColor="text1"/>
            <w:szCs w:val="24"/>
            <w:u w:val="none"/>
          </w:rPr>
          <w:t>https://doi.org/10.1016/j.dss.2012.12.016</w:t>
        </w:r>
      </w:hyperlink>
    </w:p>
    <w:p w14:paraId="2639E0F5" w14:textId="1F5BE353" w:rsidR="0012275A" w:rsidRPr="002A7627" w:rsidRDefault="0012275A" w:rsidP="002A7627">
      <w:pPr>
        <w:spacing w:line="480" w:lineRule="auto"/>
        <w:ind w:left="480" w:hanging="480"/>
        <w:jc w:val="both"/>
        <w:rPr>
          <w:rFonts w:cs="Times New Roman"/>
          <w:noProof/>
          <w:szCs w:val="24"/>
        </w:rPr>
      </w:pPr>
      <w:r>
        <w:t xml:space="preserve">Liu, H., &amp; Li, G. (2017). To gain or not to lose? The effect of monetary reward on motivation and knowledge contribution. </w:t>
      </w:r>
      <w:r>
        <w:rPr>
          <w:i/>
          <w:iCs/>
        </w:rPr>
        <w:t>Journal of Knowledge Management</w:t>
      </w:r>
      <w:r>
        <w:t xml:space="preserve">, </w:t>
      </w:r>
      <w:r>
        <w:rPr>
          <w:i/>
          <w:iCs/>
        </w:rPr>
        <w:t>21</w:t>
      </w:r>
      <w:r>
        <w:t>(2), 397-415. http://doi.org/</w:t>
      </w:r>
      <w:r w:rsidRPr="0012275A">
        <w:t>10.1108/JKM-03-2016-0100</w:t>
      </w:r>
    </w:p>
    <w:p w14:paraId="55EEF30E" w14:textId="6C32569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Lloria, M. B., &amp; Moreno-Luzon, M. D. (2014). Organizational learning: </w:t>
      </w:r>
      <w:r w:rsidR="004F5EC3">
        <w:rPr>
          <w:rFonts w:cs="Times New Roman"/>
          <w:noProof/>
          <w:szCs w:val="24"/>
        </w:rPr>
        <w:t>p</w:t>
      </w:r>
      <w:r w:rsidRPr="002A7627">
        <w:rPr>
          <w:rFonts w:cs="Times New Roman"/>
          <w:noProof/>
          <w:szCs w:val="24"/>
        </w:rPr>
        <w:t xml:space="preserve">roposal of an integrative scale and research instrument. </w:t>
      </w:r>
      <w:r w:rsidRPr="002A7627">
        <w:rPr>
          <w:rFonts w:cs="Times New Roman"/>
          <w:i/>
          <w:iCs/>
          <w:noProof/>
          <w:szCs w:val="24"/>
        </w:rPr>
        <w:t>Journal of Business Research</w:t>
      </w:r>
      <w:r w:rsidRPr="002A7627">
        <w:rPr>
          <w:rFonts w:cs="Times New Roman"/>
          <w:noProof/>
          <w:szCs w:val="24"/>
        </w:rPr>
        <w:t xml:space="preserve">, </w:t>
      </w:r>
      <w:r w:rsidRPr="002A7627">
        <w:rPr>
          <w:rFonts w:cs="Times New Roman"/>
          <w:i/>
          <w:iCs/>
          <w:noProof/>
          <w:szCs w:val="24"/>
        </w:rPr>
        <w:t>67</w:t>
      </w:r>
      <w:r w:rsidRPr="002A7627">
        <w:rPr>
          <w:rFonts w:cs="Times New Roman"/>
          <w:noProof/>
          <w:szCs w:val="24"/>
        </w:rPr>
        <w:t>(5), 692–697. https://doi.org/10.1016/j.jbusres.2013.11.029</w:t>
      </w:r>
    </w:p>
    <w:p w14:paraId="4AEF4397"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Lohmöller, J. B. (1989). </w:t>
      </w:r>
      <w:r w:rsidRPr="002A7627">
        <w:rPr>
          <w:rFonts w:cs="Times New Roman"/>
          <w:i/>
          <w:iCs/>
          <w:noProof/>
          <w:szCs w:val="24"/>
        </w:rPr>
        <w:t>Latent variable path modeling with partial least squares</w:t>
      </w:r>
      <w:r w:rsidRPr="002A7627">
        <w:rPr>
          <w:rFonts w:cs="Times New Roman"/>
          <w:noProof/>
          <w:szCs w:val="24"/>
        </w:rPr>
        <w:t>. Heidelberg, Germany: Physica.</w:t>
      </w:r>
    </w:p>
    <w:p w14:paraId="422DBB58" w14:textId="77777777" w:rsidR="006A70F4" w:rsidRPr="002A7627" w:rsidRDefault="006A70F4" w:rsidP="006A70F4">
      <w:pPr>
        <w:spacing w:line="480" w:lineRule="auto"/>
        <w:ind w:left="480" w:hanging="480"/>
        <w:jc w:val="both"/>
        <w:rPr>
          <w:rFonts w:cs="Times New Roman"/>
          <w:noProof/>
          <w:szCs w:val="24"/>
        </w:rPr>
      </w:pPr>
      <w:r w:rsidRPr="002A7627">
        <w:rPr>
          <w:rFonts w:cs="Times New Roman"/>
          <w:noProof/>
          <w:szCs w:val="24"/>
        </w:rPr>
        <w:t xml:space="preserve">López, S. P., Peón, J. M. M., &amp; Ordás, C. J. V. (2006). Human resource management as a determining factor in organizational learning. </w:t>
      </w:r>
      <w:r w:rsidRPr="002A7627">
        <w:rPr>
          <w:rFonts w:cs="Times New Roman"/>
          <w:i/>
          <w:iCs/>
          <w:noProof/>
          <w:szCs w:val="24"/>
        </w:rPr>
        <w:t>Management Learning</w:t>
      </w:r>
      <w:r w:rsidRPr="002A7627">
        <w:rPr>
          <w:rFonts w:cs="Times New Roman"/>
          <w:noProof/>
          <w:szCs w:val="24"/>
        </w:rPr>
        <w:t xml:space="preserve">, </w:t>
      </w:r>
      <w:r w:rsidRPr="002A7627">
        <w:rPr>
          <w:rFonts w:cs="Times New Roman"/>
          <w:i/>
          <w:iCs/>
          <w:noProof/>
          <w:szCs w:val="24"/>
        </w:rPr>
        <w:t>37</w:t>
      </w:r>
      <w:r w:rsidRPr="002A7627">
        <w:rPr>
          <w:rFonts w:cs="Times New Roman"/>
          <w:noProof/>
          <w:szCs w:val="24"/>
        </w:rPr>
        <w:t>(2), 215–239.</w:t>
      </w:r>
    </w:p>
    <w:p w14:paraId="5800DA16" w14:textId="6231C90F"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López</w:t>
      </w:r>
      <w:r w:rsidR="006A70F4">
        <w:rPr>
          <w:rFonts w:cs="Times New Roman"/>
          <w:noProof/>
          <w:szCs w:val="24"/>
        </w:rPr>
        <w:t>-</w:t>
      </w:r>
      <w:r w:rsidRPr="002A7627">
        <w:rPr>
          <w:rFonts w:cs="Times New Roman"/>
          <w:noProof/>
          <w:szCs w:val="24"/>
        </w:rPr>
        <w:t xml:space="preserve">Cabrales, Á., Real, J. C., &amp; Valle, R. (2011). Relationships between human resource management practices and organizational learning capability. </w:t>
      </w:r>
      <w:r w:rsidRPr="002A7627">
        <w:rPr>
          <w:rFonts w:cs="Times New Roman"/>
          <w:i/>
          <w:iCs/>
          <w:noProof/>
          <w:szCs w:val="24"/>
        </w:rPr>
        <w:t>Personnel Review</w:t>
      </w:r>
      <w:r w:rsidRPr="002A7627">
        <w:rPr>
          <w:rFonts w:cs="Times New Roman"/>
          <w:noProof/>
          <w:szCs w:val="24"/>
        </w:rPr>
        <w:t xml:space="preserve">, </w:t>
      </w:r>
      <w:r w:rsidRPr="002A7627">
        <w:rPr>
          <w:rFonts w:cs="Times New Roman"/>
          <w:i/>
          <w:iCs/>
          <w:noProof/>
          <w:szCs w:val="24"/>
        </w:rPr>
        <w:t>40</w:t>
      </w:r>
      <w:r w:rsidRPr="002A7627">
        <w:rPr>
          <w:rFonts w:cs="Times New Roman"/>
          <w:noProof/>
          <w:szCs w:val="24"/>
        </w:rPr>
        <w:t>(3), 344–363. https://doi.org/10.1108/00483481111118658</w:t>
      </w:r>
    </w:p>
    <w:p w14:paraId="35E5EF63" w14:textId="2AFB2063"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Luen, T. W., &amp; Al-Hawamdeh, S. (2001). Knowledge management in the public sector: </w:t>
      </w:r>
      <w:r w:rsidR="004F5EC3">
        <w:rPr>
          <w:rFonts w:cs="Times New Roman"/>
          <w:noProof/>
          <w:szCs w:val="24"/>
        </w:rPr>
        <w:t>p</w:t>
      </w:r>
      <w:r w:rsidRPr="002A7627">
        <w:rPr>
          <w:rFonts w:cs="Times New Roman"/>
          <w:noProof/>
          <w:szCs w:val="24"/>
        </w:rPr>
        <w:t xml:space="preserve">rinciples and practices in police work. </w:t>
      </w:r>
      <w:r w:rsidRPr="002A7627">
        <w:rPr>
          <w:rFonts w:cs="Times New Roman"/>
          <w:i/>
          <w:iCs/>
          <w:noProof/>
          <w:szCs w:val="24"/>
        </w:rPr>
        <w:t>Journal of Information Science</w:t>
      </w:r>
      <w:r w:rsidRPr="002A7627">
        <w:rPr>
          <w:rFonts w:cs="Times New Roman"/>
          <w:noProof/>
          <w:szCs w:val="24"/>
        </w:rPr>
        <w:t xml:space="preserve">, </w:t>
      </w:r>
      <w:r w:rsidRPr="002A7627">
        <w:rPr>
          <w:rFonts w:cs="Times New Roman"/>
          <w:i/>
          <w:iCs/>
          <w:noProof/>
          <w:szCs w:val="24"/>
        </w:rPr>
        <w:t>27</w:t>
      </w:r>
      <w:r w:rsidRPr="002A7627">
        <w:rPr>
          <w:rFonts w:cs="Times New Roman"/>
          <w:noProof/>
          <w:szCs w:val="24"/>
        </w:rPr>
        <w:t>(5), 311–318. https://doi.org/10.1177/016555150102700502</w:t>
      </w:r>
    </w:p>
    <w:p w14:paraId="511D7AC9"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Ma, Z., Long, L., Zhang, Y., Zhang, J., &amp; Lam, C. K. (2017). Why do high-performance human resource practices matter for team creativity? The mediating role of collective efficacy and knowledge sharing. </w:t>
      </w:r>
      <w:r w:rsidRPr="002A7627">
        <w:rPr>
          <w:rFonts w:cs="Times New Roman"/>
          <w:i/>
          <w:iCs/>
          <w:noProof/>
          <w:szCs w:val="24"/>
        </w:rPr>
        <w:t>Asia Pacific Journal of Management</w:t>
      </w:r>
      <w:r w:rsidRPr="002A7627">
        <w:rPr>
          <w:rFonts w:cs="Times New Roman"/>
          <w:noProof/>
          <w:szCs w:val="24"/>
        </w:rPr>
        <w:t xml:space="preserve">, </w:t>
      </w:r>
      <w:r w:rsidRPr="002A7627">
        <w:rPr>
          <w:rFonts w:cs="Times New Roman"/>
          <w:i/>
          <w:iCs/>
          <w:noProof/>
          <w:szCs w:val="24"/>
        </w:rPr>
        <w:t>34</w:t>
      </w:r>
      <w:r w:rsidRPr="002A7627">
        <w:rPr>
          <w:rFonts w:cs="Times New Roman"/>
          <w:noProof/>
          <w:szCs w:val="24"/>
        </w:rPr>
        <w:t>(3), 565–586. https://doi.org/10.1007/s10490-017-9508-1</w:t>
      </w:r>
    </w:p>
    <w:p w14:paraId="72FC5858" w14:textId="18367C2F" w:rsidR="00CD0B2F" w:rsidRDefault="00CD0B2F" w:rsidP="002A7627">
      <w:pPr>
        <w:spacing w:line="480" w:lineRule="auto"/>
        <w:ind w:left="480" w:hanging="480"/>
        <w:jc w:val="both"/>
        <w:rPr>
          <w:rFonts w:cs="Times New Roman"/>
          <w:noProof/>
          <w:szCs w:val="24"/>
        </w:rPr>
      </w:pPr>
      <w:r w:rsidRPr="002A7627">
        <w:rPr>
          <w:rFonts w:cs="Times New Roman"/>
          <w:noProof/>
          <w:szCs w:val="24"/>
        </w:rPr>
        <w:t xml:space="preserve">Madhavan, R., &amp; Grover, R. (1998). From </w:t>
      </w:r>
      <w:r w:rsidR="006A70F4" w:rsidRPr="002A7627">
        <w:rPr>
          <w:rFonts w:cs="Times New Roman"/>
          <w:noProof/>
          <w:szCs w:val="24"/>
        </w:rPr>
        <w:t>embedded knowledge to embodied knowledge: new product development as knowledge management</w:t>
      </w:r>
      <w:r w:rsidRPr="002A7627">
        <w:rPr>
          <w:rFonts w:cs="Times New Roman"/>
          <w:noProof/>
          <w:szCs w:val="24"/>
        </w:rPr>
        <w:t xml:space="preserve">. </w:t>
      </w:r>
      <w:r w:rsidRPr="002A7627">
        <w:rPr>
          <w:rFonts w:cs="Times New Roman"/>
          <w:i/>
          <w:iCs/>
          <w:noProof/>
          <w:szCs w:val="24"/>
        </w:rPr>
        <w:t>Journal of Marketing</w:t>
      </w:r>
      <w:r w:rsidRPr="002A7627">
        <w:rPr>
          <w:rFonts w:cs="Times New Roman"/>
          <w:noProof/>
          <w:szCs w:val="24"/>
        </w:rPr>
        <w:t xml:space="preserve">, </w:t>
      </w:r>
      <w:r w:rsidRPr="002A7627">
        <w:rPr>
          <w:rFonts w:cs="Times New Roman"/>
          <w:i/>
          <w:iCs/>
          <w:noProof/>
          <w:szCs w:val="24"/>
        </w:rPr>
        <w:t>62</w:t>
      </w:r>
      <w:r w:rsidRPr="002A7627">
        <w:rPr>
          <w:rFonts w:cs="Times New Roman"/>
          <w:noProof/>
          <w:szCs w:val="24"/>
        </w:rPr>
        <w:t>(4), 1</w:t>
      </w:r>
      <w:r w:rsidRPr="00A817FD">
        <w:rPr>
          <w:rFonts w:cs="Times New Roman"/>
          <w:noProof/>
          <w:color w:val="000000" w:themeColor="text1"/>
          <w:szCs w:val="24"/>
        </w:rPr>
        <w:t xml:space="preserve">. </w:t>
      </w:r>
      <w:hyperlink r:id="rId50" w:history="1">
        <w:r w:rsidR="00944E89" w:rsidRPr="00A817FD">
          <w:rPr>
            <w:rStyle w:val="Hyperlink"/>
            <w:rFonts w:cs="Times New Roman"/>
            <w:noProof/>
            <w:color w:val="000000" w:themeColor="text1"/>
            <w:szCs w:val="24"/>
            <w:u w:val="none"/>
          </w:rPr>
          <w:t>https://doi.org/10.2307/1252283</w:t>
        </w:r>
      </w:hyperlink>
    </w:p>
    <w:p w14:paraId="0FA431F2" w14:textId="4294C824" w:rsidR="00944E89" w:rsidRPr="002A7627" w:rsidRDefault="00944E89" w:rsidP="002A7627">
      <w:pPr>
        <w:spacing w:line="480" w:lineRule="auto"/>
        <w:ind w:left="480" w:hanging="480"/>
        <w:jc w:val="both"/>
        <w:rPr>
          <w:rFonts w:cs="Times New Roman"/>
          <w:noProof/>
          <w:szCs w:val="24"/>
        </w:rPr>
      </w:pPr>
      <w:r>
        <w:t xml:space="preserve">Maier, R., &amp; Hadrich, T. (2011). Knowledge management systems. In </w:t>
      </w:r>
      <w:r>
        <w:rPr>
          <w:i/>
          <w:iCs/>
        </w:rPr>
        <w:t>Encyclopedia of Knowledge Management, Second Edition</w:t>
      </w:r>
      <w:r>
        <w:t xml:space="preserve"> (pp. 779-790). IGI Global. https://doi.org/</w:t>
      </w:r>
      <w:r w:rsidRPr="00944E89">
        <w:t xml:space="preserve"> </w:t>
      </w:r>
      <w:r>
        <w:t>10.4018/978-1-59904-931-1.ch076</w:t>
      </w:r>
    </w:p>
    <w:p w14:paraId="55D61450"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Mann, H. B., &amp; Whitney, D. R. (1947). On a test of whether one of two random variables is stochastically larger than the other. </w:t>
      </w:r>
      <w:r w:rsidRPr="002A7627">
        <w:rPr>
          <w:rFonts w:cs="Times New Roman"/>
          <w:i/>
          <w:iCs/>
          <w:noProof/>
          <w:szCs w:val="24"/>
        </w:rPr>
        <w:t>The Annals of Mathematical Statistics</w:t>
      </w:r>
      <w:r w:rsidRPr="002A7627">
        <w:rPr>
          <w:rFonts w:cs="Times New Roman"/>
          <w:noProof/>
          <w:szCs w:val="24"/>
        </w:rPr>
        <w:t xml:space="preserve">, </w:t>
      </w:r>
      <w:r w:rsidRPr="002A7627">
        <w:rPr>
          <w:rFonts w:cs="Times New Roman"/>
          <w:i/>
          <w:iCs/>
          <w:noProof/>
          <w:szCs w:val="24"/>
        </w:rPr>
        <w:t>18</w:t>
      </w:r>
      <w:r w:rsidRPr="002A7627">
        <w:rPr>
          <w:rFonts w:cs="Times New Roman"/>
          <w:noProof/>
          <w:szCs w:val="24"/>
        </w:rPr>
        <w:t>(1), 50–60. https://doi.org/10.1214/aoms/1177730491</w:t>
      </w:r>
    </w:p>
    <w:p w14:paraId="10D63415"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Manolopoulos, D. (2007). An evaluation of employee motivation in the extended public sector in Greece. </w:t>
      </w:r>
      <w:r w:rsidRPr="002A7627">
        <w:rPr>
          <w:rFonts w:cs="Times New Roman"/>
          <w:i/>
          <w:iCs/>
          <w:noProof/>
          <w:szCs w:val="24"/>
        </w:rPr>
        <w:t>Employee Relations</w:t>
      </w:r>
      <w:r w:rsidRPr="002A7627">
        <w:rPr>
          <w:rFonts w:cs="Times New Roman"/>
          <w:noProof/>
          <w:szCs w:val="24"/>
        </w:rPr>
        <w:t xml:space="preserve">, </w:t>
      </w:r>
      <w:r w:rsidRPr="002A7627">
        <w:rPr>
          <w:rFonts w:cs="Times New Roman"/>
          <w:i/>
          <w:iCs/>
          <w:noProof/>
          <w:szCs w:val="24"/>
        </w:rPr>
        <w:t>30</w:t>
      </w:r>
      <w:r w:rsidRPr="002A7627">
        <w:rPr>
          <w:rFonts w:cs="Times New Roman"/>
          <w:noProof/>
          <w:szCs w:val="24"/>
        </w:rPr>
        <w:t>(1), 63–85. https://doi.org/10.1108/01425450810835428</w:t>
      </w:r>
    </w:p>
    <w:p w14:paraId="0498B624"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Mansor, Z. D., &amp; Saparudin, I. N. (2015). Motivational factors for academicians in private universities to participate in knowledge-sharing activities. </w:t>
      </w:r>
      <w:r w:rsidRPr="002A7627">
        <w:rPr>
          <w:rFonts w:cs="Times New Roman"/>
          <w:i/>
          <w:iCs/>
          <w:noProof/>
          <w:szCs w:val="24"/>
        </w:rPr>
        <w:t>Pertanika Journal of Social Sciences and Humanities</w:t>
      </w:r>
      <w:r w:rsidRPr="002A7627">
        <w:rPr>
          <w:rFonts w:cs="Times New Roman"/>
          <w:noProof/>
          <w:szCs w:val="24"/>
        </w:rPr>
        <w:t xml:space="preserve">, </w:t>
      </w:r>
      <w:r w:rsidRPr="002A7627">
        <w:rPr>
          <w:rFonts w:cs="Times New Roman"/>
          <w:i/>
          <w:iCs/>
          <w:noProof/>
          <w:szCs w:val="24"/>
        </w:rPr>
        <w:t>23</w:t>
      </w:r>
      <w:r w:rsidRPr="002A7627">
        <w:rPr>
          <w:rFonts w:cs="Times New Roman"/>
          <w:noProof/>
          <w:szCs w:val="24"/>
        </w:rPr>
        <w:t>, 101–116.</w:t>
      </w:r>
    </w:p>
    <w:p w14:paraId="71903281" w14:textId="12CF534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Mansouri, A. A. Al, Singh, S. K., &amp; Khan, M. (2018). Role of </w:t>
      </w:r>
      <w:r w:rsidR="00C52075">
        <w:rPr>
          <w:rFonts w:cs="Times New Roman"/>
          <w:noProof/>
          <w:szCs w:val="24"/>
        </w:rPr>
        <w:t>organizational</w:t>
      </w:r>
      <w:r w:rsidRPr="002A7627">
        <w:rPr>
          <w:rFonts w:cs="Times New Roman"/>
          <w:noProof/>
          <w:szCs w:val="24"/>
        </w:rPr>
        <w:t xml:space="preserve"> culture, leadership and </w:t>
      </w:r>
      <w:r w:rsidR="00C52075">
        <w:rPr>
          <w:rFonts w:cs="Times New Roman"/>
          <w:noProof/>
          <w:szCs w:val="24"/>
        </w:rPr>
        <w:t>organizational</w:t>
      </w:r>
      <w:r w:rsidRPr="002A7627">
        <w:rPr>
          <w:rFonts w:cs="Times New Roman"/>
          <w:noProof/>
          <w:szCs w:val="24"/>
        </w:rPr>
        <w:t xml:space="preserve"> citizenship behaviour on knowledge management. </w:t>
      </w:r>
      <w:r w:rsidRPr="002A7627">
        <w:rPr>
          <w:rFonts w:cs="Times New Roman"/>
          <w:i/>
          <w:iCs/>
          <w:noProof/>
          <w:szCs w:val="24"/>
        </w:rPr>
        <w:t>International Journal of Knowledge Management Studies</w:t>
      </w:r>
      <w:r w:rsidRPr="002A7627">
        <w:rPr>
          <w:rFonts w:cs="Times New Roman"/>
          <w:noProof/>
          <w:szCs w:val="24"/>
        </w:rPr>
        <w:t xml:space="preserve">, </w:t>
      </w:r>
      <w:r w:rsidRPr="002A7627">
        <w:rPr>
          <w:rFonts w:cs="Times New Roman"/>
          <w:i/>
          <w:iCs/>
          <w:noProof/>
          <w:szCs w:val="24"/>
        </w:rPr>
        <w:t>9</w:t>
      </w:r>
      <w:r w:rsidRPr="002A7627">
        <w:rPr>
          <w:rFonts w:cs="Times New Roman"/>
          <w:noProof/>
          <w:szCs w:val="24"/>
        </w:rPr>
        <w:t>(2), 129. https://doi.org/10.1504/IJKMS.2018.091249</w:t>
      </w:r>
    </w:p>
    <w:p w14:paraId="43EE7E3E" w14:textId="7F164AEE"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Mao, H., Liu, S., Zhang, J., &amp; Deng, Z. (2016). Information technology resource, knowledge management capability, and competitive advantage: </w:t>
      </w:r>
      <w:r w:rsidR="004F5EC3">
        <w:rPr>
          <w:rFonts w:cs="Times New Roman"/>
          <w:noProof/>
          <w:szCs w:val="24"/>
        </w:rPr>
        <w:t>t</w:t>
      </w:r>
      <w:r w:rsidRPr="002A7627">
        <w:rPr>
          <w:rFonts w:cs="Times New Roman"/>
          <w:noProof/>
          <w:szCs w:val="24"/>
        </w:rPr>
        <w:t xml:space="preserve">he moderating role of resource commitment. </w:t>
      </w:r>
      <w:r w:rsidRPr="002A7627">
        <w:rPr>
          <w:rFonts w:cs="Times New Roman"/>
          <w:i/>
          <w:iCs/>
          <w:noProof/>
          <w:szCs w:val="24"/>
        </w:rPr>
        <w:t>International Journal of Information Management</w:t>
      </w:r>
      <w:r w:rsidRPr="002A7627">
        <w:rPr>
          <w:rFonts w:cs="Times New Roman"/>
          <w:noProof/>
          <w:szCs w:val="24"/>
        </w:rPr>
        <w:t xml:space="preserve">, </w:t>
      </w:r>
      <w:r w:rsidRPr="002A7627">
        <w:rPr>
          <w:rFonts w:cs="Times New Roman"/>
          <w:i/>
          <w:iCs/>
          <w:noProof/>
          <w:szCs w:val="24"/>
        </w:rPr>
        <w:t>36</w:t>
      </w:r>
      <w:r w:rsidRPr="002A7627">
        <w:rPr>
          <w:rFonts w:cs="Times New Roman"/>
          <w:noProof/>
          <w:szCs w:val="24"/>
        </w:rPr>
        <w:t>(6), 1062–1074. https://doi.org/10.1016/j.ijinfomgt.2016.07.001</w:t>
      </w:r>
    </w:p>
    <w:p w14:paraId="2F6DE246" w14:textId="281568C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Mar, R., Djikic, M., &amp; Oatley, K. (2008). Effects of reading on knowledge, social abilities, and selfhood: </w:t>
      </w:r>
      <w:r w:rsidR="004F5EC3">
        <w:rPr>
          <w:rFonts w:cs="Times New Roman"/>
          <w:noProof/>
          <w:szCs w:val="24"/>
        </w:rPr>
        <w:t>t</w:t>
      </w:r>
      <w:r w:rsidRPr="002A7627">
        <w:rPr>
          <w:rFonts w:cs="Times New Roman"/>
          <w:noProof/>
          <w:szCs w:val="24"/>
        </w:rPr>
        <w:t xml:space="preserve">heory and empirical studies. In S. Zyngier, M. Bortolussi, A. Chesnokova, &amp; J. Auracher (Eds.), </w:t>
      </w:r>
      <w:r w:rsidRPr="002A7627">
        <w:rPr>
          <w:rFonts w:cs="Times New Roman"/>
          <w:i/>
          <w:iCs/>
          <w:noProof/>
          <w:szCs w:val="24"/>
        </w:rPr>
        <w:t xml:space="preserve">Directions in empirical studies in literature: </w:t>
      </w:r>
      <w:r w:rsidR="00266817">
        <w:rPr>
          <w:rFonts w:cs="Times New Roman"/>
          <w:i/>
          <w:iCs/>
          <w:noProof/>
          <w:szCs w:val="24"/>
        </w:rPr>
        <w:t>i</w:t>
      </w:r>
      <w:r w:rsidRPr="002A7627">
        <w:rPr>
          <w:rFonts w:cs="Times New Roman"/>
          <w:i/>
          <w:iCs/>
          <w:noProof/>
          <w:szCs w:val="24"/>
        </w:rPr>
        <w:t>n honor of Willie van Peer</w:t>
      </w:r>
      <w:r w:rsidRPr="002A7627">
        <w:rPr>
          <w:rFonts w:cs="Times New Roman"/>
          <w:noProof/>
          <w:szCs w:val="24"/>
        </w:rPr>
        <w:t xml:space="preserve"> (pp. 127–137). Amsterdam, Netherlands: Benjamins.</w:t>
      </w:r>
    </w:p>
    <w:p w14:paraId="258E516D"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Mardani, A., Nikoosokhan, S., Moradi, M., &amp; Doustar, M. (2018). The relationship between knowledge management and innovation performance. </w:t>
      </w:r>
      <w:r w:rsidRPr="002A7627">
        <w:rPr>
          <w:rFonts w:cs="Times New Roman"/>
          <w:i/>
          <w:iCs/>
          <w:noProof/>
          <w:szCs w:val="24"/>
        </w:rPr>
        <w:t>Journal of High Technology Management Research</w:t>
      </w:r>
      <w:r w:rsidRPr="002A7627">
        <w:rPr>
          <w:rFonts w:cs="Times New Roman"/>
          <w:noProof/>
          <w:szCs w:val="24"/>
        </w:rPr>
        <w:t xml:space="preserve">, </w:t>
      </w:r>
      <w:r w:rsidRPr="002A7627">
        <w:rPr>
          <w:rFonts w:cs="Times New Roman"/>
          <w:i/>
          <w:iCs/>
          <w:noProof/>
          <w:szCs w:val="24"/>
        </w:rPr>
        <w:t>29</w:t>
      </w:r>
      <w:r w:rsidRPr="002A7627">
        <w:rPr>
          <w:rFonts w:cs="Times New Roman"/>
          <w:noProof/>
          <w:szCs w:val="24"/>
        </w:rPr>
        <w:t>(1), 12–26. https://doi.org/10.1016/j.hitech.2018.04.002</w:t>
      </w:r>
    </w:p>
    <w:p w14:paraId="5FD68CB3"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Marr, B., Schiuma, G., &amp; Neely, A. (2004). Intellectual capital – defining key performance indicators for organizational knowledge assets. </w:t>
      </w:r>
      <w:r w:rsidRPr="002A7627">
        <w:rPr>
          <w:rFonts w:cs="Times New Roman"/>
          <w:i/>
          <w:iCs/>
          <w:noProof/>
          <w:szCs w:val="24"/>
        </w:rPr>
        <w:t>Business Process Management Journal</w:t>
      </w:r>
      <w:r w:rsidRPr="002A7627">
        <w:rPr>
          <w:rFonts w:cs="Times New Roman"/>
          <w:noProof/>
          <w:szCs w:val="24"/>
        </w:rPr>
        <w:t xml:space="preserve">, </w:t>
      </w:r>
      <w:r w:rsidRPr="002A7627">
        <w:rPr>
          <w:rFonts w:cs="Times New Roman"/>
          <w:i/>
          <w:iCs/>
          <w:noProof/>
          <w:szCs w:val="24"/>
        </w:rPr>
        <w:t>10</w:t>
      </w:r>
      <w:r w:rsidRPr="002A7627">
        <w:rPr>
          <w:rFonts w:cs="Times New Roman"/>
          <w:noProof/>
          <w:szCs w:val="24"/>
        </w:rPr>
        <w:t>(5), 551–569. https://doi.org/10.1108/14637150410559225</w:t>
      </w:r>
    </w:p>
    <w:p w14:paraId="44E0A185"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Marshall, S. (2017). </w:t>
      </w:r>
      <w:r w:rsidRPr="002A7627">
        <w:rPr>
          <w:rFonts w:cs="Times New Roman"/>
          <w:i/>
          <w:iCs/>
          <w:noProof/>
          <w:szCs w:val="24"/>
        </w:rPr>
        <w:t>Essential guide to knowledge management.</w:t>
      </w:r>
      <w:r w:rsidRPr="002A7627">
        <w:rPr>
          <w:rFonts w:cs="Times New Roman"/>
          <w:noProof/>
          <w:szCs w:val="24"/>
        </w:rPr>
        <w:t xml:space="preserve"> London, UK: Larsen &amp; Keller Education.</w:t>
      </w:r>
    </w:p>
    <w:p w14:paraId="78A133C5"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Martins, E. C., &amp; Meyer, H. W. J. (2012). Organizational and behavioral factors that influence knowledge retention.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16</w:t>
      </w:r>
      <w:r w:rsidRPr="002A7627">
        <w:rPr>
          <w:rFonts w:cs="Times New Roman"/>
          <w:noProof/>
          <w:szCs w:val="24"/>
        </w:rPr>
        <w:t>(1), 77–96. https://doi.org/10.1108/13673271211198954</w:t>
      </w:r>
    </w:p>
    <w:p w14:paraId="5B4BFF35" w14:textId="58623D50"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Masa’deh, R., Gharaibeh, A., Maqableh, M., &amp; Karajeh, H. (2013). An empirical study of antecedents and outcomes of knowledge sharing capability in Jordanian telecommunication firms: </w:t>
      </w:r>
      <w:r w:rsidR="004F5EC3">
        <w:rPr>
          <w:rFonts w:cs="Times New Roman"/>
          <w:noProof/>
          <w:szCs w:val="24"/>
        </w:rPr>
        <w:t>a</w:t>
      </w:r>
      <w:r w:rsidRPr="002A7627">
        <w:rPr>
          <w:rFonts w:cs="Times New Roman"/>
          <w:noProof/>
          <w:szCs w:val="24"/>
        </w:rPr>
        <w:t xml:space="preserve"> structural equation modeling approach. </w:t>
      </w:r>
      <w:r w:rsidRPr="002A7627">
        <w:rPr>
          <w:rFonts w:cs="Times New Roman"/>
          <w:i/>
          <w:iCs/>
          <w:noProof/>
          <w:szCs w:val="24"/>
        </w:rPr>
        <w:t>Life Science Journal</w:t>
      </w:r>
      <w:r w:rsidRPr="002A7627">
        <w:rPr>
          <w:rFonts w:cs="Times New Roman"/>
          <w:noProof/>
          <w:szCs w:val="24"/>
        </w:rPr>
        <w:t xml:space="preserve">, </w:t>
      </w:r>
      <w:r w:rsidRPr="002A7627">
        <w:rPr>
          <w:rFonts w:cs="Times New Roman"/>
          <w:i/>
          <w:iCs/>
          <w:noProof/>
          <w:szCs w:val="24"/>
        </w:rPr>
        <w:t>10</w:t>
      </w:r>
      <w:r w:rsidRPr="002A7627">
        <w:rPr>
          <w:rFonts w:cs="Times New Roman"/>
          <w:noProof/>
          <w:szCs w:val="24"/>
        </w:rPr>
        <w:t>(4), 2284–2296.</w:t>
      </w:r>
    </w:p>
    <w:p w14:paraId="0D8A6ACD" w14:textId="4BD712C8"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Masa’deh, R., Shannak, R., Maqableh, M., &amp; Tarhini, A. (2017). The impact of knowledge management on job performance in higher education: </w:t>
      </w:r>
      <w:r w:rsidR="004F5EC3">
        <w:rPr>
          <w:rFonts w:cs="Times New Roman"/>
          <w:noProof/>
          <w:szCs w:val="24"/>
        </w:rPr>
        <w:t>t</w:t>
      </w:r>
      <w:r w:rsidRPr="002A7627">
        <w:rPr>
          <w:rFonts w:cs="Times New Roman"/>
          <w:noProof/>
          <w:szCs w:val="24"/>
        </w:rPr>
        <w:t xml:space="preserve">he case of the University of Jordan. </w:t>
      </w:r>
      <w:r w:rsidRPr="002A7627">
        <w:rPr>
          <w:rFonts w:cs="Times New Roman"/>
          <w:i/>
          <w:iCs/>
          <w:noProof/>
          <w:szCs w:val="24"/>
        </w:rPr>
        <w:t>Journal of Enterprise Information Management</w:t>
      </w:r>
      <w:r w:rsidRPr="002A7627">
        <w:rPr>
          <w:rFonts w:cs="Times New Roman"/>
          <w:noProof/>
          <w:szCs w:val="24"/>
        </w:rPr>
        <w:t xml:space="preserve">, </w:t>
      </w:r>
      <w:r w:rsidRPr="002A7627">
        <w:rPr>
          <w:rFonts w:cs="Times New Roman"/>
          <w:i/>
          <w:iCs/>
          <w:noProof/>
          <w:szCs w:val="24"/>
        </w:rPr>
        <w:t>30</w:t>
      </w:r>
      <w:r w:rsidRPr="002A7627">
        <w:rPr>
          <w:rFonts w:cs="Times New Roman"/>
          <w:noProof/>
          <w:szCs w:val="24"/>
        </w:rPr>
        <w:t>(2), 244–262. https://doi.org/10.1108/JEIM-09-2015-0087</w:t>
      </w:r>
    </w:p>
    <w:p w14:paraId="122FE616"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Massa, S., &amp; Testa, S. (2009). How do Miles and Snow’s strategic types differ in their knowledge assets? Evidence from Italian SMEs. </w:t>
      </w:r>
      <w:r w:rsidRPr="002A7627">
        <w:rPr>
          <w:rFonts w:cs="Times New Roman"/>
          <w:i/>
          <w:iCs/>
          <w:noProof/>
          <w:szCs w:val="24"/>
        </w:rPr>
        <w:t>Knowledge Management Research and Practice</w:t>
      </w:r>
      <w:r w:rsidRPr="002A7627">
        <w:rPr>
          <w:rFonts w:cs="Times New Roman"/>
          <w:noProof/>
          <w:szCs w:val="24"/>
        </w:rPr>
        <w:t xml:space="preserve">, </w:t>
      </w:r>
      <w:r w:rsidRPr="002A7627">
        <w:rPr>
          <w:rFonts w:cs="Times New Roman"/>
          <w:i/>
          <w:iCs/>
          <w:noProof/>
          <w:szCs w:val="24"/>
        </w:rPr>
        <w:t>7</w:t>
      </w:r>
      <w:r w:rsidRPr="002A7627">
        <w:rPr>
          <w:rFonts w:cs="Times New Roman"/>
          <w:noProof/>
          <w:szCs w:val="24"/>
        </w:rPr>
        <w:t>(4), 377–386. https://doi.org/10.1057/kmrp.2009.30</w:t>
      </w:r>
    </w:p>
    <w:p w14:paraId="529A8287" w14:textId="14F87201"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Massaro, M., Dumay, J., &amp; Garlatti, A. (2015). Public sector knowledge management: </w:t>
      </w:r>
      <w:r w:rsidR="004F5EC3">
        <w:rPr>
          <w:rFonts w:cs="Times New Roman"/>
          <w:noProof/>
          <w:szCs w:val="24"/>
        </w:rPr>
        <w:t>a</w:t>
      </w:r>
      <w:r w:rsidR="004F5EC3" w:rsidRPr="002A7627">
        <w:rPr>
          <w:rFonts w:cs="Times New Roman"/>
          <w:noProof/>
          <w:szCs w:val="24"/>
        </w:rPr>
        <w:t xml:space="preserve"> </w:t>
      </w:r>
      <w:r w:rsidRPr="002A7627">
        <w:rPr>
          <w:rFonts w:cs="Times New Roman"/>
          <w:noProof/>
          <w:szCs w:val="24"/>
        </w:rPr>
        <w:t xml:space="preserve">structured literature review.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19</w:t>
      </w:r>
      <w:r w:rsidRPr="002A7627">
        <w:rPr>
          <w:rFonts w:cs="Times New Roman"/>
          <w:noProof/>
          <w:szCs w:val="24"/>
        </w:rPr>
        <w:t>(3), 530–558. https://doi.org/10.1108/JKM-11-2014-0466</w:t>
      </w:r>
    </w:p>
    <w:p w14:paraId="0C8E5927"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Massingham, P. R., &amp; Massingham, R. K. (2014). Does knowledge management produce practical outcomes?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18</w:t>
      </w:r>
      <w:r w:rsidRPr="002A7627">
        <w:rPr>
          <w:rFonts w:cs="Times New Roman"/>
          <w:noProof/>
          <w:szCs w:val="24"/>
        </w:rPr>
        <w:t>(2), 221–254. https://doi.org/10.1108/JKM-10-2013-0390</w:t>
      </w:r>
    </w:p>
    <w:p w14:paraId="4BFED40E"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McDermott, R. (1999). Why information technology inspired but cannot deliver knowledge management. </w:t>
      </w:r>
      <w:r w:rsidRPr="002A7627">
        <w:rPr>
          <w:rFonts w:cs="Times New Roman"/>
          <w:i/>
          <w:iCs/>
          <w:noProof/>
          <w:szCs w:val="24"/>
        </w:rPr>
        <w:t>California Management Review</w:t>
      </w:r>
      <w:r w:rsidRPr="002A7627">
        <w:rPr>
          <w:rFonts w:cs="Times New Roman"/>
          <w:noProof/>
          <w:szCs w:val="24"/>
        </w:rPr>
        <w:t xml:space="preserve">, </w:t>
      </w:r>
      <w:r w:rsidRPr="002A7627">
        <w:rPr>
          <w:rFonts w:cs="Times New Roman"/>
          <w:i/>
          <w:iCs/>
          <w:noProof/>
          <w:szCs w:val="24"/>
        </w:rPr>
        <w:t>41</w:t>
      </w:r>
      <w:r w:rsidRPr="002A7627">
        <w:rPr>
          <w:rFonts w:cs="Times New Roman"/>
          <w:noProof/>
          <w:szCs w:val="24"/>
        </w:rPr>
        <w:t>(4), 103–117. https://doi.org/10.2307/41166012</w:t>
      </w:r>
    </w:p>
    <w:p w14:paraId="0A1A0158" w14:textId="1A3A40B2"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McKeen, J. D., Zack, M. H., &amp; Singh, S. (2006). Knowledge management and organizational performance: </w:t>
      </w:r>
      <w:r w:rsidR="004F5EC3">
        <w:rPr>
          <w:rFonts w:cs="Times New Roman"/>
          <w:noProof/>
          <w:szCs w:val="24"/>
        </w:rPr>
        <w:t>a</w:t>
      </w:r>
      <w:r w:rsidRPr="002A7627">
        <w:rPr>
          <w:rFonts w:cs="Times New Roman"/>
          <w:noProof/>
          <w:szCs w:val="24"/>
        </w:rPr>
        <w:t xml:space="preserve">n exploratory survey. In </w:t>
      </w:r>
      <w:r w:rsidRPr="002A7627">
        <w:rPr>
          <w:rFonts w:cs="Times New Roman"/>
          <w:i/>
          <w:iCs/>
          <w:noProof/>
          <w:szCs w:val="24"/>
        </w:rPr>
        <w:t>Proceedings of the 39th Annual Hawaii International Conference on System Sciences</w:t>
      </w:r>
      <w:r w:rsidRPr="002A7627">
        <w:rPr>
          <w:rFonts w:cs="Times New Roman"/>
          <w:noProof/>
          <w:szCs w:val="24"/>
        </w:rPr>
        <w:t xml:space="preserve"> (pp. 152b-152b). Hawaii: IEEE. https://doi.org/10.1109/HICSS.2006.242</w:t>
      </w:r>
    </w:p>
    <w:p w14:paraId="22B241CC"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Miller, D. (1996). A preliminary typology of organizational learning: Synthesizing the literature. </w:t>
      </w:r>
      <w:r w:rsidRPr="002A7627">
        <w:rPr>
          <w:rFonts w:cs="Times New Roman"/>
          <w:i/>
          <w:iCs/>
          <w:noProof/>
          <w:szCs w:val="24"/>
        </w:rPr>
        <w:t>Journal of Management</w:t>
      </w:r>
      <w:r w:rsidRPr="002A7627">
        <w:rPr>
          <w:rFonts w:cs="Times New Roman"/>
          <w:noProof/>
          <w:szCs w:val="24"/>
        </w:rPr>
        <w:t xml:space="preserve">, </w:t>
      </w:r>
      <w:r w:rsidRPr="002A7627">
        <w:rPr>
          <w:rFonts w:cs="Times New Roman"/>
          <w:i/>
          <w:iCs/>
          <w:noProof/>
          <w:szCs w:val="24"/>
        </w:rPr>
        <w:t>22</w:t>
      </w:r>
      <w:r w:rsidRPr="002A7627">
        <w:rPr>
          <w:rFonts w:cs="Times New Roman"/>
          <w:noProof/>
          <w:szCs w:val="24"/>
        </w:rPr>
        <w:t>(3), 485–505. https://doi.org/10.1016/S0149-2063(96)90033-1</w:t>
      </w:r>
    </w:p>
    <w:p w14:paraId="2B92E4C2" w14:textId="5E91AB7A"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Miller, K. A., Deci, E. L., &amp; Ryan, R. M. (1988). Intrinsic </w:t>
      </w:r>
      <w:r w:rsidR="00266817" w:rsidRPr="002A7627">
        <w:rPr>
          <w:rFonts w:cs="Times New Roman"/>
          <w:noProof/>
          <w:szCs w:val="24"/>
        </w:rPr>
        <w:t>motivation and self-determination in human behavior</w:t>
      </w:r>
      <w:r w:rsidRPr="002A7627">
        <w:rPr>
          <w:rFonts w:cs="Times New Roman"/>
          <w:noProof/>
          <w:szCs w:val="24"/>
        </w:rPr>
        <w:t xml:space="preserve">. </w:t>
      </w:r>
      <w:r w:rsidRPr="002A7627">
        <w:rPr>
          <w:rFonts w:cs="Times New Roman"/>
          <w:i/>
          <w:iCs/>
          <w:noProof/>
          <w:szCs w:val="24"/>
        </w:rPr>
        <w:t>Contemporary Sociology</w:t>
      </w:r>
      <w:r w:rsidRPr="002A7627">
        <w:rPr>
          <w:rFonts w:cs="Times New Roman"/>
          <w:noProof/>
          <w:szCs w:val="24"/>
        </w:rPr>
        <w:t xml:space="preserve">, </w:t>
      </w:r>
      <w:r w:rsidRPr="002A7627">
        <w:rPr>
          <w:rFonts w:cs="Times New Roman"/>
          <w:i/>
          <w:iCs/>
          <w:noProof/>
          <w:szCs w:val="24"/>
        </w:rPr>
        <w:t>17</w:t>
      </w:r>
      <w:r w:rsidRPr="002A7627">
        <w:rPr>
          <w:rFonts w:cs="Times New Roman"/>
          <w:noProof/>
          <w:szCs w:val="24"/>
        </w:rPr>
        <w:t>(2), 253. https://doi.org/10.2307/2070638</w:t>
      </w:r>
    </w:p>
    <w:p w14:paraId="3D5EC26A" w14:textId="47D0A635"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Minbaeva, D. B., Mäkelä, K., &amp; Rabbiosi, L. (2012). Linking HRM and knowledge transfer via individual</w:t>
      </w:r>
      <w:r w:rsidR="00266817">
        <w:rPr>
          <w:rFonts w:cs="Times New Roman"/>
          <w:noProof/>
          <w:szCs w:val="24"/>
        </w:rPr>
        <w:t>-</w:t>
      </w:r>
      <w:r w:rsidRPr="002A7627">
        <w:rPr>
          <w:rFonts w:cs="Times New Roman"/>
          <w:noProof/>
          <w:szCs w:val="24"/>
        </w:rPr>
        <w:t xml:space="preserve">level mechanisms. </w:t>
      </w:r>
      <w:r w:rsidRPr="002A7627">
        <w:rPr>
          <w:rFonts w:cs="Times New Roman"/>
          <w:i/>
          <w:iCs/>
          <w:noProof/>
          <w:szCs w:val="24"/>
        </w:rPr>
        <w:t>Human Resource Management</w:t>
      </w:r>
      <w:r w:rsidRPr="002A7627">
        <w:rPr>
          <w:rFonts w:cs="Times New Roman"/>
          <w:noProof/>
          <w:szCs w:val="24"/>
        </w:rPr>
        <w:t xml:space="preserve">, </w:t>
      </w:r>
      <w:r w:rsidRPr="002A7627">
        <w:rPr>
          <w:rFonts w:cs="Times New Roman"/>
          <w:i/>
          <w:iCs/>
          <w:noProof/>
          <w:szCs w:val="24"/>
        </w:rPr>
        <w:t>51</w:t>
      </w:r>
      <w:r w:rsidRPr="002A7627">
        <w:rPr>
          <w:rFonts w:cs="Times New Roman"/>
          <w:noProof/>
          <w:szCs w:val="24"/>
        </w:rPr>
        <w:t>(3), 387–405.</w:t>
      </w:r>
    </w:p>
    <w:p w14:paraId="77553179"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Mohamed, M. S., O’Sullivan, K. J., &amp; Ribière, V. (2008). A paradigm shift in the Arab region knowledge evolution.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12</w:t>
      </w:r>
      <w:r w:rsidRPr="002A7627">
        <w:rPr>
          <w:rFonts w:cs="Times New Roman"/>
          <w:noProof/>
          <w:szCs w:val="24"/>
        </w:rPr>
        <w:t>(5), 107–120. https://doi.org/10.1108/13673270810902975</w:t>
      </w:r>
    </w:p>
    <w:p w14:paraId="1A57EE6A" w14:textId="2A852C4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Mohamed, M. S., Stankosky, M., &amp; Murray, A. (2006). Knowledge management and information technology: </w:t>
      </w:r>
      <w:r w:rsidR="004F5EC3">
        <w:rPr>
          <w:rFonts w:cs="Times New Roman"/>
          <w:noProof/>
          <w:szCs w:val="24"/>
        </w:rPr>
        <w:t>c</w:t>
      </w:r>
      <w:r w:rsidRPr="002A7627">
        <w:rPr>
          <w:rFonts w:cs="Times New Roman"/>
          <w:noProof/>
          <w:szCs w:val="24"/>
        </w:rPr>
        <w:t xml:space="preserve">an they work in perfect harmony?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10</w:t>
      </w:r>
      <w:r w:rsidRPr="002A7627">
        <w:rPr>
          <w:rFonts w:cs="Times New Roman"/>
          <w:noProof/>
          <w:szCs w:val="24"/>
        </w:rPr>
        <w:t>(3), 103–116. https://doi.org/10.1108/13673270610670885</w:t>
      </w:r>
    </w:p>
    <w:p w14:paraId="3A620AEF"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Mohanapriya, G., &amp; Sasikala, P. (2015). HRM in knowledge management. </w:t>
      </w:r>
      <w:r w:rsidRPr="002A7627">
        <w:rPr>
          <w:rFonts w:cs="Times New Roman"/>
          <w:i/>
          <w:iCs/>
          <w:noProof/>
          <w:szCs w:val="24"/>
        </w:rPr>
        <w:t>International Research Journal of Management Science and Technology</w:t>
      </w:r>
      <w:r w:rsidRPr="002A7627">
        <w:rPr>
          <w:rFonts w:cs="Times New Roman"/>
          <w:noProof/>
          <w:szCs w:val="24"/>
        </w:rPr>
        <w:t xml:space="preserve">, </w:t>
      </w:r>
      <w:r w:rsidRPr="002A7627">
        <w:rPr>
          <w:rFonts w:cs="Times New Roman"/>
          <w:i/>
          <w:iCs/>
          <w:noProof/>
          <w:szCs w:val="24"/>
        </w:rPr>
        <w:t>6</w:t>
      </w:r>
      <w:r w:rsidRPr="002A7627">
        <w:rPr>
          <w:rFonts w:cs="Times New Roman"/>
          <w:noProof/>
          <w:szCs w:val="24"/>
        </w:rPr>
        <w:t>(10), 127–132. Retrieved from http://www.academia.edu/download/44118794/4020.pdf</w:t>
      </w:r>
    </w:p>
    <w:p w14:paraId="5E4A5607" w14:textId="52005E48"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Monavvarian, A., &amp; Khamda, Z. (2010). Towards successful knowledge management: </w:t>
      </w:r>
      <w:r w:rsidR="004F5EC3">
        <w:rPr>
          <w:rFonts w:cs="Times New Roman"/>
          <w:noProof/>
          <w:szCs w:val="24"/>
        </w:rPr>
        <w:t>p</w:t>
      </w:r>
      <w:r w:rsidRPr="002A7627">
        <w:rPr>
          <w:rFonts w:cs="Times New Roman"/>
          <w:noProof/>
          <w:szCs w:val="24"/>
        </w:rPr>
        <w:t xml:space="preserve">eople development approach. </w:t>
      </w:r>
      <w:r w:rsidRPr="002A7627">
        <w:rPr>
          <w:rFonts w:cs="Times New Roman"/>
          <w:i/>
          <w:iCs/>
          <w:noProof/>
          <w:szCs w:val="24"/>
        </w:rPr>
        <w:t>Business Strategy Series</w:t>
      </w:r>
      <w:r w:rsidRPr="002A7627">
        <w:rPr>
          <w:rFonts w:cs="Times New Roman"/>
          <w:noProof/>
          <w:szCs w:val="24"/>
        </w:rPr>
        <w:t xml:space="preserve">, </w:t>
      </w:r>
      <w:r w:rsidRPr="002A7627">
        <w:rPr>
          <w:rFonts w:cs="Times New Roman"/>
          <w:i/>
          <w:iCs/>
          <w:noProof/>
          <w:szCs w:val="24"/>
        </w:rPr>
        <w:t>11</w:t>
      </w:r>
      <w:r w:rsidRPr="002A7627">
        <w:rPr>
          <w:rFonts w:cs="Times New Roman"/>
          <w:noProof/>
          <w:szCs w:val="24"/>
        </w:rPr>
        <w:t>(1), 20–42. https://doi.org/10.1108/17515631011013096</w:t>
      </w:r>
    </w:p>
    <w:p w14:paraId="64D33743"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Moorman, C., &amp; Miner, A. S. (1997). The impact of organizational memory on new product performance and creativity. </w:t>
      </w:r>
      <w:r w:rsidRPr="002A7627">
        <w:rPr>
          <w:rFonts w:cs="Times New Roman"/>
          <w:i/>
          <w:iCs/>
          <w:noProof/>
          <w:szCs w:val="24"/>
        </w:rPr>
        <w:t>Journal of Marketing Research</w:t>
      </w:r>
      <w:r w:rsidRPr="002A7627">
        <w:rPr>
          <w:rFonts w:cs="Times New Roman"/>
          <w:noProof/>
          <w:szCs w:val="24"/>
        </w:rPr>
        <w:t xml:space="preserve">, </w:t>
      </w:r>
      <w:r w:rsidRPr="002A7627">
        <w:rPr>
          <w:rFonts w:cs="Times New Roman"/>
          <w:i/>
          <w:iCs/>
          <w:noProof/>
          <w:szCs w:val="24"/>
        </w:rPr>
        <w:t>34</w:t>
      </w:r>
      <w:r w:rsidRPr="002A7627">
        <w:rPr>
          <w:rFonts w:cs="Times New Roman"/>
          <w:noProof/>
          <w:szCs w:val="24"/>
        </w:rPr>
        <w:t>(1), 91. https://doi.org/10.2307/3152067</w:t>
      </w:r>
    </w:p>
    <w:p w14:paraId="15FBF4B0"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Muafi, &amp; Uyun, Q. (2018). The influence of islamic HRM practices on organizational learning and its impact on environmental, social and religious performance. </w:t>
      </w:r>
      <w:r w:rsidRPr="002A7627">
        <w:rPr>
          <w:rFonts w:cs="Times New Roman"/>
          <w:i/>
          <w:iCs/>
          <w:noProof/>
          <w:szCs w:val="24"/>
        </w:rPr>
        <w:t>Journal of Entrepreneurship Education</w:t>
      </w:r>
      <w:r w:rsidRPr="002A7627">
        <w:rPr>
          <w:rFonts w:cs="Times New Roman"/>
          <w:noProof/>
          <w:szCs w:val="24"/>
        </w:rPr>
        <w:t xml:space="preserve">, </w:t>
      </w:r>
      <w:r w:rsidRPr="002A7627">
        <w:rPr>
          <w:rFonts w:cs="Times New Roman"/>
          <w:i/>
          <w:iCs/>
          <w:noProof/>
          <w:szCs w:val="24"/>
        </w:rPr>
        <w:t>21</w:t>
      </w:r>
      <w:r w:rsidRPr="002A7627">
        <w:rPr>
          <w:rFonts w:cs="Times New Roman"/>
          <w:noProof/>
          <w:szCs w:val="24"/>
        </w:rPr>
        <w:t>(1S), 1–9. Retrieved from https://www.scopus.com/inward/record.uri?eid=2-s2.0-85050796134&amp;partnerID=40&amp;md5=b675f1e04eac2722eedc029681d8b590</w:t>
      </w:r>
    </w:p>
    <w:p w14:paraId="7DE6B443"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Mungai, G. C. N. (2014). </w:t>
      </w:r>
      <w:r w:rsidRPr="002A7627">
        <w:rPr>
          <w:rFonts w:cs="Times New Roman"/>
          <w:i/>
          <w:iCs/>
          <w:noProof/>
          <w:szCs w:val="24"/>
        </w:rPr>
        <w:t>Tacit knowledge management in public institutions in Kenya: A case of the Kenya Institute For Public Policy Research and Analysis (KIPPRA) Nairobi</w:t>
      </w:r>
      <w:r w:rsidRPr="002A7627">
        <w:rPr>
          <w:rFonts w:cs="Times New Roman"/>
          <w:noProof/>
          <w:szCs w:val="24"/>
        </w:rPr>
        <w:t>. University of South Africa, Pretoria, South Africa.</w:t>
      </w:r>
    </w:p>
    <w:p w14:paraId="169E749D" w14:textId="732DDCB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Muqadas, F., Rehman, M., Aslam, U., &amp; Ur-Rahman, U. (2017). Exploring the challenges, trends and issues for knowledge sharing: </w:t>
      </w:r>
      <w:r w:rsidR="004F5EC3">
        <w:rPr>
          <w:rFonts w:cs="Times New Roman"/>
          <w:noProof/>
          <w:szCs w:val="24"/>
        </w:rPr>
        <w:t>a</w:t>
      </w:r>
      <w:r w:rsidR="004F5EC3" w:rsidRPr="002A7627">
        <w:rPr>
          <w:rFonts w:cs="Times New Roman"/>
          <w:noProof/>
          <w:szCs w:val="24"/>
        </w:rPr>
        <w:t xml:space="preserve"> </w:t>
      </w:r>
      <w:r w:rsidRPr="002A7627">
        <w:rPr>
          <w:rFonts w:cs="Times New Roman"/>
          <w:noProof/>
          <w:szCs w:val="24"/>
        </w:rPr>
        <w:t xml:space="preserve">study on employees in public sector universities. </w:t>
      </w:r>
      <w:r w:rsidRPr="002A7627">
        <w:rPr>
          <w:rFonts w:cs="Times New Roman"/>
          <w:i/>
          <w:iCs/>
          <w:noProof/>
          <w:szCs w:val="24"/>
        </w:rPr>
        <w:t>VINE</w:t>
      </w:r>
      <w:r w:rsidRPr="002A7627">
        <w:rPr>
          <w:rFonts w:cs="Times New Roman"/>
          <w:noProof/>
          <w:szCs w:val="24"/>
        </w:rPr>
        <w:t xml:space="preserve">, </w:t>
      </w:r>
      <w:r w:rsidRPr="002A7627">
        <w:rPr>
          <w:rFonts w:cs="Times New Roman"/>
          <w:i/>
          <w:iCs/>
          <w:noProof/>
          <w:szCs w:val="24"/>
        </w:rPr>
        <w:t>47</w:t>
      </w:r>
      <w:r w:rsidRPr="002A7627">
        <w:rPr>
          <w:rFonts w:cs="Times New Roman"/>
          <w:noProof/>
          <w:szCs w:val="24"/>
        </w:rPr>
        <w:t>(1), 2–15. https://doi.org/10.1108/VJIKMS-06-2016-0036</w:t>
      </w:r>
    </w:p>
    <w:p w14:paraId="57EC71B1" w14:textId="4179ACFA"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Muthuveloo, R., Shanmugam, N., &amp; Teoh, A. P. (2017). The impact of tacit knowledge management on organizational performance: </w:t>
      </w:r>
      <w:r w:rsidR="004F5EC3">
        <w:rPr>
          <w:rFonts w:cs="Times New Roman"/>
          <w:noProof/>
          <w:szCs w:val="24"/>
        </w:rPr>
        <w:t>e</w:t>
      </w:r>
      <w:r w:rsidRPr="002A7627">
        <w:rPr>
          <w:rFonts w:cs="Times New Roman"/>
          <w:noProof/>
          <w:szCs w:val="24"/>
        </w:rPr>
        <w:t xml:space="preserve">vidence from Malaysia. </w:t>
      </w:r>
      <w:r w:rsidRPr="002A7627">
        <w:rPr>
          <w:rFonts w:cs="Times New Roman"/>
          <w:i/>
          <w:iCs/>
          <w:noProof/>
          <w:szCs w:val="24"/>
        </w:rPr>
        <w:t>Asia Pacific Management Review</w:t>
      </w:r>
      <w:r w:rsidRPr="002A7627">
        <w:rPr>
          <w:rFonts w:cs="Times New Roman"/>
          <w:noProof/>
          <w:szCs w:val="24"/>
        </w:rPr>
        <w:t xml:space="preserve">, </w:t>
      </w:r>
      <w:r w:rsidRPr="002A7627">
        <w:rPr>
          <w:rFonts w:cs="Times New Roman"/>
          <w:i/>
          <w:iCs/>
          <w:noProof/>
          <w:szCs w:val="24"/>
        </w:rPr>
        <w:t>22</w:t>
      </w:r>
      <w:r w:rsidRPr="002A7627">
        <w:rPr>
          <w:rFonts w:cs="Times New Roman"/>
          <w:noProof/>
          <w:szCs w:val="24"/>
        </w:rPr>
        <w:t>(4), 192–201. https://doi.org/10.1016/J.APMRV.2017.07.010</w:t>
      </w:r>
    </w:p>
    <w:p w14:paraId="24D27828"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Nachar, N. (2008). The Mann-Whitney U: A test for assessing whether two independent samples come from the same distribution. </w:t>
      </w:r>
      <w:r w:rsidRPr="002A7627">
        <w:rPr>
          <w:rFonts w:cs="Times New Roman"/>
          <w:i/>
          <w:iCs/>
          <w:noProof/>
          <w:szCs w:val="24"/>
        </w:rPr>
        <w:t>Tutorials in Quantitative Methods for Psychology</w:t>
      </w:r>
      <w:r w:rsidRPr="002A7627">
        <w:rPr>
          <w:rFonts w:cs="Times New Roman"/>
          <w:noProof/>
          <w:szCs w:val="24"/>
        </w:rPr>
        <w:t xml:space="preserve">, </w:t>
      </w:r>
      <w:r w:rsidRPr="002A7627">
        <w:rPr>
          <w:rFonts w:cs="Times New Roman"/>
          <w:i/>
          <w:iCs/>
          <w:noProof/>
          <w:szCs w:val="24"/>
        </w:rPr>
        <w:t>4</w:t>
      </w:r>
      <w:r w:rsidRPr="002A7627">
        <w:rPr>
          <w:rFonts w:cs="Times New Roman"/>
          <w:noProof/>
          <w:szCs w:val="24"/>
        </w:rPr>
        <w:t>(1), 13–20. https://doi.org/10.20982/tqmp.04.1.p013</w:t>
      </w:r>
    </w:p>
    <w:p w14:paraId="39585CBD" w14:textId="73EDD1C0"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Nafei, W. (2014). The mediating effects of organizational learning on the relationship between knowledge management and organizational performance: </w:t>
      </w:r>
      <w:r w:rsidR="004F5EC3">
        <w:rPr>
          <w:rFonts w:cs="Times New Roman"/>
          <w:noProof/>
          <w:szCs w:val="24"/>
        </w:rPr>
        <w:t>a</w:t>
      </w:r>
      <w:r w:rsidRPr="002A7627">
        <w:rPr>
          <w:rFonts w:cs="Times New Roman"/>
          <w:noProof/>
          <w:szCs w:val="24"/>
        </w:rPr>
        <w:t xml:space="preserve">n applied study on the Egyptian Commercial Banks. </w:t>
      </w:r>
      <w:r w:rsidRPr="002A7627">
        <w:rPr>
          <w:rFonts w:cs="Times New Roman"/>
          <w:i/>
          <w:iCs/>
          <w:noProof/>
          <w:szCs w:val="24"/>
        </w:rPr>
        <w:t>International Journal of Business and Management</w:t>
      </w:r>
      <w:r w:rsidRPr="002A7627">
        <w:rPr>
          <w:rFonts w:cs="Times New Roman"/>
          <w:noProof/>
          <w:szCs w:val="24"/>
        </w:rPr>
        <w:t xml:space="preserve">, </w:t>
      </w:r>
      <w:r w:rsidRPr="002A7627">
        <w:rPr>
          <w:rFonts w:cs="Times New Roman"/>
          <w:i/>
          <w:iCs/>
          <w:noProof/>
          <w:szCs w:val="24"/>
        </w:rPr>
        <w:t>9</w:t>
      </w:r>
      <w:r w:rsidRPr="002A7627">
        <w:rPr>
          <w:rFonts w:cs="Times New Roman"/>
          <w:noProof/>
          <w:szCs w:val="24"/>
        </w:rPr>
        <w:t>(2), 244. https://doi.org/10.5539/ijbm.v9n2p244</w:t>
      </w:r>
    </w:p>
    <w:p w14:paraId="0DEAA012" w14:textId="0594B84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Nandy, V. (2015). </w:t>
      </w:r>
      <w:r w:rsidRPr="002A7627">
        <w:rPr>
          <w:rFonts w:cs="Times New Roman"/>
          <w:i/>
          <w:iCs/>
          <w:noProof/>
          <w:szCs w:val="24"/>
        </w:rPr>
        <w:t>Impact of organizational context factors on individuals ’ self-reported knowledge sharing behaviors</w:t>
      </w:r>
      <w:r w:rsidRPr="002A7627">
        <w:rPr>
          <w:rFonts w:cs="Times New Roman"/>
          <w:noProof/>
          <w:szCs w:val="24"/>
        </w:rPr>
        <w:t xml:space="preserve">. </w:t>
      </w:r>
      <w:r w:rsidR="00266817" w:rsidRPr="002A7627">
        <w:rPr>
          <w:rFonts w:cs="Times New Roman"/>
          <w:noProof/>
          <w:szCs w:val="24"/>
        </w:rPr>
        <w:t>Blacksburg, VA</w:t>
      </w:r>
      <w:r w:rsidR="00266817">
        <w:rPr>
          <w:rFonts w:cs="Times New Roman"/>
          <w:noProof/>
          <w:szCs w:val="24"/>
        </w:rPr>
        <w:t>:</w:t>
      </w:r>
      <w:r w:rsidR="00266817" w:rsidRPr="002A7627">
        <w:rPr>
          <w:rFonts w:cs="Times New Roman"/>
          <w:noProof/>
          <w:szCs w:val="24"/>
        </w:rPr>
        <w:t xml:space="preserve"> </w:t>
      </w:r>
      <w:r w:rsidRPr="002A7627">
        <w:rPr>
          <w:rFonts w:cs="Times New Roman"/>
          <w:noProof/>
          <w:szCs w:val="24"/>
        </w:rPr>
        <w:t>Virginia Polytechnic Institute and State University.</w:t>
      </w:r>
    </w:p>
    <w:p w14:paraId="7D0B8B1B" w14:textId="356E2348"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National Media Council (2011). </w:t>
      </w:r>
      <w:r w:rsidRPr="00935DBF">
        <w:rPr>
          <w:rFonts w:cs="Times New Roman"/>
          <w:i/>
          <w:noProof/>
          <w:szCs w:val="24"/>
        </w:rPr>
        <w:t>Economy</w:t>
      </w:r>
      <w:r w:rsidRPr="002A7627">
        <w:rPr>
          <w:rFonts w:cs="Times New Roman"/>
          <w:noProof/>
          <w:szCs w:val="24"/>
        </w:rPr>
        <w:t>. Retrieved June 11, 2019, from https://www.government.ae/en/about-the-uae/economy</w:t>
      </w:r>
    </w:p>
    <w:p w14:paraId="3EE49055"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Nisar, T. M., Prabhakar, G., &amp; Strakova, L. (2019). Social media information benefits, knowledge management and smart organizations. </w:t>
      </w:r>
      <w:r w:rsidRPr="002A7627">
        <w:rPr>
          <w:rFonts w:cs="Times New Roman"/>
          <w:i/>
          <w:iCs/>
          <w:noProof/>
          <w:szCs w:val="24"/>
        </w:rPr>
        <w:t>Journal of Business Research</w:t>
      </w:r>
      <w:r w:rsidRPr="002A7627">
        <w:rPr>
          <w:rFonts w:cs="Times New Roman"/>
          <w:noProof/>
          <w:szCs w:val="24"/>
        </w:rPr>
        <w:t xml:space="preserve">, </w:t>
      </w:r>
      <w:r w:rsidRPr="002A7627">
        <w:rPr>
          <w:rFonts w:cs="Times New Roman"/>
          <w:i/>
          <w:iCs/>
          <w:noProof/>
          <w:szCs w:val="24"/>
        </w:rPr>
        <w:t>94</w:t>
      </w:r>
      <w:r w:rsidRPr="002A7627">
        <w:rPr>
          <w:rFonts w:cs="Times New Roman"/>
          <w:noProof/>
          <w:szCs w:val="24"/>
        </w:rPr>
        <w:t>, 264–272. https://doi.org/10.1016/j.jbusres.2018.05.005</w:t>
      </w:r>
    </w:p>
    <w:p w14:paraId="6181DABA"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Nishimoto, K., &amp; Matsuda, K. (2007). Informal communication support media for encouraging knowledge-sharing and creation in a community. </w:t>
      </w:r>
      <w:r w:rsidRPr="002A7627">
        <w:rPr>
          <w:rFonts w:cs="Times New Roman"/>
          <w:i/>
          <w:iCs/>
          <w:noProof/>
          <w:szCs w:val="24"/>
        </w:rPr>
        <w:t>International Journal of Information Technology and Decision Making</w:t>
      </w:r>
      <w:r w:rsidRPr="002A7627">
        <w:rPr>
          <w:rFonts w:cs="Times New Roman"/>
          <w:noProof/>
          <w:szCs w:val="24"/>
        </w:rPr>
        <w:t xml:space="preserve">, </w:t>
      </w:r>
      <w:r w:rsidRPr="002A7627">
        <w:rPr>
          <w:rFonts w:cs="Times New Roman"/>
          <w:i/>
          <w:iCs/>
          <w:noProof/>
          <w:szCs w:val="24"/>
        </w:rPr>
        <w:t>06</w:t>
      </w:r>
      <w:r w:rsidRPr="002A7627">
        <w:rPr>
          <w:rFonts w:cs="Times New Roman"/>
          <w:noProof/>
          <w:szCs w:val="24"/>
        </w:rPr>
        <w:t>(03), 411–426. https://doi.org/10.1142/S0219622007002551</w:t>
      </w:r>
    </w:p>
    <w:p w14:paraId="4DB10735" w14:textId="5D4C506E"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Njuguna, J. (2009). Strategic positioning for sustainable competitive advantage: </w:t>
      </w:r>
      <w:r w:rsidR="00E357BC">
        <w:rPr>
          <w:rFonts w:cs="Times New Roman"/>
          <w:noProof/>
          <w:szCs w:val="24"/>
        </w:rPr>
        <w:t>a</w:t>
      </w:r>
      <w:r w:rsidRPr="002A7627">
        <w:rPr>
          <w:rFonts w:cs="Times New Roman"/>
          <w:noProof/>
          <w:szCs w:val="24"/>
        </w:rPr>
        <w:t xml:space="preserve">n organizational learning approach. </w:t>
      </w:r>
      <w:r w:rsidRPr="002A7627">
        <w:rPr>
          <w:rFonts w:cs="Times New Roman"/>
          <w:i/>
          <w:iCs/>
          <w:noProof/>
          <w:szCs w:val="24"/>
        </w:rPr>
        <w:t>KCA Journal of Business Management</w:t>
      </w:r>
      <w:r w:rsidRPr="002A7627">
        <w:rPr>
          <w:rFonts w:cs="Times New Roman"/>
          <w:noProof/>
          <w:szCs w:val="24"/>
        </w:rPr>
        <w:t xml:space="preserve">, </w:t>
      </w:r>
      <w:r w:rsidRPr="002A7627">
        <w:rPr>
          <w:rFonts w:cs="Times New Roman"/>
          <w:i/>
          <w:iCs/>
          <w:noProof/>
          <w:szCs w:val="24"/>
        </w:rPr>
        <w:t>2</w:t>
      </w:r>
      <w:r w:rsidRPr="002A7627">
        <w:rPr>
          <w:rFonts w:cs="Times New Roman"/>
          <w:noProof/>
          <w:szCs w:val="24"/>
        </w:rPr>
        <w:t>(1), 1–15.</w:t>
      </w:r>
    </w:p>
    <w:p w14:paraId="1B6E5CD7" w14:textId="4FA6CB24" w:rsidR="00CD0B2F" w:rsidRPr="00E3727D" w:rsidRDefault="00CD0B2F" w:rsidP="002A7627">
      <w:pPr>
        <w:spacing w:line="480" w:lineRule="auto"/>
        <w:ind w:left="480" w:hanging="480"/>
        <w:jc w:val="both"/>
        <w:rPr>
          <w:rFonts w:cs="Times New Roman"/>
          <w:noProof/>
          <w:color w:val="000000" w:themeColor="text1"/>
          <w:szCs w:val="24"/>
        </w:rPr>
      </w:pPr>
      <w:r w:rsidRPr="002A7627">
        <w:rPr>
          <w:rFonts w:cs="Times New Roman"/>
          <w:noProof/>
          <w:szCs w:val="24"/>
        </w:rPr>
        <w:t xml:space="preserve">Noe, R. A., Hollenbeck, J. R., Gerhart, B., &amp; Wright, P. M. (2018). </w:t>
      </w:r>
      <w:r w:rsidRPr="002A7627">
        <w:rPr>
          <w:rFonts w:cs="Times New Roman"/>
          <w:i/>
          <w:iCs/>
          <w:noProof/>
          <w:szCs w:val="24"/>
        </w:rPr>
        <w:t xml:space="preserve">Human resource management: </w:t>
      </w:r>
      <w:r w:rsidR="00E357BC">
        <w:rPr>
          <w:rFonts w:cs="Times New Roman"/>
          <w:i/>
          <w:iCs/>
          <w:noProof/>
          <w:szCs w:val="24"/>
        </w:rPr>
        <w:t>g</w:t>
      </w:r>
      <w:r w:rsidRPr="002A7627">
        <w:rPr>
          <w:rFonts w:cs="Times New Roman"/>
          <w:i/>
          <w:iCs/>
          <w:noProof/>
          <w:szCs w:val="24"/>
        </w:rPr>
        <w:t>aining a competitive advantage</w:t>
      </w:r>
      <w:r w:rsidRPr="002A7627">
        <w:rPr>
          <w:rFonts w:cs="Times New Roman"/>
          <w:noProof/>
          <w:szCs w:val="24"/>
        </w:rPr>
        <w:t xml:space="preserve">. New York, NY: McGraw-Hill Education. </w:t>
      </w:r>
      <w:hyperlink r:id="rId51" w:history="1">
        <w:r w:rsidR="00E3727D" w:rsidRPr="00E3727D">
          <w:rPr>
            <w:rStyle w:val="Hyperlink"/>
            <w:rFonts w:cs="Times New Roman"/>
            <w:noProof/>
            <w:color w:val="000000" w:themeColor="text1"/>
            <w:szCs w:val="24"/>
            <w:u w:val="none"/>
          </w:rPr>
          <w:t>https://doi.org/10.1016/B978-0-12-812632-5.00017-3</w:t>
        </w:r>
      </w:hyperlink>
    </w:p>
    <w:p w14:paraId="589AB38C" w14:textId="2C482F80" w:rsidR="00E3727D" w:rsidRPr="002A7627" w:rsidRDefault="00E3727D" w:rsidP="002A7627">
      <w:pPr>
        <w:spacing w:line="480" w:lineRule="auto"/>
        <w:ind w:left="480" w:hanging="480"/>
        <w:jc w:val="both"/>
        <w:rPr>
          <w:rFonts w:cs="Times New Roman"/>
          <w:noProof/>
          <w:szCs w:val="24"/>
        </w:rPr>
      </w:pPr>
      <w:r>
        <w:t xml:space="preserve">Nonaka, I. (1994). A dynamic theory of organizational knowledge creation. </w:t>
      </w:r>
      <w:r>
        <w:rPr>
          <w:i/>
          <w:iCs/>
        </w:rPr>
        <w:t>Organization science</w:t>
      </w:r>
      <w:r>
        <w:t xml:space="preserve">, </w:t>
      </w:r>
      <w:r>
        <w:rPr>
          <w:i/>
          <w:iCs/>
        </w:rPr>
        <w:t>5</w:t>
      </w:r>
      <w:r>
        <w:t>(1), 14-37.</w:t>
      </w:r>
    </w:p>
    <w:p w14:paraId="73EC5CC0" w14:textId="186EEF82"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Nonaka, I., Toyama, R., &amp; Konno, N. (2000). SECI, Ba and leadership: </w:t>
      </w:r>
      <w:r w:rsidR="00E357BC">
        <w:rPr>
          <w:rFonts w:cs="Times New Roman"/>
          <w:noProof/>
          <w:szCs w:val="24"/>
        </w:rPr>
        <w:t>a</w:t>
      </w:r>
      <w:r w:rsidRPr="002A7627">
        <w:rPr>
          <w:rFonts w:cs="Times New Roman"/>
          <w:noProof/>
          <w:szCs w:val="24"/>
        </w:rPr>
        <w:t xml:space="preserve"> unified model of dynamic knowledge creation. </w:t>
      </w:r>
      <w:r w:rsidRPr="002A7627">
        <w:rPr>
          <w:rFonts w:cs="Times New Roman"/>
          <w:i/>
          <w:iCs/>
          <w:noProof/>
          <w:szCs w:val="24"/>
        </w:rPr>
        <w:t>Long Range Planning</w:t>
      </w:r>
      <w:r w:rsidRPr="002A7627">
        <w:rPr>
          <w:rFonts w:cs="Times New Roman"/>
          <w:noProof/>
          <w:szCs w:val="24"/>
        </w:rPr>
        <w:t xml:space="preserve">, </w:t>
      </w:r>
      <w:r w:rsidRPr="002A7627">
        <w:rPr>
          <w:rFonts w:cs="Times New Roman"/>
          <w:i/>
          <w:iCs/>
          <w:noProof/>
          <w:szCs w:val="24"/>
        </w:rPr>
        <w:t>33</w:t>
      </w:r>
      <w:r w:rsidRPr="002A7627">
        <w:rPr>
          <w:rFonts w:cs="Times New Roman"/>
          <w:noProof/>
          <w:szCs w:val="24"/>
        </w:rPr>
        <w:t>(1), 5–34. https://doi.org/10.1016/S0024-6301(99)00115-6</w:t>
      </w:r>
    </w:p>
    <w:p w14:paraId="4DAF17E0"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Nowacki, R., &amp; Bachnik, K. (2016). Innovations within knowledge management. </w:t>
      </w:r>
      <w:r w:rsidRPr="002A7627">
        <w:rPr>
          <w:rFonts w:cs="Times New Roman"/>
          <w:i/>
          <w:iCs/>
          <w:noProof/>
          <w:szCs w:val="24"/>
        </w:rPr>
        <w:t>Journal of Business Research</w:t>
      </w:r>
      <w:r w:rsidRPr="002A7627">
        <w:rPr>
          <w:rFonts w:cs="Times New Roman"/>
          <w:noProof/>
          <w:szCs w:val="24"/>
        </w:rPr>
        <w:t xml:space="preserve">, </w:t>
      </w:r>
      <w:r w:rsidRPr="002A7627">
        <w:rPr>
          <w:rFonts w:cs="Times New Roman"/>
          <w:i/>
          <w:iCs/>
          <w:noProof/>
          <w:szCs w:val="24"/>
        </w:rPr>
        <w:t>69</w:t>
      </w:r>
      <w:r w:rsidRPr="002A7627">
        <w:rPr>
          <w:rFonts w:cs="Times New Roman"/>
          <w:noProof/>
          <w:szCs w:val="24"/>
        </w:rPr>
        <w:t>(5), 1577–1581. https://doi.org/10.1016/J.JBUSRES.2015.10.020</w:t>
      </w:r>
    </w:p>
    <w:p w14:paraId="5133DC64"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Nunnally, J. C., &amp; Bernstein, I. H. (1994). The assessment of reliability. </w:t>
      </w:r>
      <w:r w:rsidRPr="002A7627">
        <w:rPr>
          <w:rFonts w:cs="Times New Roman"/>
          <w:i/>
          <w:iCs/>
          <w:noProof/>
          <w:szCs w:val="24"/>
        </w:rPr>
        <w:t>Psychometric Theory</w:t>
      </w:r>
      <w:r w:rsidRPr="002A7627">
        <w:rPr>
          <w:rFonts w:cs="Times New Roman"/>
          <w:noProof/>
          <w:szCs w:val="24"/>
        </w:rPr>
        <w:t xml:space="preserve">, </w:t>
      </w:r>
      <w:r w:rsidRPr="002A7627">
        <w:rPr>
          <w:rFonts w:cs="Times New Roman"/>
          <w:i/>
          <w:iCs/>
          <w:noProof/>
          <w:szCs w:val="24"/>
        </w:rPr>
        <w:t>3</w:t>
      </w:r>
      <w:r w:rsidRPr="002A7627">
        <w:rPr>
          <w:rFonts w:cs="Times New Roman"/>
          <w:noProof/>
          <w:szCs w:val="24"/>
        </w:rPr>
        <w:t>(1), 261–263. https://doi.org/10.1037/018882</w:t>
      </w:r>
    </w:p>
    <w:p w14:paraId="4D9AD75F" w14:textId="72E70DF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O’Dell, C. S., Grayson, C. J., &amp; Essaides, N. (1998). </w:t>
      </w:r>
      <w:r w:rsidRPr="002A7627">
        <w:rPr>
          <w:rFonts w:cs="Times New Roman"/>
          <w:i/>
          <w:iCs/>
          <w:noProof/>
          <w:szCs w:val="24"/>
        </w:rPr>
        <w:t xml:space="preserve">If only we knew what we know: </w:t>
      </w:r>
      <w:r w:rsidR="00E357BC">
        <w:rPr>
          <w:rFonts w:cs="Times New Roman"/>
          <w:i/>
          <w:iCs/>
          <w:noProof/>
          <w:szCs w:val="24"/>
        </w:rPr>
        <w:t>t</w:t>
      </w:r>
      <w:r w:rsidRPr="002A7627">
        <w:rPr>
          <w:rFonts w:cs="Times New Roman"/>
          <w:i/>
          <w:iCs/>
          <w:noProof/>
          <w:szCs w:val="24"/>
        </w:rPr>
        <w:t>he transfer of internal knowledge and best practice</w:t>
      </w:r>
      <w:r w:rsidRPr="002A7627">
        <w:rPr>
          <w:rFonts w:cs="Times New Roman"/>
          <w:noProof/>
          <w:szCs w:val="24"/>
        </w:rPr>
        <w:t>. London, UK: Simon and Schuster.</w:t>
      </w:r>
    </w:p>
    <w:p w14:paraId="484538B2"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Oluikpe, P. (2012). Developing a corporate knowledge management strategy.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16</w:t>
      </w:r>
      <w:r w:rsidRPr="002A7627">
        <w:rPr>
          <w:rFonts w:cs="Times New Roman"/>
          <w:noProof/>
          <w:szCs w:val="24"/>
        </w:rPr>
        <w:t>(6), 862–878. https://doi.org/10.1108/13673271211276164</w:t>
      </w:r>
    </w:p>
    <w:p w14:paraId="229CCEB2"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Osterloh, M., &amp; Frey, B. S. (2000). Motivation, knowledge transfer, and organizational forms. </w:t>
      </w:r>
      <w:r w:rsidRPr="002A7627">
        <w:rPr>
          <w:rFonts w:cs="Times New Roman"/>
          <w:i/>
          <w:iCs/>
          <w:noProof/>
          <w:szCs w:val="24"/>
        </w:rPr>
        <w:t>Organization Science</w:t>
      </w:r>
      <w:r w:rsidRPr="002A7627">
        <w:rPr>
          <w:rFonts w:cs="Times New Roman"/>
          <w:noProof/>
          <w:szCs w:val="24"/>
        </w:rPr>
        <w:t xml:space="preserve">, </w:t>
      </w:r>
      <w:r w:rsidRPr="002A7627">
        <w:rPr>
          <w:rFonts w:cs="Times New Roman"/>
          <w:i/>
          <w:iCs/>
          <w:noProof/>
          <w:szCs w:val="24"/>
        </w:rPr>
        <w:t>11</w:t>
      </w:r>
      <w:r w:rsidRPr="002A7627">
        <w:rPr>
          <w:rFonts w:cs="Times New Roman"/>
          <w:noProof/>
          <w:szCs w:val="24"/>
        </w:rPr>
        <w:t>(5), 538–550.</w:t>
      </w:r>
    </w:p>
    <w:p w14:paraId="74B247D2"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Palacios, J. G., Kaspereit, M., &amp; Kienle, A. (2011). Integrated simulated moving bed processes for production of single enantiomers. </w:t>
      </w:r>
      <w:r w:rsidRPr="002A7627">
        <w:rPr>
          <w:rFonts w:cs="Times New Roman"/>
          <w:i/>
          <w:iCs/>
          <w:noProof/>
          <w:szCs w:val="24"/>
        </w:rPr>
        <w:t>Chemical Engineering and Technology</w:t>
      </w:r>
      <w:r w:rsidRPr="002A7627">
        <w:rPr>
          <w:rFonts w:cs="Times New Roman"/>
          <w:noProof/>
          <w:szCs w:val="24"/>
        </w:rPr>
        <w:t xml:space="preserve">, </w:t>
      </w:r>
      <w:r w:rsidRPr="002A7627">
        <w:rPr>
          <w:rFonts w:cs="Times New Roman"/>
          <w:i/>
          <w:iCs/>
          <w:noProof/>
          <w:szCs w:val="24"/>
        </w:rPr>
        <w:t>34</w:t>
      </w:r>
      <w:r w:rsidRPr="002A7627">
        <w:rPr>
          <w:rFonts w:cs="Times New Roman"/>
          <w:noProof/>
          <w:szCs w:val="24"/>
        </w:rPr>
        <w:t>(5), 688–698. https://doi.org/10.1002/ceat.201000522</w:t>
      </w:r>
    </w:p>
    <w:p w14:paraId="767A363A"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Pallant, J. (2011). </w:t>
      </w:r>
      <w:r w:rsidRPr="002A7627">
        <w:rPr>
          <w:rFonts w:cs="Times New Roman"/>
          <w:i/>
          <w:iCs/>
          <w:noProof/>
          <w:szCs w:val="24"/>
        </w:rPr>
        <w:t>SPSS survival manual, a step by step guide to data analysis using SPSS for windows</w:t>
      </w:r>
      <w:r w:rsidRPr="002A7627">
        <w:rPr>
          <w:rFonts w:cs="Times New Roman"/>
          <w:noProof/>
          <w:szCs w:val="24"/>
        </w:rPr>
        <w:t>. Sydney, Australia: McGraw Hill.</w:t>
      </w:r>
    </w:p>
    <w:p w14:paraId="497F417C" w14:textId="251092DB"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Park, J.-H., Suh, H.-J., &amp; Yang, H.-D. (2007). Perceived absorptive capacity of individual users in performance of Enterprise Resource Planning (ERP) usage: </w:t>
      </w:r>
      <w:r w:rsidR="00266817">
        <w:rPr>
          <w:rFonts w:cs="Times New Roman"/>
          <w:noProof/>
          <w:szCs w:val="24"/>
        </w:rPr>
        <w:t>t</w:t>
      </w:r>
      <w:r w:rsidRPr="002A7627">
        <w:rPr>
          <w:rFonts w:cs="Times New Roman"/>
          <w:noProof/>
          <w:szCs w:val="24"/>
        </w:rPr>
        <w:t xml:space="preserve">he case for Korean firms. </w:t>
      </w:r>
      <w:r w:rsidRPr="002A7627">
        <w:rPr>
          <w:rFonts w:cs="Times New Roman"/>
          <w:i/>
          <w:iCs/>
          <w:noProof/>
          <w:szCs w:val="24"/>
        </w:rPr>
        <w:t>Information and Management</w:t>
      </w:r>
      <w:r w:rsidRPr="002A7627">
        <w:rPr>
          <w:rFonts w:cs="Times New Roman"/>
          <w:noProof/>
          <w:szCs w:val="24"/>
        </w:rPr>
        <w:t xml:space="preserve">, </w:t>
      </w:r>
      <w:r w:rsidRPr="002A7627">
        <w:rPr>
          <w:rFonts w:cs="Times New Roman"/>
          <w:i/>
          <w:iCs/>
          <w:noProof/>
          <w:szCs w:val="24"/>
        </w:rPr>
        <w:t>44</w:t>
      </w:r>
      <w:r w:rsidRPr="002A7627">
        <w:rPr>
          <w:rFonts w:cs="Times New Roman"/>
          <w:noProof/>
          <w:szCs w:val="24"/>
        </w:rPr>
        <w:t>(3), 300–312. https://doi.org/10.1016/j.im.2007.02.001</w:t>
      </w:r>
    </w:p>
    <w:p w14:paraId="320019F9" w14:textId="07DE9D6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Pee, L. G., &amp; Kankanhalli, A. (2016). Interactions among factors influencing knowledge management in public-sector organizations: </w:t>
      </w:r>
      <w:r w:rsidR="00E357BC">
        <w:rPr>
          <w:rFonts w:cs="Times New Roman"/>
          <w:noProof/>
          <w:szCs w:val="24"/>
        </w:rPr>
        <w:t>a</w:t>
      </w:r>
      <w:r w:rsidRPr="002A7627">
        <w:rPr>
          <w:rFonts w:cs="Times New Roman"/>
          <w:noProof/>
          <w:szCs w:val="24"/>
        </w:rPr>
        <w:t xml:space="preserve"> resource-based view. </w:t>
      </w:r>
      <w:r w:rsidRPr="002A7627">
        <w:rPr>
          <w:rFonts w:cs="Times New Roman"/>
          <w:i/>
          <w:iCs/>
          <w:noProof/>
          <w:szCs w:val="24"/>
        </w:rPr>
        <w:t>Government Information Quarterly</w:t>
      </w:r>
      <w:r w:rsidRPr="002A7627">
        <w:rPr>
          <w:rFonts w:cs="Times New Roman"/>
          <w:noProof/>
          <w:szCs w:val="24"/>
        </w:rPr>
        <w:t xml:space="preserve">, </w:t>
      </w:r>
      <w:r w:rsidRPr="002A7627">
        <w:rPr>
          <w:rFonts w:cs="Times New Roman"/>
          <w:i/>
          <w:iCs/>
          <w:noProof/>
          <w:szCs w:val="24"/>
        </w:rPr>
        <w:t>33</w:t>
      </w:r>
      <w:r w:rsidRPr="002A7627">
        <w:rPr>
          <w:rFonts w:cs="Times New Roman"/>
          <w:noProof/>
          <w:szCs w:val="24"/>
        </w:rPr>
        <w:t>(1), 188–199. https://doi.org/10.1016/j.giq.2015.06.002</w:t>
      </w:r>
    </w:p>
    <w:p w14:paraId="48F13CD3" w14:textId="024A051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Pee, L. G., &amp; Lee, J. (2015). Intrinsically motivating employees’ online knowledge sharing: </w:t>
      </w:r>
      <w:r w:rsidR="00E357BC">
        <w:rPr>
          <w:rFonts w:cs="Times New Roman"/>
          <w:noProof/>
          <w:szCs w:val="24"/>
        </w:rPr>
        <w:t>u</w:t>
      </w:r>
      <w:r w:rsidRPr="002A7627">
        <w:rPr>
          <w:rFonts w:cs="Times New Roman"/>
          <w:noProof/>
          <w:szCs w:val="24"/>
        </w:rPr>
        <w:t xml:space="preserve">nderstanding the effects of job design. </w:t>
      </w:r>
      <w:r w:rsidRPr="002A7627">
        <w:rPr>
          <w:rFonts w:cs="Times New Roman"/>
          <w:i/>
          <w:iCs/>
          <w:noProof/>
          <w:szCs w:val="24"/>
        </w:rPr>
        <w:t>International Journal of Information Management</w:t>
      </w:r>
      <w:r w:rsidRPr="002A7627">
        <w:rPr>
          <w:rFonts w:cs="Times New Roman"/>
          <w:noProof/>
          <w:szCs w:val="24"/>
        </w:rPr>
        <w:t xml:space="preserve">, </w:t>
      </w:r>
      <w:r w:rsidRPr="002A7627">
        <w:rPr>
          <w:rFonts w:cs="Times New Roman"/>
          <w:i/>
          <w:iCs/>
          <w:noProof/>
          <w:szCs w:val="24"/>
        </w:rPr>
        <w:t>35</w:t>
      </w:r>
      <w:r w:rsidRPr="002A7627">
        <w:rPr>
          <w:rFonts w:cs="Times New Roman"/>
          <w:noProof/>
          <w:szCs w:val="24"/>
        </w:rPr>
        <w:t>(6), 679–690. https://doi.org/10.1016/j.ijinfomgt.2015.08.002</w:t>
      </w:r>
    </w:p>
    <w:p w14:paraId="69B73C8C" w14:textId="6CB2EAF2"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Pérez</w:t>
      </w:r>
      <w:r w:rsidR="00266817">
        <w:rPr>
          <w:rFonts w:cs="Times New Roman"/>
          <w:noProof/>
          <w:szCs w:val="24"/>
        </w:rPr>
        <w:t>-</w:t>
      </w:r>
      <w:r w:rsidRPr="002A7627">
        <w:rPr>
          <w:rFonts w:cs="Times New Roman"/>
          <w:noProof/>
          <w:szCs w:val="24"/>
        </w:rPr>
        <w:t xml:space="preserve">López, S., &amp; Alegre, J. (2012). Information technology competency, knowledge processes and firm performance. </w:t>
      </w:r>
      <w:r w:rsidRPr="002A7627">
        <w:rPr>
          <w:rFonts w:cs="Times New Roman"/>
          <w:i/>
          <w:iCs/>
          <w:noProof/>
          <w:szCs w:val="24"/>
        </w:rPr>
        <w:t>Industrial Management and Data Systems</w:t>
      </w:r>
      <w:r w:rsidRPr="002A7627">
        <w:rPr>
          <w:rFonts w:cs="Times New Roman"/>
          <w:noProof/>
          <w:szCs w:val="24"/>
        </w:rPr>
        <w:t xml:space="preserve">, </w:t>
      </w:r>
      <w:r w:rsidRPr="002A7627">
        <w:rPr>
          <w:rFonts w:cs="Times New Roman"/>
          <w:i/>
          <w:iCs/>
          <w:noProof/>
          <w:szCs w:val="24"/>
        </w:rPr>
        <w:t>112</w:t>
      </w:r>
      <w:r w:rsidRPr="002A7627">
        <w:rPr>
          <w:rFonts w:cs="Times New Roman"/>
          <w:noProof/>
          <w:szCs w:val="24"/>
        </w:rPr>
        <w:t>(4), 644–662. https://doi.org/10.1108/02635571211225521</w:t>
      </w:r>
    </w:p>
    <w:p w14:paraId="359AB528" w14:textId="26EC35B6"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Pink, D. (2012). Drive: </w:t>
      </w:r>
      <w:r w:rsidR="00266817">
        <w:rPr>
          <w:rFonts w:cs="Times New Roman"/>
          <w:noProof/>
          <w:szCs w:val="24"/>
        </w:rPr>
        <w:t>t</w:t>
      </w:r>
      <w:r w:rsidRPr="002A7627">
        <w:rPr>
          <w:rFonts w:cs="Times New Roman"/>
          <w:noProof/>
          <w:szCs w:val="24"/>
        </w:rPr>
        <w:t xml:space="preserve">he surprising truth about what motivates us. </w:t>
      </w:r>
      <w:r w:rsidRPr="002A7627">
        <w:rPr>
          <w:rFonts w:cs="Times New Roman"/>
          <w:i/>
          <w:iCs/>
          <w:noProof/>
          <w:szCs w:val="24"/>
        </w:rPr>
        <w:t>Journal of Community and Applied Social Psychology</w:t>
      </w:r>
      <w:r w:rsidRPr="002A7627">
        <w:rPr>
          <w:rFonts w:cs="Times New Roman"/>
          <w:noProof/>
          <w:szCs w:val="24"/>
        </w:rPr>
        <w:t xml:space="preserve">, </w:t>
      </w:r>
      <w:r w:rsidRPr="002A7627">
        <w:rPr>
          <w:rFonts w:cs="Times New Roman"/>
          <w:i/>
          <w:iCs/>
          <w:noProof/>
          <w:szCs w:val="24"/>
        </w:rPr>
        <w:t>22</w:t>
      </w:r>
      <w:r w:rsidRPr="002A7627">
        <w:rPr>
          <w:rFonts w:cs="Times New Roman"/>
          <w:noProof/>
          <w:szCs w:val="24"/>
        </w:rPr>
        <w:t>(1), 242.</w:t>
      </w:r>
    </w:p>
    <w:p w14:paraId="0B248166"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Popaitoon, S., &amp; Popaitoon, P. (2016). Motivation synergy, knowledge absorptive capacity and NPD project performance in multinational automobiles in Thailand. </w:t>
      </w:r>
      <w:r w:rsidRPr="002A7627">
        <w:rPr>
          <w:rFonts w:cs="Times New Roman"/>
          <w:i/>
          <w:iCs/>
          <w:noProof/>
          <w:szCs w:val="24"/>
        </w:rPr>
        <w:t>The Journal of High Technology Management Research</w:t>
      </w:r>
      <w:r w:rsidRPr="002A7627">
        <w:rPr>
          <w:rFonts w:cs="Times New Roman"/>
          <w:noProof/>
          <w:szCs w:val="24"/>
        </w:rPr>
        <w:t xml:space="preserve">, </w:t>
      </w:r>
      <w:r w:rsidRPr="002A7627">
        <w:rPr>
          <w:rFonts w:cs="Times New Roman"/>
          <w:i/>
          <w:iCs/>
          <w:noProof/>
          <w:szCs w:val="24"/>
        </w:rPr>
        <w:t>27</w:t>
      </w:r>
      <w:r w:rsidRPr="002A7627">
        <w:rPr>
          <w:rFonts w:cs="Times New Roman"/>
          <w:noProof/>
          <w:szCs w:val="24"/>
        </w:rPr>
        <w:t>(2), 129–139. https://doi.org/10.1016/j.hitech.2016.10.004</w:t>
      </w:r>
    </w:p>
    <w:p w14:paraId="1284CC92" w14:textId="4ED551F8"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Prieto, I. M., &amp; Pérez Santana, M. P. (2012). Building ambidexterity: </w:t>
      </w:r>
      <w:r w:rsidR="00E357BC">
        <w:rPr>
          <w:rFonts w:cs="Times New Roman"/>
          <w:noProof/>
          <w:szCs w:val="24"/>
        </w:rPr>
        <w:t>t</w:t>
      </w:r>
      <w:r w:rsidRPr="002A7627">
        <w:rPr>
          <w:rFonts w:cs="Times New Roman"/>
          <w:noProof/>
          <w:szCs w:val="24"/>
        </w:rPr>
        <w:t xml:space="preserve">he role of human resource practices in the performance of firms from Spain. </w:t>
      </w:r>
      <w:r w:rsidRPr="002A7627">
        <w:rPr>
          <w:rFonts w:cs="Times New Roman"/>
          <w:i/>
          <w:iCs/>
          <w:noProof/>
          <w:szCs w:val="24"/>
        </w:rPr>
        <w:t>Human Resource Management</w:t>
      </w:r>
      <w:r w:rsidRPr="002A7627">
        <w:rPr>
          <w:rFonts w:cs="Times New Roman"/>
          <w:noProof/>
          <w:szCs w:val="24"/>
        </w:rPr>
        <w:t xml:space="preserve">, </w:t>
      </w:r>
      <w:r w:rsidRPr="002A7627">
        <w:rPr>
          <w:rFonts w:cs="Times New Roman"/>
          <w:i/>
          <w:iCs/>
          <w:noProof/>
          <w:szCs w:val="24"/>
        </w:rPr>
        <w:t>51</w:t>
      </w:r>
      <w:r w:rsidRPr="002A7627">
        <w:rPr>
          <w:rFonts w:cs="Times New Roman"/>
          <w:noProof/>
          <w:szCs w:val="24"/>
        </w:rPr>
        <w:t>(2), 189–211. https://doi.org/10.1002/hrm.21463</w:t>
      </w:r>
    </w:p>
    <w:p w14:paraId="0BA8BE74" w14:textId="6A37171F" w:rsidR="00CD0B2F" w:rsidRDefault="00CD0B2F" w:rsidP="002A7627">
      <w:pPr>
        <w:spacing w:line="480" w:lineRule="auto"/>
        <w:ind w:left="480" w:hanging="480"/>
        <w:jc w:val="both"/>
        <w:rPr>
          <w:rFonts w:cs="Times New Roman"/>
          <w:noProof/>
          <w:szCs w:val="24"/>
        </w:rPr>
      </w:pPr>
      <w:r w:rsidRPr="002A7627">
        <w:rPr>
          <w:rFonts w:cs="Times New Roman"/>
          <w:noProof/>
          <w:szCs w:val="24"/>
        </w:rPr>
        <w:t xml:space="preserve">Prieto, I. M., &amp; Pérez Santana, M. P. (2014). Managing innovative work behavior: </w:t>
      </w:r>
      <w:r w:rsidR="00E357BC">
        <w:rPr>
          <w:rFonts w:cs="Times New Roman"/>
          <w:noProof/>
          <w:szCs w:val="24"/>
        </w:rPr>
        <w:t>t</w:t>
      </w:r>
      <w:r w:rsidRPr="002A7627">
        <w:rPr>
          <w:rFonts w:cs="Times New Roman"/>
          <w:noProof/>
          <w:szCs w:val="24"/>
        </w:rPr>
        <w:t xml:space="preserve">he role of human resource practices. </w:t>
      </w:r>
      <w:r w:rsidRPr="002A7627">
        <w:rPr>
          <w:rFonts w:cs="Times New Roman"/>
          <w:i/>
          <w:iCs/>
          <w:noProof/>
          <w:szCs w:val="24"/>
        </w:rPr>
        <w:t>Personnel Review</w:t>
      </w:r>
      <w:r w:rsidRPr="002A7627">
        <w:rPr>
          <w:rFonts w:cs="Times New Roman"/>
          <w:noProof/>
          <w:szCs w:val="24"/>
        </w:rPr>
        <w:t xml:space="preserve">, </w:t>
      </w:r>
      <w:r w:rsidRPr="002A7627">
        <w:rPr>
          <w:rFonts w:cs="Times New Roman"/>
          <w:i/>
          <w:iCs/>
          <w:noProof/>
          <w:szCs w:val="24"/>
        </w:rPr>
        <w:t>43</w:t>
      </w:r>
      <w:r w:rsidRPr="002A7627">
        <w:rPr>
          <w:rFonts w:cs="Times New Roman"/>
          <w:noProof/>
          <w:szCs w:val="24"/>
        </w:rPr>
        <w:t xml:space="preserve">(2), 184–208. </w:t>
      </w:r>
      <w:hyperlink r:id="rId52" w:history="1">
        <w:r w:rsidR="00D65761" w:rsidRPr="00A817FD">
          <w:rPr>
            <w:rStyle w:val="Hyperlink"/>
            <w:rFonts w:cs="Times New Roman"/>
            <w:noProof/>
            <w:color w:val="000000" w:themeColor="text1"/>
            <w:szCs w:val="24"/>
            <w:u w:val="none"/>
          </w:rPr>
          <w:t>https://doi.org/10.1108/PR-11-2012-0199</w:t>
        </w:r>
      </w:hyperlink>
    </w:p>
    <w:p w14:paraId="13BA4B30" w14:textId="10A5FDCC" w:rsidR="00D65761" w:rsidRPr="002A7627" w:rsidRDefault="00D65761" w:rsidP="002A7627">
      <w:pPr>
        <w:spacing w:line="480" w:lineRule="auto"/>
        <w:ind w:left="480" w:hanging="480"/>
        <w:jc w:val="both"/>
        <w:rPr>
          <w:rFonts w:cs="Times New Roman"/>
          <w:noProof/>
          <w:szCs w:val="24"/>
        </w:rPr>
      </w:pPr>
      <w:r>
        <w:rPr>
          <w:rFonts w:cs="Times New Roman"/>
          <w:noProof/>
          <w:szCs w:val="24"/>
        </w:rPr>
        <w:t>Radwan, R (20</w:t>
      </w:r>
      <w:r w:rsidR="00F85905">
        <w:rPr>
          <w:rFonts w:cs="Times New Roman"/>
          <w:noProof/>
          <w:szCs w:val="24"/>
        </w:rPr>
        <w:t>1</w:t>
      </w:r>
      <w:r>
        <w:rPr>
          <w:rFonts w:cs="Times New Roman"/>
          <w:noProof/>
          <w:szCs w:val="24"/>
        </w:rPr>
        <w:t>7)</w:t>
      </w:r>
      <w:r w:rsidR="00F85905">
        <w:rPr>
          <w:rFonts w:cs="Times New Roman"/>
          <w:noProof/>
          <w:szCs w:val="24"/>
        </w:rPr>
        <w:t xml:space="preserve">. </w:t>
      </w:r>
      <w:r w:rsidR="00F85905" w:rsidRPr="00F85905">
        <w:rPr>
          <w:rFonts w:cs="Times New Roman"/>
          <w:i/>
          <w:iCs/>
          <w:noProof/>
          <w:szCs w:val="24"/>
        </w:rPr>
        <w:t>UAE Economic Diversification Record</w:t>
      </w:r>
      <w:r w:rsidR="00F85905">
        <w:rPr>
          <w:rFonts w:cs="Times New Roman"/>
          <w:noProof/>
          <w:szCs w:val="24"/>
        </w:rPr>
        <w:t xml:space="preserve">. </w:t>
      </w:r>
      <w:bookmarkStart w:id="307" w:name="_Hlk21086308"/>
      <w:r w:rsidR="00F85905">
        <w:rPr>
          <w:rFonts w:cs="Times New Roman"/>
          <w:noProof/>
          <w:szCs w:val="24"/>
        </w:rPr>
        <w:t xml:space="preserve">Retrived from </w:t>
      </w:r>
      <w:r w:rsidR="00F85905" w:rsidRPr="00F85905">
        <w:rPr>
          <w:rFonts w:cs="Times New Roman"/>
          <w:noProof/>
          <w:szCs w:val="24"/>
        </w:rPr>
        <w:t>https://www.academia.edu/27436019/UAE_Economic_Diversification_Record</w:t>
      </w:r>
      <w:r w:rsidR="00F85905">
        <w:rPr>
          <w:rFonts w:cs="Times New Roman"/>
          <w:noProof/>
          <w:szCs w:val="24"/>
        </w:rPr>
        <w:t xml:space="preserve"> </w:t>
      </w:r>
      <w:bookmarkEnd w:id="307"/>
    </w:p>
    <w:p w14:paraId="639F3192" w14:textId="3CBAD41B"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Ragab, M. A. F., &amp; Arisha, A. (2013). Knowledge management and measurement: </w:t>
      </w:r>
      <w:r w:rsidR="00E357BC">
        <w:rPr>
          <w:rFonts w:cs="Times New Roman"/>
          <w:noProof/>
          <w:szCs w:val="24"/>
        </w:rPr>
        <w:t>a</w:t>
      </w:r>
      <w:r w:rsidRPr="002A7627">
        <w:rPr>
          <w:rFonts w:cs="Times New Roman"/>
          <w:noProof/>
          <w:szCs w:val="24"/>
        </w:rPr>
        <w:t xml:space="preserve"> critical review.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17</w:t>
      </w:r>
      <w:r w:rsidRPr="002A7627">
        <w:rPr>
          <w:rFonts w:cs="Times New Roman"/>
          <w:noProof/>
          <w:szCs w:val="24"/>
        </w:rPr>
        <w:t>(6), 873–901. https://doi.org/10.1108/JKM-12-2012-0381</w:t>
      </w:r>
    </w:p>
    <w:p w14:paraId="6D3D882D" w14:textId="6667DFD4"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Rai, R. K. (2011). Knowledge management and organizational culture: </w:t>
      </w:r>
      <w:r w:rsidR="00E357BC">
        <w:rPr>
          <w:rFonts w:cs="Times New Roman"/>
          <w:noProof/>
          <w:szCs w:val="24"/>
        </w:rPr>
        <w:t>a</w:t>
      </w:r>
      <w:r w:rsidRPr="002A7627">
        <w:rPr>
          <w:rFonts w:cs="Times New Roman"/>
          <w:noProof/>
          <w:szCs w:val="24"/>
        </w:rPr>
        <w:t xml:space="preserve"> theoretical integrative framework.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15</w:t>
      </w:r>
      <w:r w:rsidRPr="002A7627">
        <w:rPr>
          <w:rFonts w:cs="Times New Roman"/>
          <w:noProof/>
          <w:szCs w:val="24"/>
        </w:rPr>
        <w:t>(5), 779–801. https://doi.org/10.1108/13673271111174320</w:t>
      </w:r>
    </w:p>
    <w:p w14:paraId="6C9E13E4"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Ramayah, T., Yeap, J. A. L. J., Ahmad, N. N. H., Abdul-Halim, H., Rahman, S. A., &amp; Halim, H. (2017). Testing a confirmatory model of Facebook Usage in SmartPLS using consistent PLS. </w:t>
      </w:r>
      <w:r w:rsidRPr="002A7627">
        <w:rPr>
          <w:rFonts w:cs="Times New Roman"/>
          <w:i/>
          <w:iCs/>
          <w:noProof/>
          <w:szCs w:val="24"/>
        </w:rPr>
        <w:t>International Journal of Business and Innovation</w:t>
      </w:r>
      <w:r w:rsidRPr="002A7627">
        <w:rPr>
          <w:rFonts w:cs="Times New Roman"/>
          <w:noProof/>
          <w:szCs w:val="24"/>
        </w:rPr>
        <w:t xml:space="preserve">, </w:t>
      </w:r>
      <w:r w:rsidRPr="002A7627">
        <w:rPr>
          <w:rFonts w:cs="Times New Roman"/>
          <w:i/>
          <w:iCs/>
          <w:noProof/>
          <w:szCs w:val="24"/>
        </w:rPr>
        <w:t>3</w:t>
      </w:r>
      <w:r w:rsidRPr="002A7627">
        <w:rPr>
          <w:rFonts w:cs="Times New Roman"/>
          <w:noProof/>
          <w:szCs w:val="24"/>
        </w:rPr>
        <w:t>(2), 1–14. https://doi.org/10.1109/RFIC.2004.1320574</w:t>
      </w:r>
    </w:p>
    <w:p w14:paraId="076E0140" w14:textId="3A02C7EB"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Real, J. C., Roldán, J. L., &amp; Leal, A. (2014). From entrepreneurial orientation and learning orientation to business performance: </w:t>
      </w:r>
      <w:r w:rsidR="00E357BC">
        <w:rPr>
          <w:rFonts w:cs="Times New Roman"/>
          <w:noProof/>
          <w:szCs w:val="24"/>
        </w:rPr>
        <w:t>a</w:t>
      </w:r>
      <w:r w:rsidRPr="002A7627">
        <w:rPr>
          <w:rFonts w:cs="Times New Roman"/>
          <w:noProof/>
          <w:szCs w:val="24"/>
        </w:rPr>
        <w:t xml:space="preserve">nalysing the mediating role of organizational learning and the moderating effects of organizational size. </w:t>
      </w:r>
      <w:r w:rsidRPr="002A7627">
        <w:rPr>
          <w:rFonts w:cs="Times New Roman"/>
          <w:i/>
          <w:iCs/>
          <w:noProof/>
          <w:szCs w:val="24"/>
        </w:rPr>
        <w:t>British Journal of Management</w:t>
      </w:r>
      <w:r w:rsidRPr="002A7627">
        <w:rPr>
          <w:rFonts w:cs="Times New Roman"/>
          <w:noProof/>
          <w:szCs w:val="24"/>
        </w:rPr>
        <w:t xml:space="preserve">, </w:t>
      </w:r>
      <w:r w:rsidRPr="002A7627">
        <w:rPr>
          <w:rFonts w:cs="Times New Roman"/>
          <w:i/>
          <w:iCs/>
          <w:noProof/>
          <w:szCs w:val="24"/>
        </w:rPr>
        <w:t>25</w:t>
      </w:r>
      <w:r w:rsidRPr="002A7627">
        <w:rPr>
          <w:rFonts w:cs="Times New Roman"/>
          <w:noProof/>
          <w:szCs w:val="24"/>
        </w:rPr>
        <w:t>(2), 186–208. https://doi.org/10.1111/j.1467-8551.2012.00848.x</w:t>
      </w:r>
    </w:p>
    <w:p w14:paraId="2232ABA0" w14:textId="17BC5E8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Reinholt, M. I. A., Pedersen, T., &amp; Foss, N. J. (2011). Why a central network position isn’t enough: </w:t>
      </w:r>
      <w:r w:rsidR="00E357BC">
        <w:rPr>
          <w:rFonts w:cs="Times New Roman"/>
          <w:noProof/>
          <w:szCs w:val="24"/>
        </w:rPr>
        <w:t>t</w:t>
      </w:r>
      <w:r w:rsidRPr="002A7627">
        <w:rPr>
          <w:rFonts w:cs="Times New Roman"/>
          <w:noProof/>
          <w:szCs w:val="24"/>
        </w:rPr>
        <w:t xml:space="preserve">he role of motivation and ability for knowledge sharing in employee networks. </w:t>
      </w:r>
      <w:r w:rsidRPr="002A7627">
        <w:rPr>
          <w:rFonts w:cs="Times New Roman"/>
          <w:i/>
          <w:iCs/>
          <w:noProof/>
          <w:szCs w:val="24"/>
        </w:rPr>
        <w:t>Academy of Management Journal</w:t>
      </w:r>
      <w:r w:rsidRPr="002A7627">
        <w:rPr>
          <w:rFonts w:cs="Times New Roman"/>
          <w:noProof/>
          <w:szCs w:val="24"/>
        </w:rPr>
        <w:t xml:space="preserve">, </w:t>
      </w:r>
      <w:r w:rsidRPr="002A7627">
        <w:rPr>
          <w:rFonts w:cs="Times New Roman"/>
          <w:i/>
          <w:iCs/>
          <w:noProof/>
          <w:szCs w:val="24"/>
        </w:rPr>
        <w:t>54</w:t>
      </w:r>
      <w:r w:rsidRPr="002A7627">
        <w:rPr>
          <w:rFonts w:cs="Times New Roman"/>
          <w:noProof/>
          <w:szCs w:val="24"/>
        </w:rPr>
        <w:t>(6), 1277–1297.</w:t>
      </w:r>
    </w:p>
    <w:p w14:paraId="0CEED585" w14:textId="30837148"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Riege, A., &amp; Lindsay, N. (2006). Knowledge management in the public sector: </w:t>
      </w:r>
      <w:r w:rsidR="00E357BC">
        <w:rPr>
          <w:rFonts w:cs="Times New Roman"/>
          <w:noProof/>
          <w:szCs w:val="24"/>
        </w:rPr>
        <w:t>s</w:t>
      </w:r>
      <w:r w:rsidRPr="002A7627">
        <w:rPr>
          <w:rFonts w:cs="Times New Roman"/>
          <w:noProof/>
          <w:szCs w:val="24"/>
        </w:rPr>
        <w:t xml:space="preserve">takeholder partnerships in the public policy development.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10</w:t>
      </w:r>
      <w:r w:rsidRPr="002A7627">
        <w:rPr>
          <w:rFonts w:cs="Times New Roman"/>
          <w:noProof/>
          <w:szCs w:val="24"/>
        </w:rPr>
        <w:t>(3), 24–39. https://doi.org/10.1108/13673270610670830</w:t>
      </w:r>
    </w:p>
    <w:p w14:paraId="4182123A" w14:textId="3D9DA3E2"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Ringel</w:t>
      </w:r>
      <w:r w:rsidR="00266817">
        <w:rPr>
          <w:rFonts w:cs="Times New Roman"/>
          <w:noProof/>
          <w:szCs w:val="24"/>
        </w:rPr>
        <w:t>-</w:t>
      </w:r>
      <w:r w:rsidRPr="002A7627">
        <w:rPr>
          <w:rFonts w:cs="Times New Roman"/>
          <w:noProof/>
          <w:szCs w:val="24"/>
        </w:rPr>
        <w:t xml:space="preserve">Bickelmaier, C., &amp; Ringel, M. (2010). Knowledge management in international </w:t>
      </w:r>
      <w:r w:rsidR="00C52075">
        <w:rPr>
          <w:rFonts w:cs="Times New Roman"/>
          <w:noProof/>
          <w:szCs w:val="24"/>
        </w:rPr>
        <w:t>organization</w:t>
      </w:r>
      <w:r w:rsidRPr="002A7627">
        <w:rPr>
          <w:rFonts w:cs="Times New Roman"/>
          <w:noProof/>
          <w:szCs w:val="24"/>
        </w:rPr>
        <w:t xml:space="preserve">s.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14</w:t>
      </w:r>
      <w:r w:rsidRPr="002A7627">
        <w:rPr>
          <w:rFonts w:cs="Times New Roman"/>
          <w:noProof/>
          <w:szCs w:val="24"/>
        </w:rPr>
        <w:t>(4), 524–539. https://doi.org/10.1108/13673271011059509</w:t>
      </w:r>
    </w:p>
    <w:p w14:paraId="0A16D2BE"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Ringle, C. M., Wende, S., &amp; Becker, J. M. (2015). </w:t>
      </w:r>
      <w:r w:rsidRPr="00935DBF">
        <w:rPr>
          <w:rFonts w:cs="Times New Roman"/>
          <w:i/>
          <w:noProof/>
          <w:szCs w:val="24"/>
        </w:rPr>
        <w:t>SmartPLS 3</w:t>
      </w:r>
      <w:r w:rsidRPr="002A7627">
        <w:rPr>
          <w:rFonts w:cs="Times New Roman"/>
          <w:noProof/>
          <w:szCs w:val="24"/>
        </w:rPr>
        <w:t>. Retrieved from www.smartpls.com</w:t>
      </w:r>
    </w:p>
    <w:p w14:paraId="289F6B56" w14:textId="63A4EEF0"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Robson, C. (2002). </w:t>
      </w:r>
      <w:r w:rsidRPr="002A7627">
        <w:rPr>
          <w:rFonts w:cs="Times New Roman"/>
          <w:i/>
          <w:iCs/>
          <w:noProof/>
          <w:szCs w:val="24"/>
        </w:rPr>
        <w:t xml:space="preserve">Real world research: </w:t>
      </w:r>
      <w:r w:rsidR="00E357BC">
        <w:rPr>
          <w:rFonts w:cs="Times New Roman"/>
          <w:i/>
          <w:iCs/>
          <w:noProof/>
          <w:szCs w:val="24"/>
        </w:rPr>
        <w:t>a</w:t>
      </w:r>
      <w:r w:rsidRPr="002A7627">
        <w:rPr>
          <w:rFonts w:cs="Times New Roman"/>
          <w:i/>
          <w:iCs/>
          <w:noProof/>
          <w:szCs w:val="24"/>
        </w:rPr>
        <w:t xml:space="preserve"> resource for social scientists and practitioner-researchers</w:t>
      </w:r>
      <w:r w:rsidRPr="002A7627">
        <w:rPr>
          <w:rFonts w:cs="Times New Roman"/>
          <w:noProof/>
          <w:szCs w:val="24"/>
        </w:rPr>
        <w:t>. Wiley-Blackwell.</w:t>
      </w:r>
    </w:p>
    <w:p w14:paraId="06E59172" w14:textId="496F653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Rodrigues, G., Sarabdeen, J., &amp; Balasubramanian, S. (2016). Factors that influence consumer adoption of e-government services in the UAE: </w:t>
      </w:r>
      <w:r w:rsidR="00E357BC">
        <w:rPr>
          <w:rFonts w:cs="Times New Roman"/>
          <w:noProof/>
          <w:szCs w:val="24"/>
        </w:rPr>
        <w:t>a</w:t>
      </w:r>
      <w:r w:rsidR="00E357BC" w:rsidRPr="002A7627">
        <w:rPr>
          <w:rFonts w:cs="Times New Roman"/>
          <w:noProof/>
          <w:szCs w:val="24"/>
        </w:rPr>
        <w:t xml:space="preserve"> </w:t>
      </w:r>
      <w:r w:rsidRPr="002A7627">
        <w:rPr>
          <w:rFonts w:cs="Times New Roman"/>
          <w:noProof/>
          <w:szCs w:val="24"/>
        </w:rPr>
        <w:t xml:space="preserve">UTAUT model perspective. </w:t>
      </w:r>
      <w:r w:rsidRPr="002A7627">
        <w:rPr>
          <w:rFonts w:cs="Times New Roman"/>
          <w:i/>
          <w:iCs/>
          <w:noProof/>
          <w:szCs w:val="24"/>
        </w:rPr>
        <w:t>Journal of Internet Commerce</w:t>
      </w:r>
      <w:r w:rsidRPr="002A7627">
        <w:rPr>
          <w:rFonts w:cs="Times New Roman"/>
          <w:noProof/>
          <w:szCs w:val="24"/>
        </w:rPr>
        <w:t xml:space="preserve">, </w:t>
      </w:r>
      <w:r w:rsidRPr="002A7627">
        <w:rPr>
          <w:rFonts w:cs="Times New Roman"/>
          <w:i/>
          <w:iCs/>
          <w:noProof/>
          <w:szCs w:val="24"/>
        </w:rPr>
        <w:t>15</w:t>
      </w:r>
      <w:r w:rsidRPr="002A7627">
        <w:rPr>
          <w:rFonts w:cs="Times New Roman"/>
          <w:noProof/>
          <w:szCs w:val="24"/>
        </w:rPr>
        <w:t>(1), 18–39. https://doi.org/10.1080/15332861.2015.1121460</w:t>
      </w:r>
    </w:p>
    <w:p w14:paraId="300975AB" w14:textId="2E5F046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Rogé, J. N., Hughes, J., &amp; Simpson, P. M. (2011). Learning to </w:t>
      </w:r>
      <w:r w:rsidR="00266817" w:rsidRPr="002A7627">
        <w:rPr>
          <w:rFonts w:cs="Times New Roman"/>
          <w:noProof/>
          <w:szCs w:val="24"/>
        </w:rPr>
        <w:t>thread the needle: information technology strategie</w:t>
      </w:r>
      <w:r w:rsidRPr="002A7627">
        <w:rPr>
          <w:rFonts w:cs="Times New Roman"/>
          <w:noProof/>
          <w:szCs w:val="24"/>
        </w:rPr>
        <w:t xml:space="preserve">s. </w:t>
      </w:r>
      <w:r w:rsidRPr="002A7627">
        <w:rPr>
          <w:rFonts w:cs="Times New Roman"/>
          <w:i/>
          <w:iCs/>
          <w:noProof/>
          <w:szCs w:val="24"/>
        </w:rPr>
        <w:t>Journal of Computer Information Systems</w:t>
      </w:r>
      <w:r w:rsidRPr="002A7627">
        <w:rPr>
          <w:rFonts w:cs="Times New Roman"/>
          <w:noProof/>
          <w:szCs w:val="24"/>
        </w:rPr>
        <w:t xml:space="preserve">, </w:t>
      </w:r>
      <w:r w:rsidRPr="002A7627">
        <w:rPr>
          <w:rFonts w:cs="Times New Roman"/>
          <w:i/>
          <w:iCs/>
          <w:noProof/>
          <w:szCs w:val="24"/>
        </w:rPr>
        <w:t>52</w:t>
      </w:r>
      <w:r w:rsidRPr="002A7627">
        <w:rPr>
          <w:rFonts w:cs="Times New Roman"/>
          <w:noProof/>
          <w:szCs w:val="24"/>
        </w:rPr>
        <w:t>(1), 76–86. https://doi.org/10.1080/08874417.2011.11645524</w:t>
      </w:r>
    </w:p>
    <w:p w14:paraId="75F3DDE3"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Roscoe, J. T. (1975). </w:t>
      </w:r>
      <w:r w:rsidRPr="002A7627">
        <w:rPr>
          <w:rFonts w:cs="Times New Roman"/>
          <w:i/>
          <w:iCs/>
          <w:noProof/>
          <w:szCs w:val="24"/>
        </w:rPr>
        <w:t>Fundamental research statistics for the behavioural sciences (2nd Edition)</w:t>
      </w:r>
      <w:r w:rsidRPr="002A7627">
        <w:rPr>
          <w:rFonts w:cs="Times New Roman"/>
          <w:noProof/>
          <w:szCs w:val="24"/>
        </w:rPr>
        <w:t>. New York, NY: Holt Rinehart &amp; Winston.</w:t>
      </w:r>
    </w:p>
    <w:p w14:paraId="27943338" w14:textId="518B151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Ryan, R. M., &amp; Connell, J. P. (1989). Perceived locus of causality and internalization: </w:t>
      </w:r>
      <w:r w:rsidR="00E357BC">
        <w:rPr>
          <w:rFonts w:cs="Times New Roman"/>
          <w:noProof/>
          <w:szCs w:val="24"/>
        </w:rPr>
        <w:t>e</w:t>
      </w:r>
      <w:r w:rsidRPr="002A7627">
        <w:rPr>
          <w:rFonts w:cs="Times New Roman"/>
          <w:noProof/>
          <w:szCs w:val="24"/>
        </w:rPr>
        <w:t xml:space="preserve">xamining reasons for acting in two domains. </w:t>
      </w:r>
      <w:r w:rsidRPr="002A7627">
        <w:rPr>
          <w:rFonts w:cs="Times New Roman"/>
          <w:i/>
          <w:iCs/>
          <w:noProof/>
          <w:szCs w:val="24"/>
        </w:rPr>
        <w:t>Journal of Personality and Social Psychology</w:t>
      </w:r>
      <w:r w:rsidRPr="002A7627">
        <w:rPr>
          <w:rFonts w:cs="Times New Roman"/>
          <w:noProof/>
          <w:szCs w:val="24"/>
        </w:rPr>
        <w:t xml:space="preserve">, </w:t>
      </w:r>
      <w:r w:rsidRPr="002A7627">
        <w:rPr>
          <w:rFonts w:cs="Times New Roman"/>
          <w:i/>
          <w:iCs/>
          <w:noProof/>
          <w:szCs w:val="24"/>
        </w:rPr>
        <w:t>57</w:t>
      </w:r>
      <w:r w:rsidRPr="002A7627">
        <w:rPr>
          <w:rFonts w:cs="Times New Roman"/>
          <w:noProof/>
          <w:szCs w:val="24"/>
        </w:rPr>
        <w:t>(5), 749.</w:t>
      </w:r>
    </w:p>
    <w:p w14:paraId="7B7DB897" w14:textId="5FB52E4E"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Ryan, R. M., &amp; Deci, E. L. (2000). Intrinsic and extrinsic motivations: </w:t>
      </w:r>
      <w:r w:rsidR="00E357BC">
        <w:rPr>
          <w:rFonts w:cs="Times New Roman"/>
          <w:noProof/>
          <w:szCs w:val="24"/>
        </w:rPr>
        <w:t>c</w:t>
      </w:r>
      <w:r w:rsidRPr="002A7627">
        <w:rPr>
          <w:rFonts w:cs="Times New Roman"/>
          <w:noProof/>
          <w:szCs w:val="24"/>
        </w:rPr>
        <w:t xml:space="preserve">lassic definitions and new directions. </w:t>
      </w:r>
      <w:r w:rsidRPr="002A7627">
        <w:rPr>
          <w:rFonts w:cs="Times New Roman"/>
          <w:i/>
          <w:iCs/>
          <w:noProof/>
          <w:szCs w:val="24"/>
        </w:rPr>
        <w:t>Contemporary Educational Psychology</w:t>
      </w:r>
      <w:r w:rsidRPr="002A7627">
        <w:rPr>
          <w:rFonts w:cs="Times New Roman"/>
          <w:noProof/>
          <w:szCs w:val="24"/>
        </w:rPr>
        <w:t xml:space="preserve">, </w:t>
      </w:r>
      <w:r w:rsidRPr="002A7627">
        <w:rPr>
          <w:rFonts w:cs="Times New Roman"/>
          <w:i/>
          <w:iCs/>
          <w:noProof/>
          <w:szCs w:val="24"/>
        </w:rPr>
        <w:t>25</w:t>
      </w:r>
      <w:r w:rsidRPr="002A7627">
        <w:rPr>
          <w:rFonts w:cs="Times New Roman"/>
          <w:noProof/>
          <w:szCs w:val="24"/>
        </w:rPr>
        <w:t>(1), 54–67. https://doi.org/10.1006/ceps.1999.1020</w:t>
      </w:r>
    </w:p>
    <w:p w14:paraId="211F837A" w14:textId="44BE5874"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Ryan, S. D., Windsor, J. C., Ibragimova, B., &amp; Prybutok, V. R. (2010). Organizational practices that foster knowledge sharing: </w:t>
      </w:r>
      <w:r w:rsidR="00266817">
        <w:rPr>
          <w:rFonts w:cs="Times New Roman"/>
          <w:noProof/>
          <w:szCs w:val="24"/>
        </w:rPr>
        <w:t>v</w:t>
      </w:r>
      <w:r w:rsidRPr="002A7627">
        <w:rPr>
          <w:rFonts w:cs="Times New Roman"/>
          <w:noProof/>
          <w:szCs w:val="24"/>
        </w:rPr>
        <w:t xml:space="preserve">alidation across Distinct National Cultures. </w:t>
      </w:r>
      <w:r w:rsidRPr="002A7627">
        <w:rPr>
          <w:rFonts w:cs="Times New Roman"/>
          <w:i/>
          <w:iCs/>
          <w:noProof/>
          <w:szCs w:val="24"/>
        </w:rPr>
        <w:t>Informing Science</w:t>
      </w:r>
      <w:r w:rsidRPr="002A7627">
        <w:rPr>
          <w:rFonts w:cs="Times New Roman"/>
          <w:noProof/>
          <w:szCs w:val="24"/>
        </w:rPr>
        <w:t xml:space="preserve">, </w:t>
      </w:r>
      <w:r w:rsidRPr="002A7627">
        <w:rPr>
          <w:rFonts w:cs="Times New Roman"/>
          <w:i/>
          <w:iCs/>
          <w:noProof/>
          <w:szCs w:val="24"/>
        </w:rPr>
        <w:t>13</w:t>
      </w:r>
      <w:r w:rsidRPr="002A7627">
        <w:rPr>
          <w:rFonts w:cs="Times New Roman"/>
          <w:noProof/>
          <w:szCs w:val="24"/>
        </w:rPr>
        <w:t>, 139–164. https://doi.org/10.28945/1296</w:t>
      </w:r>
    </w:p>
    <w:p w14:paraId="5103944B"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Sackmann, S. A., &amp; Friesl, M. (2007). Exploring cultural impacts on knowledge sharing behavior in project teams – results from a simulation study.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11</w:t>
      </w:r>
      <w:r w:rsidRPr="002A7627">
        <w:rPr>
          <w:rFonts w:cs="Times New Roman"/>
          <w:noProof/>
          <w:szCs w:val="24"/>
        </w:rPr>
        <w:t>(6), 142–156. https://doi.org/10.1108/13673270710832226</w:t>
      </w:r>
    </w:p>
    <w:p w14:paraId="115CEB33" w14:textId="5554261E"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Saisana, M., &amp; Munda, G. (2008). </w:t>
      </w:r>
      <w:r w:rsidRPr="002A7627">
        <w:rPr>
          <w:rFonts w:cs="Times New Roman"/>
          <w:i/>
          <w:iCs/>
          <w:noProof/>
          <w:szCs w:val="24"/>
        </w:rPr>
        <w:t xml:space="preserve">Knowledge Economy: Measures and </w:t>
      </w:r>
      <w:r w:rsidR="00266817">
        <w:rPr>
          <w:rFonts w:cs="Times New Roman"/>
          <w:i/>
          <w:iCs/>
          <w:noProof/>
          <w:szCs w:val="24"/>
        </w:rPr>
        <w:t>D</w:t>
      </w:r>
      <w:r w:rsidRPr="002A7627">
        <w:rPr>
          <w:rFonts w:cs="Times New Roman"/>
          <w:i/>
          <w:iCs/>
          <w:noProof/>
          <w:szCs w:val="24"/>
        </w:rPr>
        <w:t>rivers</w:t>
      </w:r>
      <w:r w:rsidRPr="002A7627">
        <w:rPr>
          <w:rFonts w:cs="Times New Roman"/>
          <w:noProof/>
          <w:szCs w:val="24"/>
        </w:rPr>
        <w:t xml:space="preserve">. </w:t>
      </w:r>
      <w:r w:rsidRPr="002A7627">
        <w:rPr>
          <w:rFonts w:cs="Times New Roman"/>
          <w:i/>
          <w:iCs/>
          <w:noProof/>
          <w:szCs w:val="24"/>
        </w:rPr>
        <w:t>EUR Reports</w:t>
      </w:r>
      <w:r w:rsidRPr="002A7627">
        <w:rPr>
          <w:rFonts w:cs="Times New Roman"/>
          <w:noProof/>
          <w:szCs w:val="24"/>
        </w:rPr>
        <w:t>. Rome, Italy: European Communities.</w:t>
      </w:r>
    </w:p>
    <w:p w14:paraId="34B7B0DC" w14:textId="18472DC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Santoro, G., Vrontis, D., Thrassou, A., &amp; Dezi, L. (2018). The Internet of Things: </w:t>
      </w:r>
      <w:r w:rsidR="00266817">
        <w:rPr>
          <w:rFonts w:cs="Times New Roman"/>
          <w:noProof/>
          <w:szCs w:val="24"/>
        </w:rPr>
        <w:t>b</w:t>
      </w:r>
      <w:r w:rsidRPr="002A7627">
        <w:rPr>
          <w:rFonts w:cs="Times New Roman"/>
          <w:noProof/>
          <w:szCs w:val="24"/>
        </w:rPr>
        <w:t xml:space="preserve">uilding a knowledge management system for open innovation and knowledge management capacity. </w:t>
      </w:r>
      <w:r w:rsidRPr="002A7627">
        <w:rPr>
          <w:rFonts w:cs="Times New Roman"/>
          <w:i/>
          <w:iCs/>
          <w:noProof/>
          <w:szCs w:val="24"/>
        </w:rPr>
        <w:t>Technological Forecasting and Social Change</w:t>
      </w:r>
      <w:r w:rsidRPr="002A7627">
        <w:rPr>
          <w:rFonts w:cs="Times New Roman"/>
          <w:noProof/>
          <w:szCs w:val="24"/>
        </w:rPr>
        <w:t xml:space="preserve">, </w:t>
      </w:r>
      <w:r w:rsidRPr="002A7627">
        <w:rPr>
          <w:rFonts w:cs="Times New Roman"/>
          <w:i/>
          <w:iCs/>
          <w:noProof/>
          <w:szCs w:val="24"/>
        </w:rPr>
        <w:t>136</w:t>
      </w:r>
      <w:r w:rsidRPr="002A7627">
        <w:rPr>
          <w:rFonts w:cs="Times New Roman"/>
          <w:noProof/>
          <w:szCs w:val="24"/>
        </w:rPr>
        <w:t>, 347–354. https://doi.org/10.1016/J.TECHFORE.2017.02.034</w:t>
      </w:r>
    </w:p>
    <w:p w14:paraId="0608BDA5" w14:textId="7DB4262C"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Saunders, M., Lewis, P., &amp; Thornhill, A. (2009). </w:t>
      </w:r>
      <w:r w:rsidRPr="002A7627">
        <w:rPr>
          <w:rFonts w:cs="Times New Roman"/>
          <w:i/>
          <w:iCs/>
          <w:noProof/>
          <w:szCs w:val="24"/>
        </w:rPr>
        <w:t xml:space="preserve">Research methods for business </w:t>
      </w:r>
      <w:r w:rsidR="00266817">
        <w:rPr>
          <w:rFonts w:cs="Times New Roman"/>
          <w:i/>
          <w:iCs/>
          <w:noProof/>
          <w:szCs w:val="24"/>
        </w:rPr>
        <w:t>s</w:t>
      </w:r>
      <w:r w:rsidRPr="002A7627">
        <w:rPr>
          <w:rFonts w:cs="Times New Roman"/>
          <w:i/>
          <w:iCs/>
          <w:noProof/>
          <w:szCs w:val="24"/>
        </w:rPr>
        <w:t>tudents</w:t>
      </w:r>
      <w:r w:rsidRPr="002A7627">
        <w:rPr>
          <w:rFonts w:cs="Times New Roman"/>
          <w:noProof/>
          <w:szCs w:val="24"/>
        </w:rPr>
        <w:t xml:space="preserve"> (5th ed.). London, UK: Pearson.</w:t>
      </w:r>
    </w:p>
    <w:p w14:paraId="18600EA1" w14:textId="032961FF"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Scholl, N., Mulders, S., &amp; Drent, R. (2002). On-line qualitative market research: </w:t>
      </w:r>
      <w:r w:rsidR="00E357BC">
        <w:rPr>
          <w:rFonts w:cs="Times New Roman"/>
          <w:noProof/>
          <w:szCs w:val="24"/>
        </w:rPr>
        <w:t>i</w:t>
      </w:r>
      <w:r w:rsidRPr="002A7627">
        <w:rPr>
          <w:rFonts w:cs="Times New Roman"/>
          <w:noProof/>
          <w:szCs w:val="24"/>
        </w:rPr>
        <w:t xml:space="preserve">nterviewing the world at a fingertip. </w:t>
      </w:r>
      <w:r w:rsidRPr="002A7627">
        <w:rPr>
          <w:rFonts w:cs="Times New Roman"/>
          <w:i/>
          <w:iCs/>
          <w:noProof/>
          <w:szCs w:val="24"/>
        </w:rPr>
        <w:t>Qualitative Market Research</w:t>
      </w:r>
      <w:r w:rsidRPr="002A7627">
        <w:rPr>
          <w:rFonts w:cs="Times New Roman"/>
          <w:noProof/>
          <w:szCs w:val="24"/>
        </w:rPr>
        <w:t>. https://doi.org/10.1108/13522750210697596</w:t>
      </w:r>
    </w:p>
    <w:p w14:paraId="381DE5FE" w14:textId="65A1186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Schubert, P., Lincke, D.-M., &amp; Schmid, B. (1998). A global knowledge medium as a virtual community: </w:t>
      </w:r>
      <w:r w:rsidR="00266817">
        <w:rPr>
          <w:rFonts w:cs="Times New Roman"/>
          <w:noProof/>
          <w:szCs w:val="24"/>
        </w:rPr>
        <w:t>t</w:t>
      </w:r>
      <w:r w:rsidRPr="002A7627">
        <w:rPr>
          <w:rFonts w:cs="Times New Roman"/>
          <w:noProof/>
          <w:szCs w:val="24"/>
        </w:rPr>
        <w:t xml:space="preserve">he NetAcademy concept. In E. Hoadley &amp; I. Benbasat (Eds.), </w:t>
      </w:r>
      <w:r w:rsidRPr="002A7627">
        <w:rPr>
          <w:rFonts w:cs="Times New Roman"/>
          <w:i/>
          <w:iCs/>
          <w:noProof/>
          <w:szCs w:val="24"/>
        </w:rPr>
        <w:t>Proceedings of the Fourth Americas Conference on Information Systems</w:t>
      </w:r>
      <w:r w:rsidRPr="002A7627">
        <w:rPr>
          <w:rFonts w:cs="Times New Roman"/>
          <w:noProof/>
          <w:szCs w:val="24"/>
        </w:rPr>
        <w:t xml:space="preserve"> (pp. 618–660). Baltimore.</w:t>
      </w:r>
    </w:p>
    <w:p w14:paraId="6E0D2141" w14:textId="6CF6B013" w:rsidR="00CD0B2F" w:rsidRDefault="00CD0B2F" w:rsidP="002A7627">
      <w:pPr>
        <w:spacing w:line="480" w:lineRule="auto"/>
        <w:ind w:left="480" w:hanging="480"/>
        <w:jc w:val="both"/>
        <w:rPr>
          <w:rFonts w:cs="Times New Roman"/>
          <w:noProof/>
          <w:szCs w:val="24"/>
        </w:rPr>
      </w:pPr>
      <w:r w:rsidRPr="002A7627">
        <w:rPr>
          <w:rFonts w:cs="Times New Roman"/>
          <w:noProof/>
          <w:szCs w:val="24"/>
        </w:rPr>
        <w:t>Schuler, R., &amp; Jackson, S.</w:t>
      </w:r>
      <w:r w:rsidR="00266817">
        <w:rPr>
          <w:rFonts w:cs="Times New Roman"/>
          <w:noProof/>
          <w:szCs w:val="24"/>
        </w:rPr>
        <w:t xml:space="preserve"> E.</w:t>
      </w:r>
      <w:r w:rsidRPr="002A7627">
        <w:rPr>
          <w:rFonts w:cs="Times New Roman"/>
          <w:noProof/>
          <w:szCs w:val="24"/>
        </w:rPr>
        <w:t xml:space="preserve"> (2014). Human resource management and organizational effectiveness: </w:t>
      </w:r>
      <w:r w:rsidR="00E357BC">
        <w:rPr>
          <w:rFonts w:cs="Times New Roman"/>
          <w:noProof/>
          <w:szCs w:val="24"/>
        </w:rPr>
        <w:t>y</w:t>
      </w:r>
      <w:r w:rsidRPr="002A7627">
        <w:rPr>
          <w:rFonts w:cs="Times New Roman"/>
          <w:noProof/>
          <w:szCs w:val="24"/>
        </w:rPr>
        <w:t xml:space="preserve">esterday and today. </w:t>
      </w:r>
      <w:r w:rsidRPr="002A7627">
        <w:rPr>
          <w:rFonts w:cs="Times New Roman"/>
          <w:i/>
          <w:iCs/>
          <w:noProof/>
          <w:szCs w:val="24"/>
        </w:rPr>
        <w:t>Journal of Organizational Effectiveness: People and Performance</w:t>
      </w:r>
      <w:r w:rsidRPr="002A7627">
        <w:rPr>
          <w:rFonts w:cs="Times New Roman"/>
          <w:noProof/>
          <w:szCs w:val="24"/>
        </w:rPr>
        <w:t xml:space="preserve">, </w:t>
      </w:r>
      <w:r w:rsidRPr="002A7627">
        <w:rPr>
          <w:rFonts w:cs="Times New Roman"/>
          <w:i/>
          <w:iCs/>
          <w:noProof/>
          <w:szCs w:val="24"/>
        </w:rPr>
        <w:t>1</w:t>
      </w:r>
      <w:r w:rsidRPr="002A7627">
        <w:rPr>
          <w:rFonts w:cs="Times New Roman"/>
          <w:noProof/>
          <w:szCs w:val="24"/>
        </w:rPr>
        <w:t xml:space="preserve">(1), 35–55. </w:t>
      </w:r>
      <w:hyperlink r:id="rId53" w:history="1">
        <w:r w:rsidR="00621676" w:rsidRPr="00AF3C37">
          <w:rPr>
            <w:rStyle w:val="Hyperlink"/>
            <w:rFonts w:cs="Times New Roman"/>
            <w:noProof/>
            <w:color w:val="000000" w:themeColor="text1"/>
            <w:szCs w:val="24"/>
            <w:u w:val="none"/>
          </w:rPr>
          <w:t>https://doi.org/10.1108/JOEPP-01-2014-0003</w:t>
        </w:r>
      </w:hyperlink>
    </w:p>
    <w:p w14:paraId="65869F9D" w14:textId="4FC0D7F4" w:rsidR="00621676" w:rsidRDefault="00621676" w:rsidP="00935DBF">
      <w:pPr>
        <w:spacing w:line="480" w:lineRule="auto"/>
        <w:ind w:left="480" w:hanging="480"/>
        <w:jc w:val="mediumKashida"/>
        <w:rPr>
          <w:rFonts w:cs="Times New Roman"/>
          <w:noProof/>
          <w:szCs w:val="24"/>
        </w:rPr>
      </w:pPr>
      <w:r w:rsidRPr="00935DBF">
        <w:rPr>
          <w:rFonts w:cs="Times New Roman"/>
          <w:noProof/>
          <w:szCs w:val="24"/>
        </w:rPr>
        <w:t>Schwab</w:t>
      </w:r>
      <w:r>
        <w:rPr>
          <w:rFonts w:cs="Times New Roman"/>
          <w:noProof/>
          <w:szCs w:val="24"/>
        </w:rPr>
        <w:t xml:space="preserve">, K. (2018). </w:t>
      </w:r>
      <w:r w:rsidRPr="00935DBF">
        <w:rPr>
          <w:rFonts w:cs="Times New Roman"/>
          <w:i/>
          <w:iCs/>
          <w:noProof/>
          <w:szCs w:val="24"/>
        </w:rPr>
        <w:t>World Economic Forum: Competitivness Report</w:t>
      </w:r>
      <w:r>
        <w:rPr>
          <w:rFonts w:cs="Times New Roman"/>
          <w:i/>
          <w:iCs/>
          <w:noProof/>
          <w:szCs w:val="24"/>
        </w:rPr>
        <w:t xml:space="preserve"> 2018</w:t>
      </w:r>
      <w:r>
        <w:rPr>
          <w:rFonts w:cs="Times New Roman"/>
          <w:noProof/>
          <w:szCs w:val="24"/>
        </w:rPr>
        <w:t xml:space="preserve">: Geneva, </w:t>
      </w:r>
      <w:r w:rsidRPr="002A7627">
        <w:rPr>
          <w:rFonts w:cs="Times New Roman"/>
          <w:noProof/>
          <w:szCs w:val="24"/>
        </w:rPr>
        <w:t>Switzerlan</w:t>
      </w:r>
      <w:r>
        <w:rPr>
          <w:rFonts w:cs="Times New Roman"/>
          <w:noProof/>
          <w:szCs w:val="24"/>
        </w:rPr>
        <w:t xml:space="preserve">d. Retrieved from: </w:t>
      </w:r>
      <w:r w:rsidRPr="00621676">
        <w:rPr>
          <w:rFonts w:cs="Times New Roman"/>
          <w:noProof/>
          <w:szCs w:val="24"/>
        </w:rPr>
        <w:t>http://www3.weforum.org/docs/GITR2016/WEF_GITR_Full_Report.pdf</w:t>
      </w:r>
    </w:p>
    <w:p w14:paraId="08C1AE9B" w14:textId="4DF0BB0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Seba, I., &amp; Rowley, J. (2010</w:t>
      </w:r>
      <w:r w:rsidR="00621676">
        <w:rPr>
          <w:rFonts w:cs="Times New Roman"/>
          <w:noProof/>
          <w:szCs w:val="24"/>
        </w:rPr>
        <w:t>G</w:t>
      </w:r>
      <w:r w:rsidR="00621676" w:rsidRPr="002A7627">
        <w:rPr>
          <w:rFonts w:cs="Times New Roman"/>
          <w:noProof/>
          <w:szCs w:val="24"/>
        </w:rPr>
        <w:t xml:space="preserve"> </w:t>
      </w:r>
      <w:r w:rsidRPr="002A7627">
        <w:rPr>
          <w:rFonts w:cs="Times New Roman"/>
          <w:noProof/>
          <w:szCs w:val="24"/>
        </w:rPr>
        <w:t xml:space="preserve">Knowledge management in UK police forces.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14</w:t>
      </w:r>
      <w:r w:rsidRPr="002A7627">
        <w:rPr>
          <w:rFonts w:cs="Times New Roman"/>
          <w:noProof/>
          <w:szCs w:val="24"/>
        </w:rPr>
        <w:t>(4), 611–626. https://doi.org/10.1108/13673271011059554</w:t>
      </w:r>
    </w:p>
    <w:p w14:paraId="09542AAE"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Seba, I., Rowley, J., &amp; Lambert, S. (2012). Factors affecting attitudes and intentions towards knowledge sharing in the Dubai Police Force. </w:t>
      </w:r>
      <w:r w:rsidRPr="002A7627">
        <w:rPr>
          <w:rFonts w:cs="Times New Roman"/>
          <w:i/>
          <w:iCs/>
          <w:noProof/>
          <w:szCs w:val="24"/>
        </w:rPr>
        <w:t>International Journal of Information Management</w:t>
      </w:r>
      <w:r w:rsidRPr="002A7627">
        <w:rPr>
          <w:rFonts w:cs="Times New Roman"/>
          <w:noProof/>
          <w:szCs w:val="24"/>
        </w:rPr>
        <w:t xml:space="preserve">, </w:t>
      </w:r>
      <w:r w:rsidRPr="002A7627">
        <w:rPr>
          <w:rFonts w:cs="Times New Roman"/>
          <w:i/>
          <w:iCs/>
          <w:noProof/>
          <w:szCs w:val="24"/>
        </w:rPr>
        <w:t>32</w:t>
      </w:r>
      <w:r w:rsidRPr="002A7627">
        <w:rPr>
          <w:rFonts w:cs="Times New Roman"/>
          <w:noProof/>
          <w:szCs w:val="24"/>
        </w:rPr>
        <w:t>(4), 372–380. https://doi.org/10.1016/j.ijinfomgt.2011.12.003</w:t>
      </w:r>
    </w:p>
    <w:p w14:paraId="7CF61BCA" w14:textId="2743EB7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Sekaran, U., &amp; Bougie, R. (2011). </w:t>
      </w:r>
      <w:r w:rsidRPr="002A7627">
        <w:rPr>
          <w:rFonts w:cs="Times New Roman"/>
          <w:i/>
          <w:iCs/>
          <w:noProof/>
          <w:szCs w:val="24"/>
        </w:rPr>
        <w:t xml:space="preserve">Business research methods: </w:t>
      </w:r>
      <w:r w:rsidR="00E357BC">
        <w:rPr>
          <w:rFonts w:cs="Times New Roman"/>
          <w:i/>
          <w:iCs/>
          <w:noProof/>
          <w:szCs w:val="24"/>
        </w:rPr>
        <w:t>a</w:t>
      </w:r>
      <w:r w:rsidRPr="002A7627">
        <w:rPr>
          <w:rFonts w:cs="Times New Roman"/>
          <w:i/>
          <w:iCs/>
          <w:noProof/>
          <w:szCs w:val="24"/>
        </w:rPr>
        <w:t xml:space="preserve"> skill-building approach</w:t>
      </w:r>
      <w:r w:rsidRPr="002A7627">
        <w:rPr>
          <w:rFonts w:cs="Times New Roman"/>
          <w:noProof/>
          <w:szCs w:val="24"/>
        </w:rPr>
        <w:t>. London, UK: Wiley.</w:t>
      </w:r>
    </w:p>
    <w:p w14:paraId="089518A3" w14:textId="73ADDC1F"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Senge, P. M. (2007). The fifth discipline, the art and practice of the learning organization. </w:t>
      </w:r>
      <w:r w:rsidRPr="002A7627">
        <w:rPr>
          <w:rFonts w:cs="Times New Roman"/>
          <w:i/>
          <w:iCs/>
          <w:noProof/>
          <w:szCs w:val="24"/>
        </w:rPr>
        <w:t xml:space="preserve">Performance </w:t>
      </w:r>
      <w:r w:rsidR="00266817">
        <w:rPr>
          <w:rFonts w:cs="Times New Roman"/>
          <w:i/>
          <w:iCs/>
          <w:noProof/>
          <w:szCs w:val="24"/>
        </w:rPr>
        <w:t>&amp;</w:t>
      </w:r>
      <w:r w:rsidR="00266817" w:rsidRPr="002A7627">
        <w:rPr>
          <w:rFonts w:cs="Times New Roman"/>
          <w:i/>
          <w:iCs/>
          <w:noProof/>
          <w:szCs w:val="24"/>
        </w:rPr>
        <w:t xml:space="preserve"> </w:t>
      </w:r>
      <w:r w:rsidRPr="002A7627">
        <w:rPr>
          <w:rFonts w:cs="Times New Roman"/>
          <w:i/>
          <w:iCs/>
          <w:noProof/>
          <w:szCs w:val="24"/>
        </w:rPr>
        <w:t>Instruction</w:t>
      </w:r>
      <w:r w:rsidR="00266817">
        <w:rPr>
          <w:rFonts w:cs="Times New Roman"/>
          <w:i/>
          <w:iCs/>
          <w:noProof/>
          <w:szCs w:val="24"/>
        </w:rPr>
        <w:t xml:space="preserve">, </w:t>
      </w:r>
      <w:r w:rsidR="00266817" w:rsidRPr="00266817">
        <w:rPr>
          <w:rFonts w:cs="Times New Roman"/>
          <w:i/>
          <w:iCs/>
          <w:noProof/>
          <w:szCs w:val="24"/>
        </w:rPr>
        <w:t>30</w:t>
      </w:r>
      <w:r w:rsidR="00266817" w:rsidRPr="00935DBF">
        <w:rPr>
          <w:rFonts w:cs="Times New Roman"/>
          <w:iCs/>
          <w:noProof/>
          <w:szCs w:val="24"/>
        </w:rPr>
        <w:t>(5), 37</w:t>
      </w:r>
      <w:r w:rsidRPr="002A7627">
        <w:rPr>
          <w:rFonts w:cs="Times New Roman"/>
          <w:noProof/>
          <w:szCs w:val="24"/>
        </w:rPr>
        <w:t>. https://doi.org/10.1002/pfi.4170300510</w:t>
      </w:r>
    </w:p>
    <w:p w14:paraId="5ADEC941"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Serenko, A., &amp; Bontis, N. (2013). Global ranking of knowledge management and intellectual capital academic journals: 2013 update.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17</w:t>
      </w:r>
      <w:r w:rsidRPr="002A7627">
        <w:rPr>
          <w:rFonts w:cs="Times New Roman"/>
          <w:noProof/>
          <w:szCs w:val="24"/>
        </w:rPr>
        <w:t>(2), 307–326. https://doi.org/10.1108/13673271311315231</w:t>
      </w:r>
    </w:p>
    <w:p w14:paraId="2FDBAA9D"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Serenko, A., &amp; Dumay, J. (2015a). Citation classics published in knowledge management journals. Part I: Articles and their characteristics.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19</w:t>
      </w:r>
      <w:r w:rsidRPr="002A7627">
        <w:rPr>
          <w:rFonts w:cs="Times New Roman"/>
          <w:noProof/>
          <w:szCs w:val="24"/>
        </w:rPr>
        <w:t>(2), 401–431. https://doi.org/10.1108/JKM-06-2014-0220</w:t>
      </w:r>
    </w:p>
    <w:p w14:paraId="192D275F"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Serenko, A., &amp; Dumay, J. (2015b). Citation classics published in Knowledge Management journals. Part II: Studying research trends and discovering the Google Scholar Effect.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19</w:t>
      </w:r>
      <w:r w:rsidRPr="002A7627">
        <w:rPr>
          <w:rFonts w:cs="Times New Roman"/>
          <w:noProof/>
          <w:szCs w:val="24"/>
        </w:rPr>
        <w:t>(6), 1335–1355. https://doi.org/10.1108/JKM-02-2015-0086</w:t>
      </w:r>
    </w:p>
    <w:p w14:paraId="744C3549"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Serrat, O. (2017). Building a learning organization. In </w:t>
      </w:r>
      <w:r w:rsidRPr="002A7627">
        <w:rPr>
          <w:rFonts w:cs="Times New Roman"/>
          <w:i/>
          <w:iCs/>
          <w:noProof/>
          <w:szCs w:val="24"/>
        </w:rPr>
        <w:t>Knowledge Solutions</w:t>
      </w:r>
      <w:r w:rsidRPr="002A7627">
        <w:rPr>
          <w:rFonts w:cs="Times New Roman"/>
          <w:noProof/>
          <w:szCs w:val="24"/>
        </w:rPr>
        <w:t xml:space="preserve"> (pp. 57–67). Singapore, Singapore: Springer.</w:t>
      </w:r>
    </w:p>
    <w:p w14:paraId="2AA52031" w14:textId="6FE27690"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Shalley, C. E., &amp; Gilson, L. L. (2017). Creativity and the management of technology: </w:t>
      </w:r>
      <w:r w:rsidR="00E357BC">
        <w:rPr>
          <w:rFonts w:cs="Times New Roman"/>
          <w:noProof/>
          <w:szCs w:val="24"/>
        </w:rPr>
        <w:t>b</w:t>
      </w:r>
      <w:r w:rsidRPr="002A7627">
        <w:rPr>
          <w:rFonts w:cs="Times New Roman"/>
          <w:noProof/>
          <w:szCs w:val="24"/>
        </w:rPr>
        <w:t xml:space="preserve">alancing creativity and standardization. </w:t>
      </w:r>
      <w:r w:rsidRPr="002A7627">
        <w:rPr>
          <w:rFonts w:cs="Times New Roman"/>
          <w:i/>
          <w:iCs/>
          <w:noProof/>
          <w:szCs w:val="24"/>
        </w:rPr>
        <w:t>Production and Operations Management</w:t>
      </w:r>
      <w:r w:rsidRPr="002A7627">
        <w:rPr>
          <w:rFonts w:cs="Times New Roman"/>
          <w:noProof/>
          <w:szCs w:val="24"/>
        </w:rPr>
        <w:t xml:space="preserve">, </w:t>
      </w:r>
      <w:r w:rsidRPr="002A7627">
        <w:rPr>
          <w:rFonts w:cs="Times New Roman"/>
          <w:i/>
          <w:iCs/>
          <w:noProof/>
          <w:szCs w:val="24"/>
        </w:rPr>
        <w:t>26</w:t>
      </w:r>
      <w:r w:rsidRPr="002A7627">
        <w:rPr>
          <w:rFonts w:cs="Times New Roman"/>
          <w:noProof/>
          <w:szCs w:val="24"/>
        </w:rPr>
        <w:t>(4), 605–616. https://doi.org/10.1111/poms.12639</w:t>
      </w:r>
    </w:p>
    <w:p w14:paraId="1BD0B638"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Shao, Z., Wang, T., &amp; Feng, Y. (2015). Impact of organizational culture and computer self-efficacy on knowledge sharing. </w:t>
      </w:r>
      <w:r w:rsidRPr="002A7627">
        <w:rPr>
          <w:rFonts w:cs="Times New Roman"/>
          <w:i/>
          <w:iCs/>
          <w:noProof/>
          <w:szCs w:val="24"/>
        </w:rPr>
        <w:t>Industrial Management and Data Systems</w:t>
      </w:r>
      <w:r w:rsidRPr="002A7627">
        <w:rPr>
          <w:rFonts w:cs="Times New Roman"/>
          <w:noProof/>
          <w:szCs w:val="24"/>
        </w:rPr>
        <w:t xml:space="preserve">, </w:t>
      </w:r>
      <w:r w:rsidRPr="002A7627">
        <w:rPr>
          <w:rFonts w:cs="Times New Roman"/>
          <w:i/>
          <w:iCs/>
          <w:noProof/>
          <w:szCs w:val="24"/>
        </w:rPr>
        <w:t>115</w:t>
      </w:r>
      <w:r w:rsidRPr="002A7627">
        <w:rPr>
          <w:rFonts w:cs="Times New Roman"/>
          <w:noProof/>
          <w:szCs w:val="24"/>
        </w:rPr>
        <w:t>(4), 590–611. https://doi.org/10.1108/IMDS-12-2014-0377</w:t>
      </w:r>
    </w:p>
    <w:p w14:paraId="30EB4196" w14:textId="5DEB6254"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Siddique, C. M. (2012). Knowledge management initiatives in the United Arab Emirates: </w:t>
      </w:r>
      <w:r w:rsidR="00E357BC">
        <w:rPr>
          <w:rFonts w:cs="Times New Roman"/>
          <w:noProof/>
          <w:szCs w:val="24"/>
        </w:rPr>
        <w:t>a</w:t>
      </w:r>
      <w:r w:rsidRPr="002A7627">
        <w:rPr>
          <w:rFonts w:cs="Times New Roman"/>
          <w:noProof/>
          <w:szCs w:val="24"/>
        </w:rPr>
        <w:t xml:space="preserve"> baseline study.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16</w:t>
      </w:r>
      <w:r w:rsidRPr="002A7627">
        <w:rPr>
          <w:rFonts w:cs="Times New Roman"/>
          <w:noProof/>
          <w:szCs w:val="24"/>
        </w:rPr>
        <w:t>(5), 702–723. https://doi.org/10.1108/13673271211262763</w:t>
      </w:r>
    </w:p>
    <w:p w14:paraId="4C3FD6A8" w14:textId="2A281FA3" w:rsidR="00CD0B2F" w:rsidRDefault="00CD0B2F" w:rsidP="002A7627">
      <w:pPr>
        <w:spacing w:line="480" w:lineRule="auto"/>
        <w:ind w:left="480" w:hanging="480"/>
        <w:jc w:val="both"/>
        <w:rPr>
          <w:rFonts w:cs="Times New Roman"/>
          <w:noProof/>
          <w:szCs w:val="24"/>
        </w:rPr>
      </w:pPr>
      <w:r w:rsidRPr="002A7627">
        <w:rPr>
          <w:rFonts w:cs="Times New Roman"/>
          <w:noProof/>
          <w:szCs w:val="24"/>
        </w:rPr>
        <w:t xml:space="preserve">Siemsen, E., Roth, A. V, &amp; Balasubramanian, S. (2008). How motivation, opportunity, and ability drive knowledge sharing: </w:t>
      </w:r>
      <w:r w:rsidR="00E357BC">
        <w:rPr>
          <w:rFonts w:cs="Times New Roman"/>
          <w:noProof/>
          <w:szCs w:val="24"/>
        </w:rPr>
        <w:t>t</w:t>
      </w:r>
      <w:r w:rsidRPr="002A7627">
        <w:rPr>
          <w:rFonts w:cs="Times New Roman"/>
          <w:noProof/>
          <w:szCs w:val="24"/>
        </w:rPr>
        <w:t xml:space="preserve">he constraining-factor model. </w:t>
      </w:r>
      <w:r w:rsidRPr="002A7627">
        <w:rPr>
          <w:rFonts w:cs="Times New Roman"/>
          <w:i/>
          <w:iCs/>
          <w:noProof/>
          <w:szCs w:val="24"/>
        </w:rPr>
        <w:t>Journal of Operations Management</w:t>
      </w:r>
      <w:r w:rsidRPr="002A7627">
        <w:rPr>
          <w:rFonts w:cs="Times New Roman"/>
          <w:noProof/>
          <w:szCs w:val="24"/>
        </w:rPr>
        <w:t xml:space="preserve">, </w:t>
      </w:r>
      <w:r w:rsidRPr="002A7627">
        <w:rPr>
          <w:rFonts w:cs="Times New Roman"/>
          <w:i/>
          <w:iCs/>
          <w:noProof/>
          <w:szCs w:val="24"/>
        </w:rPr>
        <w:t>26</w:t>
      </w:r>
      <w:r w:rsidRPr="002A7627">
        <w:rPr>
          <w:rFonts w:cs="Times New Roman"/>
          <w:noProof/>
          <w:szCs w:val="24"/>
        </w:rPr>
        <w:t>(3), 426–445.</w:t>
      </w:r>
    </w:p>
    <w:p w14:paraId="41D39100" w14:textId="6650CDDE" w:rsidR="004A1282" w:rsidRPr="002A7627" w:rsidRDefault="004A1282" w:rsidP="002A7627">
      <w:pPr>
        <w:spacing w:line="480" w:lineRule="auto"/>
        <w:ind w:left="480" w:hanging="480"/>
        <w:jc w:val="both"/>
        <w:rPr>
          <w:rFonts w:cs="Times New Roman"/>
          <w:noProof/>
          <w:szCs w:val="24"/>
        </w:rPr>
      </w:pPr>
      <w:r>
        <w:t xml:space="preserve">Slater, S. F., &amp; Narver, J. C. (1995). Market orientation and the learning organization. </w:t>
      </w:r>
      <w:r>
        <w:rPr>
          <w:i/>
          <w:iCs/>
        </w:rPr>
        <w:t>Journal of marketing</w:t>
      </w:r>
      <w:r>
        <w:t xml:space="preserve">, </w:t>
      </w:r>
      <w:r>
        <w:rPr>
          <w:i/>
          <w:iCs/>
        </w:rPr>
        <w:t>59</w:t>
      </w:r>
      <w:r>
        <w:t>(3), 63-74.</w:t>
      </w:r>
    </w:p>
    <w:p w14:paraId="481AC997" w14:textId="1215C391"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Snell, R., &amp; Chak, A. M.-K. (1998). The </w:t>
      </w:r>
      <w:r w:rsidR="00985139" w:rsidRPr="002A7627">
        <w:rPr>
          <w:rFonts w:cs="Times New Roman"/>
          <w:noProof/>
          <w:szCs w:val="24"/>
        </w:rPr>
        <w:t>learning organization: learning and empowerment for whom</w:t>
      </w:r>
      <w:r w:rsidRPr="002A7627">
        <w:rPr>
          <w:rFonts w:cs="Times New Roman"/>
          <w:noProof/>
          <w:szCs w:val="24"/>
        </w:rPr>
        <w:t xml:space="preserve">? </w:t>
      </w:r>
      <w:r w:rsidRPr="002A7627">
        <w:rPr>
          <w:rFonts w:cs="Times New Roman"/>
          <w:i/>
          <w:iCs/>
          <w:noProof/>
          <w:szCs w:val="24"/>
        </w:rPr>
        <w:t>Management Learning</w:t>
      </w:r>
      <w:r w:rsidRPr="002A7627">
        <w:rPr>
          <w:rFonts w:cs="Times New Roman"/>
          <w:noProof/>
          <w:szCs w:val="24"/>
        </w:rPr>
        <w:t xml:space="preserve">, </w:t>
      </w:r>
      <w:r w:rsidRPr="002A7627">
        <w:rPr>
          <w:rFonts w:cs="Times New Roman"/>
          <w:i/>
          <w:iCs/>
          <w:noProof/>
          <w:szCs w:val="24"/>
        </w:rPr>
        <w:t>29</w:t>
      </w:r>
      <w:r w:rsidRPr="002A7627">
        <w:rPr>
          <w:rFonts w:cs="Times New Roman"/>
          <w:noProof/>
          <w:szCs w:val="24"/>
        </w:rPr>
        <w:t>(3), 337–364. https://doi.org/10.1177/1350507698293005</w:t>
      </w:r>
    </w:p>
    <w:p w14:paraId="46B48889"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Soon, T., Fisher, J., &amp; Zainol, F. (2017). An integrated view of knowledge management enablers, process and organizational performance in Malaysian enterprise. </w:t>
      </w:r>
      <w:r w:rsidRPr="002A7627">
        <w:rPr>
          <w:rFonts w:cs="Times New Roman"/>
          <w:i/>
          <w:iCs/>
          <w:noProof/>
          <w:szCs w:val="24"/>
        </w:rPr>
        <w:t>Asian Journal of Knowledge Management</w:t>
      </w:r>
      <w:r w:rsidRPr="002A7627">
        <w:rPr>
          <w:rFonts w:cs="Times New Roman"/>
          <w:noProof/>
          <w:szCs w:val="24"/>
        </w:rPr>
        <w:t xml:space="preserve">, </w:t>
      </w:r>
      <w:r w:rsidRPr="002A7627">
        <w:rPr>
          <w:rFonts w:cs="Times New Roman"/>
          <w:i/>
          <w:iCs/>
          <w:noProof/>
          <w:szCs w:val="24"/>
        </w:rPr>
        <w:t>1</w:t>
      </w:r>
      <w:r w:rsidRPr="002A7627">
        <w:rPr>
          <w:rFonts w:cs="Times New Roman"/>
          <w:noProof/>
          <w:szCs w:val="24"/>
        </w:rPr>
        <w:t>(1), 13–52. Retrieved from http://www.asianikm.com/ejournal/index.php/aikm/article/download/2/1</w:t>
      </w:r>
    </w:p>
    <w:p w14:paraId="16E6D214"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Soto-Acosta, P., &amp; Cegarra-Navarro, J.-G. (2016). New ICTs for knowledge Management in organizations.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20</w:t>
      </w:r>
      <w:r w:rsidRPr="002A7627">
        <w:rPr>
          <w:rFonts w:cs="Times New Roman"/>
          <w:noProof/>
          <w:szCs w:val="24"/>
        </w:rPr>
        <w:t>(3), 417–422. https://doi.org/10.1108/JKM-02-2016-0057</w:t>
      </w:r>
    </w:p>
    <w:p w14:paraId="301608BB" w14:textId="60527200"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Sprinkle, T. A., &amp; Urick, M. J. (2018). Three generational issues in organizational learning: </w:t>
      </w:r>
      <w:r w:rsidR="00E357BC">
        <w:rPr>
          <w:rFonts w:cs="Times New Roman"/>
          <w:noProof/>
          <w:szCs w:val="24"/>
        </w:rPr>
        <w:t>k</w:t>
      </w:r>
      <w:r w:rsidRPr="002A7627">
        <w:rPr>
          <w:rFonts w:cs="Times New Roman"/>
          <w:noProof/>
          <w:szCs w:val="24"/>
        </w:rPr>
        <w:t xml:space="preserve">nowledge management, perspectives on training and “low-stakes” development. </w:t>
      </w:r>
      <w:r w:rsidRPr="002A7627">
        <w:rPr>
          <w:rFonts w:cs="Times New Roman"/>
          <w:i/>
          <w:iCs/>
          <w:noProof/>
          <w:szCs w:val="24"/>
        </w:rPr>
        <w:t>The Learning Organization</w:t>
      </w:r>
      <w:r w:rsidRPr="002A7627">
        <w:rPr>
          <w:rFonts w:cs="Times New Roman"/>
          <w:noProof/>
          <w:szCs w:val="24"/>
        </w:rPr>
        <w:t xml:space="preserve">, </w:t>
      </w:r>
      <w:r w:rsidRPr="002A7627">
        <w:rPr>
          <w:rFonts w:cs="Times New Roman"/>
          <w:i/>
          <w:iCs/>
          <w:noProof/>
          <w:szCs w:val="24"/>
        </w:rPr>
        <w:t>25</w:t>
      </w:r>
      <w:r w:rsidRPr="002A7627">
        <w:rPr>
          <w:rFonts w:cs="Times New Roman"/>
          <w:noProof/>
          <w:szCs w:val="24"/>
        </w:rPr>
        <w:t>(2), 102–112. https://doi.org/10.1108/TLO-02-2017-0021</w:t>
      </w:r>
    </w:p>
    <w:p w14:paraId="6D14B1FE" w14:textId="7F5DCF6D" w:rsidR="007F3B13" w:rsidRPr="002A7627" w:rsidRDefault="00CD0B2F" w:rsidP="007F3B13">
      <w:pPr>
        <w:spacing w:line="480" w:lineRule="auto"/>
        <w:ind w:left="480" w:hanging="480"/>
        <w:jc w:val="both"/>
        <w:rPr>
          <w:rFonts w:cs="Times New Roman"/>
          <w:noProof/>
          <w:szCs w:val="24"/>
        </w:rPr>
      </w:pPr>
      <w:r w:rsidRPr="002A7627">
        <w:rPr>
          <w:rFonts w:cs="Times New Roman"/>
          <w:noProof/>
          <w:szCs w:val="24"/>
        </w:rPr>
        <w:t xml:space="preserve">Stankosky M. (2008). Knowledge Management and </w:t>
      </w:r>
      <w:r w:rsidR="00C52075">
        <w:rPr>
          <w:rFonts w:cs="Times New Roman"/>
          <w:noProof/>
          <w:szCs w:val="24"/>
        </w:rPr>
        <w:t>Organizational</w:t>
      </w:r>
      <w:r w:rsidRPr="002A7627">
        <w:rPr>
          <w:rFonts w:cs="Times New Roman"/>
          <w:noProof/>
          <w:szCs w:val="24"/>
        </w:rPr>
        <w:t xml:space="preserve"> Learning. </w:t>
      </w:r>
      <w:r w:rsidRPr="002A7627">
        <w:rPr>
          <w:rFonts w:cs="Times New Roman"/>
          <w:i/>
          <w:iCs/>
          <w:noProof/>
          <w:szCs w:val="24"/>
        </w:rPr>
        <w:t>Keynote Address to ICICKM. In International Conference on Intellectual Capital</w:t>
      </w:r>
      <w:r w:rsidRPr="002A7627">
        <w:rPr>
          <w:rFonts w:cs="Times New Roman"/>
          <w:noProof/>
          <w:szCs w:val="24"/>
        </w:rPr>
        <w:t xml:space="preserve">, </w:t>
      </w:r>
      <w:r w:rsidR="00D37C06">
        <w:rPr>
          <w:rFonts w:cs="Times New Roman"/>
          <w:noProof/>
          <w:szCs w:val="24"/>
        </w:rPr>
        <w:t xml:space="preserve">NewYork. </w:t>
      </w:r>
      <w:r w:rsidRPr="002A7627">
        <w:rPr>
          <w:rFonts w:cs="Times New Roman"/>
          <w:noProof/>
          <w:szCs w:val="24"/>
        </w:rPr>
        <w:t>9–10.</w:t>
      </w:r>
    </w:p>
    <w:p w14:paraId="06747290"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Stenius, M., Hankonen, N., Ravaja, N., &amp; Haukkala, A. (2016). Why share expertise? A closer look at the quality of motivation to share or withhold knowledge.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20</w:t>
      </w:r>
      <w:r w:rsidRPr="002A7627">
        <w:rPr>
          <w:rFonts w:cs="Times New Roman"/>
          <w:noProof/>
          <w:szCs w:val="24"/>
        </w:rPr>
        <w:t>(2), 181–198. https://doi.org/10.1108/JKM-03-2015-0124</w:t>
      </w:r>
    </w:p>
    <w:p w14:paraId="3C5BBBC1" w14:textId="663AF4E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Stylidis, D. (2012). </w:t>
      </w:r>
      <w:r w:rsidRPr="002A7627">
        <w:rPr>
          <w:rFonts w:cs="Times New Roman"/>
          <w:i/>
          <w:iCs/>
          <w:noProof/>
          <w:szCs w:val="24"/>
        </w:rPr>
        <w:t xml:space="preserve">Tourism and community life: </w:t>
      </w:r>
      <w:r w:rsidR="00E357BC">
        <w:rPr>
          <w:rFonts w:cs="Times New Roman"/>
          <w:i/>
          <w:iCs/>
          <w:noProof/>
          <w:szCs w:val="24"/>
        </w:rPr>
        <w:t>b</w:t>
      </w:r>
      <w:r w:rsidRPr="002A7627">
        <w:rPr>
          <w:rFonts w:cs="Times New Roman"/>
          <w:i/>
          <w:iCs/>
          <w:noProof/>
          <w:szCs w:val="24"/>
        </w:rPr>
        <w:t>uilding a conceptual framework</w:t>
      </w:r>
      <w:r w:rsidRPr="002A7627">
        <w:rPr>
          <w:rFonts w:cs="Times New Roman"/>
          <w:noProof/>
          <w:szCs w:val="24"/>
        </w:rPr>
        <w:t xml:space="preserve">. </w:t>
      </w:r>
      <w:r w:rsidR="00985139" w:rsidRPr="002A7627">
        <w:rPr>
          <w:rFonts w:cs="Times New Roman"/>
          <w:noProof/>
          <w:szCs w:val="24"/>
        </w:rPr>
        <w:t>Guildford, UK</w:t>
      </w:r>
      <w:r w:rsidR="00985139">
        <w:rPr>
          <w:rFonts w:cs="Times New Roman"/>
          <w:noProof/>
          <w:szCs w:val="24"/>
        </w:rPr>
        <w:t>:</w:t>
      </w:r>
      <w:r w:rsidR="00985139" w:rsidRPr="002A7627">
        <w:rPr>
          <w:rFonts w:cs="Times New Roman"/>
          <w:noProof/>
          <w:szCs w:val="24"/>
        </w:rPr>
        <w:t xml:space="preserve"> </w:t>
      </w:r>
      <w:r w:rsidRPr="002A7627">
        <w:rPr>
          <w:rFonts w:cs="Times New Roman"/>
          <w:noProof/>
          <w:szCs w:val="24"/>
        </w:rPr>
        <w:t>University of Surrey.</w:t>
      </w:r>
    </w:p>
    <w:p w14:paraId="263EB2DB"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Sundiman, D., Idrus, M. S., Troena, E. A., &amp; Rahayu, M. (2013). The role of knowledge management on individu, the community and the organization. </w:t>
      </w:r>
      <w:r w:rsidRPr="002A7627">
        <w:rPr>
          <w:rFonts w:cs="Times New Roman"/>
          <w:i/>
          <w:iCs/>
          <w:noProof/>
          <w:szCs w:val="24"/>
        </w:rPr>
        <w:t>IOSR Journal of Business and Management</w:t>
      </w:r>
      <w:r w:rsidRPr="002A7627">
        <w:rPr>
          <w:rFonts w:cs="Times New Roman"/>
          <w:noProof/>
          <w:szCs w:val="24"/>
        </w:rPr>
        <w:t xml:space="preserve">, </w:t>
      </w:r>
      <w:r w:rsidRPr="002A7627">
        <w:rPr>
          <w:rFonts w:cs="Times New Roman"/>
          <w:i/>
          <w:iCs/>
          <w:noProof/>
          <w:szCs w:val="24"/>
        </w:rPr>
        <w:t>7</w:t>
      </w:r>
      <w:r w:rsidRPr="002A7627">
        <w:rPr>
          <w:rFonts w:cs="Times New Roman"/>
          <w:noProof/>
          <w:szCs w:val="24"/>
        </w:rPr>
        <w:t>(1), 47–54. https://doi.org/10.9790/487X-0714754</w:t>
      </w:r>
    </w:p>
    <w:p w14:paraId="4E6049EF"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Swart, J., &amp; Kinnie, N. (2013). Managing multidimensional knowledge assets: HR configurations in professional service firms. </w:t>
      </w:r>
      <w:r w:rsidRPr="002A7627">
        <w:rPr>
          <w:rFonts w:cs="Times New Roman"/>
          <w:i/>
          <w:iCs/>
          <w:noProof/>
          <w:szCs w:val="24"/>
        </w:rPr>
        <w:t>Human Resource Management Journal</w:t>
      </w:r>
      <w:r w:rsidRPr="002A7627">
        <w:rPr>
          <w:rFonts w:cs="Times New Roman"/>
          <w:noProof/>
          <w:szCs w:val="24"/>
        </w:rPr>
        <w:t xml:space="preserve">, </w:t>
      </w:r>
      <w:r w:rsidRPr="002A7627">
        <w:rPr>
          <w:rFonts w:cs="Times New Roman"/>
          <w:i/>
          <w:iCs/>
          <w:noProof/>
          <w:szCs w:val="24"/>
        </w:rPr>
        <w:t>23</w:t>
      </w:r>
      <w:r w:rsidRPr="002A7627">
        <w:rPr>
          <w:rFonts w:cs="Times New Roman"/>
          <w:noProof/>
          <w:szCs w:val="24"/>
        </w:rPr>
        <w:t>(2), 160–179.</w:t>
      </w:r>
    </w:p>
    <w:p w14:paraId="5F012F83"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Tallott, M., &amp; Hilliard, R. (2016). Developing dynamic capabilities for learning and internationalization. </w:t>
      </w:r>
      <w:r w:rsidRPr="002A7627">
        <w:rPr>
          <w:rFonts w:cs="Times New Roman"/>
          <w:i/>
          <w:iCs/>
          <w:noProof/>
          <w:szCs w:val="24"/>
        </w:rPr>
        <w:t>Baltic Journal of Management</w:t>
      </w:r>
      <w:r w:rsidRPr="002A7627">
        <w:rPr>
          <w:rFonts w:cs="Times New Roman"/>
          <w:noProof/>
          <w:szCs w:val="24"/>
        </w:rPr>
        <w:t xml:space="preserve">, </w:t>
      </w:r>
      <w:r w:rsidRPr="002A7627">
        <w:rPr>
          <w:rFonts w:cs="Times New Roman"/>
          <w:i/>
          <w:iCs/>
          <w:noProof/>
          <w:szCs w:val="24"/>
        </w:rPr>
        <w:t>11</w:t>
      </w:r>
      <w:r w:rsidRPr="002A7627">
        <w:rPr>
          <w:rFonts w:cs="Times New Roman"/>
          <w:noProof/>
          <w:szCs w:val="24"/>
        </w:rPr>
        <w:t>(3), 328–347. https://doi.org/10.1108/BJM-02-2015-0060</w:t>
      </w:r>
    </w:p>
    <w:p w14:paraId="4B889EB0" w14:textId="7ED22306"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Tannenbaum, S. I., Mathieu, J. E., Salas, E., &amp; Cannon-Bowers, J. A. (1991). Meeting trainees’ expectations: </w:t>
      </w:r>
      <w:r w:rsidR="00E357BC">
        <w:rPr>
          <w:rFonts w:cs="Times New Roman"/>
          <w:noProof/>
          <w:szCs w:val="24"/>
        </w:rPr>
        <w:t>t</w:t>
      </w:r>
      <w:r w:rsidRPr="002A7627">
        <w:rPr>
          <w:rFonts w:cs="Times New Roman"/>
          <w:noProof/>
          <w:szCs w:val="24"/>
        </w:rPr>
        <w:t xml:space="preserve">he influence of training fulfillment on the development of commitment, self-efficacy, and motivation. </w:t>
      </w:r>
      <w:r w:rsidRPr="002A7627">
        <w:rPr>
          <w:rFonts w:cs="Times New Roman"/>
          <w:i/>
          <w:iCs/>
          <w:noProof/>
          <w:szCs w:val="24"/>
        </w:rPr>
        <w:t>Journal of Applied Psychology</w:t>
      </w:r>
      <w:r w:rsidRPr="002A7627">
        <w:rPr>
          <w:rFonts w:cs="Times New Roman"/>
          <w:noProof/>
          <w:szCs w:val="24"/>
        </w:rPr>
        <w:t xml:space="preserve">, </w:t>
      </w:r>
      <w:r w:rsidRPr="002A7627">
        <w:rPr>
          <w:rFonts w:cs="Times New Roman"/>
          <w:i/>
          <w:iCs/>
          <w:noProof/>
          <w:szCs w:val="24"/>
        </w:rPr>
        <w:t>76</w:t>
      </w:r>
      <w:r w:rsidRPr="002A7627">
        <w:rPr>
          <w:rFonts w:cs="Times New Roman"/>
          <w:noProof/>
          <w:szCs w:val="24"/>
        </w:rPr>
        <w:t>(6), 759.</w:t>
      </w:r>
    </w:p>
    <w:p w14:paraId="533CA791" w14:textId="10D0FA78" w:rsidR="00CD0B2F" w:rsidRDefault="00CD0B2F" w:rsidP="002A7627">
      <w:pPr>
        <w:spacing w:line="480" w:lineRule="auto"/>
        <w:ind w:left="480" w:hanging="480"/>
        <w:jc w:val="both"/>
        <w:rPr>
          <w:rFonts w:cs="Times New Roman"/>
          <w:noProof/>
          <w:szCs w:val="24"/>
        </w:rPr>
      </w:pPr>
      <w:r w:rsidRPr="002A7627">
        <w:rPr>
          <w:rFonts w:cs="Times New Roman"/>
          <w:noProof/>
          <w:szCs w:val="24"/>
        </w:rPr>
        <w:t>Tanriverdi</w:t>
      </w:r>
      <w:r w:rsidR="00985139">
        <w:rPr>
          <w:rFonts w:cs="Times New Roman"/>
          <w:noProof/>
          <w:szCs w:val="24"/>
        </w:rPr>
        <w:t>, H</w:t>
      </w:r>
      <w:r w:rsidRPr="002A7627">
        <w:rPr>
          <w:rFonts w:cs="Times New Roman"/>
          <w:noProof/>
          <w:szCs w:val="24"/>
        </w:rPr>
        <w:t xml:space="preserve">. (2005). Information technology relatedness, knowledge management capability, and performance of multibusiness firms. </w:t>
      </w:r>
      <w:r w:rsidRPr="002A7627">
        <w:rPr>
          <w:rFonts w:cs="Times New Roman"/>
          <w:i/>
          <w:iCs/>
          <w:noProof/>
          <w:szCs w:val="24"/>
        </w:rPr>
        <w:t>MIS Quarterly</w:t>
      </w:r>
      <w:r w:rsidRPr="002A7627">
        <w:rPr>
          <w:rFonts w:cs="Times New Roman"/>
          <w:noProof/>
          <w:szCs w:val="24"/>
        </w:rPr>
        <w:t xml:space="preserve">, </w:t>
      </w:r>
      <w:r w:rsidRPr="002A7627">
        <w:rPr>
          <w:rFonts w:cs="Times New Roman"/>
          <w:i/>
          <w:iCs/>
          <w:noProof/>
          <w:szCs w:val="24"/>
        </w:rPr>
        <w:t>29</w:t>
      </w:r>
      <w:r w:rsidRPr="002A7627">
        <w:rPr>
          <w:rFonts w:cs="Times New Roman"/>
          <w:noProof/>
          <w:szCs w:val="24"/>
        </w:rPr>
        <w:t xml:space="preserve">(2), 311. </w:t>
      </w:r>
      <w:hyperlink r:id="rId54" w:history="1">
        <w:r w:rsidR="007F3B13" w:rsidRPr="000B1DFD">
          <w:rPr>
            <w:rStyle w:val="Hyperlink"/>
            <w:rFonts w:cs="Times New Roman"/>
            <w:noProof/>
            <w:color w:val="000000" w:themeColor="text1"/>
            <w:szCs w:val="24"/>
            <w:u w:val="none"/>
          </w:rPr>
          <w:t>https://doi.org/10.2307/25148681</w:t>
        </w:r>
      </w:hyperlink>
    </w:p>
    <w:p w14:paraId="7E43BA92" w14:textId="342B7056" w:rsidR="007F3B13" w:rsidRPr="002A7627" w:rsidRDefault="007F3B13" w:rsidP="002A7627">
      <w:pPr>
        <w:spacing w:line="480" w:lineRule="auto"/>
        <w:ind w:left="480" w:hanging="480"/>
        <w:jc w:val="both"/>
        <w:rPr>
          <w:rFonts w:cs="Times New Roman"/>
          <w:noProof/>
          <w:szCs w:val="24"/>
        </w:rPr>
      </w:pPr>
      <w:r>
        <w:t xml:space="preserve">Tashakkori, A., Teddlie, C., &amp; Teddlie, C. B. (1998). </w:t>
      </w:r>
      <w:r>
        <w:rPr>
          <w:i/>
          <w:iCs/>
        </w:rPr>
        <w:t>Mixed methodology: Combining qualitative and quantitative approaches</w:t>
      </w:r>
      <w:r>
        <w:t xml:space="preserve"> (Vol. 46). Sage.</w:t>
      </w:r>
    </w:p>
    <w:p w14:paraId="58F55984" w14:textId="27458857" w:rsidR="00CD0B2F" w:rsidRDefault="00CD0B2F" w:rsidP="002A7627">
      <w:pPr>
        <w:spacing w:line="480" w:lineRule="auto"/>
        <w:ind w:left="480" w:hanging="480"/>
        <w:jc w:val="both"/>
        <w:rPr>
          <w:rFonts w:cs="Times New Roman"/>
          <w:noProof/>
          <w:szCs w:val="24"/>
        </w:rPr>
      </w:pPr>
      <w:r w:rsidRPr="002A7627">
        <w:rPr>
          <w:rFonts w:cs="Times New Roman"/>
          <w:noProof/>
          <w:szCs w:val="24"/>
        </w:rPr>
        <w:t xml:space="preserve">Tengpongsthorn, W. (2017). Factors affecting the effectiveness of police performance in Metropolitan Police Bureau. </w:t>
      </w:r>
      <w:r w:rsidRPr="002A7627">
        <w:rPr>
          <w:rFonts w:cs="Times New Roman"/>
          <w:i/>
          <w:iCs/>
          <w:noProof/>
          <w:szCs w:val="24"/>
        </w:rPr>
        <w:t>Kasetsart Journal of Social Sciences</w:t>
      </w:r>
      <w:r w:rsidRPr="002A7627">
        <w:rPr>
          <w:rFonts w:cs="Times New Roman"/>
          <w:noProof/>
          <w:szCs w:val="24"/>
        </w:rPr>
        <w:t xml:space="preserve">, </w:t>
      </w:r>
      <w:r w:rsidRPr="002A7627">
        <w:rPr>
          <w:rFonts w:cs="Times New Roman"/>
          <w:i/>
          <w:iCs/>
          <w:noProof/>
          <w:szCs w:val="24"/>
        </w:rPr>
        <w:t>38</w:t>
      </w:r>
      <w:r w:rsidRPr="002A7627">
        <w:rPr>
          <w:rFonts w:cs="Times New Roman"/>
          <w:noProof/>
          <w:szCs w:val="24"/>
        </w:rPr>
        <w:t>(1), 39–44</w:t>
      </w:r>
      <w:r w:rsidRPr="000B1DFD">
        <w:rPr>
          <w:rFonts w:cs="Times New Roman"/>
          <w:noProof/>
          <w:color w:val="000000" w:themeColor="text1"/>
          <w:szCs w:val="24"/>
        </w:rPr>
        <w:t xml:space="preserve">. </w:t>
      </w:r>
      <w:hyperlink r:id="rId55" w:history="1">
        <w:r w:rsidR="00165B08" w:rsidRPr="000B1DFD">
          <w:rPr>
            <w:rStyle w:val="Hyperlink"/>
            <w:rFonts w:cs="Times New Roman"/>
            <w:noProof/>
            <w:color w:val="000000" w:themeColor="text1"/>
            <w:szCs w:val="24"/>
            <w:u w:val="none"/>
          </w:rPr>
          <w:t>https://doi.org/10.1016/j.kjss.2016.07.001</w:t>
        </w:r>
      </w:hyperlink>
    </w:p>
    <w:p w14:paraId="4B0FBC1B" w14:textId="487E27B9" w:rsidR="00165B08" w:rsidRPr="006E524C" w:rsidRDefault="00165B08" w:rsidP="006E524C">
      <w:pPr>
        <w:tabs>
          <w:tab w:val="left" w:pos="6804"/>
          <w:tab w:val="left" w:pos="7088"/>
        </w:tabs>
        <w:spacing w:line="480" w:lineRule="auto"/>
        <w:ind w:left="480" w:hanging="480"/>
        <w:jc w:val="lowKashida"/>
        <w:rPr>
          <w:rFonts w:cs="Times New Roman"/>
          <w:noProof/>
          <w:color w:val="000000" w:themeColor="text1"/>
          <w:szCs w:val="24"/>
        </w:rPr>
      </w:pPr>
      <w:r>
        <w:rPr>
          <w:rFonts w:cs="Times New Roman"/>
          <w:noProof/>
          <w:szCs w:val="24"/>
        </w:rPr>
        <w:t>The U</w:t>
      </w:r>
      <w:r w:rsidR="00121297">
        <w:rPr>
          <w:rFonts w:cs="Times New Roman"/>
          <w:noProof/>
          <w:szCs w:val="24"/>
        </w:rPr>
        <w:t>.</w:t>
      </w:r>
      <w:r>
        <w:rPr>
          <w:rFonts w:cs="Times New Roman"/>
          <w:noProof/>
          <w:szCs w:val="24"/>
        </w:rPr>
        <w:t>A</w:t>
      </w:r>
      <w:r w:rsidR="00121297">
        <w:rPr>
          <w:rFonts w:cs="Times New Roman"/>
          <w:noProof/>
          <w:szCs w:val="24"/>
        </w:rPr>
        <w:t>.</w:t>
      </w:r>
      <w:r>
        <w:rPr>
          <w:rFonts w:cs="Times New Roman"/>
          <w:noProof/>
          <w:szCs w:val="24"/>
        </w:rPr>
        <w:t>E government port</w:t>
      </w:r>
      <w:r w:rsidR="006E524C">
        <w:rPr>
          <w:rFonts w:cs="Times New Roman"/>
          <w:noProof/>
          <w:szCs w:val="24"/>
        </w:rPr>
        <w:t>al</w:t>
      </w:r>
      <w:r>
        <w:rPr>
          <w:rFonts w:cs="Times New Roman"/>
          <w:noProof/>
          <w:szCs w:val="24"/>
        </w:rPr>
        <w:t xml:space="preserve">. (2019). Entities responsible for secuirty and safety. Retrieved September 28, 2019 from </w:t>
      </w:r>
      <w:r w:rsidR="006E524C" w:rsidRPr="006E524C">
        <w:rPr>
          <w:rFonts w:cs="Times New Roman"/>
          <w:noProof/>
          <w:color w:val="000000" w:themeColor="text1"/>
          <w:szCs w:val="24"/>
        </w:rPr>
        <w:t>https://www.government.ae/en/information-and-services/justice-safety-and-the-law/entities-responsible-for-security-and-safety-in-the-uae</w:t>
      </w:r>
    </w:p>
    <w:p w14:paraId="14B5993F" w14:textId="539E10CF" w:rsidR="00121297" w:rsidRDefault="00121297" w:rsidP="00832C02">
      <w:pPr>
        <w:spacing w:line="480" w:lineRule="auto"/>
        <w:ind w:left="480" w:hanging="480"/>
        <w:jc w:val="mediumKashida"/>
        <w:rPr>
          <w:rFonts w:cs="Times New Roman"/>
          <w:noProof/>
          <w:szCs w:val="24"/>
        </w:rPr>
      </w:pPr>
      <w:r>
        <w:t>The U. A. E. government portal. (2019, August 29). Happiness. Retrieved October 3, 2019, from https://government.ae/en/about-the-uae/the-uae-government/government-of-future/happiness.</w:t>
      </w:r>
    </w:p>
    <w:p w14:paraId="2A6034E2" w14:textId="77777777" w:rsidR="00985139" w:rsidRPr="002A7627" w:rsidRDefault="00985139" w:rsidP="00985139">
      <w:pPr>
        <w:spacing w:line="480" w:lineRule="auto"/>
        <w:ind w:left="480" w:hanging="480"/>
        <w:jc w:val="both"/>
        <w:rPr>
          <w:rFonts w:cs="Times New Roman"/>
          <w:noProof/>
          <w:szCs w:val="24"/>
        </w:rPr>
      </w:pPr>
      <w:r w:rsidRPr="002A7627">
        <w:rPr>
          <w:rFonts w:cs="Times New Roman"/>
          <w:noProof/>
          <w:szCs w:val="24"/>
        </w:rPr>
        <w:t xml:space="preserve">Theriou, G. N., &amp; Chatzoglou, P. D. (2008). Enhancing performance through best HRM practices, organizational learning and knowledge management. </w:t>
      </w:r>
      <w:r w:rsidRPr="002A7627">
        <w:rPr>
          <w:rFonts w:cs="Times New Roman"/>
          <w:i/>
          <w:iCs/>
          <w:noProof/>
          <w:szCs w:val="24"/>
        </w:rPr>
        <w:t>European Business Review</w:t>
      </w:r>
      <w:r w:rsidRPr="002A7627">
        <w:rPr>
          <w:rFonts w:cs="Times New Roman"/>
          <w:noProof/>
          <w:szCs w:val="24"/>
        </w:rPr>
        <w:t xml:space="preserve">, </w:t>
      </w:r>
      <w:r w:rsidRPr="002A7627">
        <w:rPr>
          <w:rFonts w:cs="Times New Roman"/>
          <w:i/>
          <w:iCs/>
          <w:noProof/>
          <w:szCs w:val="24"/>
        </w:rPr>
        <w:t>20</w:t>
      </w:r>
      <w:r w:rsidRPr="002A7627">
        <w:rPr>
          <w:rFonts w:cs="Times New Roman"/>
          <w:noProof/>
          <w:szCs w:val="24"/>
        </w:rPr>
        <w:t>(3), 185–207. https://doi.org/10.1108/09555340810871400</w:t>
      </w:r>
    </w:p>
    <w:p w14:paraId="5777EFBF"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Theriou, G. N., &amp; Chatzoglou, P. (2014). The impact of best HRM practices on performance – identifying enabling factors. </w:t>
      </w:r>
      <w:r w:rsidRPr="002A7627">
        <w:rPr>
          <w:rFonts w:cs="Times New Roman"/>
          <w:i/>
          <w:iCs/>
          <w:noProof/>
          <w:szCs w:val="24"/>
        </w:rPr>
        <w:t>Employee Relations</w:t>
      </w:r>
      <w:r w:rsidRPr="002A7627">
        <w:rPr>
          <w:rFonts w:cs="Times New Roman"/>
          <w:noProof/>
          <w:szCs w:val="24"/>
        </w:rPr>
        <w:t xml:space="preserve">, </w:t>
      </w:r>
      <w:r w:rsidRPr="002A7627">
        <w:rPr>
          <w:rFonts w:cs="Times New Roman"/>
          <w:i/>
          <w:iCs/>
          <w:noProof/>
          <w:szCs w:val="24"/>
        </w:rPr>
        <w:t>36</w:t>
      </w:r>
      <w:r w:rsidRPr="002A7627">
        <w:rPr>
          <w:rFonts w:cs="Times New Roman"/>
          <w:noProof/>
          <w:szCs w:val="24"/>
        </w:rPr>
        <w:t>(5), 535–561. https://doi.org/10.1108/ER-02-2013-0025</w:t>
      </w:r>
    </w:p>
    <w:p w14:paraId="2ED34F8A" w14:textId="44141AC4"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Tippins, M. J., &amp; Sohi, R. S. (2003). IT competency and firm performance: </w:t>
      </w:r>
      <w:r w:rsidR="00E357BC">
        <w:rPr>
          <w:rFonts w:cs="Times New Roman"/>
          <w:noProof/>
          <w:szCs w:val="24"/>
        </w:rPr>
        <w:t>i</w:t>
      </w:r>
      <w:r w:rsidRPr="002A7627">
        <w:rPr>
          <w:rFonts w:cs="Times New Roman"/>
          <w:noProof/>
          <w:szCs w:val="24"/>
        </w:rPr>
        <w:t xml:space="preserve">s organizational learning a missing link? </w:t>
      </w:r>
      <w:r w:rsidRPr="002A7627">
        <w:rPr>
          <w:rFonts w:cs="Times New Roman"/>
          <w:i/>
          <w:iCs/>
          <w:noProof/>
          <w:szCs w:val="24"/>
        </w:rPr>
        <w:t>Strategic Management Journal</w:t>
      </w:r>
      <w:r w:rsidRPr="002A7627">
        <w:rPr>
          <w:rFonts w:cs="Times New Roman"/>
          <w:noProof/>
          <w:szCs w:val="24"/>
        </w:rPr>
        <w:t xml:space="preserve">, </w:t>
      </w:r>
      <w:r w:rsidRPr="002A7627">
        <w:rPr>
          <w:rFonts w:cs="Times New Roman"/>
          <w:i/>
          <w:iCs/>
          <w:noProof/>
          <w:szCs w:val="24"/>
        </w:rPr>
        <w:t>24</w:t>
      </w:r>
      <w:r w:rsidRPr="002A7627">
        <w:rPr>
          <w:rFonts w:cs="Times New Roman"/>
          <w:noProof/>
          <w:szCs w:val="24"/>
        </w:rPr>
        <w:t>(8), 745–761. https://doi.org/10.1002/smj.337</w:t>
      </w:r>
    </w:p>
    <w:p w14:paraId="7B9F3280"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Titi Amayah, A. (2013). Determinants of knowledge sharing in a public sector organization.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17</w:t>
      </w:r>
      <w:r w:rsidRPr="002A7627">
        <w:rPr>
          <w:rFonts w:cs="Times New Roman"/>
          <w:noProof/>
          <w:szCs w:val="24"/>
        </w:rPr>
        <w:t>(3), 454–471. https://doi.org/10.1108/JKM-11-2012-0369</w:t>
      </w:r>
    </w:p>
    <w:p w14:paraId="256162BF" w14:textId="5253BC20"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Todorović, M. L., Petrović, D. Č., Mihić, M. M., Obradović, V. L., &amp; Bushuyev, S. D. (2015). Project success analysis framework: </w:t>
      </w:r>
      <w:r w:rsidR="00E357BC">
        <w:rPr>
          <w:rFonts w:cs="Times New Roman"/>
          <w:noProof/>
          <w:szCs w:val="24"/>
        </w:rPr>
        <w:t>a</w:t>
      </w:r>
      <w:r w:rsidRPr="002A7627">
        <w:rPr>
          <w:rFonts w:cs="Times New Roman"/>
          <w:noProof/>
          <w:szCs w:val="24"/>
        </w:rPr>
        <w:t xml:space="preserve"> knowledge-based approach in project management. </w:t>
      </w:r>
      <w:r w:rsidRPr="002A7627">
        <w:rPr>
          <w:rFonts w:cs="Times New Roman"/>
          <w:i/>
          <w:iCs/>
          <w:noProof/>
          <w:szCs w:val="24"/>
        </w:rPr>
        <w:t>International Journal of Project Management</w:t>
      </w:r>
      <w:r w:rsidRPr="002A7627">
        <w:rPr>
          <w:rFonts w:cs="Times New Roman"/>
          <w:noProof/>
          <w:szCs w:val="24"/>
        </w:rPr>
        <w:t xml:space="preserve">, </w:t>
      </w:r>
      <w:r w:rsidRPr="002A7627">
        <w:rPr>
          <w:rFonts w:cs="Times New Roman"/>
          <w:i/>
          <w:iCs/>
          <w:noProof/>
          <w:szCs w:val="24"/>
        </w:rPr>
        <w:t>33</w:t>
      </w:r>
      <w:r w:rsidRPr="002A7627">
        <w:rPr>
          <w:rFonts w:cs="Times New Roman"/>
          <w:noProof/>
          <w:szCs w:val="24"/>
        </w:rPr>
        <w:t>(4), 772–783. https://doi.org/10.1016/j.ijproman.2014.10.009</w:t>
      </w:r>
    </w:p>
    <w:p w14:paraId="78EA636B"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Tseng, S.-M. (2014). The impact of knowledge management capabilities and supplier relationship management on corporate performance. </w:t>
      </w:r>
      <w:r w:rsidRPr="002A7627">
        <w:rPr>
          <w:rFonts w:cs="Times New Roman"/>
          <w:i/>
          <w:iCs/>
          <w:noProof/>
          <w:szCs w:val="24"/>
        </w:rPr>
        <w:t>International Journal of Production Economics</w:t>
      </w:r>
      <w:r w:rsidRPr="002A7627">
        <w:rPr>
          <w:rFonts w:cs="Times New Roman"/>
          <w:noProof/>
          <w:szCs w:val="24"/>
        </w:rPr>
        <w:t xml:space="preserve">, </w:t>
      </w:r>
      <w:r w:rsidRPr="002A7627">
        <w:rPr>
          <w:rFonts w:cs="Times New Roman"/>
          <w:i/>
          <w:iCs/>
          <w:noProof/>
          <w:szCs w:val="24"/>
        </w:rPr>
        <w:t>154</w:t>
      </w:r>
      <w:r w:rsidRPr="002A7627">
        <w:rPr>
          <w:rFonts w:cs="Times New Roman"/>
          <w:noProof/>
          <w:szCs w:val="24"/>
        </w:rPr>
        <w:t>, 39–47. https://doi.org/10.1016/j.ijpe.2014.04.009</w:t>
      </w:r>
    </w:p>
    <w:p w14:paraId="52F4FC2D"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Tseng, S.-M. (2017). Investigating the moderating effects of organizational culture and leadership style on IT-adoption and knowledge-sharing intention. </w:t>
      </w:r>
      <w:r w:rsidRPr="002A7627">
        <w:rPr>
          <w:rFonts w:cs="Times New Roman"/>
          <w:i/>
          <w:iCs/>
          <w:noProof/>
          <w:szCs w:val="24"/>
        </w:rPr>
        <w:t>Journal of Enterprise Information Management</w:t>
      </w:r>
      <w:r w:rsidRPr="002A7627">
        <w:rPr>
          <w:rFonts w:cs="Times New Roman"/>
          <w:noProof/>
          <w:szCs w:val="24"/>
        </w:rPr>
        <w:t xml:space="preserve">, </w:t>
      </w:r>
      <w:r w:rsidRPr="002A7627">
        <w:rPr>
          <w:rFonts w:cs="Times New Roman"/>
          <w:i/>
          <w:iCs/>
          <w:noProof/>
          <w:szCs w:val="24"/>
        </w:rPr>
        <w:t>30</w:t>
      </w:r>
      <w:r w:rsidRPr="002A7627">
        <w:rPr>
          <w:rFonts w:cs="Times New Roman"/>
          <w:noProof/>
          <w:szCs w:val="24"/>
        </w:rPr>
        <w:t>(4), 583–604. https://doi.org/10.1108/JEIM-04-2016-0081</w:t>
      </w:r>
    </w:p>
    <w:p w14:paraId="1B7B3160"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Tseng, S.-M., &amp; Lee, P.-S. (2014). The effect of knowledge management capability and dynamic capability on organizational performance. </w:t>
      </w:r>
      <w:r w:rsidRPr="002A7627">
        <w:rPr>
          <w:rFonts w:cs="Times New Roman"/>
          <w:i/>
          <w:iCs/>
          <w:noProof/>
          <w:szCs w:val="24"/>
        </w:rPr>
        <w:t>Journal of Enterprise Information Management</w:t>
      </w:r>
      <w:r w:rsidRPr="002A7627">
        <w:rPr>
          <w:rFonts w:cs="Times New Roman"/>
          <w:noProof/>
          <w:szCs w:val="24"/>
        </w:rPr>
        <w:t xml:space="preserve">, </w:t>
      </w:r>
      <w:r w:rsidRPr="002A7627">
        <w:rPr>
          <w:rFonts w:cs="Times New Roman"/>
          <w:i/>
          <w:iCs/>
          <w:noProof/>
          <w:szCs w:val="24"/>
        </w:rPr>
        <w:t>27</w:t>
      </w:r>
      <w:r w:rsidRPr="002A7627">
        <w:rPr>
          <w:rFonts w:cs="Times New Roman"/>
          <w:noProof/>
          <w:szCs w:val="24"/>
        </w:rPr>
        <w:t>(2), 158–179. https://doi.org/10.1108/JEIM-05-2012-0025</w:t>
      </w:r>
    </w:p>
    <w:p w14:paraId="60220059" w14:textId="7164F92E"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Tsoukas, H., &amp; Mylonopoulos, N. (2004a). Organizations as knowledge systems: </w:t>
      </w:r>
      <w:r w:rsidR="00E357BC">
        <w:rPr>
          <w:rFonts w:cs="Times New Roman"/>
          <w:noProof/>
          <w:szCs w:val="24"/>
        </w:rPr>
        <w:t>k</w:t>
      </w:r>
      <w:r w:rsidRPr="002A7627">
        <w:rPr>
          <w:rFonts w:cs="Times New Roman"/>
          <w:noProof/>
          <w:szCs w:val="24"/>
        </w:rPr>
        <w:t xml:space="preserve">nowledge, learning and dynamic capabilities. </w:t>
      </w:r>
      <w:r w:rsidRPr="002A7627">
        <w:rPr>
          <w:rFonts w:cs="Times New Roman"/>
          <w:i/>
          <w:iCs/>
          <w:noProof/>
          <w:szCs w:val="24"/>
        </w:rPr>
        <w:t>British Journal of Management</w:t>
      </w:r>
      <w:r w:rsidRPr="002A7627">
        <w:rPr>
          <w:rFonts w:cs="Times New Roman"/>
          <w:noProof/>
          <w:szCs w:val="24"/>
        </w:rPr>
        <w:t xml:space="preserve">, </w:t>
      </w:r>
      <w:r w:rsidRPr="002A7627">
        <w:rPr>
          <w:rFonts w:cs="Times New Roman"/>
          <w:i/>
          <w:iCs/>
          <w:noProof/>
          <w:szCs w:val="24"/>
        </w:rPr>
        <w:t>15</w:t>
      </w:r>
      <w:r w:rsidRPr="002A7627">
        <w:rPr>
          <w:rFonts w:cs="Times New Roman"/>
          <w:noProof/>
          <w:szCs w:val="24"/>
        </w:rPr>
        <w:t>(S1), S1–S8. https://doi.org/10.1111/j.1467-8551.2004.t01-2-00402.x</w:t>
      </w:r>
    </w:p>
    <w:p w14:paraId="13743352" w14:textId="49B84695"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Tsoukas, H., &amp; Mylonopoulos, N. (Eds.). (2004b). </w:t>
      </w:r>
      <w:r w:rsidRPr="002A7627">
        <w:rPr>
          <w:rFonts w:cs="Times New Roman"/>
          <w:i/>
          <w:iCs/>
          <w:noProof/>
          <w:szCs w:val="24"/>
        </w:rPr>
        <w:t>Organizations as Knowledge Systems</w:t>
      </w:r>
      <w:r w:rsidRPr="002A7627">
        <w:rPr>
          <w:rFonts w:cs="Times New Roman"/>
          <w:noProof/>
          <w:szCs w:val="24"/>
        </w:rPr>
        <w:t>. London, UK: Palgrave Macmillan.</w:t>
      </w:r>
    </w:p>
    <w:p w14:paraId="6BE19439"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Tüselmann, H., McDonald, F., Heise, A., Allen, M., &amp; Voronkova, S. (2007). </w:t>
      </w:r>
      <w:r w:rsidRPr="002A7627">
        <w:rPr>
          <w:rFonts w:cs="Times New Roman"/>
          <w:i/>
          <w:iCs/>
          <w:noProof/>
          <w:szCs w:val="24"/>
        </w:rPr>
        <w:t>Employee Relations in Foreign-Owned Subsidiaries: German Multinational Companies in the UK</w:t>
      </w:r>
      <w:r w:rsidRPr="002A7627">
        <w:rPr>
          <w:rFonts w:cs="Times New Roman"/>
          <w:noProof/>
          <w:szCs w:val="24"/>
        </w:rPr>
        <w:t>. London, UK: Springer.</w:t>
      </w:r>
    </w:p>
    <w:p w14:paraId="48003AD4" w14:textId="3D78991F"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Tzortzaki, A. M., &amp; Mihiotis, A. (2014). </w:t>
      </w:r>
      <w:r w:rsidR="00985139">
        <w:rPr>
          <w:rFonts w:cs="Times New Roman"/>
          <w:noProof/>
          <w:szCs w:val="24"/>
        </w:rPr>
        <w:t>R</w:t>
      </w:r>
      <w:r w:rsidRPr="002A7627">
        <w:rPr>
          <w:rFonts w:cs="Times New Roman"/>
          <w:noProof/>
          <w:szCs w:val="24"/>
        </w:rPr>
        <w:t xml:space="preserve">eview of knowledge management theory and future directions. </w:t>
      </w:r>
      <w:r w:rsidRPr="002A7627">
        <w:rPr>
          <w:rFonts w:cs="Times New Roman"/>
          <w:i/>
          <w:iCs/>
          <w:noProof/>
          <w:szCs w:val="24"/>
        </w:rPr>
        <w:t>Knowledge and Process Management</w:t>
      </w:r>
      <w:r w:rsidRPr="002A7627">
        <w:rPr>
          <w:rFonts w:cs="Times New Roman"/>
          <w:noProof/>
          <w:szCs w:val="24"/>
        </w:rPr>
        <w:t xml:space="preserve">, </w:t>
      </w:r>
      <w:r w:rsidRPr="002A7627">
        <w:rPr>
          <w:rFonts w:cs="Times New Roman"/>
          <w:i/>
          <w:iCs/>
          <w:noProof/>
          <w:szCs w:val="24"/>
        </w:rPr>
        <w:t>21</w:t>
      </w:r>
      <w:r w:rsidRPr="002A7627">
        <w:rPr>
          <w:rFonts w:cs="Times New Roman"/>
          <w:noProof/>
          <w:szCs w:val="24"/>
        </w:rPr>
        <w:t>(1), 29–41. https://doi.org/10.1002/kpm.1429</w:t>
      </w:r>
    </w:p>
    <w:p w14:paraId="4BDDB50D" w14:textId="7C4162BE"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UAE Cabinet (2016). </w:t>
      </w:r>
      <w:r w:rsidRPr="00832C02">
        <w:rPr>
          <w:rFonts w:cs="Times New Roman"/>
          <w:i/>
          <w:noProof/>
          <w:szCs w:val="24"/>
        </w:rPr>
        <w:t>Sheikh Khalifa issues national law of reading</w:t>
      </w:r>
      <w:r w:rsidRPr="002A7627">
        <w:rPr>
          <w:rFonts w:cs="Times New Roman"/>
          <w:noProof/>
          <w:szCs w:val="24"/>
        </w:rPr>
        <w:t>. Retrieved June 11, 2019, from https://uaecabinet.ae/en/details/news/sheikh-khalifa-issues-national-law-of-reading</w:t>
      </w:r>
    </w:p>
    <w:p w14:paraId="13778BFE" w14:textId="1A2DC5B3"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UAE</w:t>
      </w:r>
      <w:r w:rsidR="00985139">
        <w:rPr>
          <w:rFonts w:cs="Times New Roman"/>
          <w:noProof/>
          <w:szCs w:val="24"/>
        </w:rPr>
        <w:t xml:space="preserve"> </w:t>
      </w:r>
      <w:r w:rsidRPr="002A7627">
        <w:rPr>
          <w:rFonts w:cs="Times New Roman"/>
          <w:noProof/>
          <w:szCs w:val="24"/>
        </w:rPr>
        <w:t xml:space="preserve">Cabinet. (2019). </w:t>
      </w:r>
      <w:r w:rsidRPr="00832C02">
        <w:rPr>
          <w:rFonts w:cs="Times New Roman"/>
          <w:i/>
          <w:noProof/>
          <w:szCs w:val="24"/>
        </w:rPr>
        <w:t>UAE Vision</w:t>
      </w:r>
      <w:r w:rsidRPr="002A7627">
        <w:rPr>
          <w:rFonts w:cs="Times New Roman"/>
          <w:noProof/>
          <w:szCs w:val="24"/>
        </w:rPr>
        <w:t>. Retrieved July 3, 2019, from https://uaecabinet.ae/en/uae-vision</w:t>
      </w:r>
    </w:p>
    <w:p w14:paraId="6C4241B3" w14:textId="0E191480"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Ubeda-García, M., Marco-Lajara, B., Sabater-Sempere, V., &amp; García-Lillo, F. (2013). Does training influence </w:t>
      </w:r>
      <w:r w:rsidR="00C52075">
        <w:rPr>
          <w:rFonts w:cs="Times New Roman"/>
          <w:noProof/>
          <w:szCs w:val="24"/>
        </w:rPr>
        <w:t>organizational</w:t>
      </w:r>
      <w:r w:rsidRPr="002A7627">
        <w:rPr>
          <w:rFonts w:cs="Times New Roman"/>
          <w:noProof/>
          <w:szCs w:val="24"/>
        </w:rPr>
        <w:t xml:space="preserve"> performance? </w:t>
      </w:r>
      <w:r w:rsidRPr="002A7627">
        <w:rPr>
          <w:rFonts w:cs="Times New Roman"/>
          <w:i/>
          <w:iCs/>
          <w:noProof/>
          <w:szCs w:val="24"/>
        </w:rPr>
        <w:t>European Journal of Training and Development</w:t>
      </w:r>
      <w:r w:rsidRPr="002A7627">
        <w:rPr>
          <w:rFonts w:cs="Times New Roman"/>
          <w:noProof/>
          <w:szCs w:val="24"/>
        </w:rPr>
        <w:t xml:space="preserve">, </w:t>
      </w:r>
      <w:r w:rsidRPr="002A7627">
        <w:rPr>
          <w:rFonts w:cs="Times New Roman"/>
          <w:i/>
          <w:iCs/>
          <w:noProof/>
          <w:szCs w:val="24"/>
        </w:rPr>
        <w:t>37</w:t>
      </w:r>
      <w:r w:rsidRPr="002A7627">
        <w:rPr>
          <w:rFonts w:cs="Times New Roman"/>
          <w:noProof/>
          <w:szCs w:val="24"/>
        </w:rPr>
        <w:t>(4), 380–413. https://doi.org/10.1108/03090591311319780</w:t>
      </w:r>
    </w:p>
    <w:p w14:paraId="44DF533C" w14:textId="30B90F7B"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Ursic, D., Nikl, A., Mulej, M., &amp; Cestar, A. S. (2006). System-</w:t>
      </w:r>
      <w:r w:rsidR="00C52075">
        <w:rPr>
          <w:rFonts w:cs="Times New Roman"/>
          <w:noProof/>
          <w:szCs w:val="24"/>
        </w:rPr>
        <w:t>organizational</w:t>
      </w:r>
      <w:r w:rsidRPr="002A7627">
        <w:rPr>
          <w:rFonts w:cs="Times New Roman"/>
          <w:noProof/>
          <w:szCs w:val="24"/>
        </w:rPr>
        <w:t xml:space="preserve"> aspect of a learning </w:t>
      </w:r>
      <w:r w:rsidR="00C52075">
        <w:rPr>
          <w:rFonts w:cs="Times New Roman"/>
          <w:noProof/>
          <w:szCs w:val="24"/>
        </w:rPr>
        <w:t>organization</w:t>
      </w:r>
      <w:r w:rsidRPr="002A7627">
        <w:rPr>
          <w:rFonts w:cs="Times New Roman"/>
          <w:noProof/>
          <w:szCs w:val="24"/>
        </w:rPr>
        <w:t xml:space="preserve"> in companies. </w:t>
      </w:r>
      <w:r w:rsidRPr="002A7627">
        <w:rPr>
          <w:rFonts w:cs="Times New Roman"/>
          <w:i/>
          <w:iCs/>
          <w:noProof/>
          <w:szCs w:val="24"/>
        </w:rPr>
        <w:t>Systemic Practice and Action Research</w:t>
      </w:r>
      <w:r w:rsidRPr="002A7627">
        <w:rPr>
          <w:rFonts w:cs="Times New Roman"/>
          <w:noProof/>
          <w:szCs w:val="24"/>
        </w:rPr>
        <w:t xml:space="preserve">, </w:t>
      </w:r>
      <w:r w:rsidRPr="002A7627">
        <w:rPr>
          <w:rFonts w:cs="Times New Roman"/>
          <w:i/>
          <w:iCs/>
          <w:noProof/>
          <w:szCs w:val="24"/>
        </w:rPr>
        <w:t>19</w:t>
      </w:r>
      <w:r w:rsidRPr="002A7627">
        <w:rPr>
          <w:rFonts w:cs="Times New Roman"/>
          <w:noProof/>
          <w:szCs w:val="24"/>
        </w:rPr>
        <w:t>(1), 81–99. https://doi.org/10.1007/s11213-005-9005-1</w:t>
      </w:r>
    </w:p>
    <w:p w14:paraId="4688EB28" w14:textId="73761FBC"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Veer Ramjeawon, P., &amp; Rowley, J. (2017). Knowledge management in higher education institutions: </w:t>
      </w:r>
      <w:r w:rsidR="00985139">
        <w:rPr>
          <w:rFonts w:cs="Times New Roman"/>
          <w:noProof/>
          <w:szCs w:val="24"/>
        </w:rPr>
        <w:t>e</w:t>
      </w:r>
      <w:r w:rsidRPr="002A7627">
        <w:rPr>
          <w:rFonts w:cs="Times New Roman"/>
          <w:noProof/>
          <w:szCs w:val="24"/>
        </w:rPr>
        <w:t xml:space="preserve">nablers and barriers in Mauritius. </w:t>
      </w:r>
      <w:r w:rsidRPr="002A7627">
        <w:rPr>
          <w:rFonts w:cs="Times New Roman"/>
          <w:i/>
          <w:iCs/>
          <w:noProof/>
          <w:szCs w:val="24"/>
        </w:rPr>
        <w:t>The Learning Organization</w:t>
      </w:r>
      <w:r w:rsidRPr="002A7627">
        <w:rPr>
          <w:rFonts w:cs="Times New Roman"/>
          <w:noProof/>
          <w:szCs w:val="24"/>
        </w:rPr>
        <w:t xml:space="preserve">, </w:t>
      </w:r>
      <w:r w:rsidRPr="002A7627">
        <w:rPr>
          <w:rFonts w:cs="Times New Roman"/>
          <w:i/>
          <w:iCs/>
          <w:noProof/>
          <w:szCs w:val="24"/>
        </w:rPr>
        <w:t>24</w:t>
      </w:r>
      <w:r w:rsidRPr="002A7627">
        <w:rPr>
          <w:rFonts w:cs="Times New Roman"/>
          <w:noProof/>
          <w:szCs w:val="24"/>
        </w:rPr>
        <w:t>(5), 366–377. https://doi.org/10.1108/TLO-03-2017-0030</w:t>
      </w:r>
    </w:p>
    <w:p w14:paraId="0DB22684"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Vera, D., Crossan, M., &amp; Apaydin, M. (2015). A framework for integrating organizational learning, knowledge, capabilities, and absorptive capacity. In M. Easterby-Smith (Ed.), </w:t>
      </w:r>
      <w:r w:rsidRPr="002A7627">
        <w:rPr>
          <w:rFonts w:cs="Times New Roman"/>
          <w:i/>
          <w:iCs/>
          <w:noProof/>
          <w:szCs w:val="24"/>
        </w:rPr>
        <w:t>Handbook of Organizational Learning and Knowledge Management</w:t>
      </w:r>
      <w:r w:rsidRPr="002A7627">
        <w:rPr>
          <w:rFonts w:cs="Times New Roman"/>
          <w:noProof/>
          <w:szCs w:val="24"/>
        </w:rPr>
        <w:t xml:space="preserve"> (pp. 153–180). Boston, MA: Blackwell.</w:t>
      </w:r>
    </w:p>
    <w:p w14:paraId="067C4649" w14:textId="15AC744C"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Vij, S., &amp; Farooq, R. (2015). Orientation and business performance: </w:t>
      </w:r>
      <w:r w:rsidR="00E357BC">
        <w:rPr>
          <w:rFonts w:cs="Times New Roman"/>
          <w:noProof/>
          <w:szCs w:val="24"/>
        </w:rPr>
        <w:t>d</w:t>
      </w:r>
      <w:r w:rsidRPr="002A7627">
        <w:rPr>
          <w:rFonts w:cs="Times New Roman"/>
          <w:noProof/>
          <w:szCs w:val="24"/>
        </w:rPr>
        <w:t xml:space="preserve">o smaller firms gain more from learning orientation? </w:t>
      </w:r>
      <w:r w:rsidRPr="002A7627">
        <w:rPr>
          <w:rFonts w:cs="Times New Roman"/>
          <w:i/>
          <w:iCs/>
          <w:noProof/>
          <w:szCs w:val="24"/>
        </w:rPr>
        <w:t>IUP Journal of Knowledge Management</w:t>
      </w:r>
      <w:r w:rsidRPr="002A7627">
        <w:rPr>
          <w:rFonts w:cs="Times New Roman"/>
          <w:noProof/>
          <w:szCs w:val="24"/>
        </w:rPr>
        <w:t xml:space="preserve">, </w:t>
      </w:r>
      <w:r w:rsidRPr="002A7627">
        <w:rPr>
          <w:rFonts w:cs="Times New Roman"/>
          <w:i/>
          <w:iCs/>
          <w:noProof/>
          <w:szCs w:val="24"/>
        </w:rPr>
        <w:t>13</w:t>
      </w:r>
      <w:r w:rsidRPr="002A7627">
        <w:rPr>
          <w:rFonts w:cs="Times New Roman"/>
          <w:noProof/>
          <w:szCs w:val="24"/>
        </w:rPr>
        <w:t>(4), 7–28.</w:t>
      </w:r>
    </w:p>
    <w:p w14:paraId="68A11810"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Voelpel, S. C., Dous, M., &amp; Davenport, T. H. (2005). Five steps to creating a global knowledge-sharing system: Siemens’ ShareNet. </w:t>
      </w:r>
      <w:r w:rsidRPr="002A7627">
        <w:rPr>
          <w:rFonts w:cs="Times New Roman"/>
          <w:i/>
          <w:iCs/>
          <w:noProof/>
          <w:szCs w:val="24"/>
        </w:rPr>
        <w:t>Academy of Management Perspectives</w:t>
      </w:r>
      <w:r w:rsidRPr="002A7627">
        <w:rPr>
          <w:rFonts w:cs="Times New Roman"/>
          <w:noProof/>
          <w:szCs w:val="24"/>
        </w:rPr>
        <w:t xml:space="preserve">, </w:t>
      </w:r>
      <w:r w:rsidRPr="002A7627">
        <w:rPr>
          <w:rFonts w:cs="Times New Roman"/>
          <w:i/>
          <w:iCs/>
          <w:noProof/>
          <w:szCs w:val="24"/>
        </w:rPr>
        <w:t>19</w:t>
      </w:r>
      <w:r w:rsidRPr="002A7627">
        <w:rPr>
          <w:rFonts w:cs="Times New Roman"/>
          <w:noProof/>
          <w:szCs w:val="24"/>
        </w:rPr>
        <w:t>(2), 9–23. https://doi.org/10.5465/ame.2005.16962590</w:t>
      </w:r>
    </w:p>
    <w:p w14:paraId="07250AD6" w14:textId="13F64AF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Voogt, J., &amp; McKenney, S. (2017). TPACK in teacher education: </w:t>
      </w:r>
      <w:r w:rsidR="00E357BC">
        <w:rPr>
          <w:rFonts w:cs="Times New Roman"/>
          <w:noProof/>
          <w:szCs w:val="24"/>
        </w:rPr>
        <w:t>a</w:t>
      </w:r>
      <w:r w:rsidRPr="002A7627">
        <w:rPr>
          <w:rFonts w:cs="Times New Roman"/>
          <w:noProof/>
          <w:szCs w:val="24"/>
        </w:rPr>
        <w:t xml:space="preserve">re we preparing teachers to use technology for early literacy? </w:t>
      </w:r>
      <w:r w:rsidRPr="002A7627">
        <w:rPr>
          <w:rFonts w:cs="Times New Roman"/>
          <w:i/>
          <w:iCs/>
          <w:noProof/>
          <w:szCs w:val="24"/>
        </w:rPr>
        <w:t>Technology, Pedagogy and Education</w:t>
      </w:r>
      <w:r w:rsidRPr="002A7627">
        <w:rPr>
          <w:rFonts w:cs="Times New Roman"/>
          <w:noProof/>
          <w:szCs w:val="24"/>
        </w:rPr>
        <w:t xml:space="preserve">, </w:t>
      </w:r>
      <w:r w:rsidRPr="002A7627">
        <w:rPr>
          <w:rFonts w:cs="Times New Roman"/>
          <w:i/>
          <w:iCs/>
          <w:noProof/>
          <w:szCs w:val="24"/>
        </w:rPr>
        <w:t>26</w:t>
      </w:r>
      <w:r w:rsidRPr="002A7627">
        <w:rPr>
          <w:rFonts w:cs="Times New Roman"/>
          <w:noProof/>
          <w:szCs w:val="24"/>
        </w:rPr>
        <w:t>(1), 69–83. https://doi.org/10.1080/1475939X.2016.1174730</w:t>
      </w:r>
    </w:p>
    <w:p w14:paraId="331D723C" w14:textId="6AA6F13F"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Voorhees, C. M., Brady, M. K., Calantone, R., &amp; Ramirez, E. (2016). Discriminant validity testing in marketing: </w:t>
      </w:r>
      <w:r w:rsidR="00E357BC">
        <w:rPr>
          <w:rFonts w:cs="Times New Roman"/>
          <w:noProof/>
          <w:szCs w:val="24"/>
        </w:rPr>
        <w:t>a</w:t>
      </w:r>
      <w:r w:rsidRPr="002A7627">
        <w:rPr>
          <w:rFonts w:cs="Times New Roman"/>
          <w:noProof/>
          <w:szCs w:val="24"/>
        </w:rPr>
        <w:t xml:space="preserve">n analysis, causes for concern, and proposed remedies. </w:t>
      </w:r>
      <w:r w:rsidRPr="002A7627">
        <w:rPr>
          <w:rFonts w:cs="Times New Roman"/>
          <w:i/>
          <w:iCs/>
          <w:noProof/>
          <w:szCs w:val="24"/>
        </w:rPr>
        <w:t>Journal of the Academy of Marketing Science</w:t>
      </w:r>
      <w:r w:rsidRPr="002A7627">
        <w:rPr>
          <w:rFonts w:cs="Times New Roman"/>
          <w:noProof/>
          <w:szCs w:val="24"/>
        </w:rPr>
        <w:t xml:space="preserve">, </w:t>
      </w:r>
      <w:r w:rsidRPr="002A7627">
        <w:rPr>
          <w:rFonts w:cs="Times New Roman"/>
          <w:i/>
          <w:iCs/>
          <w:noProof/>
          <w:szCs w:val="24"/>
        </w:rPr>
        <w:t>44</w:t>
      </w:r>
      <w:r w:rsidRPr="002A7627">
        <w:rPr>
          <w:rFonts w:cs="Times New Roman"/>
          <w:noProof/>
          <w:szCs w:val="24"/>
        </w:rPr>
        <w:t>(1), 119–134. https://doi.org/10.1007/s11747-015-0455-4</w:t>
      </w:r>
    </w:p>
    <w:p w14:paraId="0BB42E02"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Vorobyova, K., &amp; Raju, V. (2018). Knowledge management and organizational effectiveness as a successful path to globalization for small and medium enterprises. </w:t>
      </w:r>
      <w:r w:rsidRPr="002A7627">
        <w:rPr>
          <w:rFonts w:cs="Times New Roman"/>
          <w:i/>
          <w:iCs/>
          <w:noProof/>
          <w:szCs w:val="24"/>
        </w:rPr>
        <w:t>PEOPLE: International Journal of Social Sciences</w:t>
      </w:r>
      <w:r w:rsidRPr="002A7627">
        <w:rPr>
          <w:rFonts w:cs="Times New Roman"/>
          <w:noProof/>
          <w:szCs w:val="24"/>
        </w:rPr>
        <w:t xml:space="preserve">, </w:t>
      </w:r>
      <w:r w:rsidRPr="002A7627">
        <w:rPr>
          <w:rFonts w:cs="Times New Roman"/>
          <w:i/>
          <w:iCs/>
          <w:noProof/>
          <w:szCs w:val="24"/>
        </w:rPr>
        <w:t>4</w:t>
      </w:r>
      <w:r w:rsidRPr="002A7627">
        <w:rPr>
          <w:rFonts w:cs="Times New Roman"/>
          <w:noProof/>
          <w:szCs w:val="24"/>
        </w:rPr>
        <w:t>(3), 396–404. Retrieved from http://grdspublishing.org/index.php/people/article/view/1684</w:t>
      </w:r>
    </w:p>
    <w:p w14:paraId="1A55BDC6" w14:textId="0E79FE05"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Wade, </w:t>
      </w:r>
      <w:r w:rsidR="00985139">
        <w:rPr>
          <w:rFonts w:cs="Times New Roman"/>
          <w:noProof/>
          <w:szCs w:val="24"/>
        </w:rPr>
        <w:t xml:space="preserve">M. </w:t>
      </w:r>
      <w:r w:rsidRPr="002A7627">
        <w:rPr>
          <w:rFonts w:cs="Times New Roman"/>
          <w:noProof/>
          <w:szCs w:val="24"/>
        </w:rPr>
        <w:t>&amp; Hulland</w:t>
      </w:r>
      <w:r w:rsidR="00985139">
        <w:rPr>
          <w:rFonts w:cs="Times New Roman"/>
          <w:noProof/>
          <w:szCs w:val="24"/>
        </w:rPr>
        <w:t>, J</w:t>
      </w:r>
      <w:r w:rsidRPr="002A7627">
        <w:rPr>
          <w:rFonts w:cs="Times New Roman"/>
          <w:noProof/>
          <w:szCs w:val="24"/>
        </w:rPr>
        <w:t xml:space="preserve">. (2004). The resource-based view and information systems research: </w:t>
      </w:r>
      <w:r w:rsidR="00985139">
        <w:rPr>
          <w:rFonts w:cs="Times New Roman"/>
          <w:noProof/>
          <w:szCs w:val="24"/>
        </w:rPr>
        <w:t>r</w:t>
      </w:r>
      <w:r w:rsidRPr="002A7627">
        <w:rPr>
          <w:rFonts w:cs="Times New Roman"/>
          <w:noProof/>
          <w:szCs w:val="24"/>
        </w:rPr>
        <w:t xml:space="preserve">eview, extension, and suggestions for future research. </w:t>
      </w:r>
      <w:r w:rsidRPr="002A7627">
        <w:rPr>
          <w:rFonts w:cs="Times New Roman"/>
          <w:i/>
          <w:iCs/>
          <w:noProof/>
          <w:szCs w:val="24"/>
        </w:rPr>
        <w:t>MIS Quarterly</w:t>
      </w:r>
      <w:r w:rsidRPr="002A7627">
        <w:rPr>
          <w:rFonts w:cs="Times New Roman"/>
          <w:noProof/>
          <w:szCs w:val="24"/>
        </w:rPr>
        <w:t xml:space="preserve">, </w:t>
      </w:r>
      <w:r w:rsidRPr="002A7627">
        <w:rPr>
          <w:rFonts w:cs="Times New Roman"/>
          <w:i/>
          <w:iCs/>
          <w:noProof/>
          <w:szCs w:val="24"/>
        </w:rPr>
        <w:t>28</w:t>
      </w:r>
      <w:r w:rsidRPr="002A7627">
        <w:rPr>
          <w:rFonts w:cs="Times New Roman"/>
          <w:noProof/>
          <w:szCs w:val="24"/>
        </w:rPr>
        <w:t>(1), 107</w:t>
      </w:r>
      <w:r w:rsidR="00985139">
        <w:rPr>
          <w:rFonts w:cs="Times New Roman"/>
          <w:noProof/>
          <w:szCs w:val="24"/>
        </w:rPr>
        <w:t>–142</w:t>
      </w:r>
      <w:r w:rsidRPr="002A7627">
        <w:rPr>
          <w:rFonts w:cs="Times New Roman"/>
          <w:noProof/>
          <w:szCs w:val="24"/>
        </w:rPr>
        <w:t>. https://doi.org/10.2307/25148626</w:t>
      </w:r>
    </w:p>
    <w:p w14:paraId="665E0D80" w14:textId="46939EC0"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Wang, C. L., &amp; Ahmed, P. K. (2003). </w:t>
      </w:r>
      <w:r w:rsidR="00C52075">
        <w:rPr>
          <w:rFonts w:cs="Times New Roman"/>
          <w:noProof/>
          <w:szCs w:val="24"/>
        </w:rPr>
        <w:t>Organizational</w:t>
      </w:r>
      <w:r w:rsidRPr="002A7627">
        <w:rPr>
          <w:rFonts w:cs="Times New Roman"/>
          <w:noProof/>
          <w:szCs w:val="24"/>
        </w:rPr>
        <w:t xml:space="preserve"> learning: A critical review. </w:t>
      </w:r>
      <w:r w:rsidRPr="002A7627">
        <w:rPr>
          <w:rFonts w:cs="Times New Roman"/>
          <w:i/>
          <w:iCs/>
          <w:noProof/>
          <w:szCs w:val="24"/>
        </w:rPr>
        <w:t>The Learning Organization</w:t>
      </w:r>
      <w:r w:rsidRPr="002A7627">
        <w:rPr>
          <w:rFonts w:cs="Times New Roman"/>
          <w:noProof/>
          <w:szCs w:val="24"/>
        </w:rPr>
        <w:t xml:space="preserve">, </w:t>
      </w:r>
      <w:r w:rsidRPr="002A7627">
        <w:rPr>
          <w:rFonts w:cs="Times New Roman"/>
          <w:i/>
          <w:iCs/>
          <w:noProof/>
          <w:szCs w:val="24"/>
        </w:rPr>
        <w:t>10</w:t>
      </w:r>
      <w:r w:rsidRPr="002A7627">
        <w:rPr>
          <w:rFonts w:cs="Times New Roman"/>
          <w:noProof/>
          <w:szCs w:val="24"/>
        </w:rPr>
        <w:t>(1), 8–17.</w:t>
      </w:r>
    </w:p>
    <w:p w14:paraId="4138C6A9" w14:textId="44EACA36"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Wang, H.-L. (2014). Theories for competitive advantage. In H. Hasan (Ed.), </w:t>
      </w:r>
      <w:r w:rsidRPr="002A7627">
        <w:rPr>
          <w:rFonts w:cs="Times New Roman"/>
          <w:i/>
          <w:iCs/>
          <w:noProof/>
          <w:szCs w:val="24"/>
        </w:rPr>
        <w:t>Being Practical with Theory: A Window into Business Research</w:t>
      </w:r>
      <w:r w:rsidRPr="002A7627">
        <w:rPr>
          <w:rFonts w:cs="Times New Roman"/>
          <w:noProof/>
          <w:szCs w:val="24"/>
        </w:rPr>
        <w:t xml:space="preserve"> (pp. 33–43). Wollongong, Australia: THEORI. https://doi.org/10.1029/2010JD014579</w:t>
      </w:r>
    </w:p>
    <w:p w14:paraId="3A2A0F19" w14:textId="7912BFE2"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Wang, S., &amp; Noe, R. A. (2010). Knowledge sharing: </w:t>
      </w:r>
      <w:r w:rsidR="00E357BC">
        <w:rPr>
          <w:rFonts w:cs="Times New Roman"/>
          <w:noProof/>
          <w:szCs w:val="24"/>
        </w:rPr>
        <w:t>a</w:t>
      </w:r>
      <w:r w:rsidRPr="002A7627">
        <w:rPr>
          <w:rFonts w:cs="Times New Roman"/>
          <w:noProof/>
          <w:szCs w:val="24"/>
        </w:rPr>
        <w:t xml:space="preserve"> review and directions for future research. </w:t>
      </w:r>
      <w:r w:rsidRPr="002A7627">
        <w:rPr>
          <w:rFonts w:cs="Times New Roman"/>
          <w:i/>
          <w:iCs/>
          <w:noProof/>
          <w:szCs w:val="24"/>
        </w:rPr>
        <w:t>Human Resource Management Review</w:t>
      </w:r>
      <w:r w:rsidRPr="002A7627">
        <w:rPr>
          <w:rFonts w:cs="Times New Roman"/>
          <w:noProof/>
          <w:szCs w:val="24"/>
        </w:rPr>
        <w:t xml:space="preserve">, </w:t>
      </w:r>
      <w:r w:rsidRPr="002A7627">
        <w:rPr>
          <w:rFonts w:cs="Times New Roman"/>
          <w:i/>
          <w:iCs/>
          <w:noProof/>
          <w:szCs w:val="24"/>
        </w:rPr>
        <w:t>20</w:t>
      </w:r>
      <w:r w:rsidRPr="002A7627">
        <w:rPr>
          <w:rFonts w:cs="Times New Roman"/>
          <w:noProof/>
          <w:szCs w:val="24"/>
        </w:rPr>
        <w:t>(2), 115–131. https://doi.org/10.1016/j.hrmr.2009.10.001</w:t>
      </w:r>
    </w:p>
    <w:p w14:paraId="7A91F36B"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Wang, S., Noe, R. A., &amp; Wang, Z.-M. (2014). Motivating Knowledge Sharing in Knowledge Management Systems. </w:t>
      </w:r>
      <w:r w:rsidRPr="002A7627">
        <w:rPr>
          <w:rFonts w:cs="Times New Roman"/>
          <w:i/>
          <w:iCs/>
          <w:noProof/>
          <w:szCs w:val="24"/>
        </w:rPr>
        <w:t>Journal of Management</w:t>
      </w:r>
      <w:r w:rsidRPr="002A7627">
        <w:rPr>
          <w:rFonts w:cs="Times New Roman"/>
          <w:noProof/>
          <w:szCs w:val="24"/>
        </w:rPr>
        <w:t xml:space="preserve">, </w:t>
      </w:r>
      <w:r w:rsidRPr="002A7627">
        <w:rPr>
          <w:rFonts w:cs="Times New Roman"/>
          <w:i/>
          <w:iCs/>
          <w:noProof/>
          <w:szCs w:val="24"/>
        </w:rPr>
        <w:t>40</w:t>
      </w:r>
      <w:r w:rsidRPr="002A7627">
        <w:rPr>
          <w:rFonts w:cs="Times New Roman"/>
          <w:noProof/>
          <w:szCs w:val="24"/>
        </w:rPr>
        <w:t>(4), 978–1009. https://doi.org/10.1177/0149206311412192</w:t>
      </w:r>
    </w:p>
    <w:p w14:paraId="4C3438B2" w14:textId="5F58388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Wang, X., Clay, P. F., &amp; Forsgren, N. (2015). Encouraging knowledge contribution in IT support: </w:t>
      </w:r>
      <w:r w:rsidR="00E357BC">
        <w:rPr>
          <w:rFonts w:cs="Times New Roman"/>
          <w:noProof/>
          <w:szCs w:val="24"/>
        </w:rPr>
        <w:t>s</w:t>
      </w:r>
      <w:r w:rsidRPr="002A7627">
        <w:rPr>
          <w:rFonts w:cs="Times New Roman"/>
          <w:noProof/>
          <w:szCs w:val="24"/>
        </w:rPr>
        <w:t xml:space="preserve">ocial context and the differential effects of motivation type.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19</w:t>
      </w:r>
      <w:r w:rsidRPr="002A7627">
        <w:rPr>
          <w:rFonts w:cs="Times New Roman"/>
          <w:noProof/>
          <w:szCs w:val="24"/>
        </w:rPr>
        <w:t>(2), 315–333. https://doi.org/10.1108/JKM-08-2014-0356</w:t>
      </w:r>
    </w:p>
    <w:p w14:paraId="0A6FE301" w14:textId="4DF32444"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Wang, Y., Shi, S., Nevo, S., Li, S., &amp; Chen, Y. (2015). The interaction effect of IT assets and IT management on firm performance: </w:t>
      </w:r>
      <w:r w:rsidR="00E357BC">
        <w:rPr>
          <w:rFonts w:cs="Times New Roman"/>
          <w:noProof/>
          <w:szCs w:val="24"/>
        </w:rPr>
        <w:t>a</w:t>
      </w:r>
      <w:r w:rsidRPr="002A7627">
        <w:rPr>
          <w:rFonts w:cs="Times New Roman"/>
          <w:noProof/>
          <w:szCs w:val="24"/>
        </w:rPr>
        <w:t xml:space="preserve"> systems perspective. </w:t>
      </w:r>
      <w:r w:rsidRPr="002A7627">
        <w:rPr>
          <w:rFonts w:cs="Times New Roman"/>
          <w:i/>
          <w:iCs/>
          <w:noProof/>
          <w:szCs w:val="24"/>
        </w:rPr>
        <w:t>International Journal of Information Management</w:t>
      </w:r>
      <w:r w:rsidRPr="002A7627">
        <w:rPr>
          <w:rFonts w:cs="Times New Roman"/>
          <w:noProof/>
          <w:szCs w:val="24"/>
        </w:rPr>
        <w:t xml:space="preserve">, </w:t>
      </w:r>
      <w:r w:rsidRPr="002A7627">
        <w:rPr>
          <w:rFonts w:cs="Times New Roman"/>
          <w:i/>
          <w:iCs/>
          <w:noProof/>
          <w:szCs w:val="24"/>
        </w:rPr>
        <w:t>35</w:t>
      </w:r>
      <w:r w:rsidRPr="002A7627">
        <w:rPr>
          <w:rFonts w:cs="Times New Roman"/>
          <w:noProof/>
          <w:szCs w:val="24"/>
        </w:rPr>
        <w:t>(5), 580–593. https://doi.org/10.1016/j.ijinfomgt.2015.06.006</w:t>
      </w:r>
    </w:p>
    <w:p w14:paraId="016444C8"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Wang, Z., &amp; Wang, N. (2012). Knowledge sharing, innovation and firm performance. </w:t>
      </w:r>
      <w:r w:rsidRPr="002A7627">
        <w:rPr>
          <w:rFonts w:cs="Times New Roman"/>
          <w:i/>
          <w:iCs/>
          <w:noProof/>
          <w:szCs w:val="24"/>
        </w:rPr>
        <w:t>Expert Systems with Applications</w:t>
      </w:r>
      <w:r w:rsidRPr="002A7627">
        <w:rPr>
          <w:rFonts w:cs="Times New Roman"/>
          <w:noProof/>
          <w:szCs w:val="24"/>
        </w:rPr>
        <w:t xml:space="preserve">, </w:t>
      </w:r>
      <w:r w:rsidRPr="002A7627">
        <w:rPr>
          <w:rFonts w:cs="Times New Roman"/>
          <w:i/>
          <w:iCs/>
          <w:noProof/>
          <w:szCs w:val="24"/>
        </w:rPr>
        <w:t>39</w:t>
      </w:r>
      <w:r w:rsidRPr="002A7627">
        <w:rPr>
          <w:rFonts w:cs="Times New Roman"/>
          <w:noProof/>
          <w:szCs w:val="24"/>
        </w:rPr>
        <w:t>(10), 8899–8908. https://doi.org/10.1016/j.eswa.2012.02.017</w:t>
      </w:r>
    </w:p>
    <w:p w14:paraId="7EAF4E98" w14:textId="567DCE4A"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Ward, J., &amp; Daniel, E. (2012). </w:t>
      </w:r>
      <w:r w:rsidRPr="002A7627">
        <w:rPr>
          <w:rFonts w:cs="Times New Roman"/>
          <w:i/>
          <w:iCs/>
          <w:noProof/>
          <w:szCs w:val="24"/>
        </w:rPr>
        <w:t xml:space="preserve">Benefits management : </w:t>
      </w:r>
      <w:r w:rsidR="00E357BC">
        <w:rPr>
          <w:rFonts w:cs="Times New Roman"/>
          <w:i/>
          <w:iCs/>
          <w:noProof/>
          <w:szCs w:val="24"/>
        </w:rPr>
        <w:t>h</w:t>
      </w:r>
      <w:r w:rsidRPr="002A7627">
        <w:rPr>
          <w:rFonts w:cs="Times New Roman"/>
          <w:i/>
          <w:iCs/>
          <w:noProof/>
          <w:szCs w:val="24"/>
        </w:rPr>
        <w:t>ow to increase the business value of your IT projects</w:t>
      </w:r>
      <w:r w:rsidRPr="002A7627">
        <w:rPr>
          <w:rFonts w:cs="Times New Roman"/>
          <w:noProof/>
          <w:szCs w:val="24"/>
        </w:rPr>
        <w:t>. London, UK: Wiley.</w:t>
      </w:r>
    </w:p>
    <w:p w14:paraId="2667284A"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Weiss, L. M. (1999). Collection and connection: The anatomy of knowledge sharing in professional service firms. </w:t>
      </w:r>
      <w:r w:rsidRPr="002A7627">
        <w:rPr>
          <w:rFonts w:cs="Times New Roman"/>
          <w:i/>
          <w:iCs/>
          <w:noProof/>
          <w:szCs w:val="24"/>
        </w:rPr>
        <w:t>Academy of Management Proceedings</w:t>
      </w:r>
      <w:r w:rsidRPr="002A7627">
        <w:rPr>
          <w:rFonts w:cs="Times New Roman"/>
          <w:noProof/>
          <w:szCs w:val="24"/>
        </w:rPr>
        <w:t xml:space="preserve">, </w:t>
      </w:r>
      <w:r w:rsidRPr="002A7627">
        <w:rPr>
          <w:rFonts w:cs="Times New Roman"/>
          <w:i/>
          <w:iCs/>
          <w:noProof/>
          <w:szCs w:val="24"/>
        </w:rPr>
        <w:t>1999</w:t>
      </w:r>
      <w:r w:rsidRPr="002A7627">
        <w:rPr>
          <w:rFonts w:cs="Times New Roman"/>
          <w:noProof/>
          <w:szCs w:val="24"/>
        </w:rPr>
        <w:t>(1), A1–A6. https://doi.org/10.5465/apbpp.1999.27613308</w:t>
      </w:r>
    </w:p>
    <w:p w14:paraId="5E8162B1" w14:textId="335FC3A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Westerlund, M., &amp; Rajala, R. (2010). Learning and innovation in inter</w:t>
      </w:r>
      <w:r w:rsidR="00052A87">
        <w:rPr>
          <w:rFonts w:cs="Times New Roman"/>
          <w:noProof/>
          <w:szCs w:val="24"/>
        </w:rPr>
        <w:t>-</w:t>
      </w:r>
      <w:r w:rsidRPr="002A7627">
        <w:rPr>
          <w:rFonts w:cs="Times New Roman"/>
          <w:noProof/>
          <w:szCs w:val="24"/>
        </w:rPr>
        <w:t xml:space="preserve">organizational network collaboration. </w:t>
      </w:r>
      <w:r w:rsidRPr="002A7627">
        <w:rPr>
          <w:rFonts w:cs="Times New Roman"/>
          <w:i/>
          <w:iCs/>
          <w:noProof/>
          <w:szCs w:val="24"/>
        </w:rPr>
        <w:t>Journal of Business &amp; Industrial Marketing</w:t>
      </w:r>
      <w:r w:rsidRPr="002A7627">
        <w:rPr>
          <w:rFonts w:cs="Times New Roman"/>
          <w:noProof/>
          <w:szCs w:val="24"/>
        </w:rPr>
        <w:t xml:space="preserve">, </w:t>
      </w:r>
      <w:r w:rsidRPr="002A7627">
        <w:rPr>
          <w:rFonts w:cs="Times New Roman"/>
          <w:i/>
          <w:iCs/>
          <w:noProof/>
          <w:szCs w:val="24"/>
        </w:rPr>
        <w:t>25</w:t>
      </w:r>
      <w:r w:rsidRPr="002A7627">
        <w:rPr>
          <w:rFonts w:cs="Times New Roman"/>
          <w:noProof/>
          <w:szCs w:val="24"/>
        </w:rPr>
        <w:t>(6), 435–442. https://doi.org/10.1108/08858621011066026</w:t>
      </w:r>
    </w:p>
    <w:p w14:paraId="24B408E7" w14:textId="7BE19E2E"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Wu, P.-C., &amp; Chaturvedi, S. (2009). The role of procedural justice and power distance in the relationship between high performance work systems and employee attitudes: </w:t>
      </w:r>
      <w:r w:rsidR="00E357BC">
        <w:rPr>
          <w:rFonts w:cs="Times New Roman"/>
          <w:noProof/>
          <w:szCs w:val="24"/>
        </w:rPr>
        <w:t>a</w:t>
      </w:r>
      <w:r w:rsidRPr="002A7627">
        <w:rPr>
          <w:rFonts w:cs="Times New Roman"/>
          <w:noProof/>
          <w:szCs w:val="24"/>
        </w:rPr>
        <w:t xml:space="preserve"> multilevel perspective. </w:t>
      </w:r>
      <w:r w:rsidRPr="002A7627">
        <w:rPr>
          <w:rFonts w:cs="Times New Roman"/>
          <w:i/>
          <w:iCs/>
          <w:noProof/>
          <w:szCs w:val="24"/>
        </w:rPr>
        <w:t>Journal of Management</w:t>
      </w:r>
      <w:r w:rsidRPr="002A7627">
        <w:rPr>
          <w:rFonts w:cs="Times New Roman"/>
          <w:noProof/>
          <w:szCs w:val="24"/>
        </w:rPr>
        <w:t xml:space="preserve">, </w:t>
      </w:r>
      <w:r w:rsidRPr="002A7627">
        <w:rPr>
          <w:rFonts w:cs="Times New Roman"/>
          <w:i/>
          <w:iCs/>
          <w:noProof/>
          <w:szCs w:val="24"/>
        </w:rPr>
        <w:t>35</w:t>
      </w:r>
      <w:r w:rsidRPr="002A7627">
        <w:rPr>
          <w:rFonts w:cs="Times New Roman"/>
          <w:noProof/>
          <w:szCs w:val="24"/>
        </w:rPr>
        <w:t>(5), 1228–1247. https://doi.org/10.1177/0149206308331097</w:t>
      </w:r>
    </w:p>
    <w:p w14:paraId="29C64F46"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Wu, T.-H., Chen, M.-S., &amp; Yeh, J.-Y. (2010). Measuring the performance of police forces in Taiwan using data envelopment analysis. </w:t>
      </w:r>
      <w:r w:rsidRPr="002A7627">
        <w:rPr>
          <w:rFonts w:cs="Times New Roman"/>
          <w:i/>
          <w:iCs/>
          <w:noProof/>
          <w:szCs w:val="24"/>
        </w:rPr>
        <w:t>Evaluation and Program Planning</w:t>
      </w:r>
      <w:r w:rsidRPr="002A7627">
        <w:rPr>
          <w:rFonts w:cs="Times New Roman"/>
          <w:noProof/>
          <w:szCs w:val="24"/>
        </w:rPr>
        <w:t xml:space="preserve">, </w:t>
      </w:r>
      <w:r w:rsidRPr="002A7627">
        <w:rPr>
          <w:rFonts w:cs="Times New Roman"/>
          <w:i/>
          <w:iCs/>
          <w:noProof/>
          <w:szCs w:val="24"/>
        </w:rPr>
        <w:t>33</w:t>
      </w:r>
      <w:r w:rsidRPr="002A7627">
        <w:rPr>
          <w:rFonts w:cs="Times New Roman"/>
          <w:noProof/>
          <w:szCs w:val="24"/>
        </w:rPr>
        <w:t>(3), 246–254. https://doi.org/10.1016/j.evalprogplan.2009.09.001</w:t>
      </w:r>
    </w:p>
    <w:p w14:paraId="37DC039A" w14:textId="197E339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Wu, W.-L., Hsu, B.-F., &amp; Yeh, R.-S. (2007). Fostering the determinants of knowledge transfer: </w:t>
      </w:r>
      <w:r w:rsidR="00E357BC">
        <w:rPr>
          <w:rFonts w:cs="Times New Roman"/>
          <w:noProof/>
          <w:szCs w:val="24"/>
        </w:rPr>
        <w:t>a</w:t>
      </w:r>
      <w:r w:rsidRPr="002A7627">
        <w:rPr>
          <w:rFonts w:cs="Times New Roman"/>
          <w:noProof/>
          <w:szCs w:val="24"/>
        </w:rPr>
        <w:t xml:space="preserve"> team-level analysis. </w:t>
      </w:r>
      <w:r w:rsidRPr="002A7627">
        <w:rPr>
          <w:rFonts w:cs="Times New Roman"/>
          <w:i/>
          <w:iCs/>
          <w:noProof/>
          <w:szCs w:val="24"/>
        </w:rPr>
        <w:t>Journal of Information Science</w:t>
      </w:r>
      <w:r w:rsidRPr="002A7627">
        <w:rPr>
          <w:rFonts w:cs="Times New Roman"/>
          <w:noProof/>
          <w:szCs w:val="24"/>
        </w:rPr>
        <w:t xml:space="preserve">, </w:t>
      </w:r>
      <w:r w:rsidRPr="002A7627">
        <w:rPr>
          <w:rFonts w:cs="Times New Roman"/>
          <w:i/>
          <w:iCs/>
          <w:noProof/>
          <w:szCs w:val="24"/>
        </w:rPr>
        <w:t>33</w:t>
      </w:r>
      <w:r w:rsidRPr="002A7627">
        <w:rPr>
          <w:rFonts w:cs="Times New Roman"/>
          <w:noProof/>
          <w:szCs w:val="24"/>
        </w:rPr>
        <w:t>(3), 326–339.</w:t>
      </w:r>
    </w:p>
    <w:p w14:paraId="0E82F640" w14:textId="198ECCE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Wu, W.-L., &amp; Lee, Y.-C. (2017). Empowering group leaders encourages knowledge sharing: </w:t>
      </w:r>
      <w:r w:rsidR="00E357BC">
        <w:rPr>
          <w:rFonts w:cs="Times New Roman"/>
          <w:noProof/>
          <w:szCs w:val="24"/>
        </w:rPr>
        <w:t>i</w:t>
      </w:r>
      <w:r w:rsidRPr="002A7627">
        <w:rPr>
          <w:rFonts w:cs="Times New Roman"/>
          <w:noProof/>
          <w:szCs w:val="24"/>
        </w:rPr>
        <w:t xml:space="preserve">ntegrating the social exchange theory and positive organizational behavior perspective.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21</w:t>
      </w:r>
      <w:r w:rsidRPr="002A7627">
        <w:rPr>
          <w:rFonts w:cs="Times New Roman"/>
          <w:noProof/>
          <w:szCs w:val="24"/>
        </w:rPr>
        <w:t>(2), 474–491. https://doi.org/10.1108/JKM-08-2016-0318</w:t>
      </w:r>
    </w:p>
    <w:p w14:paraId="512DBDC8" w14:textId="16577C9B"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Yaghoubi, N.-M., Yazdani, B. O., Ahoorani, N., &amp; Banihashemi, S. A. (2011). Information technology infrastructures and knowledge management: </w:t>
      </w:r>
      <w:r w:rsidR="00E357BC">
        <w:rPr>
          <w:rFonts w:cs="Times New Roman"/>
          <w:noProof/>
          <w:szCs w:val="24"/>
        </w:rPr>
        <w:t>t</w:t>
      </w:r>
      <w:r w:rsidRPr="002A7627">
        <w:rPr>
          <w:rFonts w:cs="Times New Roman"/>
          <w:noProof/>
          <w:szCs w:val="24"/>
        </w:rPr>
        <w:t xml:space="preserve">owards organizational excellence. </w:t>
      </w:r>
      <w:r w:rsidRPr="002A7627">
        <w:rPr>
          <w:rFonts w:cs="Times New Roman"/>
          <w:i/>
          <w:iCs/>
          <w:noProof/>
          <w:szCs w:val="24"/>
        </w:rPr>
        <w:t>Computer and Information Science</w:t>
      </w:r>
      <w:r w:rsidRPr="002A7627">
        <w:rPr>
          <w:rFonts w:cs="Times New Roman"/>
          <w:noProof/>
          <w:szCs w:val="24"/>
        </w:rPr>
        <w:t xml:space="preserve">, </w:t>
      </w:r>
      <w:r w:rsidRPr="002A7627">
        <w:rPr>
          <w:rFonts w:cs="Times New Roman"/>
          <w:i/>
          <w:iCs/>
          <w:noProof/>
          <w:szCs w:val="24"/>
        </w:rPr>
        <w:t>4</w:t>
      </w:r>
      <w:r w:rsidRPr="002A7627">
        <w:rPr>
          <w:rFonts w:cs="Times New Roman"/>
          <w:noProof/>
          <w:szCs w:val="24"/>
        </w:rPr>
        <w:t>(5)</w:t>
      </w:r>
      <w:r w:rsidR="00052A87">
        <w:rPr>
          <w:rFonts w:cs="Times New Roman"/>
          <w:noProof/>
          <w:szCs w:val="24"/>
        </w:rPr>
        <w:t>, 20–27</w:t>
      </w:r>
      <w:r w:rsidRPr="002A7627">
        <w:rPr>
          <w:rFonts w:cs="Times New Roman"/>
          <w:noProof/>
          <w:szCs w:val="24"/>
        </w:rPr>
        <w:t>. https://doi.org/10.5539/cis.v4n5p20</w:t>
      </w:r>
    </w:p>
    <w:p w14:paraId="62D674E6"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Yahyapour, S., Shamizanjani, M., &amp; Mosakhani, M. (2015). A conceptual breakdown structure for knowledge management benefits using meta-synthesis method.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19</w:t>
      </w:r>
      <w:r w:rsidRPr="002A7627">
        <w:rPr>
          <w:rFonts w:cs="Times New Roman"/>
          <w:noProof/>
          <w:szCs w:val="24"/>
        </w:rPr>
        <w:t>(6), 1295–1309. https://doi.org/10.1108/JKM-05-2015-0166</w:t>
      </w:r>
    </w:p>
    <w:p w14:paraId="584F9430"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Yang, C., &amp; Chen, L.-C. (2007). Can organizational knowledge capabilities affect knowledge sharing behavior? </w:t>
      </w:r>
      <w:r w:rsidRPr="002A7627">
        <w:rPr>
          <w:rFonts w:cs="Times New Roman"/>
          <w:i/>
          <w:iCs/>
          <w:noProof/>
          <w:szCs w:val="24"/>
        </w:rPr>
        <w:t>Journal of Information Science</w:t>
      </w:r>
      <w:r w:rsidRPr="002A7627">
        <w:rPr>
          <w:rFonts w:cs="Times New Roman"/>
          <w:noProof/>
          <w:szCs w:val="24"/>
        </w:rPr>
        <w:t xml:space="preserve">, </w:t>
      </w:r>
      <w:r w:rsidRPr="002A7627">
        <w:rPr>
          <w:rFonts w:cs="Times New Roman"/>
          <w:i/>
          <w:iCs/>
          <w:noProof/>
          <w:szCs w:val="24"/>
        </w:rPr>
        <w:t>33</w:t>
      </w:r>
      <w:r w:rsidRPr="002A7627">
        <w:rPr>
          <w:rFonts w:cs="Times New Roman"/>
          <w:noProof/>
          <w:szCs w:val="24"/>
        </w:rPr>
        <w:t>(1), 95–109.</w:t>
      </w:r>
    </w:p>
    <w:p w14:paraId="7FF4E035"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Yap, J. B. H., &amp; Lock, A. (2017). Analysing the benefits, techniques, tools and challenges of knowledge management practices in the Malaysian construction SMEs. </w:t>
      </w:r>
      <w:r w:rsidRPr="002A7627">
        <w:rPr>
          <w:rFonts w:cs="Times New Roman"/>
          <w:i/>
          <w:iCs/>
          <w:noProof/>
          <w:szCs w:val="24"/>
        </w:rPr>
        <w:t>Journal of Engineering, Design and Technology</w:t>
      </w:r>
      <w:r w:rsidRPr="002A7627">
        <w:rPr>
          <w:rFonts w:cs="Times New Roman"/>
          <w:noProof/>
          <w:szCs w:val="24"/>
        </w:rPr>
        <w:t xml:space="preserve">, </w:t>
      </w:r>
      <w:r w:rsidRPr="002A7627">
        <w:rPr>
          <w:rFonts w:cs="Times New Roman"/>
          <w:i/>
          <w:iCs/>
          <w:noProof/>
          <w:szCs w:val="24"/>
        </w:rPr>
        <w:t>15</w:t>
      </w:r>
      <w:r w:rsidRPr="002A7627">
        <w:rPr>
          <w:rFonts w:cs="Times New Roman"/>
          <w:noProof/>
          <w:szCs w:val="24"/>
        </w:rPr>
        <w:t>(6), 803–825. https://doi.org/10.1108/JEDT-07-2017-0067</w:t>
      </w:r>
    </w:p>
    <w:p w14:paraId="6D3531E8"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Zack, M. H. (1999). Developing a knowledge strategy. </w:t>
      </w:r>
      <w:r w:rsidRPr="002A7627">
        <w:rPr>
          <w:rFonts w:cs="Times New Roman"/>
          <w:i/>
          <w:iCs/>
          <w:noProof/>
          <w:szCs w:val="24"/>
        </w:rPr>
        <w:t>California Management Review</w:t>
      </w:r>
      <w:r w:rsidRPr="002A7627">
        <w:rPr>
          <w:rFonts w:cs="Times New Roman"/>
          <w:noProof/>
          <w:szCs w:val="24"/>
        </w:rPr>
        <w:t xml:space="preserve">, </w:t>
      </w:r>
      <w:r w:rsidRPr="002A7627">
        <w:rPr>
          <w:rFonts w:cs="Times New Roman"/>
          <w:i/>
          <w:iCs/>
          <w:noProof/>
          <w:szCs w:val="24"/>
        </w:rPr>
        <w:t>41</w:t>
      </w:r>
      <w:r w:rsidRPr="002A7627">
        <w:rPr>
          <w:rFonts w:cs="Times New Roman"/>
          <w:noProof/>
          <w:szCs w:val="24"/>
        </w:rPr>
        <w:t>(3), 125–145. https://doi.org/10.2307/41166000</w:t>
      </w:r>
    </w:p>
    <w:p w14:paraId="2CC88DE3" w14:textId="3554131C"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Zack, M. H., McKeen, J., &amp; Singh, S. (2009). Knowledge management and organizational performance: </w:t>
      </w:r>
      <w:r w:rsidR="00E357BC">
        <w:rPr>
          <w:rFonts w:cs="Times New Roman"/>
          <w:noProof/>
          <w:szCs w:val="24"/>
        </w:rPr>
        <w:t>a</w:t>
      </w:r>
      <w:r w:rsidRPr="002A7627">
        <w:rPr>
          <w:rFonts w:cs="Times New Roman"/>
          <w:noProof/>
          <w:szCs w:val="24"/>
        </w:rPr>
        <w:t xml:space="preserve">n exploratory analysis.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13</w:t>
      </w:r>
      <w:r w:rsidRPr="002A7627">
        <w:rPr>
          <w:rFonts w:cs="Times New Roman"/>
          <w:noProof/>
          <w:szCs w:val="24"/>
        </w:rPr>
        <w:t>(6), 392–409. https://doi.org/10.1108/13673270910997088</w:t>
      </w:r>
    </w:p>
    <w:p w14:paraId="24F81A01" w14:textId="756DF9FA"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Zhang, A. Y., Tsui, A. S., &amp; Wang, D. X. (2011). Leadership behaviors and group creativity in Chinese organizations: </w:t>
      </w:r>
      <w:r w:rsidR="00E357BC">
        <w:rPr>
          <w:rFonts w:cs="Times New Roman"/>
          <w:noProof/>
          <w:szCs w:val="24"/>
        </w:rPr>
        <w:t>t</w:t>
      </w:r>
      <w:r w:rsidRPr="002A7627">
        <w:rPr>
          <w:rFonts w:cs="Times New Roman"/>
          <w:noProof/>
          <w:szCs w:val="24"/>
        </w:rPr>
        <w:t xml:space="preserve">he role of group processes. </w:t>
      </w:r>
      <w:r w:rsidRPr="002A7627">
        <w:rPr>
          <w:rFonts w:cs="Times New Roman"/>
          <w:i/>
          <w:iCs/>
          <w:noProof/>
          <w:szCs w:val="24"/>
        </w:rPr>
        <w:t>The Leadership Quarterly</w:t>
      </w:r>
      <w:r w:rsidRPr="002A7627">
        <w:rPr>
          <w:rFonts w:cs="Times New Roman"/>
          <w:noProof/>
          <w:szCs w:val="24"/>
        </w:rPr>
        <w:t xml:space="preserve">, </w:t>
      </w:r>
      <w:r w:rsidRPr="002A7627">
        <w:rPr>
          <w:rFonts w:cs="Times New Roman"/>
          <w:i/>
          <w:iCs/>
          <w:noProof/>
          <w:szCs w:val="24"/>
        </w:rPr>
        <w:t>22</w:t>
      </w:r>
      <w:r w:rsidRPr="002A7627">
        <w:rPr>
          <w:rFonts w:cs="Times New Roman"/>
          <w:noProof/>
          <w:szCs w:val="24"/>
        </w:rPr>
        <w:t>(5), 851–862. https://doi.org/10.1016/j.leaqua.2011.07.007</w:t>
      </w:r>
    </w:p>
    <w:p w14:paraId="5D0A585A" w14:textId="171BDFBD"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Zhang, J., Gong, Z., Zhang, S., &amp; Zhao, Y. (2017). Impact of the supervisor feedback environment on creative performance: </w:t>
      </w:r>
      <w:r w:rsidR="00E357BC">
        <w:rPr>
          <w:rFonts w:cs="Times New Roman"/>
          <w:noProof/>
          <w:szCs w:val="24"/>
        </w:rPr>
        <w:t>a</w:t>
      </w:r>
      <w:r w:rsidRPr="002A7627">
        <w:rPr>
          <w:rFonts w:cs="Times New Roman"/>
          <w:noProof/>
          <w:szCs w:val="24"/>
        </w:rPr>
        <w:t xml:space="preserve"> moderated mediation model. </w:t>
      </w:r>
      <w:r w:rsidRPr="002A7627">
        <w:rPr>
          <w:rFonts w:cs="Times New Roman"/>
          <w:i/>
          <w:iCs/>
          <w:noProof/>
          <w:szCs w:val="24"/>
        </w:rPr>
        <w:t>Frontiers in Psychology</w:t>
      </w:r>
      <w:r w:rsidRPr="002A7627">
        <w:rPr>
          <w:rFonts w:cs="Times New Roman"/>
          <w:noProof/>
          <w:szCs w:val="24"/>
        </w:rPr>
        <w:t xml:space="preserve">, </w:t>
      </w:r>
      <w:r w:rsidRPr="002A7627">
        <w:rPr>
          <w:rFonts w:cs="Times New Roman"/>
          <w:i/>
          <w:iCs/>
          <w:noProof/>
          <w:szCs w:val="24"/>
        </w:rPr>
        <w:t>8</w:t>
      </w:r>
      <w:r w:rsidR="00052A87">
        <w:rPr>
          <w:rFonts w:cs="Times New Roman"/>
          <w:iCs/>
          <w:noProof/>
          <w:szCs w:val="24"/>
        </w:rPr>
        <w:t>, 256</w:t>
      </w:r>
      <w:r w:rsidRPr="002A7627">
        <w:rPr>
          <w:rFonts w:cs="Times New Roman"/>
          <w:noProof/>
          <w:szCs w:val="24"/>
        </w:rPr>
        <w:t>. https://doi.org/10.3389/fpsyg.2017.00256</w:t>
      </w:r>
    </w:p>
    <w:p w14:paraId="70EC532D" w14:textId="23630923"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Zhang, M., &amp; Yin, X. (2012). The effect of R&amp;D alliances on the speed of innovation: </w:t>
      </w:r>
      <w:r w:rsidR="00052A87">
        <w:rPr>
          <w:rFonts w:cs="Times New Roman"/>
          <w:noProof/>
          <w:szCs w:val="24"/>
        </w:rPr>
        <w:t>e</w:t>
      </w:r>
      <w:r w:rsidRPr="002A7627">
        <w:rPr>
          <w:rFonts w:cs="Times New Roman"/>
          <w:noProof/>
          <w:szCs w:val="24"/>
        </w:rPr>
        <w:t xml:space="preserve">vidence from Chinese SMEs. </w:t>
      </w:r>
      <w:r w:rsidRPr="002A7627">
        <w:rPr>
          <w:rFonts w:cs="Times New Roman"/>
          <w:i/>
          <w:iCs/>
          <w:noProof/>
          <w:szCs w:val="24"/>
        </w:rPr>
        <w:t>Physics Procedia</w:t>
      </w:r>
      <w:r w:rsidRPr="002A7627">
        <w:rPr>
          <w:rFonts w:cs="Times New Roman"/>
          <w:noProof/>
          <w:szCs w:val="24"/>
        </w:rPr>
        <w:t xml:space="preserve">, </w:t>
      </w:r>
      <w:r w:rsidRPr="002A7627">
        <w:rPr>
          <w:rFonts w:cs="Times New Roman"/>
          <w:i/>
          <w:iCs/>
          <w:noProof/>
          <w:szCs w:val="24"/>
        </w:rPr>
        <w:t>25</w:t>
      </w:r>
      <w:r w:rsidRPr="002A7627">
        <w:rPr>
          <w:rFonts w:cs="Times New Roman"/>
          <w:noProof/>
          <w:szCs w:val="24"/>
        </w:rPr>
        <w:t>, 1155–1161. https://doi.org/10.1016/j.phpro.2012.03.213</w:t>
      </w:r>
    </w:p>
    <w:p w14:paraId="353FE76D" w14:textId="77777777"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Zhang, X., &amp; Jiang, J. Y. (2015). With whom shall I share my knowledge? A recipient perspective of knowledge sharing. </w:t>
      </w:r>
      <w:r w:rsidRPr="002A7627">
        <w:rPr>
          <w:rFonts w:cs="Times New Roman"/>
          <w:i/>
          <w:iCs/>
          <w:noProof/>
          <w:szCs w:val="24"/>
        </w:rPr>
        <w:t>Journal of Knowledge Management</w:t>
      </w:r>
      <w:r w:rsidRPr="002A7627">
        <w:rPr>
          <w:rFonts w:cs="Times New Roman"/>
          <w:noProof/>
          <w:szCs w:val="24"/>
        </w:rPr>
        <w:t xml:space="preserve">, </w:t>
      </w:r>
      <w:r w:rsidRPr="002A7627">
        <w:rPr>
          <w:rFonts w:cs="Times New Roman"/>
          <w:i/>
          <w:iCs/>
          <w:noProof/>
          <w:szCs w:val="24"/>
        </w:rPr>
        <w:t>19</w:t>
      </w:r>
      <w:r w:rsidRPr="002A7627">
        <w:rPr>
          <w:rFonts w:cs="Times New Roman"/>
          <w:noProof/>
          <w:szCs w:val="24"/>
        </w:rPr>
        <w:t>(2), 277–295. https://doi.org/10.1108/JKM-05-2014-0184</w:t>
      </w:r>
    </w:p>
    <w:p w14:paraId="6F9E00A9" w14:textId="29625563"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Zhang, X., &amp; Kwan, H. K. (2018). Empowering leadership and team creativity: </w:t>
      </w:r>
      <w:r w:rsidR="00E357BC">
        <w:rPr>
          <w:rFonts w:cs="Times New Roman"/>
          <w:noProof/>
          <w:szCs w:val="24"/>
        </w:rPr>
        <w:t>t</w:t>
      </w:r>
      <w:r w:rsidRPr="002A7627">
        <w:rPr>
          <w:rFonts w:cs="Times New Roman"/>
          <w:noProof/>
          <w:szCs w:val="24"/>
        </w:rPr>
        <w:t xml:space="preserve">he roles of team learning behavior, team creative efficacy, and team task complexity. In C. Mainemeli &amp; O. Epitropaki (Eds.), </w:t>
      </w:r>
      <w:r w:rsidRPr="002A7627">
        <w:rPr>
          <w:rFonts w:cs="Times New Roman"/>
          <w:i/>
          <w:iCs/>
          <w:noProof/>
          <w:szCs w:val="24"/>
        </w:rPr>
        <w:t>Creative Leadership: Contexts and Prospects</w:t>
      </w:r>
      <w:r w:rsidRPr="002A7627">
        <w:rPr>
          <w:rFonts w:cs="Times New Roman"/>
          <w:noProof/>
          <w:szCs w:val="24"/>
        </w:rPr>
        <w:t xml:space="preserve"> (pp. 95–121). London, UK: Routledge.</w:t>
      </w:r>
    </w:p>
    <w:p w14:paraId="1B8C38DA" w14:textId="3C72905B"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Zhao, X., Lynch, J. G., &amp; Chen, Q. (2010). Reconsidering Baron and Kenny: </w:t>
      </w:r>
      <w:r w:rsidR="00052A87">
        <w:rPr>
          <w:rFonts w:cs="Times New Roman"/>
          <w:noProof/>
          <w:szCs w:val="24"/>
        </w:rPr>
        <w:t>m</w:t>
      </w:r>
      <w:r w:rsidRPr="002A7627">
        <w:rPr>
          <w:rFonts w:cs="Times New Roman"/>
          <w:noProof/>
          <w:szCs w:val="24"/>
        </w:rPr>
        <w:t xml:space="preserve">yths and truths about mediation analysis. </w:t>
      </w:r>
      <w:r w:rsidRPr="002A7627">
        <w:rPr>
          <w:rFonts w:cs="Times New Roman"/>
          <w:i/>
          <w:iCs/>
          <w:noProof/>
          <w:szCs w:val="24"/>
        </w:rPr>
        <w:t>Journal of Consumer Research</w:t>
      </w:r>
      <w:r w:rsidRPr="002A7627">
        <w:rPr>
          <w:rFonts w:cs="Times New Roman"/>
          <w:noProof/>
          <w:szCs w:val="24"/>
        </w:rPr>
        <w:t xml:space="preserve">, </w:t>
      </w:r>
      <w:r w:rsidRPr="002A7627">
        <w:rPr>
          <w:rFonts w:cs="Times New Roman"/>
          <w:i/>
          <w:iCs/>
          <w:noProof/>
          <w:szCs w:val="24"/>
        </w:rPr>
        <w:t>37</w:t>
      </w:r>
      <w:r w:rsidRPr="002A7627">
        <w:rPr>
          <w:rFonts w:cs="Times New Roman"/>
          <w:noProof/>
          <w:szCs w:val="24"/>
        </w:rPr>
        <w:t>(2), 197–206. https://doi.org/10.1086/651257</w:t>
      </w:r>
    </w:p>
    <w:p w14:paraId="6D6DB492" w14:textId="1218C149" w:rsidR="00CD0B2F" w:rsidRPr="002A7627" w:rsidRDefault="00CD0B2F" w:rsidP="002A7627">
      <w:pPr>
        <w:spacing w:line="480" w:lineRule="auto"/>
        <w:ind w:left="480" w:hanging="480"/>
        <w:jc w:val="both"/>
        <w:rPr>
          <w:rFonts w:cs="Times New Roman"/>
          <w:noProof/>
          <w:szCs w:val="24"/>
        </w:rPr>
      </w:pPr>
      <w:r w:rsidRPr="002A7627">
        <w:rPr>
          <w:rFonts w:cs="Times New Roman"/>
          <w:noProof/>
          <w:szCs w:val="24"/>
        </w:rPr>
        <w:t xml:space="preserve">Zhou, K. Z., &amp; Li, C. B. (2012). How knowledge affects radical innovation: </w:t>
      </w:r>
      <w:r w:rsidR="00052A87">
        <w:rPr>
          <w:rFonts w:cs="Times New Roman"/>
          <w:noProof/>
          <w:szCs w:val="24"/>
        </w:rPr>
        <w:t>k</w:t>
      </w:r>
      <w:r w:rsidRPr="002A7627">
        <w:rPr>
          <w:rFonts w:cs="Times New Roman"/>
          <w:noProof/>
          <w:szCs w:val="24"/>
        </w:rPr>
        <w:t xml:space="preserve">nowledge base, market knowledge acquisition, and internal knowledge sharing. </w:t>
      </w:r>
      <w:r w:rsidRPr="002A7627">
        <w:rPr>
          <w:rFonts w:cs="Times New Roman"/>
          <w:i/>
          <w:iCs/>
          <w:noProof/>
          <w:szCs w:val="24"/>
        </w:rPr>
        <w:t>Strategic Management Journal</w:t>
      </w:r>
      <w:r w:rsidRPr="002A7627">
        <w:rPr>
          <w:rFonts w:cs="Times New Roman"/>
          <w:noProof/>
          <w:szCs w:val="24"/>
        </w:rPr>
        <w:t xml:space="preserve">, </w:t>
      </w:r>
      <w:r w:rsidRPr="002A7627">
        <w:rPr>
          <w:rFonts w:cs="Times New Roman"/>
          <w:i/>
          <w:iCs/>
          <w:noProof/>
          <w:szCs w:val="24"/>
        </w:rPr>
        <w:t>33</w:t>
      </w:r>
      <w:r w:rsidRPr="002A7627">
        <w:rPr>
          <w:rFonts w:cs="Times New Roman"/>
          <w:noProof/>
          <w:szCs w:val="24"/>
        </w:rPr>
        <w:t>(9), 1090–1102. https://doi.org/10.1002/smj.1959</w:t>
      </w:r>
    </w:p>
    <w:p w14:paraId="24B539C8" w14:textId="738B1E67" w:rsidR="00CD0B2F" w:rsidRPr="002A7627" w:rsidRDefault="00CD0B2F" w:rsidP="002A7627">
      <w:pPr>
        <w:spacing w:line="480" w:lineRule="auto"/>
        <w:ind w:left="480" w:hanging="480"/>
        <w:jc w:val="both"/>
        <w:rPr>
          <w:rFonts w:cs="Times New Roman"/>
          <w:noProof/>
        </w:rPr>
      </w:pPr>
      <w:r w:rsidRPr="002A7627">
        <w:rPr>
          <w:rFonts w:cs="Times New Roman"/>
          <w:noProof/>
          <w:szCs w:val="24"/>
        </w:rPr>
        <w:t>Zyngier, S</w:t>
      </w:r>
      <w:r w:rsidR="00ED27F3">
        <w:rPr>
          <w:rFonts w:cs="Times New Roman"/>
          <w:noProof/>
          <w:szCs w:val="24"/>
        </w:rPr>
        <w:t>.</w:t>
      </w:r>
      <w:r w:rsidRPr="002A7627">
        <w:rPr>
          <w:rFonts w:cs="Times New Roman"/>
          <w:noProof/>
          <w:szCs w:val="24"/>
        </w:rPr>
        <w:t xml:space="preserve">, &amp; Burstein, F. (2012). Knowledge management governance: </w:t>
      </w:r>
      <w:r w:rsidR="00052A87">
        <w:rPr>
          <w:rFonts w:cs="Times New Roman"/>
          <w:noProof/>
          <w:szCs w:val="24"/>
        </w:rPr>
        <w:t>t</w:t>
      </w:r>
      <w:r w:rsidRPr="002A7627">
        <w:rPr>
          <w:rFonts w:cs="Times New Roman"/>
          <w:noProof/>
          <w:szCs w:val="24"/>
        </w:rPr>
        <w:t xml:space="preserve">he road to continuous benefits realization. </w:t>
      </w:r>
      <w:r w:rsidRPr="002A7627">
        <w:rPr>
          <w:rFonts w:cs="Times New Roman"/>
          <w:i/>
          <w:iCs/>
          <w:noProof/>
          <w:szCs w:val="24"/>
        </w:rPr>
        <w:t>Journal of Information Technology</w:t>
      </w:r>
      <w:r w:rsidRPr="002A7627">
        <w:rPr>
          <w:rFonts w:cs="Times New Roman"/>
          <w:noProof/>
          <w:szCs w:val="24"/>
        </w:rPr>
        <w:t xml:space="preserve">, </w:t>
      </w:r>
      <w:r w:rsidRPr="002A7627">
        <w:rPr>
          <w:rFonts w:cs="Times New Roman"/>
          <w:i/>
          <w:iCs/>
          <w:noProof/>
          <w:szCs w:val="24"/>
        </w:rPr>
        <w:t>27</w:t>
      </w:r>
      <w:r w:rsidRPr="002A7627">
        <w:rPr>
          <w:rFonts w:cs="Times New Roman"/>
          <w:noProof/>
          <w:szCs w:val="24"/>
        </w:rPr>
        <w:t>(2), 140–155. https://doi.org/10.1057/jit.2011.31</w:t>
      </w:r>
    </w:p>
    <w:p w14:paraId="077F6E2E" w14:textId="7F7249F1" w:rsidR="008377FA" w:rsidRPr="002A7627" w:rsidRDefault="008377FA" w:rsidP="002A7627">
      <w:pPr>
        <w:tabs>
          <w:tab w:val="right" w:pos="8370"/>
        </w:tabs>
        <w:spacing w:line="480" w:lineRule="auto"/>
        <w:jc w:val="both"/>
        <w:rPr>
          <w:szCs w:val="24"/>
        </w:rPr>
      </w:pPr>
    </w:p>
    <w:p w14:paraId="3EB27F5A" w14:textId="77777777" w:rsidR="008377FA" w:rsidRPr="002A7627" w:rsidRDefault="008377FA" w:rsidP="008377FA">
      <w:pPr>
        <w:spacing w:line="480" w:lineRule="auto"/>
        <w:jc w:val="lowKashida"/>
      </w:pPr>
    </w:p>
    <w:p w14:paraId="31440A13" w14:textId="77777777" w:rsidR="00A63012" w:rsidRPr="002A7627" w:rsidRDefault="00A63012" w:rsidP="00433598">
      <w:pPr>
        <w:pStyle w:val="Title"/>
        <w:rPr>
          <w:color w:val="000000"/>
        </w:rPr>
        <w:sectPr w:rsidR="00A63012" w:rsidRPr="002A7627" w:rsidSect="00A817FD">
          <w:pgSz w:w="12240" w:h="15840"/>
          <w:pgMar w:top="1800" w:right="2160" w:bottom="1800" w:left="2160" w:header="720" w:footer="720" w:gutter="0"/>
          <w:cols w:space="720"/>
          <w:docGrid w:linePitch="381"/>
        </w:sectPr>
      </w:pPr>
      <w:bookmarkStart w:id="308" w:name="_Toc468995966"/>
    </w:p>
    <w:p w14:paraId="20F6BD87" w14:textId="283E0704" w:rsidR="00DF6CA6" w:rsidRPr="002A7627" w:rsidRDefault="00677985" w:rsidP="00433598">
      <w:pPr>
        <w:pStyle w:val="Title"/>
        <w:rPr>
          <w:color w:val="000000"/>
        </w:rPr>
      </w:pPr>
      <w:bookmarkStart w:id="309" w:name="_Toc22331728"/>
      <w:bookmarkEnd w:id="308"/>
      <w:r>
        <w:rPr>
          <w:color w:val="000000"/>
        </w:rPr>
        <w:t>APPENDICES</w:t>
      </w:r>
      <w:bookmarkEnd w:id="309"/>
    </w:p>
    <w:p w14:paraId="34D1B438" w14:textId="181289E8" w:rsidR="00DF6CA6" w:rsidRPr="002A7627" w:rsidRDefault="00DF6CA6" w:rsidP="005833E7">
      <w:pPr>
        <w:pStyle w:val="Heading2"/>
        <w:jc w:val="center"/>
      </w:pPr>
      <w:bookmarkStart w:id="310" w:name="_Toc468995967"/>
      <w:bookmarkStart w:id="311" w:name="_Toc22331729"/>
      <w:r w:rsidRPr="002A7627">
        <w:t xml:space="preserve">Appendix 1: </w:t>
      </w:r>
      <w:bookmarkEnd w:id="310"/>
      <w:r w:rsidR="00A85428">
        <w:t>Questionnaire</w:t>
      </w:r>
      <w:bookmarkEnd w:id="311"/>
    </w:p>
    <w:p w14:paraId="0C3DD737" w14:textId="33A7AB49" w:rsidR="00DF6CA6" w:rsidRPr="002A7627" w:rsidRDefault="00DF6CA6" w:rsidP="008377FA">
      <w:pPr>
        <w:spacing w:line="480" w:lineRule="auto"/>
      </w:pPr>
    </w:p>
    <w:p w14:paraId="28012D42" w14:textId="77777777" w:rsidR="00A85428" w:rsidRPr="00810511" w:rsidRDefault="00A85428" w:rsidP="00A85428">
      <w:pPr>
        <w:jc w:val="both"/>
        <w:rPr>
          <w:rFonts w:cs="Times New Roman"/>
          <w:b/>
          <w:bCs/>
          <w:szCs w:val="24"/>
        </w:rPr>
      </w:pPr>
      <w:r w:rsidRPr="00810511">
        <w:rPr>
          <w:rFonts w:cs="Times New Roman"/>
          <w:b/>
          <w:bCs/>
          <w:szCs w:val="24"/>
        </w:rPr>
        <w:t xml:space="preserve">Information sheet </w:t>
      </w:r>
    </w:p>
    <w:p w14:paraId="503217DD" w14:textId="77777777" w:rsidR="00A85428" w:rsidRDefault="00A85428" w:rsidP="00A85428">
      <w:pPr>
        <w:jc w:val="both"/>
        <w:rPr>
          <w:rFonts w:cs="Times New Roman"/>
          <w:szCs w:val="24"/>
        </w:rPr>
      </w:pPr>
    </w:p>
    <w:p w14:paraId="2CCA5FCA" w14:textId="6FD56C85" w:rsidR="00A85428" w:rsidRDefault="00A85428" w:rsidP="007B10C7">
      <w:pPr>
        <w:spacing w:line="276" w:lineRule="auto"/>
        <w:ind w:right="-450"/>
        <w:jc w:val="lowKashida"/>
        <w:rPr>
          <w:rFonts w:cs="Times New Roman"/>
          <w:szCs w:val="24"/>
        </w:rPr>
      </w:pPr>
      <w:r>
        <w:rPr>
          <w:rFonts w:cs="Times New Roman"/>
          <w:szCs w:val="24"/>
        </w:rPr>
        <w:t>I</w:t>
      </w:r>
      <w:r w:rsidRPr="001812C8">
        <w:rPr>
          <w:rFonts w:cs="Times New Roman"/>
          <w:szCs w:val="24"/>
        </w:rPr>
        <w:t xml:space="preserve"> am a DBA </w:t>
      </w:r>
      <w:r>
        <w:rPr>
          <w:rFonts w:cs="Times New Roman"/>
          <w:szCs w:val="24"/>
        </w:rPr>
        <w:t xml:space="preserve">candidate at </w:t>
      </w:r>
      <w:r w:rsidRPr="001812C8">
        <w:rPr>
          <w:rFonts w:cs="Times New Roman"/>
          <w:szCs w:val="24"/>
        </w:rPr>
        <w:t>Abu Dhabi</w:t>
      </w:r>
      <w:r>
        <w:rPr>
          <w:rFonts w:cs="Times New Roman"/>
          <w:szCs w:val="24"/>
        </w:rPr>
        <w:t xml:space="preserve"> University</w:t>
      </w:r>
      <w:r w:rsidRPr="001812C8">
        <w:rPr>
          <w:rFonts w:cs="Times New Roman"/>
          <w:szCs w:val="24"/>
        </w:rPr>
        <w:t xml:space="preserve">. As a part of the requirement for my doctoral degree program in the University, I am conducting a study with the title </w:t>
      </w:r>
      <w:r w:rsidRPr="00810511">
        <w:rPr>
          <w:rFonts w:cs="Times New Roman"/>
          <w:sz w:val="28"/>
        </w:rPr>
        <w:t>“</w:t>
      </w:r>
      <w:r w:rsidRPr="00810511">
        <w:rPr>
          <w:rFonts w:asciiTheme="majorBidi" w:hAnsiTheme="majorBidi" w:cstheme="majorBidi"/>
          <w:b/>
          <w:color w:val="000000" w:themeColor="text1"/>
          <w:sz w:val="28"/>
        </w:rPr>
        <w:t>A Framework for Integrating Knowledge Management Benefits in the UAE Policing Organization</w:t>
      </w:r>
      <w:r w:rsidRPr="00810511">
        <w:rPr>
          <w:rFonts w:cs="Times New Roman"/>
          <w:b/>
          <w:bCs/>
          <w:color w:val="000000" w:themeColor="text1"/>
          <w:sz w:val="28"/>
        </w:rPr>
        <w:t>”</w:t>
      </w:r>
      <w:r w:rsidRPr="00810511">
        <w:rPr>
          <w:rFonts w:cs="Times New Roman"/>
          <w:sz w:val="28"/>
        </w:rPr>
        <w:t>.</w:t>
      </w:r>
      <w:r w:rsidRPr="00F73D61">
        <w:rPr>
          <w:rFonts w:cs="Times New Roman"/>
          <w:szCs w:val="24"/>
        </w:rPr>
        <w:t xml:space="preserve"> </w:t>
      </w:r>
    </w:p>
    <w:p w14:paraId="69B112B0" w14:textId="77777777" w:rsidR="007B10C7" w:rsidRPr="00810511" w:rsidRDefault="007B10C7" w:rsidP="007B10C7">
      <w:pPr>
        <w:spacing w:line="276" w:lineRule="auto"/>
        <w:ind w:right="-450"/>
        <w:jc w:val="lowKashida"/>
        <w:rPr>
          <w:rFonts w:asciiTheme="majorBidi" w:hAnsiTheme="majorBidi" w:cstheme="majorBidi"/>
          <w:b/>
          <w:color w:val="000000" w:themeColor="text1"/>
          <w:sz w:val="28"/>
          <w:szCs w:val="22"/>
        </w:rPr>
      </w:pPr>
    </w:p>
    <w:p w14:paraId="6AC98E70" w14:textId="77777777" w:rsidR="00A85428" w:rsidRDefault="00A85428" w:rsidP="00A85428">
      <w:pPr>
        <w:tabs>
          <w:tab w:val="left" w:pos="3135"/>
          <w:tab w:val="left" w:pos="9360"/>
        </w:tabs>
        <w:spacing w:line="276" w:lineRule="auto"/>
        <w:ind w:right="-450"/>
        <w:jc w:val="lowKashida"/>
        <w:rPr>
          <w:rFonts w:cs="Times New Roman"/>
          <w:szCs w:val="24"/>
        </w:rPr>
      </w:pPr>
      <w:r w:rsidRPr="00FF31BD">
        <w:rPr>
          <w:rFonts w:eastAsia="Times New Roman" w:cs="Times New Roman"/>
          <w:szCs w:val="24"/>
        </w:rPr>
        <w:t xml:space="preserve">This study investigates the </w:t>
      </w:r>
      <w:r w:rsidRPr="00CE566A">
        <w:rPr>
          <w:rFonts w:eastAsia="Times New Roman" w:cs="Times New Roman"/>
          <w:szCs w:val="24"/>
        </w:rPr>
        <w:t>factors that impact knowledge management</w:t>
      </w:r>
      <w:r>
        <w:rPr>
          <w:rFonts w:eastAsia="Times New Roman" w:cs="Times New Roman"/>
          <w:szCs w:val="24"/>
        </w:rPr>
        <w:t xml:space="preserve"> benefits</w:t>
      </w:r>
      <w:r w:rsidRPr="00CE566A">
        <w:rPr>
          <w:rFonts w:eastAsia="Times New Roman" w:cs="Times New Roman"/>
          <w:szCs w:val="24"/>
        </w:rPr>
        <w:t xml:space="preserve"> in </w:t>
      </w:r>
      <w:r>
        <w:rPr>
          <w:rFonts w:eastAsia="Times New Roman" w:cs="Times New Roman"/>
          <w:szCs w:val="24"/>
        </w:rPr>
        <w:t>a policing organization</w:t>
      </w:r>
      <w:r w:rsidRPr="00CE566A">
        <w:rPr>
          <w:rFonts w:eastAsia="Times New Roman" w:cs="Times New Roman"/>
          <w:szCs w:val="24"/>
        </w:rPr>
        <w:t xml:space="preserve"> in the UAE</w:t>
      </w:r>
      <w:r>
        <w:rPr>
          <w:rFonts w:eastAsia="Times New Roman" w:cs="Times New Roman"/>
          <w:szCs w:val="24"/>
        </w:rPr>
        <w:t>, focusing on Abu Dhabi Police</w:t>
      </w:r>
      <w:r>
        <w:rPr>
          <w:rFonts w:cs="Times New Roman"/>
          <w:szCs w:val="24"/>
        </w:rPr>
        <w:t xml:space="preserve">. </w:t>
      </w:r>
      <w:r w:rsidRPr="001812C8">
        <w:rPr>
          <w:rFonts w:cs="Times New Roman"/>
          <w:szCs w:val="24"/>
        </w:rPr>
        <w:t xml:space="preserve">Your participation in this study is voluntary and </w:t>
      </w:r>
      <w:r>
        <w:rPr>
          <w:rFonts w:cs="Times New Roman"/>
          <w:szCs w:val="24"/>
        </w:rPr>
        <w:t>your</w:t>
      </w:r>
      <w:r w:rsidRPr="001812C8">
        <w:rPr>
          <w:rFonts w:cs="Times New Roman"/>
          <w:szCs w:val="24"/>
        </w:rPr>
        <w:t xml:space="preserve"> responses will be kept </w:t>
      </w:r>
      <w:r w:rsidRPr="0021481B">
        <w:rPr>
          <w:rFonts w:cs="Times New Roman"/>
          <w:b/>
          <w:bCs/>
          <w:szCs w:val="24"/>
          <w:u w:val="single"/>
        </w:rPr>
        <w:t>strictly confidential</w:t>
      </w:r>
      <w:r w:rsidRPr="001812C8">
        <w:rPr>
          <w:rFonts w:cs="Times New Roman"/>
          <w:szCs w:val="24"/>
        </w:rPr>
        <w:t xml:space="preserve"> and used for academic purposes only. </w:t>
      </w:r>
      <w:r w:rsidRPr="00B17AED">
        <w:rPr>
          <w:szCs w:val="24"/>
        </w:rPr>
        <w:t>The results the will be analyzed, discussed and presented in the form of a dissertation. They will be seen by my committee chair, internal and external committee members.</w:t>
      </w:r>
    </w:p>
    <w:p w14:paraId="516A5885" w14:textId="519C6F97" w:rsidR="00A85428" w:rsidRPr="00C56900" w:rsidRDefault="00A85428" w:rsidP="00A85428">
      <w:pPr>
        <w:tabs>
          <w:tab w:val="left" w:pos="3135"/>
          <w:tab w:val="left" w:pos="9360"/>
        </w:tabs>
        <w:spacing w:line="276" w:lineRule="auto"/>
        <w:ind w:right="-450"/>
        <w:jc w:val="lowKashida"/>
        <w:rPr>
          <w:rFonts w:asciiTheme="majorBidi" w:hAnsiTheme="majorBidi" w:cstheme="majorBidi"/>
          <w:b/>
          <w:bCs/>
          <w:color w:val="000000" w:themeColor="text1"/>
          <w:szCs w:val="24"/>
          <w:lang w:bidi="ar-AE"/>
        </w:rPr>
      </w:pPr>
      <w:r w:rsidRPr="000058A3">
        <w:rPr>
          <w:rFonts w:cs="Times New Roman"/>
          <w:szCs w:val="24"/>
        </w:rPr>
        <w:t xml:space="preserve">The </w:t>
      </w:r>
      <w:r>
        <w:rPr>
          <w:rFonts w:cs="Times New Roman"/>
          <w:szCs w:val="24"/>
        </w:rPr>
        <w:t>s</w:t>
      </w:r>
      <w:r w:rsidRPr="000058A3">
        <w:rPr>
          <w:rFonts w:cs="Times New Roman"/>
          <w:szCs w:val="24"/>
        </w:rPr>
        <w:t xml:space="preserve">urvey will require not more than </w:t>
      </w:r>
      <w:r>
        <w:rPr>
          <w:rFonts w:cs="Times New Roman"/>
          <w:szCs w:val="24"/>
        </w:rPr>
        <w:t>15</w:t>
      </w:r>
      <w:r w:rsidRPr="000058A3">
        <w:rPr>
          <w:rFonts w:cs="Times New Roman"/>
          <w:szCs w:val="24"/>
        </w:rPr>
        <w:t>-</w:t>
      </w:r>
      <w:r>
        <w:rPr>
          <w:rFonts w:cs="Times New Roman" w:hint="cs"/>
          <w:szCs w:val="24"/>
          <w:rtl/>
        </w:rPr>
        <w:t>2</w:t>
      </w:r>
      <w:r>
        <w:rPr>
          <w:rFonts w:cs="Times New Roman"/>
          <w:szCs w:val="24"/>
        </w:rPr>
        <w:t>0</w:t>
      </w:r>
      <w:r w:rsidRPr="000058A3">
        <w:rPr>
          <w:rFonts w:cs="Times New Roman"/>
          <w:szCs w:val="24"/>
        </w:rPr>
        <w:t xml:space="preserve"> minutes of your time.</w:t>
      </w:r>
      <w:r>
        <w:rPr>
          <w:rFonts w:cs="Times New Roman"/>
          <w:szCs w:val="24"/>
        </w:rPr>
        <w:t xml:space="preserve"> </w:t>
      </w:r>
      <w:r w:rsidRPr="001812C8">
        <w:rPr>
          <w:rFonts w:cs="Times New Roman"/>
          <w:szCs w:val="24"/>
        </w:rPr>
        <w:t>Thank you very much for taking the time to complete this survey.</w:t>
      </w:r>
      <w:r>
        <w:rPr>
          <w:rFonts w:cs="Times New Roman"/>
          <w:szCs w:val="24"/>
        </w:rPr>
        <w:t xml:space="preserve"> </w:t>
      </w:r>
    </w:p>
    <w:p w14:paraId="77D2CDA4" w14:textId="77777777" w:rsidR="00A85428" w:rsidRDefault="00A85428" w:rsidP="00A85428">
      <w:pPr>
        <w:rPr>
          <w:rFonts w:cs="Times New Roman"/>
        </w:rPr>
      </w:pPr>
    </w:p>
    <w:p w14:paraId="6D27F8EC" w14:textId="77777777" w:rsidR="00A85428" w:rsidRPr="00492375" w:rsidRDefault="00A85428" w:rsidP="00A85428">
      <w:pPr>
        <w:rPr>
          <w:rFonts w:cs="Times New Roman"/>
          <w:b/>
          <w:bCs/>
          <w:i/>
          <w:iCs/>
        </w:rPr>
      </w:pPr>
      <w:r w:rsidRPr="00492375">
        <w:rPr>
          <w:rFonts w:cs="Times New Roman"/>
          <w:b/>
          <w:bCs/>
          <w:i/>
          <w:iCs/>
        </w:rPr>
        <w:t>The researcher</w:t>
      </w:r>
    </w:p>
    <w:p w14:paraId="318568C0" w14:textId="77777777" w:rsidR="00A85428" w:rsidRPr="00492375" w:rsidRDefault="00A85428" w:rsidP="00A85428">
      <w:pPr>
        <w:rPr>
          <w:rFonts w:cs="Times New Roman"/>
        </w:rPr>
      </w:pPr>
      <w:r>
        <w:rPr>
          <w:rFonts w:cs="Times New Roman"/>
        </w:rPr>
        <w:t>Taghreed Al Dari</w:t>
      </w:r>
      <w:r w:rsidRPr="00492375">
        <w:rPr>
          <w:rFonts w:cs="Times New Roman"/>
        </w:rPr>
        <w:t xml:space="preserve"> - Candidate in Doctoral of Business Administration (DBA)</w:t>
      </w:r>
    </w:p>
    <w:p w14:paraId="661060B2" w14:textId="7971CBAB" w:rsidR="00A85428" w:rsidRPr="00492375" w:rsidRDefault="00A85428" w:rsidP="00A85428">
      <w:pPr>
        <w:rPr>
          <w:rFonts w:cs="Times New Roman"/>
        </w:rPr>
      </w:pPr>
      <w:r w:rsidRPr="00492375">
        <w:rPr>
          <w:rFonts w:cs="Times New Roman"/>
        </w:rPr>
        <w:t>Email:</w:t>
      </w:r>
      <w:hyperlink r:id="rId56" w:history="1">
        <w:r>
          <w:rPr>
            <w:rStyle w:val="Hyperlink"/>
            <w:rFonts w:cs="Times New Roman"/>
          </w:rPr>
          <w:t>taldari@yahoo</w:t>
        </w:r>
        <w:r w:rsidRPr="00492375">
          <w:rPr>
            <w:rStyle w:val="Hyperlink"/>
            <w:rFonts w:cs="Times New Roman"/>
          </w:rPr>
          <w:t>.com</w:t>
        </w:r>
      </w:hyperlink>
      <w:r w:rsidRPr="00492375">
        <w:rPr>
          <w:rFonts w:cs="Times New Roman"/>
        </w:rPr>
        <w:t xml:space="preserve"> / </w:t>
      </w:r>
      <w:hyperlink r:id="rId57" w:history="1">
        <w:r w:rsidRPr="00492375">
          <w:rPr>
            <w:rStyle w:val="Hyperlink"/>
            <w:rFonts w:cs="Times New Roman"/>
          </w:rPr>
          <w:t>10</w:t>
        </w:r>
        <w:r>
          <w:rPr>
            <w:rStyle w:val="Hyperlink"/>
            <w:rFonts w:cs="Times New Roman"/>
          </w:rPr>
          <w:t>55292</w:t>
        </w:r>
        <w:r w:rsidRPr="00492375">
          <w:rPr>
            <w:rStyle w:val="Hyperlink"/>
            <w:rFonts w:cs="Times New Roman"/>
          </w:rPr>
          <w:t>@students.adu.ac.ae</w:t>
        </w:r>
      </w:hyperlink>
    </w:p>
    <w:p w14:paraId="1D5A696D" w14:textId="77777777" w:rsidR="00A85428" w:rsidRDefault="00A85428" w:rsidP="00A85428">
      <w:pPr>
        <w:rPr>
          <w:rFonts w:cs="Times New Roman"/>
          <w:b/>
          <w:bCs/>
          <w:i/>
          <w:iCs/>
        </w:rPr>
      </w:pPr>
    </w:p>
    <w:p w14:paraId="308B4F7E" w14:textId="77777777" w:rsidR="00A85428" w:rsidRDefault="00A85428" w:rsidP="00A85428">
      <w:pPr>
        <w:rPr>
          <w:rFonts w:cs="Times New Roman"/>
        </w:rPr>
      </w:pPr>
    </w:p>
    <w:p w14:paraId="6B7566E4" w14:textId="77777777" w:rsidR="00A85428" w:rsidRDefault="00A85428" w:rsidP="00A85428">
      <w:pPr>
        <w:rPr>
          <w:rFonts w:cs="Times New Roman"/>
          <w:b/>
          <w:bCs/>
          <w:szCs w:val="24"/>
        </w:rPr>
      </w:pPr>
    </w:p>
    <w:p w14:paraId="11F93C08" w14:textId="77777777" w:rsidR="00A85428" w:rsidRDefault="00A85428" w:rsidP="00A85428">
      <w:pPr>
        <w:rPr>
          <w:rFonts w:cs="Times New Roman"/>
          <w:b/>
          <w:bCs/>
          <w:szCs w:val="24"/>
        </w:rPr>
      </w:pPr>
    </w:p>
    <w:p w14:paraId="2180B47B" w14:textId="77777777" w:rsidR="00A85428" w:rsidRDefault="00A85428" w:rsidP="00A85428">
      <w:pPr>
        <w:rPr>
          <w:rFonts w:cs="Times New Roman"/>
          <w:b/>
          <w:bCs/>
          <w:szCs w:val="24"/>
        </w:rPr>
      </w:pPr>
    </w:p>
    <w:p w14:paraId="6198A7A7" w14:textId="77777777" w:rsidR="00A85428" w:rsidRDefault="00A85428" w:rsidP="00A85428">
      <w:pPr>
        <w:rPr>
          <w:rFonts w:cs="Times New Roman"/>
          <w:b/>
          <w:bCs/>
          <w:szCs w:val="24"/>
        </w:rPr>
      </w:pPr>
    </w:p>
    <w:p w14:paraId="38648AC2" w14:textId="77777777" w:rsidR="00A85428" w:rsidRDefault="00A85428" w:rsidP="00A85428">
      <w:pPr>
        <w:rPr>
          <w:rFonts w:cs="Times New Roman"/>
          <w:b/>
          <w:bCs/>
          <w:szCs w:val="24"/>
        </w:rPr>
      </w:pPr>
    </w:p>
    <w:p w14:paraId="042C0D32" w14:textId="77777777" w:rsidR="00A85428" w:rsidRDefault="00A85428" w:rsidP="00A85428">
      <w:pPr>
        <w:rPr>
          <w:rFonts w:cs="Times New Roman"/>
          <w:b/>
          <w:bCs/>
          <w:szCs w:val="24"/>
        </w:rPr>
      </w:pPr>
    </w:p>
    <w:p w14:paraId="2902ED0A" w14:textId="77777777" w:rsidR="00A85428" w:rsidRDefault="00A85428" w:rsidP="00A85428">
      <w:pPr>
        <w:rPr>
          <w:rFonts w:cs="Times New Roman"/>
          <w:b/>
          <w:bCs/>
          <w:szCs w:val="24"/>
        </w:rPr>
      </w:pPr>
    </w:p>
    <w:p w14:paraId="704C631C" w14:textId="77777777" w:rsidR="00A85428" w:rsidRDefault="00A85428" w:rsidP="00A85428">
      <w:pPr>
        <w:rPr>
          <w:rFonts w:cs="Times New Roman"/>
          <w:b/>
          <w:bCs/>
          <w:szCs w:val="24"/>
        </w:rPr>
      </w:pPr>
    </w:p>
    <w:p w14:paraId="3D831824" w14:textId="77777777" w:rsidR="00A85428" w:rsidRDefault="00A85428" w:rsidP="00A85428">
      <w:pPr>
        <w:rPr>
          <w:rFonts w:cs="Times New Roman"/>
          <w:b/>
          <w:bCs/>
          <w:szCs w:val="24"/>
        </w:rPr>
      </w:pPr>
    </w:p>
    <w:p w14:paraId="6941F75D" w14:textId="77777777" w:rsidR="00A85428" w:rsidRDefault="00A85428" w:rsidP="00A85428">
      <w:pPr>
        <w:rPr>
          <w:rFonts w:cs="Times New Roman"/>
          <w:b/>
          <w:bCs/>
          <w:szCs w:val="24"/>
        </w:rPr>
      </w:pPr>
    </w:p>
    <w:p w14:paraId="44575506" w14:textId="77777777" w:rsidR="00A817FD" w:rsidRDefault="00A817FD" w:rsidP="00A85428">
      <w:pPr>
        <w:rPr>
          <w:rFonts w:cs="Times New Roman"/>
          <w:b/>
          <w:bCs/>
          <w:szCs w:val="24"/>
        </w:rPr>
        <w:sectPr w:rsidR="00A817FD" w:rsidSect="00A817FD">
          <w:pgSz w:w="12240" w:h="15840"/>
          <w:pgMar w:top="2880" w:right="2160" w:bottom="1800" w:left="2160" w:header="720" w:footer="720" w:gutter="0"/>
          <w:cols w:space="720"/>
          <w:docGrid w:linePitch="381"/>
        </w:sectPr>
      </w:pPr>
    </w:p>
    <w:p w14:paraId="71E1B200" w14:textId="02CD7ACF" w:rsidR="00A85428" w:rsidRPr="001D5F54" w:rsidRDefault="005C4613" w:rsidP="00A85428">
      <w:pPr>
        <w:rPr>
          <w:rFonts w:cs="Times New Roman"/>
          <w:b/>
          <w:bCs/>
          <w:sz w:val="20"/>
          <w:szCs w:val="20"/>
        </w:rPr>
      </w:pPr>
      <w:r w:rsidRPr="001D5F54">
        <w:rPr>
          <w:rFonts w:cs="Times New Roman"/>
          <w:b/>
          <w:bCs/>
          <w:sz w:val="20"/>
          <w:szCs w:val="20"/>
        </w:rPr>
        <w:t xml:space="preserve">Section A: </w:t>
      </w:r>
      <w:r w:rsidR="00A85428" w:rsidRPr="001D5F54">
        <w:rPr>
          <w:rFonts w:cs="Times New Roman"/>
          <w:b/>
          <w:bCs/>
          <w:sz w:val="20"/>
          <w:szCs w:val="20"/>
        </w:rPr>
        <w:t>Demographic information</w:t>
      </w:r>
    </w:p>
    <w:p w14:paraId="7A76961E" w14:textId="77777777" w:rsidR="00A85428" w:rsidRPr="00C56900" w:rsidRDefault="00A85428" w:rsidP="00A85428">
      <w:pPr>
        <w:rPr>
          <w:rFonts w:ascii="Sakkal Majalla" w:hAnsi="Sakkal Majalla" w:cs="Sakkal Majalla"/>
          <w:b/>
          <w:bCs/>
          <w:szCs w:val="24"/>
          <w:rtl/>
          <w:lang w:bidi="ar-AE"/>
        </w:rPr>
      </w:pPr>
    </w:p>
    <w:tbl>
      <w:tblPr>
        <w:tblStyle w:val="TableGrid"/>
        <w:tblW w:w="0" w:type="auto"/>
        <w:tblLook w:val="04A0" w:firstRow="1" w:lastRow="0" w:firstColumn="1" w:lastColumn="0" w:noHBand="0" w:noVBand="1"/>
      </w:tblPr>
      <w:tblGrid>
        <w:gridCol w:w="510"/>
        <w:gridCol w:w="7400"/>
      </w:tblGrid>
      <w:tr w:rsidR="00A85428" w:rsidRPr="00A85428" w14:paraId="046CD3CB" w14:textId="77777777" w:rsidTr="00EB46F7">
        <w:tc>
          <w:tcPr>
            <w:tcW w:w="535" w:type="dxa"/>
          </w:tcPr>
          <w:p w14:paraId="326A014C" w14:textId="77777777" w:rsidR="00A85428" w:rsidRPr="00A85428" w:rsidRDefault="00A85428" w:rsidP="00EB46F7">
            <w:pPr>
              <w:pStyle w:val="Default"/>
              <w:jc w:val="both"/>
              <w:rPr>
                <w:rFonts w:asciiTheme="majorBidi" w:hAnsiTheme="majorBidi" w:cstheme="majorBidi"/>
                <w:i/>
                <w:iCs/>
                <w:sz w:val="20"/>
                <w:szCs w:val="20"/>
              </w:rPr>
            </w:pPr>
            <w:r w:rsidRPr="00A85428">
              <w:rPr>
                <w:rFonts w:asciiTheme="majorBidi" w:hAnsiTheme="majorBidi" w:cstheme="majorBidi"/>
                <w:i/>
                <w:iCs/>
                <w:sz w:val="20"/>
                <w:szCs w:val="20"/>
              </w:rPr>
              <w:t>1</w:t>
            </w:r>
          </w:p>
        </w:tc>
        <w:tc>
          <w:tcPr>
            <w:tcW w:w="7830" w:type="dxa"/>
          </w:tcPr>
          <w:p w14:paraId="27C098F4" w14:textId="77777777" w:rsidR="00A85428" w:rsidRPr="00A85428" w:rsidRDefault="00A85428" w:rsidP="00EB46F7">
            <w:pPr>
              <w:pStyle w:val="Default"/>
              <w:jc w:val="both"/>
              <w:rPr>
                <w:rFonts w:asciiTheme="majorBidi" w:hAnsiTheme="majorBidi" w:cstheme="majorBidi"/>
                <w:sz w:val="20"/>
                <w:szCs w:val="20"/>
              </w:rPr>
            </w:pPr>
            <w:r w:rsidRPr="00A85428">
              <w:rPr>
                <w:rFonts w:asciiTheme="majorBidi" w:hAnsiTheme="majorBidi" w:cstheme="majorBidi"/>
                <w:sz w:val="20"/>
                <w:szCs w:val="20"/>
              </w:rPr>
              <w:t>Gender</w:t>
            </w:r>
          </w:p>
          <w:p w14:paraId="22B8820A" w14:textId="77777777" w:rsidR="00A85428" w:rsidRPr="00A85428" w:rsidRDefault="00A85428" w:rsidP="00A85428">
            <w:pPr>
              <w:pStyle w:val="Default"/>
              <w:widowControl/>
              <w:numPr>
                <w:ilvl w:val="0"/>
                <w:numId w:val="34"/>
              </w:numPr>
              <w:jc w:val="both"/>
              <w:rPr>
                <w:rFonts w:asciiTheme="majorBidi" w:hAnsiTheme="majorBidi" w:cstheme="majorBidi"/>
                <w:sz w:val="20"/>
                <w:szCs w:val="20"/>
              </w:rPr>
            </w:pPr>
            <w:r w:rsidRPr="00A85428">
              <w:rPr>
                <w:rFonts w:asciiTheme="majorBidi" w:hAnsiTheme="majorBidi" w:cstheme="majorBidi"/>
                <w:sz w:val="20"/>
                <w:szCs w:val="20"/>
              </w:rPr>
              <w:t xml:space="preserve">Male </w:t>
            </w:r>
            <w:r w:rsidRPr="00A85428">
              <w:rPr>
                <w:rFonts w:asciiTheme="majorBidi" w:hAnsiTheme="majorBidi" w:cstheme="majorBidi"/>
                <w:sz w:val="20"/>
                <w:szCs w:val="20"/>
              </w:rPr>
              <w:tab/>
            </w:r>
            <w:r w:rsidRPr="00A85428">
              <w:rPr>
                <w:rFonts w:asciiTheme="majorBidi" w:hAnsiTheme="majorBidi" w:cstheme="majorBidi"/>
                <w:sz w:val="20"/>
                <w:szCs w:val="20"/>
                <w:rtl/>
              </w:rPr>
              <w:t xml:space="preserve">2 </w:t>
            </w:r>
            <w:r w:rsidRPr="00A85428">
              <w:rPr>
                <w:rFonts w:asciiTheme="majorBidi" w:hAnsiTheme="majorBidi" w:cstheme="majorBidi"/>
                <w:sz w:val="20"/>
                <w:szCs w:val="20"/>
              </w:rPr>
              <w:t xml:space="preserve">Female </w:t>
            </w:r>
          </w:p>
          <w:p w14:paraId="1B61725B" w14:textId="77777777" w:rsidR="00A85428" w:rsidRPr="00A85428" w:rsidRDefault="00A85428" w:rsidP="00EB46F7">
            <w:pPr>
              <w:pStyle w:val="Default"/>
              <w:jc w:val="both"/>
              <w:rPr>
                <w:rFonts w:asciiTheme="majorBidi" w:hAnsiTheme="majorBidi" w:cstheme="majorBidi"/>
                <w:sz w:val="20"/>
                <w:szCs w:val="20"/>
              </w:rPr>
            </w:pPr>
          </w:p>
        </w:tc>
      </w:tr>
      <w:tr w:rsidR="00A85428" w:rsidRPr="00A85428" w14:paraId="53ACD360" w14:textId="77777777" w:rsidTr="00EB46F7">
        <w:tc>
          <w:tcPr>
            <w:tcW w:w="535" w:type="dxa"/>
          </w:tcPr>
          <w:p w14:paraId="5E05D834" w14:textId="77777777" w:rsidR="00A85428" w:rsidRPr="00A85428" w:rsidRDefault="00A85428" w:rsidP="00EB46F7">
            <w:pPr>
              <w:pStyle w:val="Default"/>
              <w:jc w:val="both"/>
              <w:rPr>
                <w:rFonts w:asciiTheme="majorBidi" w:hAnsiTheme="majorBidi" w:cstheme="majorBidi"/>
                <w:i/>
                <w:iCs/>
                <w:sz w:val="20"/>
                <w:szCs w:val="20"/>
              </w:rPr>
            </w:pPr>
            <w:r w:rsidRPr="00A85428">
              <w:rPr>
                <w:rFonts w:asciiTheme="majorBidi" w:hAnsiTheme="majorBidi" w:cstheme="majorBidi"/>
                <w:i/>
                <w:iCs/>
                <w:sz w:val="20"/>
                <w:szCs w:val="20"/>
              </w:rPr>
              <w:t>2</w:t>
            </w:r>
          </w:p>
        </w:tc>
        <w:tc>
          <w:tcPr>
            <w:tcW w:w="7830" w:type="dxa"/>
          </w:tcPr>
          <w:p w14:paraId="21442B58" w14:textId="77777777" w:rsidR="00A85428" w:rsidRPr="00A85428" w:rsidRDefault="00A85428" w:rsidP="00EB46F7">
            <w:pPr>
              <w:pStyle w:val="Default"/>
              <w:jc w:val="both"/>
              <w:rPr>
                <w:rFonts w:asciiTheme="majorBidi" w:hAnsiTheme="majorBidi" w:cstheme="majorBidi"/>
                <w:sz w:val="20"/>
                <w:szCs w:val="20"/>
              </w:rPr>
            </w:pPr>
            <w:r w:rsidRPr="00A85428">
              <w:rPr>
                <w:rFonts w:asciiTheme="majorBidi" w:hAnsiTheme="majorBidi" w:cstheme="majorBidi"/>
                <w:sz w:val="20"/>
                <w:szCs w:val="20"/>
              </w:rPr>
              <w:t>How old are you?</w:t>
            </w:r>
          </w:p>
          <w:p w14:paraId="4F3F8A63" w14:textId="77777777" w:rsidR="00A85428" w:rsidRPr="00A85428" w:rsidRDefault="00A85428" w:rsidP="00EB46F7">
            <w:pPr>
              <w:pStyle w:val="Default"/>
              <w:spacing w:after="6"/>
              <w:ind w:left="1080" w:firstLine="60"/>
              <w:jc w:val="both"/>
              <w:rPr>
                <w:rFonts w:asciiTheme="majorBidi" w:hAnsiTheme="majorBidi" w:cstheme="majorBidi"/>
                <w:sz w:val="20"/>
                <w:szCs w:val="20"/>
              </w:rPr>
            </w:pPr>
            <w:r w:rsidRPr="00A85428">
              <w:rPr>
                <w:rFonts w:asciiTheme="majorBidi" w:hAnsiTheme="majorBidi" w:cstheme="majorBidi"/>
                <w:sz w:val="20"/>
                <w:szCs w:val="20"/>
              </w:rPr>
              <w:t>………………………………….</w:t>
            </w:r>
          </w:p>
        </w:tc>
      </w:tr>
      <w:tr w:rsidR="00A85428" w:rsidRPr="00A85428" w14:paraId="19280490" w14:textId="77777777" w:rsidTr="00EB46F7">
        <w:trPr>
          <w:trHeight w:val="1745"/>
        </w:trPr>
        <w:tc>
          <w:tcPr>
            <w:tcW w:w="535" w:type="dxa"/>
          </w:tcPr>
          <w:p w14:paraId="2835FACB" w14:textId="77777777" w:rsidR="00A85428" w:rsidRPr="00A85428" w:rsidRDefault="00A85428" w:rsidP="00EB46F7">
            <w:pPr>
              <w:pStyle w:val="Default"/>
              <w:jc w:val="both"/>
              <w:rPr>
                <w:rFonts w:asciiTheme="majorBidi" w:hAnsiTheme="majorBidi" w:cstheme="majorBidi"/>
                <w:i/>
                <w:iCs/>
                <w:sz w:val="20"/>
                <w:szCs w:val="20"/>
              </w:rPr>
            </w:pPr>
            <w:r w:rsidRPr="00A85428">
              <w:rPr>
                <w:rFonts w:asciiTheme="majorBidi" w:hAnsiTheme="majorBidi" w:cstheme="majorBidi"/>
                <w:i/>
                <w:iCs/>
                <w:sz w:val="20"/>
                <w:szCs w:val="20"/>
              </w:rPr>
              <w:t>3</w:t>
            </w:r>
          </w:p>
        </w:tc>
        <w:tc>
          <w:tcPr>
            <w:tcW w:w="7830" w:type="dxa"/>
          </w:tcPr>
          <w:p w14:paraId="39E30D52" w14:textId="77777777" w:rsidR="00A85428" w:rsidRPr="00A85428" w:rsidRDefault="00A85428" w:rsidP="00EB46F7">
            <w:pPr>
              <w:pStyle w:val="Default"/>
              <w:jc w:val="both"/>
              <w:rPr>
                <w:rFonts w:asciiTheme="majorBidi" w:hAnsiTheme="majorBidi" w:cstheme="majorBidi"/>
                <w:sz w:val="20"/>
                <w:szCs w:val="20"/>
              </w:rPr>
            </w:pPr>
            <w:r w:rsidRPr="00A85428">
              <w:rPr>
                <w:rFonts w:asciiTheme="majorBidi" w:hAnsiTheme="majorBidi" w:cstheme="majorBidi"/>
                <w:sz w:val="20"/>
                <w:szCs w:val="20"/>
              </w:rPr>
              <w:t>What is the function of your job?</w:t>
            </w:r>
          </w:p>
          <w:p w14:paraId="5682D8E1" w14:textId="77777777" w:rsidR="00A85428" w:rsidRPr="00A85428" w:rsidRDefault="00A85428" w:rsidP="00A85428">
            <w:pPr>
              <w:pStyle w:val="Default"/>
              <w:widowControl/>
              <w:numPr>
                <w:ilvl w:val="0"/>
                <w:numId w:val="35"/>
              </w:numPr>
              <w:spacing w:after="6"/>
              <w:jc w:val="both"/>
              <w:rPr>
                <w:rFonts w:asciiTheme="majorBidi" w:hAnsiTheme="majorBidi" w:cstheme="majorBidi"/>
                <w:sz w:val="20"/>
                <w:szCs w:val="20"/>
              </w:rPr>
            </w:pPr>
            <w:r w:rsidRPr="00A85428">
              <w:rPr>
                <w:rFonts w:asciiTheme="majorBidi" w:hAnsiTheme="majorBidi" w:cstheme="majorBidi"/>
                <w:sz w:val="20"/>
                <w:szCs w:val="20"/>
              </w:rPr>
              <w:t> Technical</w:t>
            </w:r>
            <w:r w:rsidRPr="00A85428">
              <w:rPr>
                <w:rFonts w:asciiTheme="majorBidi" w:hAnsiTheme="majorBidi" w:cstheme="majorBidi"/>
                <w:sz w:val="20"/>
                <w:szCs w:val="20"/>
              </w:rPr>
              <w:tab/>
            </w:r>
          </w:p>
          <w:p w14:paraId="74C724A0" w14:textId="77777777" w:rsidR="00A85428" w:rsidRPr="00A85428" w:rsidRDefault="00A85428" w:rsidP="00A85428">
            <w:pPr>
              <w:pStyle w:val="Default"/>
              <w:widowControl/>
              <w:numPr>
                <w:ilvl w:val="0"/>
                <w:numId w:val="35"/>
              </w:numPr>
              <w:spacing w:after="6"/>
              <w:jc w:val="both"/>
              <w:rPr>
                <w:rFonts w:asciiTheme="majorBidi" w:hAnsiTheme="majorBidi" w:cstheme="majorBidi"/>
                <w:sz w:val="20"/>
                <w:szCs w:val="20"/>
              </w:rPr>
            </w:pPr>
            <w:r w:rsidRPr="00A85428">
              <w:rPr>
                <w:rFonts w:asciiTheme="majorBidi" w:hAnsiTheme="majorBidi" w:cstheme="majorBidi"/>
                <w:sz w:val="20"/>
                <w:szCs w:val="20"/>
              </w:rPr>
              <w:t> Administrative</w:t>
            </w:r>
          </w:p>
          <w:p w14:paraId="16D4F5C1" w14:textId="77777777" w:rsidR="00A85428" w:rsidRPr="00A85428" w:rsidRDefault="00A85428" w:rsidP="00A85428">
            <w:pPr>
              <w:pStyle w:val="Default"/>
              <w:widowControl/>
              <w:numPr>
                <w:ilvl w:val="0"/>
                <w:numId w:val="35"/>
              </w:numPr>
              <w:spacing w:after="6"/>
              <w:jc w:val="both"/>
              <w:rPr>
                <w:rFonts w:asciiTheme="majorBidi" w:hAnsiTheme="majorBidi" w:cstheme="majorBidi"/>
                <w:sz w:val="20"/>
                <w:szCs w:val="20"/>
              </w:rPr>
            </w:pPr>
            <w:r w:rsidRPr="00A85428">
              <w:rPr>
                <w:rFonts w:asciiTheme="majorBidi" w:hAnsiTheme="majorBidi" w:cstheme="majorBidi"/>
                <w:sz w:val="20"/>
                <w:szCs w:val="20"/>
              </w:rPr>
              <w:t> Operational</w:t>
            </w:r>
            <w:r w:rsidRPr="00A85428">
              <w:rPr>
                <w:rFonts w:asciiTheme="majorBidi" w:hAnsiTheme="majorBidi" w:cstheme="majorBidi"/>
                <w:sz w:val="20"/>
                <w:szCs w:val="20"/>
              </w:rPr>
              <w:tab/>
              <w:t>(Field Work)</w:t>
            </w:r>
          </w:p>
          <w:p w14:paraId="02E4A8AF" w14:textId="77777777" w:rsidR="00A85428" w:rsidRPr="00A85428" w:rsidRDefault="00A85428" w:rsidP="00A85428">
            <w:pPr>
              <w:pStyle w:val="Default"/>
              <w:widowControl/>
              <w:numPr>
                <w:ilvl w:val="0"/>
                <w:numId w:val="35"/>
              </w:numPr>
              <w:jc w:val="both"/>
              <w:rPr>
                <w:rFonts w:asciiTheme="majorBidi" w:hAnsiTheme="majorBidi" w:cstheme="majorBidi"/>
                <w:sz w:val="20"/>
                <w:szCs w:val="20"/>
              </w:rPr>
            </w:pPr>
            <w:r w:rsidRPr="00A85428">
              <w:rPr>
                <w:rFonts w:asciiTheme="majorBidi" w:hAnsiTheme="majorBidi" w:cstheme="majorBidi"/>
                <w:sz w:val="20"/>
                <w:szCs w:val="20"/>
              </w:rPr>
              <w:t>Others (Please specify) ……………………….</w:t>
            </w:r>
          </w:p>
        </w:tc>
      </w:tr>
      <w:tr w:rsidR="00A85428" w:rsidRPr="00A85428" w14:paraId="0874192C" w14:textId="77777777" w:rsidTr="00EB46F7">
        <w:tc>
          <w:tcPr>
            <w:tcW w:w="535" w:type="dxa"/>
          </w:tcPr>
          <w:p w14:paraId="2F43CAA1" w14:textId="77777777" w:rsidR="00A85428" w:rsidRPr="00A85428" w:rsidRDefault="00A85428" w:rsidP="00EB46F7">
            <w:pPr>
              <w:pStyle w:val="Default"/>
              <w:jc w:val="both"/>
              <w:rPr>
                <w:rFonts w:asciiTheme="majorBidi" w:hAnsiTheme="majorBidi" w:cstheme="majorBidi"/>
                <w:i/>
                <w:iCs/>
                <w:sz w:val="20"/>
                <w:szCs w:val="20"/>
              </w:rPr>
            </w:pPr>
            <w:r w:rsidRPr="00A85428">
              <w:rPr>
                <w:rFonts w:asciiTheme="majorBidi" w:hAnsiTheme="majorBidi" w:cstheme="majorBidi"/>
                <w:i/>
                <w:iCs/>
                <w:sz w:val="20"/>
                <w:szCs w:val="20"/>
              </w:rPr>
              <w:t>4</w:t>
            </w:r>
          </w:p>
        </w:tc>
        <w:tc>
          <w:tcPr>
            <w:tcW w:w="7830" w:type="dxa"/>
          </w:tcPr>
          <w:p w14:paraId="56C14373" w14:textId="77777777" w:rsidR="00A85428" w:rsidRPr="00A85428" w:rsidRDefault="00A85428" w:rsidP="00EB46F7">
            <w:pPr>
              <w:pStyle w:val="Default"/>
              <w:jc w:val="both"/>
              <w:rPr>
                <w:rFonts w:asciiTheme="majorBidi" w:hAnsiTheme="majorBidi" w:cstheme="majorBidi"/>
                <w:sz w:val="20"/>
                <w:szCs w:val="20"/>
              </w:rPr>
            </w:pPr>
            <w:r w:rsidRPr="00A85428">
              <w:rPr>
                <w:rFonts w:asciiTheme="majorBidi" w:hAnsiTheme="majorBidi" w:cstheme="majorBidi"/>
                <w:sz w:val="20"/>
                <w:szCs w:val="20"/>
              </w:rPr>
              <w:t>Your highest level of education</w:t>
            </w:r>
          </w:p>
          <w:p w14:paraId="4F457F1F" w14:textId="77777777" w:rsidR="00A85428" w:rsidRPr="00A85428" w:rsidRDefault="00A85428" w:rsidP="00A85428">
            <w:pPr>
              <w:pStyle w:val="Default"/>
              <w:widowControl/>
              <w:numPr>
                <w:ilvl w:val="0"/>
                <w:numId w:val="36"/>
              </w:numPr>
              <w:spacing w:after="6"/>
              <w:jc w:val="both"/>
              <w:rPr>
                <w:rFonts w:asciiTheme="majorBidi" w:hAnsiTheme="majorBidi" w:cstheme="majorBidi"/>
                <w:sz w:val="20"/>
                <w:szCs w:val="20"/>
              </w:rPr>
            </w:pPr>
            <w:r w:rsidRPr="00A85428">
              <w:rPr>
                <w:rFonts w:asciiTheme="majorBidi" w:hAnsiTheme="majorBidi" w:cstheme="majorBidi"/>
                <w:sz w:val="20"/>
                <w:szCs w:val="20"/>
              </w:rPr>
              <w:t xml:space="preserve"> Below High School </w:t>
            </w:r>
          </w:p>
          <w:p w14:paraId="382ABB21" w14:textId="77777777" w:rsidR="00A85428" w:rsidRPr="00A85428" w:rsidRDefault="00A85428" w:rsidP="00A85428">
            <w:pPr>
              <w:pStyle w:val="Default"/>
              <w:widowControl/>
              <w:numPr>
                <w:ilvl w:val="0"/>
                <w:numId w:val="36"/>
              </w:numPr>
              <w:spacing w:after="6"/>
              <w:jc w:val="both"/>
              <w:rPr>
                <w:rFonts w:asciiTheme="majorBidi" w:hAnsiTheme="majorBidi" w:cstheme="majorBidi"/>
                <w:sz w:val="20"/>
                <w:szCs w:val="20"/>
              </w:rPr>
            </w:pPr>
            <w:r w:rsidRPr="00A85428">
              <w:rPr>
                <w:rFonts w:asciiTheme="majorBidi" w:hAnsiTheme="majorBidi" w:cstheme="majorBidi"/>
                <w:sz w:val="20"/>
                <w:szCs w:val="20"/>
              </w:rPr>
              <w:t xml:space="preserve"> High School </w:t>
            </w:r>
          </w:p>
          <w:p w14:paraId="5A59A5EC" w14:textId="77777777" w:rsidR="00A85428" w:rsidRPr="00A85428" w:rsidRDefault="00A85428" w:rsidP="00A85428">
            <w:pPr>
              <w:pStyle w:val="Default"/>
              <w:widowControl/>
              <w:numPr>
                <w:ilvl w:val="0"/>
                <w:numId w:val="36"/>
              </w:numPr>
              <w:spacing w:after="6"/>
              <w:jc w:val="both"/>
              <w:rPr>
                <w:rFonts w:asciiTheme="majorBidi" w:hAnsiTheme="majorBidi" w:cstheme="majorBidi"/>
                <w:sz w:val="20"/>
                <w:szCs w:val="20"/>
              </w:rPr>
            </w:pPr>
            <w:r w:rsidRPr="00A85428">
              <w:rPr>
                <w:rFonts w:asciiTheme="majorBidi" w:hAnsiTheme="majorBidi" w:cstheme="majorBidi"/>
                <w:sz w:val="20"/>
                <w:szCs w:val="20"/>
              </w:rPr>
              <w:t> Higher Diploma/ Bachelor</w:t>
            </w:r>
          </w:p>
          <w:p w14:paraId="3C3F2CC5" w14:textId="77777777" w:rsidR="00A85428" w:rsidRPr="00A85428" w:rsidRDefault="00A85428" w:rsidP="00A85428">
            <w:pPr>
              <w:pStyle w:val="Default"/>
              <w:widowControl/>
              <w:numPr>
                <w:ilvl w:val="0"/>
                <w:numId w:val="36"/>
              </w:numPr>
              <w:spacing w:after="6"/>
              <w:jc w:val="both"/>
              <w:rPr>
                <w:rFonts w:asciiTheme="majorBidi" w:hAnsiTheme="majorBidi" w:cstheme="majorBidi"/>
                <w:sz w:val="20"/>
                <w:szCs w:val="20"/>
              </w:rPr>
            </w:pPr>
            <w:r w:rsidRPr="00A85428">
              <w:rPr>
                <w:rFonts w:asciiTheme="majorBidi" w:hAnsiTheme="majorBidi" w:cstheme="majorBidi"/>
                <w:sz w:val="20"/>
                <w:szCs w:val="20"/>
              </w:rPr>
              <w:t> Master Degree and above</w:t>
            </w:r>
          </w:p>
          <w:p w14:paraId="5EA559D5" w14:textId="77777777" w:rsidR="00A85428" w:rsidRPr="00A85428" w:rsidRDefault="00A85428" w:rsidP="00EB46F7">
            <w:pPr>
              <w:rPr>
                <w:rFonts w:asciiTheme="majorBidi" w:hAnsiTheme="majorBidi" w:cstheme="majorBidi"/>
                <w:b/>
                <w:bCs/>
                <w:sz w:val="20"/>
                <w:szCs w:val="20"/>
              </w:rPr>
            </w:pPr>
          </w:p>
        </w:tc>
      </w:tr>
      <w:tr w:rsidR="00A85428" w:rsidRPr="00A85428" w14:paraId="0891B229" w14:textId="77777777" w:rsidTr="00EB46F7">
        <w:tc>
          <w:tcPr>
            <w:tcW w:w="535" w:type="dxa"/>
          </w:tcPr>
          <w:p w14:paraId="68F669D3" w14:textId="77777777" w:rsidR="00A85428" w:rsidRPr="00A85428" w:rsidRDefault="00A85428" w:rsidP="00EB46F7">
            <w:pPr>
              <w:pStyle w:val="Default"/>
              <w:jc w:val="both"/>
              <w:rPr>
                <w:rFonts w:asciiTheme="majorBidi" w:hAnsiTheme="majorBidi" w:cstheme="majorBidi"/>
                <w:i/>
                <w:iCs/>
                <w:sz w:val="20"/>
                <w:szCs w:val="20"/>
              </w:rPr>
            </w:pPr>
            <w:r w:rsidRPr="00A85428">
              <w:rPr>
                <w:rFonts w:asciiTheme="majorBidi" w:hAnsiTheme="majorBidi" w:cstheme="majorBidi"/>
                <w:i/>
                <w:iCs/>
                <w:sz w:val="20"/>
                <w:szCs w:val="20"/>
              </w:rPr>
              <w:t>5</w:t>
            </w:r>
          </w:p>
        </w:tc>
        <w:tc>
          <w:tcPr>
            <w:tcW w:w="7830" w:type="dxa"/>
          </w:tcPr>
          <w:p w14:paraId="5046B05F" w14:textId="77777777" w:rsidR="00A85428" w:rsidRPr="00A85428" w:rsidRDefault="00A85428" w:rsidP="00EB46F7">
            <w:pPr>
              <w:pStyle w:val="Default"/>
              <w:jc w:val="both"/>
              <w:rPr>
                <w:rFonts w:asciiTheme="majorBidi" w:hAnsiTheme="majorBidi" w:cstheme="majorBidi"/>
                <w:sz w:val="20"/>
                <w:szCs w:val="20"/>
              </w:rPr>
            </w:pPr>
            <w:r w:rsidRPr="00A85428">
              <w:rPr>
                <w:rFonts w:asciiTheme="majorBidi" w:hAnsiTheme="majorBidi" w:cstheme="majorBidi"/>
                <w:sz w:val="20"/>
                <w:szCs w:val="20"/>
              </w:rPr>
              <w:t>Job type:</w:t>
            </w:r>
          </w:p>
          <w:p w14:paraId="42E91BDB" w14:textId="77777777" w:rsidR="00A85428" w:rsidRPr="00A85428" w:rsidRDefault="00A85428" w:rsidP="00A85428">
            <w:pPr>
              <w:pStyle w:val="Default"/>
              <w:widowControl/>
              <w:numPr>
                <w:ilvl w:val="0"/>
                <w:numId w:val="37"/>
              </w:numPr>
              <w:spacing w:after="6"/>
              <w:jc w:val="both"/>
              <w:rPr>
                <w:rFonts w:asciiTheme="majorBidi" w:hAnsiTheme="majorBidi" w:cstheme="majorBidi"/>
                <w:sz w:val="20"/>
                <w:szCs w:val="20"/>
              </w:rPr>
            </w:pPr>
            <w:r w:rsidRPr="00A85428">
              <w:rPr>
                <w:rFonts w:asciiTheme="majorBidi" w:hAnsiTheme="majorBidi" w:cstheme="majorBidi"/>
                <w:sz w:val="20"/>
                <w:szCs w:val="20"/>
              </w:rPr>
              <w:t xml:space="preserve">Police officer </w:t>
            </w:r>
          </w:p>
          <w:p w14:paraId="03DE7741" w14:textId="77777777" w:rsidR="00A85428" w:rsidRPr="00A85428" w:rsidRDefault="00A85428" w:rsidP="00A85428">
            <w:pPr>
              <w:pStyle w:val="Default"/>
              <w:widowControl/>
              <w:numPr>
                <w:ilvl w:val="0"/>
                <w:numId w:val="37"/>
              </w:numPr>
              <w:spacing w:after="6"/>
              <w:jc w:val="both"/>
              <w:rPr>
                <w:rFonts w:asciiTheme="majorBidi" w:hAnsiTheme="majorBidi" w:cstheme="majorBidi"/>
                <w:sz w:val="20"/>
                <w:szCs w:val="20"/>
              </w:rPr>
            </w:pPr>
            <w:r w:rsidRPr="00A85428">
              <w:rPr>
                <w:rFonts w:asciiTheme="majorBidi" w:hAnsiTheme="majorBidi" w:cstheme="majorBidi"/>
                <w:sz w:val="20"/>
                <w:szCs w:val="20"/>
              </w:rPr>
              <w:t>Civilian</w:t>
            </w:r>
          </w:p>
        </w:tc>
      </w:tr>
      <w:tr w:rsidR="00A85428" w:rsidRPr="00A85428" w14:paraId="0AC3335E" w14:textId="77777777" w:rsidTr="00EB46F7">
        <w:tc>
          <w:tcPr>
            <w:tcW w:w="535" w:type="dxa"/>
          </w:tcPr>
          <w:p w14:paraId="586C958D" w14:textId="77777777" w:rsidR="00A85428" w:rsidRPr="00A85428" w:rsidRDefault="00A85428" w:rsidP="00EB46F7">
            <w:pPr>
              <w:pStyle w:val="Default"/>
              <w:jc w:val="both"/>
              <w:rPr>
                <w:rFonts w:asciiTheme="majorBidi" w:hAnsiTheme="majorBidi" w:cstheme="majorBidi"/>
                <w:i/>
                <w:iCs/>
                <w:sz w:val="20"/>
                <w:szCs w:val="20"/>
              </w:rPr>
            </w:pPr>
            <w:r w:rsidRPr="00A85428">
              <w:rPr>
                <w:rFonts w:asciiTheme="majorBidi" w:hAnsiTheme="majorBidi" w:cstheme="majorBidi"/>
                <w:i/>
                <w:iCs/>
                <w:sz w:val="20"/>
                <w:szCs w:val="20"/>
              </w:rPr>
              <w:t>6</w:t>
            </w:r>
          </w:p>
        </w:tc>
        <w:tc>
          <w:tcPr>
            <w:tcW w:w="7830" w:type="dxa"/>
          </w:tcPr>
          <w:p w14:paraId="58B22713" w14:textId="77777777" w:rsidR="00A85428" w:rsidRPr="00A85428" w:rsidRDefault="00A85428" w:rsidP="00EB46F7">
            <w:pPr>
              <w:pStyle w:val="Default"/>
              <w:jc w:val="both"/>
              <w:rPr>
                <w:rFonts w:asciiTheme="majorBidi" w:hAnsiTheme="majorBidi" w:cstheme="majorBidi"/>
                <w:sz w:val="20"/>
                <w:szCs w:val="20"/>
              </w:rPr>
            </w:pPr>
            <w:r w:rsidRPr="00A85428">
              <w:rPr>
                <w:rFonts w:asciiTheme="majorBidi" w:hAnsiTheme="majorBidi" w:cstheme="majorBidi"/>
                <w:sz w:val="20"/>
                <w:szCs w:val="20"/>
              </w:rPr>
              <w:t>How many years of experience?</w:t>
            </w:r>
          </w:p>
          <w:p w14:paraId="4591F079" w14:textId="77777777" w:rsidR="00A85428" w:rsidRPr="00A85428" w:rsidRDefault="00A85428" w:rsidP="00EB46F7">
            <w:pPr>
              <w:pStyle w:val="Default"/>
              <w:jc w:val="both"/>
              <w:rPr>
                <w:rFonts w:asciiTheme="majorBidi" w:hAnsiTheme="majorBidi" w:cstheme="majorBidi"/>
                <w:sz w:val="20"/>
                <w:szCs w:val="20"/>
              </w:rPr>
            </w:pPr>
            <w:r w:rsidRPr="00A85428">
              <w:rPr>
                <w:rFonts w:asciiTheme="majorBidi" w:hAnsiTheme="majorBidi" w:cstheme="majorBidi"/>
                <w:sz w:val="20"/>
                <w:szCs w:val="20"/>
              </w:rPr>
              <w:t>………………………..</w:t>
            </w:r>
          </w:p>
        </w:tc>
      </w:tr>
      <w:tr w:rsidR="00A85428" w:rsidRPr="00A85428" w14:paraId="448A5F25" w14:textId="77777777" w:rsidTr="00EB46F7">
        <w:tc>
          <w:tcPr>
            <w:tcW w:w="535" w:type="dxa"/>
          </w:tcPr>
          <w:p w14:paraId="7D9655B7" w14:textId="77777777" w:rsidR="00A85428" w:rsidRPr="00A85428" w:rsidRDefault="00A85428" w:rsidP="00EB46F7">
            <w:pPr>
              <w:spacing w:line="360" w:lineRule="auto"/>
              <w:jc w:val="both"/>
              <w:rPr>
                <w:rFonts w:asciiTheme="majorBidi" w:hAnsiTheme="majorBidi" w:cstheme="majorBidi"/>
                <w:i/>
                <w:iCs/>
                <w:kern w:val="28"/>
                <w:sz w:val="20"/>
                <w:szCs w:val="20"/>
              </w:rPr>
            </w:pPr>
            <w:r w:rsidRPr="00A85428">
              <w:rPr>
                <w:rFonts w:asciiTheme="majorBidi" w:hAnsiTheme="majorBidi" w:cstheme="majorBidi"/>
                <w:i/>
                <w:iCs/>
                <w:kern w:val="28"/>
                <w:sz w:val="20"/>
                <w:szCs w:val="20"/>
              </w:rPr>
              <w:t>7</w:t>
            </w:r>
          </w:p>
        </w:tc>
        <w:tc>
          <w:tcPr>
            <w:tcW w:w="7830" w:type="dxa"/>
          </w:tcPr>
          <w:p w14:paraId="0B635302" w14:textId="77777777" w:rsidR="00A85428" w:rsidRPr="00A85428" w:rsidRDefault="00A85428" w:rsidP="00EB46F7">
            <w:pPr>
              <w:spacing w:line="360" w:lineRule="auto"/>
              <w:jc w:val="both"/>
              <w:rPr>
                <w:rFonts w:asciiTheme="majorBidi" w:hAnsiTheme="majorBidi" w:cstheme="majorBidi"/>
                <w:b/>
                <w:bCs/>
                <w:kern w:val="28"/>
                <w:sz w:val="20"/>
                <w:szCs w:val="20"/>
                <w:rtl/>
              </w:rPr>
            </w:pPr>
            <w:r w:rsidRPr="00A85428">
              <w:rPr>
                <w:rFonts w:asciiTheme="majorBidi" w:hAnsiTheme="majorBidi" w:cstheme="majorBidi"/>
                <w:b/>
                <w:bCs/>
                <w:kern w:val="28"/>
                <w:sz w:val="20"/>
                <w:szCs w:val="20"/>
              </w:rPr>
              <w:t>General Directorate:</w:t>
            </w:r>
          </w:p>
          <w:p w14:paraId="7C741B36" w14:textId="77777777" w:rsidR="00A85428" w:rsidRPr="00A85428" w:rsidRDefault="00A85428" w:rsidP="00EB46F7">
            <w:pPr>
              <w:spacing w:line="276" w:lineRule="auto"/>
              <w:jc w:val="both"/>
              <w:rPr>
                <w:rFonts w:asciiTheme="majorBidi" w:hAnsiTheme="majorBidi" w:cstheme="majorBidi"/>
                <w:b/>
                <w:bCs/>
                <w:kern w:val="28"/>
                <w:sz w:val="20"/>
                <w:szCs w:val="20"/>
              </w:rPr>
            </w:pPr>
            <w:r w:rsidRPr="00A85428">
              <w:rPr>
                <w:rFonts w:asciiTheme="majorBidi" w:hAnsiTheme="majorBidi" w:cstheme="majorBidi"/>
                <w:b/>
                <w:bCs/>
                <w:kern w:val="28"/>
                <w:sz w:val="20"/>
                <w:szCs w:val="20"/>
              </w:rPr>
              <w:sym w:font="Wingdings" w:char="F06F"/>
            </w:r>
            <w:r w:rsidRPr="00A85428">
              <w:rPr>
                <w:rFonts w:asciiTheme="majorBidi" w:hAnsiTheme="majorBidi" w:cstheme="majorBidi"/>
                <w:b/>
                <w:bCs/>
                <w:kern w:val="28"/>
                <w:sz w:val="20"/>
                <w:szCs w:val="20"/>
              </w:rPr>
              <w:t xml:space="preserve"> </w:t>
            </w:r>
            <w:r w:rsidRPr="00A85428">
              <w:rPr>
                <w:rFonts w:asciiTheme="majorBidi" w:eastAsiaTheme="minorEastAsia" w:hAnsiTheme="majorBidi" w:cstheme="majorBidi"/>
                <w:sz w:val="20"/>
                <w:szCs w:val="20"/>
              </w:rPr>
              <w:t xml:space="preserve">Commander -In-Chief departments </w:t>
            </w:r>
            <w:r w:rsidRPr="00A85428">
              <w:rPr>
                <w:rFonts w:asciiTheme="majorBidi" w:hAnsiTheme="majorBidi" w:cstheme="majorBidi"/>
                <w:b/>
                <w:bCs/>
                <w:kern w:val="28"/>
                <w:sz w:val="20"/>
                <w:szCs w:val="20"/>
              </w:rPr>
              <w:tab/>
            </w:r>
          </w:p>
          <w:p w14:paraId="0D44DC42" w14:textId="77777777" w:rsidR="00A85428" w:rsidRPr="00A85428" w:rsidRDefault="00A85428" w:rsidP="00EB46F7">
            <w:pPr>
              <w:spacing w:line="276" w:lineRule="auto"/>
              <w:jc w:val="both"/>
              <w:rPr>
                <w:rFonts w:asciiTheme="majorBidi" w:eastAsiaTheme="minorEastAsia" w:hAnsiTheme="majorBidi" w:cstheme="majorBidi"/>
                <w:sz w:val="20"/>
                <w:szCs w:val="20"/>
              </w:rPr>
            </w:pPr>
            <w:r w:rsidRPr="00A85428">
              <w:rPr>
                <w:rFonts w:asciiTheme="majorBidi" w:hAnsiTheme="majorBidi" w:cstheme="majorBidi"/>
                <w:b/>
                <w:bCs/>
                <w:kern w:val="28"/>
                <w:sz w:val="20"/>
                <w:szCs w:val="20"/>
              </w:rPr>
              <w:sym w:font="Wingdings" w:char="F06F"/>
            </w:r>
            <w:r w:rsidRPr="00A85428">
              <w:rPr>
                <w:rFonts w:asciiTheme="majorBidi" w:hAnsiTheme="majorBidi" w:cstheme="majorBidi"/>
                <w:b/>
                <w:bCs/>
                <w:kern w:val="28"/>
                <w:sz w:val="20"/>
                <w:szCs w:val="20"/>
              </w:rPr>
              <w:t xml:space="preserve"> </w:t>
            </w:r>
            <w:r w:rsidRPr="00A85428">
              <w:rPr>
                <w:rFonts w:asciiTheme="majorBidi" w:eastAsiaTheme="minorEastAsia" w:hAnsiTheme="majorBidi" w:cstheme="majorBidi"/>
                <w:sz w:val="20"/>
                <w:szCs w:val="20"/>
              </w:rPr>
              <w:t>General</w:t>
            </w:r>
            <w:r w:rsidRPr="00A85428">
              <w:rPr>
                <w:rFonts w:asciiTheme="majorBidi" w:hAnsiTheme="majorBidi" w:cstheme="majorBidi"/>
                <w:b/>
                <w:bCs/>
                <w:kern w:val="28"/>
                <w:sz w:val="20"/>
                <w:szCs w:val="20"/>
              </w:rPr>
              <w:t xml:space="preserve"> </w:t>
            </w:r>
            <w:r w:rsidRPr="00A85428">
              <w:rPr>
                <w:rFonts w:asciiTheme="majorBidi" w:eastAsiaTheme="minorEastAsia" w:hAnsiTheme="majorBidi" w:cstheme="majorBidi"/>
                <w:sz w:val="20"/>
                <w:szCs w:val="20"/>
              </w:rPr>
              <w:t>Headquarters Sector</w:t>
            </w:r>
          </w:p>
          <w:p w14:paraId="25C28A59" w14:textId="77777777" w:rsidR="00A85428" w:rsidRPr="00A85428" w:rsidRDefault="00A85428" w:rsidP="00EB46F7">
            <w:pPr>
              <w:spacing w:line="276" w:lineRule="auto"/>
              <w:jc w:val="both"/>
              <w:rPr>
                <w:rFonts w:asciiTheme="majorBidi" w:eastAsiaTheme="minorEastAsia" w:hAnsiTheme="majorBidi" w:cstheme="majorBidi"/>
                <w:sz w:val="20"/>
                <w:szCs w:val="20"/>
              </w:rPr>
            </w:pPr>
            <w:r w:rsidRPr="00A85428">
              <w:rPr>
                <w:rFonts w:asciiTheme="majorBidi" w:hAnsiTheme="majorBidi" w:cstheme="majorBidi"/>
                <w:b/>
                <w:bCs/>
                <w:kern w:val="28"/>
                <w:sz w:val="20"/>
                <w:szCs w:val="20"/>
              </w:rPr>
              <w:sym w:font="Wingdings" w:char="F06F"/>
            </w:r>
            <w:r w:rsidRPr="00A85428">
              <w:rPr>
                <w:rFonts w:asciiTheme="majorBidi" w:hAnsiTheme="majorBidi" w:cstheme="majorBidi"/>
                <w:b/>
                <w:bCs/>
                <w:kern w:val="28"/>
                <w:sz w:val="20"/>
                <w:szCs w:val="20"/>
              </w:rPr>
              <w:t xml:space="preserve"> </w:t>
            </w:r>
            <w:r w:rsidRPr="00A85428">
              <w:rPr>
                <w:rFonts w:asciiTheme="majorBidi" w:eastAsiaTheme="minorEastAsia" w:hAnsiTheme="majorBidi" w:cstheme="majorBidi"/>
                <w:sz w:val="20"/>
                <w:szCs w:val="20"/>
              </w:rPr>
              <w:t xml:space="preserve">Criminal Security Sector </w:t>
            </w:r>
          </w:p>
          <w:p w14:paraId="33423EEA" w14:textId="77777777" w:rsidR="00A85428" w:rsidRPr="00A85428" w:rsidRDefault="00A85428" w:rsidP="00EB46F7">
            <w:pPr>
              <w:spacing w:line="276" w:lineRule="auto"/>
              <w:jc w:val="both"/>
              <w:rPr>
                <w:rFonts w:asciiTheme="majorBidi" w:eastAsiaTheme="minorEastAsia" w:hAnsiTheme="majorBidi" w:cstheme="majorBidi"/>
                <w:sz w:val="20"/>
                <w:szCs w:val="20"/>
                <w:rtl/>
              </w:rPr>
            </w:pPr>
            <w:r w:rsidRPr="00A85428">
              <w:rPr>
                <w:rFonts w:asciiTheme="majorBidi" w:hAnsiTheme="majorBidi" w:cstheme="majorBidi"/>
                <w:b/>
                <w:bCs/>
                <w:kern w:val="28"/>
                <w:sz w:val="20"/>
                <w:szCs w:val="20"/>
              </w:rPr>
              <w:sym w:font="Wingdings" w:char="F06F"/>
            </w:r>
            <w:r w:rsidRPr="00A85428">
              <w:rPr>
                <w:rFonts w:asciiTheme="majorBidi" w:hAnsiTheme="majorBidi" w:cstheme="majorBidi"/>
                <w:b/>
                <w:bCs/>
                <w:kern w:val="28"/>
                <w:sz w:val="20"/>
                <w:szCs w:val="20"/>
              </w:rPr>
              <w:t xml:space="preserve"> </w:t>
            </w:r>
            <w:r w:rsidRPr="00A85428">
              <w:rPr>
                <w:rFonts w:asciiTheme="majorBidi" w:eastAsiaTheme="minorEastAsia" w:hAnsiTheme="majorBidi" w:cstheme="majorBidi"/>
                <w:sz w:val="20"/>
                <w:szCs w:val="20"/>
              </w:rPr>
              <w:t>Security and Ports Sector</w:t>
            </w:r>
          </w:p>
          <w:p w14:paraId="0F7474E5" w14:textId="77777777" w:rsidR="00A85428" w:rsidRPr="00A85428" w:rsidRDefault="00A85428" w:rsidP="00EB46F7">
            <w:pPr>
              <w:spacing w:line="276" w:lineRule="auto"/>
              <w:jc w:val="both"/>
              <w:rPr>
                <w:rFonts w:asciiTheme="majorBidi" w:eastAsiaTheme="minorEastAsia" w:hAnsiTheme="majorBidi" w:cstheme="majorBidi"/>
                <w:sz w:val="20"/>
                <w:szCs w:val="20"/>
              </w:rPr>
            </w:pPr>
            <w:r w:rsidRPr="00A85428">
              <w:rPr>
                <w:rFonts w:asciiTheme="majorBidi" w:hAnsiTheme="majorBidi" w:cstheme="majorBidi"/>
                <w:b/>
                <w:bCs/>
                <w:kern w:val="28"/>
                <w:sz w:val="20"/>
                <w:szCs w:val="20"/>
              </w:rPr>
              <w:sym w:font="Wingdings" w:char="F06F"/>
            </w:r>
            <w:r w:rsidRPr="00A85428">
              <w:rPr>
                <w:rFonts w:asciiTheme="majorBidi" w:hAnsiTheme="majorBidi" w:cstheme="majorBidi"/>
                <w:b/>
                <w:bCs/>
                <w:kern w:val="28"/>
                <w:sz w:val="20"/>
                <w:szCs w:val="20"/>
              </w:rPr>
              <w:t xml:space="preserve"> </w:t>
            </w:r>
            <w:r w:rsidRPr="00A85428">
              <w:rPr>
                <w:rFonts w:asciiTheme="majorBidi" w:eastAsiaTheme="minorEastAsia" w:hAnsiTheme="majorBidi" w:cstheme="majorBidi"/>
                <w:sz w:val="20"/>
                <w:szCs w:val="20"/>
              </w:rPr>
              <w:t>Special Tasks Sector</w:t>
            </w:r>
          </w:p>
          <w:p w14:paraId="01B53F86" w14:textId="77777777" w:rsidR="00A85428" w:rsidRPr="00A85428" w:rsidRDefault="00A85428" w:rsidP="00EB46F7">
            <w:pPr>
              <w:spacing w:line="276" w:lineRule="auto"/>
              <w:jc w:val="both"/>
              <w:rPr>
                <w:rFonts w:asciiTheme="majorBidi" w:eastAsiaTheme="minorEastAsia" w:hAnsiTheme="majorBidi" w:cstheme="majorBidi"/>
                <w:sz w:val="20"/>
                <w:szCs w:val="20"/>
              </w:rPr>
            </w:pPr>
            <w:r w:rsidRPr="00A85428">
              <w:rPr>
                <w:rFonts w:asciiTheme="majorBidi" w:hAnsiTheme="majorBidi" w:cstheme="majorBidi"/>
                <w:b/>
                <w:bCs/>
                <w:kern w:val="28"/>
                <w:sz w:val="20"/>
                <w:szCs w:val="20"/>
              </w:rPr>
              <w:sym w:font="Wingdings" w:char="F06F"/>
            </w:r>
            <w:r w:rsidRPr="00A85428">
              <w:rPr>
                <w:rFonts w:asciiTheme="majorBidi" w:hAnsiTheme="majorBidi" w:cstheme="majorBidi"/>
                <w:b/>
                <w:bCs/>
                <w:kern w:val="28"/>
                <w:sz w:val="20"/>
                <w:szCs w:val="20"/>
              </w:rPr>
              <w:t xml:space="preserve"> </w:t>
            </w:r>
            <w:r w:rsidRPr="00A85428">
              <w:rPr>
                <w:rFonts w:asciiTheme="majorBidi" w:eastAsiaTheme="minorEastAsia" w:hAnsiTheme="majorBidi" w:cstheme="majorBidi"/>
                <w:sz w:val="20"/>
                <w:szCs w:val="20"/>
              </w:rPr>
              <w:t xml:space="preserve">Finance and Services Sector </w:t>
            </w:r>
          </w:p>
          <w:p w14:paraId="2152B25A" w14:textId="77777777" w:rsidR="00A85428" w:rsidRPr="00A85428" w:rsidRDefault="00A85428" w:rsidP="00EB46F7">
            <w:pPr>
              <w:spacing w:line="276" w:lineRule="auto"/>
              <w:jc w:val="both"/>
              <w:rPr>
                <w:rFonts w:asciiTheme="majorBidi" w:hAnsiTheme="majorBidi" w:cstheme="majorBidi"/>
                <w:b/>
                <w:bCs/>
                <w:kern w:val="28"/>
                <w:sz w:val="20"/>
                <w:szCs w:val="20"/>
              </w:rPr>
            </w:pPr>
            <w:r w:rsidRPr="00A85428">
              <w:rPr>
                <w:rFonts w:asciiTheme="majorBidi" w:hAnsiTheme="majorBidi" w:cstheme="majorBidi"/>
                <w:b/>
                <w:bCs/>
                <w:kern w:val="28"/>
                <w:sz w:val="20"/>
                <w:szCs w:val="20"/>
              </w:rPr>
              <w:sym w:font="Wingdings" w:char="F06F"/>
            </w:r>
            <w:r w:rsidRPr="00A85428">
              <w:rPr>
                <w:rFonts w:asciiTheme="majorBidi" w:hAnsiTheme="majorBidi" w:cstheme="majorBidi"/>
                <w:b/>
                <w:bCs/>
                <w:kern w:val="28"/>
                <w:sz w:val="20"/>
                <w:szCs w:val="20"/>
              </w:rPr>
              <w:t xml:space="preserve"> </w:t>
            </w:r>
            <w:r w:rsidRPr="00A85428">
              <w:rPr>
                <w:rFonts w:asciiTheme="majorBidi" w:eastAsiaTheme="minorEastAsia" w:hAnsiTheme="majorBidi" w:cstheme="majorBidi"/>
                <w:sz w:val="20"/>
                <w:szCs w:val="20"/>
              </w:rPr>
              <w:t>Central Operations Sector</w:t>
            </w:r>
            <w:r w:rsidRPr="00A85428">
              <w:rPr>
                <w:rFonts w:asciiTheme="majorBidi" w:hAnsiTheme="majorBidi" w:cstheme="majorBidi"/>
                <w:b/>
                <w:bCs/>
                <w:kern w:val="28"/>
                <w:sz w:val="20"/>
                <w:szCs w:val="20"/>
              </w:rPr>
              <w:t xml:space="preserve"> </w:t>
            </w:r>
          </w:p>
          <w:p w14:paraId="7C90E2C9" w14:textId="77777777" w:rsidR="00A85428" w:rsidRPr="00A85428" w:rsidRDefault="00A85428" w:rsidP="00EB46F7">
            <w:pPr>
              <w:spacing w:line="276" w:lineRule="auto"/>
              <w:jc w:val="both"/>
              <w:rPr>
                <w:rFonts w:asciiTheme="majorBidi" w:hAnsiTheme="majorBidi" w:cstheme="majorBidi"/>
                <w:b/>
                <w:bCs/>
                <w:kern w:val="28"/>
                <w:sz w:val="20"/>
                <w:szCs w:val="20"/>
              </w:rPr>
            </w:pPr>
            <w:r w:rsidRPr="00A85428">
              <w:rPr>
                <w:rFonts w:asciiTheme="majorBidi" w:hAnsiTheme="majorBidi" w:cstheme="majorBidi"/>
                <w:b/>
                <w:bCs/>
                <w:kern w:val="28"/>
                <w:sz w:val="20"/>
                <w:szCs w:val="20"/>
              </w:rPr>
              <w:sym w:font="Wingdings" w:char="F06F"/>
            </w:r>
            <w:r w:rsidRPr="00A85428">
              <w:rPr>
                <w:rFonts w:asciiTheme="majorBidi" w:hAnsiTheme="majorBidi" w:cstheme="majorBidi"/>
                <w:b/>
                <w:bCs/>
                <w:kern w:val="28"/>
                <w:sz w:val="20"/>
                <w:szCs w:val="20"/>
              </w:rPr>
              <w:t xml:space="preserve"> </w:t>
            </w:r>
            <w:r w:rsidRPr="00A85428">
              <w:rPr>
                <w:rFonts w:asciiTheme="majorBidi" w:eastAsiaTheme="minorEastAsia" w:hAnsiTheme="majorBidi" w:cstheme="majorBidi"/>
                <w:sz w:val="20"/>
                <w:szCs w:val="20"/>
              </w:rPr>
              <w:t>Community Security Sector</w:t>
            </w:r>
            <w:r w:rsidRPr="00A85428">
              <w:rPr>
                <w:rFonts w:asciiTheme="majorBidi" w:hAnsiTheme="majorBidi" w:cstheme="majorBidi"/>
                <w:b/>
                <w:bCs/>
                <w:kern w:val="28"/>
                <w:sz w:val="20"/>
                <w:szCs w:val="20"/>
              </w:rPr>
              <w:t xml:space="preserve"> </w:t>
            </w:r>
          </w:p>
          <w:p w14:paraId="5D5943C9" w14:textId="77777777" w:rsidR="00A85428" w:rsidRPr="00A85428" w:rsidRDefault="00A85428" w:rsidP="00EB46F7">
            <w:pPr>
              <w:spacing w:line="276" w:lineRule="auto"/>
              <w:jc w:val="both"/>
              <w:rPr>
                <w:rFonts w:asciiTheme="majorBidi" w:eastAsiaTheme="minorEastAsia" w:hAnsiTheme="majorBidi" w:cstheme="majorBidi"/>
                <w:sz w:val="20"/>
                <w:szCs w:val="20"/>
              </w:rPr>
            </w:pPr>
            <w:r w:rsidRPr="00A85428">
              <w:rPr>
                <w:rFonts w:asciiTheme="majorBidi" w:hAnsiTheme="majorBidi" w:cstheme="majorBidi"/>
                <w:b/>
                <w:bCs/>
                <w:kern w:val="28"/>
                <w:sz w:val="20"/>
                <w:szCs w:val="20"/>
              </w:rPr>
              <w:sym w:font="Wingdings" w:char="F06F"/>
            </w:r>
            <w:r w:rsidRPr="00A85428">
              <w:rPr>
                <w:rFonts w:asciiTheme="majorBidi" w:hAnsiTheme="majorBidi" w:cstheme="majorBidi"/>
                <w:b/>
                <w:bCs/>
                <w:kern w:val="28"/>
                <w:sz w:val="20"/>
                <w:szCs w:val="20"/>
              </w:rPr>
              <w:t xml:space="preserve"> </w:t>
            </w:r>
            <w:r w:rsidRPr="00A85428">
              <w:rPr>
                <w:rFonts w:asciiTheme="majorBidi" w:eastAsiaTheme="minorEastAsia" w:hAnsiTheme="majorBidi" w:cstheme="majorBidi"/>
                <w:sz w:val="20"/>
                <w:szCs w:val="20"/>
              </w:rPr>
              <w:t xml:space="preserve">Human Resources Sector </w:t>
            </w:r>
          </w:p>
        </w:tc>
      </w:tr>
      <w:tr w:rsidR="00A85428" w:rsidRPr="00A85428" w14:paraId="200F941D" w14:textId="77777777" w:rsidTr="00EB46F7">
        <w:tc>
          <w:tcPr>
            <w:tcW w:w="535" w:type="dxa"/>
          </w:tcPr>
          <w:p w14:paraId="0B70E237" w14:textId="77777777" w:rsidR="00A85428" w:rsidRPr="00A85428" w:rsidRDefault="00A85428" w:rsidP="00EB46F7">
            <w:pPr>
              <w:spacing w:line="276" w:lineRule="auto"/>
              <w:jc w:val="both"/>
              <w:rPr>
                <w:rFonts w:asciiTheme="majorBidi" w:hAnsiTheme="majorBidi" w:cstheme="majorBidi"/>
                <w:i/>
                <w:iCs/>
                <w:kern w:val="28"/>
                <w:sz w:val="20"/>
                <w:szCs w:val="20"/>
                <w:rtl/>
              </w:rPr>
            </w:pPr>
            <w:r w:rsidRPr="00A85428">
              <w:rPr>
                <w:rFonts w:asciiTheme="majorBidi" w:hAnsiTheme="majorBidi" w:cstheme="majorBidi"/>
                <w:i/>
                <w:iCs/>
                <w:kern w:val="28"/>
                <w:sz w:val="20"/>
                <w:szCs w:val="20"/>
              </w:rPr>
              <w:t>8</w:t>
            </w:r>
          </w:p>
        </w:tc>
        <w:tc>
          <w:tcPr>
            <w:tcW w:w="7830" w:type="dxa"/>
          </w:tcPr>
          <w:p w14:paraId="04A30E4F" w14:textId="77777777" w:rsidR="00A85428" w:rsidRPr="00A85428" w:rsidRDefault="00A85428" w:rsidP="00EB46F7">
            <w:pPr>
              <w:spacing w:line="276" w:lineRule="auto"/>
              <w:jc w:val="both"/>
              <w:rPr>
                <w:rFonts w:asciiTheme="majorBidi" w:hAnsiTheme="majorBidi" w:cstheme="majorBidi"/>
                <w:color w:val="000000" w:themeColor="text1"/>
                <w:kern w:val="28"/>
                <w:sz w:val="20"/>
                <w:szCs w:val="20"/>
              </w:rPr>
            </w:pPr>
            <w:r w:rsidRPr="00A85428">
              <w:rPr>
                <w:rFonts w:asciiTheme="majorBidi" w:hAnsiTheme="majorBidi" w:cstheme="majorBidi"/>
                <w:color w:val="000000" w:themeColor="text1"/>
                <w:kern w:val="28"/>
                <w:sz w:val="20"/>
                <w:szCs w:val="20"/>
              </w:rPr>
              <w:t>Do you work in police station?</w:t>
            </w:r>
          </w:p>
          <w:p w14:paraId="7E689442" w14:textId="77777777" w:rsidR="00A85428" w:rsidRPr="00A85428" w:rsidRDefault="00A85428" w:rsidP="00A85428">
            <w:pPr>
              <w:pStyle w:val="Default"/>
              <w:widowControl/>
              <w:numPr>
                <w:ilvl w:val="0"/>
                <w:numId w:val="38"/>
              </w:numPr>
              <w:ind w:left="526" w:hanging="450"/>
              <w:jc w:val="both"/>
              <w:rPr>
                <w:rFonts w:asciiTheme="majorBidi" w:hAnsiTheme="majorBidi" w:cstheme="majorBidi"/>
                <w:sz w:val="20"/>
                <w:szCs w:val="20"/>
              </w:rPr>
            </w:pPr>
            <w:r w:rsidRPr="00A85428">
              <w:rPr>
                <w:rFonts w:asciiTheme="majorBidi" w:hAnsiTheme="majorBidi" w:cstheme="majorBidi"/>
                <w:sz w:val="20"/>
                <w:szCs w:val="20"/>
              </w:rPr>
              <w:t>Yes</w:t>
            </w:r>
            <w:r w:rsidRPr="00A85428">
              <w:rPr>
                <w:rFonts w:asciiTheme="majorBidi" w:hAnsiTheme="majorBidi" w:cstheme="majorBidi"/>
                <w:sz w:val="20"/>
                <w:szCs w:val="20"/>
              </w:rPr>
              <w:tab/>
            </w:r>
            <w:r w:rsidRPr="00A85428">
              <w:rPr>
                <w:rFonts w:asciiTheme="majorBidi" w:hAnsiTheme="majorBidi" w:cstheme="majorBidi"/>
                <w:sz w:val="20"/>
                <w:szCs w:val="20"/>
                <w:rtl/>
              </w:rPr>
              <w:t xml:space="preserve">2 </w:t>
            </w:r>
            <w:r w:rsidRPr="00A85428">
              <w:rPr>
                <w:rFonts w:asciiTheme="majorBidi" w:hAnsiTheme="majorBidi" w:cstheme="majorBidi"/>
                <w:sz w:val="20"/>
                <w:szCs w:val="20"/>
              </w:rPr>
              <w:t>No</w:t>
            </w:r>
          </w:p>
          <w:p w14:paraId="0D0CA496" w14:textId="77777777" w:rsidR="00A85428" w:rsidRPr="00A85428" w:rsidRDefault="00A85428" w:rsidP="00EB46F7">
            <w:pPr>
              <w:spacing w:line="276" w:lineRule="auto"/>
              <w:jc w:val="both"/>
              <w:rPr>
                <w:rFonts w:asciiTheme="majorBidi" w:hAnsiTheme="majorBidi" w:cstheme="majorBidi"/>
                <w:color w:val="000000" w:themeColor="text1"/>
                <w:kern w:val="28"/>
                <w:sz w:val="20"/>
                <w:szCs w:val="20"/>
                <w:rtl/>
              </w:rPr>
            </w:pPr>
          </w:p>
          <w:p w14:paraId="3912C4AB" w14:textId="77777777" w:rsidR="00A85428" w:rsidRPr="00A85428" w:rsidRDefault="00A85428" w:rsidP="00EB46F7">
            <w:pPr>
              <w:spacing w:line="276" w:lineRule="auto"/>
              <w:jc w:val="both"/>
              <w:rPr>
                <w:rFonts w:asciiTheme="majorBidi" w:hAnsiTheme="majorBidi" w:cstheme="majorBidi"/>
                <w:kern w:val="28"/>
                <w:sz w:val="20"/>
                <w:szCs w:val="20"/>
              </w:rPr>
            </w:pPr>
            <w:r w:rsidRPr="00A85428">
              <w:rPr>
                <w:rFonts w:asciiTheme="majorBidi" w:hAnsiTheme="majorBidi" w:cstheme="majorBidi"/>
                <w:color w:val="000000" w:themeColor="text1"/>
                <w:kern w:val="28"/>
                <w:sz w:val="20"/>
                <w:szCs w:val="20"/>
              </w:rPr>
              <w:t>If yes, name the police station……………………………………….</w:t>
            </w:r>
          </w:p>
        </w:tc>
      </w:tr>
    </w:tbl>
    <w:p w14:paraId="10B1D4A9" w14:textId="77777777" w:rsidR="00A85428" w:rsidRDefault="00A85428" w:rsidP="00A85428">
      <w:pPr>
        <w:rPr>
          <w:rFonts w:cs="Times New Roman"/>
          <w:b/>
          <w:bCs/>
          <w:szCs w:val="24"/>
        </w:rPr>
      </w:pPr>
    </w:p>
    <w:p w14:paraId="11380CBF" w14:textId="77777777" w:rsidR="00A85428" w:rsidRDefault="00A85428" w:rsidP="00A85428">
      <w:pPr>
        <w:rPr>
          <w:rFonts w:cs="Times New Roman"/>
          <w:b/>
          <w:bCs/>
          <w:szCs w:val="24"/>
        </w:rPr>
      </w:pPr>
    </w:p>
    <w:p w14:paraId="2E4DBB74" w14:textId="77777777" w:rsidR="00A85428" w:rsidRDefault="00A85428" w:rsidP="00A85428">
      <w:pPr>
        <w:rPr>
          <w:rFonts w:cs="Times New Roman"/>
          <w:b/>
          <w:bCs/>
          <w:szCs w:val="24"/>
        </w:rPr>
      </w:pPr>
    </w:p>
    <w:p w14:paraId="1489F00F" w14:textId="0540ED38" w:rsidR="00A85428" w:rsidRDefault="00A85428" w:rsidP="00A85428">
      <w:pPr>
        <w:rPr>
          <w:rFonts w:cs="Times New Roman"/>
          <w:b/>
          <w:bCs/>
          <w:szCs w:val="24"/>
        </w:rPr>
      </w:pPr>
    </w:p>
    <w:p w14:paraId="26D9376A" w14:textId="762FAE94" w:rsidR="001708DA" w:rsidRDefault="001708DA" w:rsidP="00A85428">
      <w:pPr>
        <w:rPr>
          <w:rFonts w:cs="Times New Roman"/>
          <w:b/>
          <w:bCs/>
          <w:szCs w:val="24"/>
        </w:rPr>
      </w:pPr>
    </w:p>
    <w:p w14:paraId="1E495223" w14:textId="7DE0D19E" w:rsidR="001708DA" w:rsidRDefault="001708DA" w:rsidP="00A85428">
      <w:pPr>
        <w:rPr>
          <w:rFonts w:cs="Times New Roman"/>
          <w:b/>
          <w:bCs/>
          <w:szCs w:val="24"/>
        </w:rPr>
      </w:pPr>
    </w:p>
    <w:p w14:paraId="34D6907D" w14:textId="2671C914" w:rsidR="001708DA" w:rsidRDefault="001708DA" w:rsidP="00A85428">
      <w:pPr>
        <w:rPr>
          <w:rFonts w:cs="Times New Roman"/>
          <w:b/>
          <w:bCs/>
          <w:szCs w:val="24"/>
        </w:rPr>
      </w:pPr>
    </w:p>
    <w:p w14:paraId="763BCA8C" w14:textId="77777777" w:rsidR="001708DA" w:rsidRDefault="001708DA" w:rsidP="00A85428">
      <w:pPr>
        <w:rPr>
          <w:rFonts w:cs="Times New Roman"/>
          <w:b/>
          <w:bCs/>
          <w:szCs w:val="24"/>
        </w:rPr>
      </w:pPr>
    </w:p>
    <w:p w14:paraId="0ACB31FD" w14:textId="29165944" w:rsidR="00A85428" w:rsidRDefault="00A85428" w:rsidP="00A85428">
      <w:pPr>
        <w:rPr>
          <w:rFonts w:cs="Times New Roman"/>
          <w:b/>
          <w:bCs/>
          <w:szCs w:val="24"/>
        </w:rPr>
      </w:pPr>
      <w:r>
        <w:rPr>
          <w:rFonts w:cs="Times New Roman"/>
          <w:b/>
          <w:bCs/>
          <w:szCs w:val="24"/>
        </w:rPr>
        <w:t>Questions</w:t>
      </w:r>
    </w:p>
    <w:p w14:paraId="596B4684" w14:textId="77777777" w:rsidR="007B10C7" w:rsidRPr="00DD7C95" w:rsidRDefault="007B10C7" w:rsidP="00A85428">
      <w:pPr>
        <w:rPr>
          <w:rFonts w:cs="Times New Roman"/>
          <w:b/>
          <w:bCs/>
          <w:szCs w:val="24"/>
          <w:rtl/>
        </w:rPr>
      </w:pPr>
    </w:p>
    <w:tbl>
      <w:tblPr>
        <w:tblStyle w:val="TableGrid"/>
        <w:tblW w:w="9877" w:type="dxa"/>
        <w:tblInd w:w="-1062" w:type="dxa"/>
        <w:tblLayout w:type="fixed"/>
        <w:tblLook w:val="04A0" w:firstRow="1" w:lastRow="0" w:firstColumn="1" w:lastColumn="0" w:noHBand="0" w:noVBand="1"/>
      </w:tblPr>
      <w:tblGrid>
        <w:gridCol w:w="1147"/>
        <w:gridCol w:w="5760"/>
        <w:gridCol w:w="630"/>
        <w:gridCol w:w="540"/>
        <w:gridCol w:w="630"/>
        <w:gridCol w:w="630"/>
        <w:gridCol w:w="540"/>
      </w:tblGrid>
      <w:tr w:rsidR="00A85428" w:rsidRPr="00A51404" w14:paraId="32640527" w14:textId="77777777" w:rsidTr="001D5F54">
        <w:trPr>
          <w:cantSplit/>
          <w:trHeight w:val="1772"/>
        </w:trPr>
        <w:tc>
          <w:tcPr>
            <w:tcW w:w="1147" w:type="dxa"/>
          </w:tcPr>
          <w:p w14:paraId="304975C7" w14:textId="77777777" w:rsidR="00A85428" w:rsidRPr="00C56900" w:rsidRDefault="00A85428" w:rsidP="00EB46F7">
            <w:pPr>
              <w:rPr>
                <w:rFonts w:cs="Times New Roman"/>
                <w:szCs w:val="24"/>
              </w:rPr>
            </w:pPr>
          </w:p>
        </w:tc>
        <w:tc>
          <w:tcPr>
            <w:tcW w:w="5760" w:type="dxa"/>
          </w:tcPr>
          <w:p w14:paraId="0D3815FC" w14:textId="77777777" w:rsidR="00A85428" w:rsidRPr="00A85428" w:rsidRDefault="00A85428" w:rsidP="00EB46F7">
            <w:pPr>
              <w:pStyle w:val="Default"/>
              <w:spacing w:line="276" w:lineRule="auto"/>
              <w:jc w:val="both"/>
              <w:rPr>
                <w:rFonts w:asciiTheme="majorBidi" w:hAnsiTheme="majorBidi" w:cstheme="majorBidi"/>
                <w:sz w:val="22"/>
                <w:szCs w:val="22"/>
              </w:rPr>
            </w:pPr>
            <w:r w:rsidRPr="00A85428">
              <w:rPr>
                <w:rFonts w:asciiTheme="majorBidi" w:hAnsiTheme="majorBidi" w:cstheme="majorBidi"/>
                <w:sz w:val="22"/>
                <w:szCs w:val="22"/>
              </w:rPr>
              <w:t>Which of the following statements best describes your perception towards knowledge management benefits? Please indicate your level of AGREEMENT or DISAGREEMENT with the following statements about knowledge management on a scale of 1 to 5; where 1= strongly disagree and 5= strongly agree. Please circle one number that best represents your opinion.</w:t>
            </w:r>
          </w:p>
        </w:tc>
        <w:tc>
          <w:tcPr>
            <w:tcW w:w="630" w:type="dxa"/>
            <w:textDirection w:val="btLr"/>
          </w:tcPr>
          <w:p w14:paraId="3BB00AFC" w14:textId="77777777" w:rsidR="00A85428" w:rsidRDefault="00A85428" w:rsidP="00EB46F7">
            <w:pPr>
              <w:ind w:left="113" w:right="113"/>
              <w:jc w:val="center"/>
              <w:rPr>
                <w:rFonts w:cs="Times New Roman"/>
                <w:sz w:val="20"/>
                <w:szCs w:val="20"/>
              </w:rPr>
            </w:pPr>
            <w:r>
              <w:rPr>
                <w:rFonts w:cs="Times New Roman"/>
                <w:sz w:val="20"/>
                <w:szCs w:val="20"/>
              </w:rPr>
              <w:t>Strongly</w:t>
            </w:r>
            <w:r w:rsidRPr="00A51404">
              <w:rPr>
                <w:rFonts w:cs="Times New Roman"/>
                <w:sz w:val="20"/>
                <w:szCs w:val="20"/>
              </w:rPr>
              <w:t xml:space="preserve"> disagree</w:t>
            </w:r>
          </w:p>
          <w:p w14:paraId="6BA2465A" w14:textId="77777777" w:rsidR="00A85428" w:rsidRPr="009A5E10" w:rsidRDefault="00A85428" w:rsidP="00EB46F7">
            <w:pPr>
              <w:ind w:left="113" w:right="113"/>
              <w:jc w:val="center"/>
              <w:rPr>
                <w:rFonts w:ascii="Sakkal Majalla" w:hAnsi="Sakkal Majalla" w:cs="Sakkal Majalla"/>
                <w:b/>
                <w:bCs/>
                <w:szCs w:val="24"/>
                <w:rtl/>
                <w:lang w:bidi="ar-AE"/>
              </w:rPr>
            </w:pPr>
          </w:p>
        </w:tc>
        <w:tc>
          <w:tcPr>
            <w:tcW w:w="540" w:type="dxa"/>
            <w:textDirection w:val="btLr"/>
          </w:tcPr>
          <w:p w14:paraId="4B71DE9C" w14:textId="77777777" w:rsidR="00A85428" w:rsidRDefault="00A85428" w:rsidP="00EB46F7">
            <w:pPr>
              <w:ind w:left="113" w:right="113"/>
              <w:jc w:val="center"/>
              <w:rPr>
                <w:rFonts w:cs="Times New Roman"/>
                <w:sz w:val="20"/>
                <w:szCs w:val="20"/>
                <w:rtl/>
              </w:rPr>
            </w:pPr>
            <w:r w:rsidRPr="00A51404">
              <w:rPr>
                <w:rFonts w:cs="Times New Roman"/>
                <w:sz w:val="20"/>
                <w:szCs w:val="20"/>
              </w:rPr>
              <w:t>Disagree</w:t>
            </w:r>
            <w:r>
              <w:rPr>
                <w:rFonts w:cs="Times New Roman" w:hint="cs"/>
                <w:sz w:val="20"/>
                <w:szCs w:val="20"/>
                <w:rtl/>
              </w:rPr>
              <w:t xml:space="preserve"> </w:t>
            </w:r>
          </w:p>
          <w:p w14:paraId="6A75E082" w14:textId="77777777" w:rsidR="00A85428" w:rsidRPr="009A5E10" w:rsidRDefault="00A85428" w:rsidP="00EB46F7">
            <w:pPr>
              <w:ind w:left="113" w:right="113"/>
              <w:jc w:val="center"/>
              <w:rPr>
                <w:rFonts w:ascii="Sakkal Majalla" w:hAnsi="Sakkal Majalla" w:cs="Sakkal Majalla"/>
                <w:b/>
                <w:bCs/>
                <w:szCs w:val="24"/>
              </w:rPr>
            </w:pPr>
          </w:p>
        </w:tc>
        <w:tc>
          <w:tcPr>
            <w:tcW w:w="630" w:type="dxa"/>
            <w:textDirection w:val="btLr"/>
          </w:tcPr>
          <w:p w14:paraId="4732D343" w14:textId="056C4CAA" w:rsidR="00A85428" w:rsidRDefault="00A85428" w:rsidP="00EB46F7">
            <w:pPr>
              <w:ind w:left="113" w:right="113"/>
              <w:jc w:val="center"/>
              <w:rPr>
                <w:rFonts w:cs="Times New Roman"/>
                <w:sz w:val="20"/>
                <w:szCs w:val="20"/>
              </w:rPr>
            </w:pPr>
            <w:r w:rsidRPr="00A51404">
              <w:rPr>
                <w:rFonts w:cs="Times New Roman"/>
                <w:sz w:val="20"/>
                <w:szCs w:val="20"/>
              </w:rPr>
              <w:t xml:space="preserve">Neither agree </w:t>
            </w:r>
            <w:r w:rsidR="00694B65" w:rsidRPr="00A51404">
              <w:rPr>
                <w:rFonts w:cs="Times New Roman"/>
                <w:sz w:val="20"/>
                <w:szCs w:val="20"/>
              </w:rPr>
              <w:t>or</w:t>
            </w:r>
            <w:r w:rsidR="00694B65">
              <w:rPr>
                <w:rFonts w:cs="Times New Roman"/>
                <w:sz w:val="20"/>
                <w:szCs w:val="20"/>
              </w:rPr>
              <w:t xml:space="preserve"> </w:t>
            </w:r>
            <w:r w:rsidRPr="00A51404">
              <w:rPr>
                <w:rFonts w:cs="Times New Roman"/>
                <w:sz w:val="20"/>
                <w:szCs w:val="20"/>
              </w:rPr>
              <w:t>disagree</w:t>
            </w:r>
          </w:p>
          <w:p w14:paraId="03DF8ABC" w14:textId="220CAFBB" w:rsidR="00A85428" w:rsidRPr="009A5E10" w:rsidRDefault="00A85428" w:rsidP="00EB46F7">
            <w:pPr>
              <w:ind w:left="113" w:right="113"/>
              <w:jc w:val="center"/>
              <w:rPr>
                <w:rFonts w:ascii="Sakkal Majalla" w:hAnsi="Sakkal Majalla" w:cs="Sakkal Majalla"/>
                <w:b/>
                <w:bCs/>
                <w:szCs w:val="24"/>
                <w:rtl/>
                <w:lang w:bidi="ar-AE"/>
              </w:rPr>
            </w:pPr>
          </w:p>
        </w:tc>
        <w:tc>
          <w:tcPr>
            <w:tcW w:w="630" w:type="dxa"/>
            <w:textDirection w:val="btLr"/>
          </w:tcPr>
          <w:p w14:paraId="31D9F629" w14:textId="77777777" w:rsidR="00A85428" w:rsidRDefault="00A85428" w:rsidP="00EB46F7">
            <w:pPr>
              <w:ind w:left="113" w:right="113"/>
              <w:jc w:val="center"/>
              <w:rPr>
                <w:rFonts w:cs="Times New Roman"/>
                <w:sz w:val="20"/>
                <w:szCs w:val="20"/>
                <w:rtl/>
              </w:rPr>
            </w:pPr>
            <w:r w:rsidRPr="00A51404">
              <w:rPr>
                <w:rFonts w:cs="Times New Roman"/>
                <w:sz w:val="20"/>
                <w:szCs w:val="20"/>
              </w:rPr>
              <w:t>Agree</w:t>
            </w:r>
          </w:p>
          <w:p w14:paraId="11C54EA6" w14:textId="77777777" w:rsidR="00A85428" w:rsidRPr="009A5E10" w:rsidRDefault="00A85428" w:rsidP="00EB46F7">
            <w:pPr>
              <w:ind w:left="113" w:right="113"/>
              <w:jc w:val="center"/>
              <w:rPr>
                <w:rFonts w:ascii="Sakkal Majalla" w:hAnsi="Sakkal Majalla" w:cs="Sakkal Majalla"/>
                <w:b/>
                <w:bCs/>
                <w:szCs w:val="24"/>
              </w:rPr>
            </w:pPr>
          </w:p>
        </w:tc>
        <w:tc>
          <w:tcPr>
            <w:tcW w:w="540" w:type="dxa"/>
            <w:textDirection w:val="btLr"/>
          </w:tcPr>
          <w:p w14:paraId="59670248" w14:textId="77777777" w:rsidR="00A85428" w:rsidRDefault="00A85428" w:rsidP="00EB46F7">
            <w:pPr>
              <w:ind w:left="113" w:right="113"/>
              <w:jc w:val="center"/>
              <w:rPr>
                <w:rFonts w:cs="Times New Roman"/>
                <w:sz w:val="20"/>
                <w:szCs w:val="20"/>
                <w:rtl/>
              </w:rPr>
            </w:pPr>
            <w:r w:rsidRPr="00A51404">
              <w:rPr>
                <w:rFonts w:cs="Times New Roman"/>
                <w:sz w:val="20"/>
                <w:szCs w:val="20"/>
              </w:rPr>
              <w:t>Strongly agree</w:t>
            </w:r>
          </w:p>
          <w:p w14:paraId="5FCF6509" w14:textId="77777777" w:rsidR="00A85428" w:rsidRPr="009A5E10" w:rsidRDefault="00A85428" w:rsidP="00EB46F7">
            <w:pPr>
              <w:ind w:left="113" w:right="113"/>
              <w:jc w:val="center"/>
              <w:rPr>
                <w:rFonts w:ascii="Sakkal Majalla" w:hAnsi="Sakkal Majalla" w:cs="Sakkal Majalla"/>
                <w:b/>
                <w:bCs/>
                <w:szCs w:val="24"/>
              </w:rPr>
            </w:pPr>
          </w:p>
        </w:tc>
      </w:tr>
      <w:tr w:rsidR="00677985" w:rsidRPr="00A51404" w14:paraId="4638FDF3" w14:textId="77777777" w:rsidTr="0093109F">
        <w:trPr>
          <w:trHeight w:val="395"/>
        </w:trPr>
        <w:tc>
          <w:tcPr>
            <w:tcW w:w="1147"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02CE8D60" w14:textId="77777777" w:rsidR="00677985" w:rsidRDefault="00677985" w:rsidP="00EB46F7">
            <w:pPr>
              <w:jc w:val="center"/>
              <w:rPr>
                <w:rFonts w:asciiTheme="majorBidi" w:hAnsiTheme="majorBidi" w:cstheme="majorBidi"/>
                <w:i/>
                <w:iCs/>
                <w:szCs w:val="24"/>
              </w:rPr>
            </w:pPr>
          </w:p>
        </w:tc>
        <w:tc>
          <w:tcPr>
            <w:tcW w:w="8730" w:type="dxa"/>
            <w:gridSpan w:val="6"/>
            <w:tcBorders>
              <w:left w:val="single" w:sz="4" w:space="0" w:color="auto"/>
            </w:tcBorders>
            <w:vAlign w:val="center"/>
          </w:tcPr>
          <w:p w14:paraId="1F60235A" w14:textId="3A7B530A" w:rsidR="00677985" w:rsidRDefault="00677985" w:rsidP="001D5F54">
            <w:pPr>
              <w:rPr>
                <w:rFonts w:cs="Times New Roman"/>
                <w:sz w:val="20"/>
                <w:szCs w:val="20"/>
              </w:rPr>
            </w:pPr>
            <w:r w:rsidRPr="00DA3419">
              <w:rPr>
                <w:rFonts w:cs="Times New Roman"/>
                <w:b/>
                <w:bCs/>
                <w:sz w:val="20"/>
                <w:szCs w:val="20"/>
              </w:rPr>
              <w:t>S</w:t>
            </w:r>
            <w:r w:rsidRPr="00DA3419">
              <w:rPr>
                <w:rStyle w:val="Hyperlink"/>
                <w:rFonts w:asciiTheme="majorBidi" w:hAnsiTheme="majorBidi" w:cstheme="majorBidi"/>
                <w:b/>
                <w:bCs/>
                <w:color w:val="000000"/>
                <w:sz w:val="20"/>
                <w:szCs w:val="20"/>
                <w:u w:val="none"/>
              </w:rPr>
              <w:t>ection B</w:t>
            </w:r>
          </w:p>
        </w:tc>
      </w:tr>
      <w:tr w:rsidR="00677985" w:rsidRPr="00A51404" w14:paraId="737A51FA" w14:textId="77777777" w:rsidTr="0093109F">
        <w:trPr>
          <w:trHeight w:val="395"/>
        </w:trPr>
        <w:tc>
          <w:tcPr>
            <w:tcW w:w="1147"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763C350" w14:textId="77777777" w:rsidR="00677985" w:rsidRDefault="00677985" w:rsidP="00EB46F7">
            <w:pPr>
              <w:jc w:val="center"/>
              <w:rPr>
                <w:rFonts w:asciiTheme="majorBidi" w:hAnsiTheme="majorBidi" w:cstheme="majorBidi"/>
                <w:i/>
                <w:iCs/>
                <w:szCs w:val="24"/>
              </w:rPr>
            </w:pPr>
          </w:p>
        </w:tc>
        <w:tc>
          <w:tcPr>
            <w:tcW w:w="8730" w:type="dxa"/>
            <w:gridSpan w:val="6"/>
            <w:tcBorders>
              <w:left w:val="single" w:sz="4" w:space="0" w:color="auto"/>
            </w:tcBorders>
          </w:tcPr>
          <w:p w14:paraId="2FE15B5A" w14:textId="0FC8399C" w:rsidR="00677985" w:rsidRDefault="00677985" w:rsidP="001D5F54">
            <w:pPr>
              <w:rPr>
                <w:rFonts w:cs="Times New Roman"/>
                <w:sz w:val="20"/>
                <w:szCs w:val="20"/>
              </w:rPr>
            </w:pPr>
            <w:r w:rsidRPr="001D5F54">
              <w:rPr>
                <w:rStyle w:val="Hyperlink"/>
                <w:rFonts w:asciiTheme="majorBidi" w:hAnsiTheme="majorBidi" w:cstheme="majorBidi"/>
                <w:b/>
                <w:bCs/>
                <w:color w:val="000000"/>
                <w:sz w:val="20"/>
                <w:szCs w:val="20"/>
                <w:u w:val="none"/>
              </w:rPr>
              <w:t>Knowledge management capabilities</w:t>
            </w:r>
          </w:p>
        </w:tc>
      </w:tr>
      <w:tr w:rsidR="00A85428" w:rsidRPr="00A51404" w14:paraId="1118B6E1" w14:textId="77777777" w:rsidTr="001D5F54">
        <w:trPr>
          <w:trHeight w:val="494"/>
        </w:trPr>
        <w:tc>
          <w:tcPr>
            <w:tcW w:w="1147" w:type="dxa"/>
            <w:tcBorders>
              <w:top w:val="single" w:sz="4" w:space="0" w:color="auto"/>
            </w:tcBorders>
            <w:vAlign w:val="center"/>
          </w:tcPr>
          <w:p w14:paraId="42267ED0"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1</w:t>
            </w:r>
          </w:p>
        </w:tc>
        <w:tc>
          <w:tcPr>
            <w:tcW w:w="5760" w:type="dxa"/>
          </w:tcPr>
          <w:p w14:paraId="59DBBCA4" w14:textId="77777777" w:rsidR="00A85428" w:rsidRPr="00810511" w:rsidRDefault="00A85428" w:rsidP="00EB46F7">
            <w:pPr>
              <w:jc w:val="lowKashida"/>
              <w:rPr>
                <w:rFonts w:asciiTheme="majorBidi" w:hAnsiTheme="majorBidi" w:cstheme="majorBidi"/>
                <w:sz w:val="20"/>
                <w:szCs w:val="20"/>
                <w:rtl/>
              </w:rPr>
            </w:pPr>
            <w:r w:rsidRPr="00810511">
              <w:rPr>
                <w:rStyle w:val="Hyperlink"/>
                <w:rFonts w:asciiTheme="majorBidi" w:hAnsiTheme="majorBidi" w:cstheme="majorBidi"/>
                <w:color w:val="000000"/>
                <w:sz w:val="20"/>
                <w:szCs w:val="20"/>
                <w:u w:val="none"/>
              </w:rPr>
              <w:t>My organization has processes to gain knowledge of our suppliers, customers, and partners.</w:t>
            </w:r>
          </w:p>
        </w:tc>
        <w:tc>
          <w:tcPr>
            <w:tcW w:w="630" w:type="dxa"/>
          </w:tcPr>
          <w:p w14:paraId="5DE0B991"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113BCF4A"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3E8BF4AB"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1A361319"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27876ACB"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A51404" w14:paraId="7C0D32A8" w14:textId="77777777" w:rsidTr="001D5F54">
        <w:trPr>
          <w:trHeight w:val="530"/>
        </w:trPr>
        <w:tc>
          <w:tcPr>
            <w:tcW w:w="1147" w:type="dxa"/>
            <w:vAlign w:val="center"/>
          </w:tcPr>
          <w:p w14:paraId="7C2C9400"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2</w:t>
            </w:r>
          </w:p>
        </w:tc>
        <w:tc>
          <w:tcPr>
            <w:tcW w:w="5760" w:type="dxa"/>
          </w:tcPr>
          <w:p w14:paraId="5536C207" w14:textId="77777777" w:rsidR="00A85428" w:rsidRPr="00810511" w:rsidRDefault="00A85428" w:rsidP="00EB46F7">
            <w:pPr>
              <w:jc w:val="lowKashida"/>
              <w:rPr>
                <w:rFonts w:asciiTheme="majorBidi" w:hAnsiTheme="majorBidi" w:cstheme="majorBidi"/>
                <w:sz w:val="20"/>
                <w:szCs w:val="20"/>
                <w:rtl/>
              </w:rPr>
            </w:pPr>
            <w:r w:rsidRPr="00810511">
              <w:rPr>
                <w:rFonts w:asciiTheme="majorBidi" w:hAnsiTheme="majorBidi" w:cstheme="majorBidi"/>
                <w:sz w:val="20"/>
                <w:szCs w:val="20"/>
              </w:rPr>
              <w:t>Computerized information systems are available and can be accessed to share information with others.</w:t>
            </w:r>
          </w:p>
        </w:tc>
        <w:tc>
          <w:tcPr>
            <w:tcW w:w="630" w:type="dxa"/>
          </w:tcPr>
          <w:p w14:paraId="30BE7477" w14:textId="77777777" w:rsidR="00A85428" w:rsidRPr="000B1B29" w:rsidRDefault="00A85428" w:rsidP="00EB46F7">
            <w:pPr>
              <w:jc w:val="center"/>
              <w:rPr>
                <w:rFonts w:cs="Times New Roman"/>
                <w:sz w:val="20"/>
                <w:szCs w:val="20"/>
              </w:rPr>
            </w:pPr>
            <w:r w:rsidRPr="000B1B29">
              <w:rPr>
                <w:rFonts w:cs="Times New Roman"/>
                <w:sz w:val="20"/>
                <w:szCs w:val="20"/>
              </w:rPr>
              <w:t>1</w:t>
            </w:r>
          </w:p>
        </w:tc>
        <w:tc>
          <w:tcPr>
            <w:tcW w:w="540" w:type="dxa"/>
          </w:tcPr>
          <w:p w14:paraId="1586BE9E" w14:textId="77777777" w:rsidR="00A85428" w:rsidRPr="00A51404" w:rsidRDefault="00A85428" w:rsidP="00EB46F7">
            <w:pPr>
              <w:jc w:val="center"/>
              <w:rPr>
                <w:rFonts w:cs="Times New Roman"/>
                <w:sz w:val="20"/>
                <w:szCs w:val="20"/>
              </w:rPr>
            </w:pPr>
            <w:r w:rsidRPr="000B1B29">
              <w:rPr>
                <w:rFonts w:cs="Times New Roman"/>
                <w:sz w:val="20"/>
                <w:szCs w:val="20"/>
              </w:rPr>
              <w:t>2</w:t>
            </w:r>
          </w:p>
        </w:tc>
        <w:tc>
          <w:tcPr>
            <w:tcW w:w="630" w:type="dxa"/>
          </w:tcPr>
          <w:p w14:paraId="6D4B6E84"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01DBA3DC"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6229E398"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A51404" w14:paraId="7969977A" w14:textId="77777777" w:rsidTr="001D5F54">
        <w:trPr>
          <w:trHeight w:val="341"/>
        </w:trPr>
        <w:tc>
          <w:tcPr>
            <w:tcW w:w="1147" w:type="dxa"/>
            <w:vAlign w:val="center"/>
          </w:tcPr>
          <w:p w14:paraId="215D5237"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3</w:t>
            </w:r>
          </w:p>
        </w:tc>
        <w:tc>
          <w:tcPr>
            <w:tcW w:w="5760" w:type="dxa"/>
          </w:tcPr>
          <w:p w14:paraId="1427D323" w14:textId="77777777" w:rsidR="00A85428" w:rsidRPr="00810511" w:rsidRDefault="00A85428" w:rsidP="00EB46F7">
            <w:pPr>
              <w:jc w:val="lowKashida"/>
              <w:rPr>
                <w:rFonts w:asciiTheme="majorBidi" w:hAnsiTheme="majorBidi" w:cstheme="majorBidi"/>
                <w:sz w:val="20"/>
                <w:szCs w:val="20"/>
                <w:rtl/>
              </w:rPr>
            </w:pPr>
            <w:r w:rsidRPr="00810511">
              <w:rPr>
                <w:rStyle w:val="Hyperlink"/>
                <w:rFonts w:asciiTheme="majorBidi" w:hAnsiTheme="majorBidi" w:cstheme="majorBidi"/>
                <w:color w:val="000000"/>
                <w:sz w:val="20"/>
                <w:szCs w:val="20"/>
                <w:u w:val="none"/>
              </w:rPr>
              <w:t>My organization has processes in place to distribute knowledge throughout the organization.</w:t>
            </w:r>
          </w:p>
        </w:tc>
        <w:tc>
          <w:tcPr>
            <w:tcW w:w="630" w:type="dxa"/>
          </w:tcPr>
          <w:p w14:paraId="56DBA04F" w14:textId="77777777" w:rsidR="00A85428" w:rsidRPr="000B1B29" w:rsidRDefault="00A85428" w:rsidP="00EB46F7">
            <w:pPr>
              <w:jc w:val="center"/>
              <w:rPr>
                <w:rFonts w:cs="Times New Roman"/>
                <w:sz w:val="20"/>
                <w:szCs w:val="20"/>
              </w:rPr>
            </w:pPr>
            <w:r w:rsidRPr="000B1B29">
              <w:rPr>
                <w:rFonts w:cs="Times New Roman"/>
                <w:sz w:val="20"/>
                <w:szCs w:val="20"/>
              </w:rPr>
              <w:t>1</w:t>
            </w:r>
          </w:p>
        </w:tc>
        <w:tc>
          <w:tcPr>
            <w:tcW w:w="540" w:type="dxa"/>
          </w:tcPr>
          <w:p w14:paraId="42A1D230" w14:textId="77777777" w:rsidR="00A85428" w:rsidRPr="000B1B29" w:rsidRDefault="00A85428" w:rsidP="00EB46F7">
            <w:pPr>
              <w:jc w:val="center"/>
              <w:rPr>
                <w:rFonts w:cs="Times New Roman"/>
                <w:sz w:val="20"/>
                <w:szCs w:val="20"/>
              </w:rPr>
            </w:pPr>
            <w:r w:rsidRPr="000B1B29">
              <w:rPr>
                <w:rFonts w:cs="Times New Roman"/>
                <w:sz w:val="20"/>
                <w:szCs w:val="20"/>
              </w:rPr>
              <w:t>2</w:t>
            </w:r>
          </w:p>
        </w:tc>
        <w:tc>
          <w:tcPr>
            <w:tcW w:w="630" w:type="dxa"/>
          </w:tcPr>
          <w:p w14:paraId="55094CF5" w14:textId="77777777" w:rsidR="00A85428" w:rsidRPr="000B1B29" w:rsidRDefault="00A85428" w:rsidP="00EB46F7">
            <w:pPr>
              <w:jc w:val="center"/>
              <w:rPr>
                <w:rFonts w:cs="Times New Roman"/>
                <w:sz w:val="20"/>
                <w:szCs w:val="20"/>
              </w:rPr>
            </w:pPr>
            <w:r w:rsidRPr="000B1B29">
              <w:rPr>
                <w:rFonts w:cs="Times New Roman"/>
                <w:sz w:val="20"/>
                <w:szCs w:val="20"/>
              </w:rPr>
              <w:t>3</w:t>
            </w:r>
          </w:p>
        </w:tc>
        <w:tc>
          <w:tcPr>
            <w:tcW w:w="630" w:type="dxa"/>
          </w:tcPr>
          <w:p w14:paraId="60DA44D1"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308F02C2"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A51404" w14:paraId="3722D944" w14:textId="77777777" w:rsidTr="001D5F54">
        <w:trPr>
          <w:trHeight w:val="350"/>
        </w:trPr>
        <w:tc>
          <w:tcPr>
            <w:tcW w:w="1147" w:type="dxa"/>
            <w:vAlign w:val="center"/>
          </w:tcPr>
          <w:p w14:paraId="62E51CB4"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4</w:t>
            </w:r>
          </w:p>
        </w:tc>
        <w:tc>
          <w:tcPr>
            <w:tcW w:w="5760" w:type="dxa"/>
          </w:tcPr>
          <w:p w14:paraId="0A8B0920" w14:textId="77777777" w:rsidR="00A85428" w:rsidRPr="00810511" w:rsidRDefault="00A85428" w:rsidP="00EB46F7">
            <w:pPr>
              <w:jc w:val="lowKashida"/>
              <w:rPr>
                <w:rFonts w:asciiTheme="majorBidi" w:hAnsiTheme="majorBidi" w:cstheme="majorBidi"/>
                <w:sz w:val="20"/>
                <w:szCs w:val="20"/>
                <w:rtl/>
              </w:rPr>
            </w:pPr>
            <w:r w:rsidRPr="00810511">
              <w:rPr>
                <w:rStyle w:val="Hyperlink"/>
                <w:rFonts w:asciiTheme="majorBidi" w:hAnsiTheme="majorBidi" w:cstheme="majorBidi"/>
                <w:color w:val="000000"/>
                <w:sz w:val="20"/>
                <w:szCs w:val="20"/>
                <w:u w:val="none"/>
              </w:rPr>
              <w:t>In my organization, knowledge is accessible to those who need it.</w:t>
            </w:r>
          </w:p>
        </w:tc>
        <w:tc>
          <w:tcPr>
            <w:tcW w:w="630" w:type="dxa"/>
          </w:tcPr>
          <w:p w14:paraId="12E9BB0A"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2BB91AC4"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7744AA84"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204E7793"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7D4E1259" w14:textId="77777777" w:rsidR="00A85428" w:rsidRPr="00A51404" w:rsidRDefault="00A85428" w:rsidP="00EB46F7">
            <w:pPr>
              <w:jc w:val="center"/>
              <w:rPr>
                <w:rFonts w:cs="Times New Roman"/>
                <w:sz w:val="20"/>
                <w:szCs w:val="20"/>
              </w:rPr>
            </w:pPr>
            <w:r>
              <w:rPr>
                <w:rFonts w:cs="Times New Roman"/>
                <w:sz w:val="20"/>
                <w:szCs w:val="20"/>
              </w:rPr>
              <w:t>5</w:t>
            </w:r>
          </w:p>
        </w:tc>
      </w:tr>
      <w:tr w:rsidR="00677985" w:rsidRPr="00A51404" w14:paraId="5DF965C2" w14:textId="77777777" w:rsidTr="0093109F">
        <w:tc>
          <w:tcPr>
            <w:tcW w:w="1147" w:type="dxa"/>
            <w:tcBorders>
              <w:bottom w:val="nil"/>
            </w:tcBorders>
            <w:shd w:val="clear" w:color="auto" w:fill="D9D9D9" w:themeFill="background1" w:themeFillShade="D9"/>
            <w:vAlign w:val="center"/>
          </w:tcPr>
          <w:p w14:paraId="1C49E846" w14:textId="77777777" w:rsidR="00677985" w:rsidRDefault="00677985" w:rsidP="00EB46F7">
            <w:pPr>
              <w:jc w:val="center"/>
              <w:rPr>
                <w:rFonts w:asciiTheme="majorBidi" w:hAnsiTheme="majorBidi" w:cstheme="majorBidi"/>
                <w:i/>
                <w:iCs/>
                <w:szCs w:val="24"/>
              </w:rPr>
            </w:pPr>
          </w:p>
        </w:tc>
        <w:tc>
          <w:tcPr>
            <w:tcW w:w="8730" w:type="dxa"/>
            <w:gridSpan w:val="6"/>
            <w:vAlign w:val="center"/>
          </w:tcPr>
          <w:p w14:paraId="4C57C3A5" w14:textId="26C5BA79" w:rsidR="00677985" w:rsidRDefault="00677985">
            <w:pPr>
              <w:rPr>
                <w:rFonts w:cs="Times New Roman"/>
                <w:sz w:val="20"/>
                <w:szCs w:val="20"/>
              </w:rPr>
            </w:pPr>
            <w:r w:rsidRPr="007770D1">
              <w:rPr>
                <w:rFonts w:cs="Times New Roman"/>
                <w:b/>
                <w:bCs/>
                <w:sz w:val="20"/>
                <w:szCs w:val="20"/>
              </w:rPr>
              <w:t>Section C</w:t>
            </w:r>
            <w:r w:rsidR="00694B65" w:rsidRPr="007770D1">
              <w:rPr>
                <w:rFonts w:cs="Times New Roman"/>
                <w:b/>
                <w:bCs/>
                <w:sz w:val="20"/>
                <w:szCs w:val="20"/>
              </w:rPr>
              <w:t>:</w:t>
            </w:r>
            <w:r w:rsidR="00694B65">
              <w:rPr>
                <w:rFonts w:cs="Times New Roman"/>
                <w:b/>
                <w:bCs/>
                <w:sz w:val="20"/>
                <w:szCs w:val="20"/>
              </w:rPr>
              <w:t xml:space="preserve"> </w:t>
            </w:r>
            <w:r w:rsidRPr="007770D1">
              <w:rPr>
                <w:rFonts w:cs="Times New Roman"/>
                <w:b/>
                <w:bCs/>
                <w:sz w:val="20"/>
                <w:szCs w:val="20"/>
              </w:rPr>
              <w:t>HR practices for knowledge sharing</w:t>
            </w:r>
          </w:p>
        </w:tc>
      </w:tr>
      <w:tr w:rsidR="00677985" w:rsidRPr="00A51404" w14:paraId="39E420DB" w14:textId="77777777" w:rsidTr="0093109F">
        <w:tc>
          <w:tcPr>
            <w:tcW w:w="1147" w:type="dxa"/>
            <w:tcBorders>
              <w:top w:val="nil"/>
            </w:tcBorders>
            <w:shd w:val="clear" w:color="auto" w:fill="D9D9D9" w:themeFill="background1" w:themeFillShade="D9"/>
            <w:vAlign w:val="center"/>
          </w:tcPr>
          <w:p w14:paraId="6EC1ADB5" w14:textId="77777777" w:rsidR="00677985" w:rsidRDefault="00677985" w:rsidP="00EB46F7">
            <w:pPr>
              <w:jc w:val="center"/>
              <w:rPr>
                <w:rFonts w:asciiTheme="majorBidi" w:hAnsiTheme="majorBidi" w:cstheme="majorBidi"/>
                <w:i/>
                <w:iCs/>
                <w:szCs w:val="24"/>
              </w:rPr>
            </w:pPr>
          </w:p>
        </w:tc>
        <w:tc>
          <w:tcPr>
            <w:tcW w:w="8730" w:type="dxa"/>
            <w:gridSpan w:val="6"/>
            <w:vAlign w:val="center"/>
          </w:tcPr>
          <w:p w14:paraId="49E6E4CB" w14:textId="7A8B2DCF" w:rsidR="00677985" w:rsidRDefault="00677985" w:rsidP="001D5F54">
            <w:pPr>
              <w:rPr>
                <w:rFonts w:cs="Times New Roman"/>
                <w:sz w:val="20"/>
                <w:szCs w:val="20"/>
              </w:rPr>
            </w:pPr>
            <w:r w:rsidRPr="001D5F54">
              <w:rPr>
                <w:rFonts w:asciiTheme="majorBidi" w:hAnsiTheme="majorBidi" w:cstheme="majorBidi"/>
                <w:b/>
                <w:bCs/>
                <w:color w:val="000000" w:themeColor="text1"/>
                <w:sz w:val="20"/>
                <w:szCs w:val="20"/>
              </w:rPr>
              <w:t>Extrinsic-motivation-enhancing HR practices</w:t>
            </w:r>
          </w:p>
        </w:tc>
      </w:tr>
      <w:tr w:rsidR="00A85428" w:rsidRPr="00A51404" w14:paraId="09FADA0B" w14:textId="77777777" w:rsidTr="001D5F54">
        <w:tc>
          <w:tcPr>
            <w:tcW w:w="1147" w:type="dxa"/>
            <w:vAlign w:val="center"/>
          </w:tcPr>
          <w:p w14:paraId="4EF5E623"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5</w:t>
            </w:r>
          </w:p>
        </w:tc>
        <w:tc>
          <w:tcPr>
            <w:tcW w:w="5760" w:type="dxa"/>
            <w:vAlign w:val="center"/>
          </w:tcPr>
          <w:p w14:paraId="4A8A9DC9" w14:textId="77777777" w:rsidR="00A85428" w:rsidRPr="00AD30A9" w:rsidRDefault="00A85428" w:rsidP="00EB46F7">
            <w:pPr>
              <w:jc w:val="lowKashida"/>
              <w:rPr>
                <w:rFonts w:ascii="Sakkal Majalla" w:hAnsi="Sakkal Majalla" w:cs="Sakkal Majalla"/>
                <w:color w:val="000000" w:themeColor="text1"/>
                <w:sz w:val="20"/>
                <w:szCs w:val="20"/>
                <w:rtl/>
              </w:rPr>
            </w:pPr>
            <w:r w:rsidRPr="009A5E10">
              <w:rPr>
                <w:rFonts w:asciiTheme="majorBidi" w:hAnsiTheme="majorBidi" w:cstheme="majorBidi"/>
                <w:color w:val="000000" w:themeColor="text1"/>
                <w:sz w:val="20"/>
                <w:szCs w:val="20"/>
              </w:rPr>
              <w:t>Our organization specifically rewards knowledge sharing with monetary incentives.</w:t>
            </w:r>
          </w:p>
        </w:tc>
        <w:tc>
          <w:tcPr>
            <w:tcW w:w="630" w:type="dxa"/>
          </w:tcPr>
          <w:p w14:paraId="42D41664"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5D6BC328"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0A2AC4A7"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25C6FC75"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5DCFDA69"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A51404" w14:paraId="585C0500" w14:textId="77777777" w:rsidTr="001D5F54">
        <w:tc>
          <w:tcPr>
            <w:tcW w:w="1147" w:type="dxa"/>
            <w:vAlign w:val="center"/>
          </w:tcPr>
          <w:p w14:paraId="778BA10C"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6</w:t>
            </w:r>
          </w:p>
        </w:tc>
        <w:tc>
          <w:tcPr>
            <w:tcW w:w="5760" w:type="dxa"/>
            <w:vAlign w:val="center"/>
          </w:tcPr>
          <w:p w14:paraId="42AE4D62" w14:textId="77777777" w:rsidR="00A85428" w:rsidRPr="00AD30A9" w:rsidRDefault="00A85428" w:rsidP="00EB46F7">
            <w:pPr>
              <w:jc w:val="lowKashida"/>
              <w:rPr>
                <w:rFonts w:asciiTheme="majorBidi" w:hAnsiTheme="majorBidi" w:cstheme="majorBidi"/>
                <w:color w:val="000000" w:themeColor="text1"/>
                <w:sz w:val="20"/>
                <w:szCs w:val="20"/>
                <w:rtl/>
              </w:rPr>
            </w:pPr>
            <w:r w:rsidRPr="009A5E10">
              <w:rPr>
                <w:rFonts w:asciiTheme="majorBidi" w:hAnsiTheme="majorBidi" w:cstheme="majorBidi"/>
                <w:color w:val="000000" w:themeColor="text1"/>
                <w:sz w:val="20"/>
                <w:szCs w:val="20"/>
              </w:rPr>
              <w:t>Our organization specifically rewards knowledge sharing with non-monetary incentives.</w:t>
            </w:r>
          </w:p>
        </w:tc>
        <w:tc>
          <w:tcPr>
            <w:tcW w:w="630" w:type="dxa"/>
          </w:tcPr>
          <w:p w14:paraId="33DB848A"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0778771B"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337DF989"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02DAD57D"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203CD249"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A51404" w14:paraId="6A886CFD" w14:textId="77777777" w:rsidTr="001D5F54">
        <w:tc>
          <w:tcPr>
            <w:tcW w:w="1147" w:type="dxa"/>
            <w:vAlign w:val="center"/>
          </w:tcPr>
          <w:p w14:paraId="5D38B09B"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7</w:t>
            </w:r>
          </w:p>
        </w:tc>
        <w:tc>
          <w:tcPr>
            <w:tcW w:w="5760" w:type="dxa"/>
            <w:vAlign w:val="center"/>
          </w:tcPr>
          <w:p w14:paraId="62DC21D1" w14:textId="77777777" w:rsidR="00A85428" w:rsidRPr="00AD30A9" w:rsidRDefault="00A85428" w:rsidP="00EB46F7">
            <w:pPr>
              <w:jc w:val="lowKashida"/>
              <w:rPr>
                <w:rFonts w:ascii="Sakkal Majalla" w:hAnsi="Sakkal Majalla" w:cs="Sakkal Majalla"/>
                <w:color w:val="000000" w:themeColor="text1"/>
                <w:sz w:val="20"/>
                <w:szCs w:val="20"/>
                <w:rtl/>
              </w:rPr>
            </w:pPr>
            <w:r w:rsidRPr="009A5E10">
              <w:rPr>
                <w:rFonts w:asciiTheme="majorBidi" w:hAnsiTheme="majorBidi" w:cstheme="majorBidi"/>
                <w:color w:val="000000" w:themeColor="text1"/>
                <w:sz w:val="20"/>
                <w:szCs w:val="20"/>
              </w:rPr>
              <w:t>In our organization, knowledge sharing is a component in employees’ performance evaluation</w:t>
            </w:r>
          </w:p>
        </w:tc>
        <w:tc>
          <w:tcPr>
            <w:tcW w:w="630" w:type="dxa"/>
          </w:tcPr>
          <w:p w14:paraId="320A4444" w14:textId="77777777" w:rsidR="00A85428" w:rsidRPr="000B1B29" w:rsidRDefault="00A85428" w:rsidP="00EB46F7">
            <w:pPr>
              <w:jc w:val="center"/>
              <w:rPr>
                <w:rFonts w:cs="Times New Roman"/>
                <w:sz w:val="20"/>
                <w:szCs w:val="20"/>
              </w:rPr>
            </w:pPr>
            <w:r w:rsidRPr="000B1B29">
              <w:rPr>
                <w:rFonts w:cs="Times New Roman"/>
                <w:sz w:val="20"/>
                <w:szCs w:val="20"/>
              </w:rPr>
              <w:t>1</w:t>
            </w:r>
          </w:p>
        </w:tc>
        <w:tc>
          <w:tcPr>
            <w:tcW w:w="540" w:type="dxa"/>
          </w:tcPr>
          <w:p w14:paraId="4EE9A969" w14:textId="77777777" w:rsidR="00A85428" w:rsidRPr="000B1B29" w:rsidRDefault="00A85428" w:rsidP="00EB46F7">
            <w:pPr>
              <w:jc w:val="center"/>
              <w:rPr>
                <w:rFonts w:cs="Times New Roman"/>
                <w:sz w:val="20"/>
                <w:szCs w:val="20"/>
              </w:rPr>
            </w:pPr>
            <w:r w:rsidRPr="000B1B29">
              <w:rPr>
                <w:rFonts w:cs="Times New Roman"/>
                <w:sz w:val="20"/>
                <w:szCs w:val="20"/>
              </w:rPr>
              <w:t>2</w:t>
            </w:r>
          </w:p>
        </w:tc>
        <w:tc>
          <w:tcPr>
            <w:tcW w:w="630" w:type="dxa"/>
          </w:tcPr>
          <w:p w14:paraId="751510A3"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442C21D8"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6C1B3335" w14:textId="77777777" w:rsidR="00A85428" w:rsidRPr="00A51404" w:rsidRDefault="00A85428" w:rsidP="00EB46F7">
            <w:pPr>
              <w:jc w:val="center"/>
              <w:rPr>
                <w:rFonts w:cs="Times New Roman"/>
                <w:sz w:val="20"/>
                <w:szCs w:val="20"/>
              </w:rPr>
            </w:pPr>
            <w:r>
              <w:rPr>
                <w:rFonts w:cs="Times New Roman"/>
                <w:sz w:val="20"/>
                <w:szCs w:val="20"/>
              </w:rPr>
              <w:t>5</w:t>
            </w:r>
          </w:p>
        </w:tc>
      </w:tr>
      <w:tr w:rsidR="00677985" w:rsidRPr="00A51404" w14:paraId="78E4866A" w14:textId="77777777" w:rsidTr="0093109F">
        <w:tc>
          <w:tcPr>
            <w:tcW w:w="1147" w:type="dxa"/>
            <w:shd w:val="clear" w:color="auto" w:fill="D9D9D9" w:themeFill="background1" w:themeFillShade="D9"/>
            <w:vAlign w:val="center"/>
          </w:tcPr>
          <w:p w14:paraId="0EC4CB88" w14:textId="77777777" w:rsidR="00677985" w:rsidRDefault="00677985" w:rsidP="00EB46F7">
            <w:pPr>
              <w:jc w:val="center"/>
              <w:rPr>
                <w:rFonts w:asciiTheme="majorBidi" w:hAnsiTheme="majorBidi" w:cstheme="majorBidi"/>
                <w:i/>
                <w:iCs/>
                <w:szCs w:val="24"/>
              </w:rPr>
            </w:pPr>
          </w:p>
        </w:tc>
        <w:tc>
          <w:tcPr>
            <w:tcW w:w="8730" w:type="dxa"/>
            <w:gridSpan w:val="6"/>
            <w:vAlign w:val="center"/>
          </w:tcPr>
          <w:p w14:paraId="3BBA65EA" w14:textId="798F8384" w:rsidR="00677985" w:rsidRDefault="00677985" w:rsidP="001D5F54">
            <w:pPr>
              <w:rPr>
                <w:rFonts w:cs="Times New Roman"/>
                <w:sz w:val="20"/>
                <w:szCs w:val="20"/>
              </w:rPr>
            </w:pPr>
            <w:r>
              <w:rPr>
                <w:rFonts w:asciiTheme="majorBidi" w:hAnsiTheme="majorBidi" w:cstheme="majorBidi"/>
                <w:b/>
                <w:bCs/>
                <w:color w:val="000000" w:themeColor="text1"/>
                <w:sz w:val="20"/>
                <w:szCs w:val="20"/>
              </w:rPr>
              <w:t>In</w:t>
            </w:r>
            <w:r w:rsidRPr="000D0BFD">
              <w:rPr>
                <w:rFonts w:asciiTheme="majorBidi" w:hAnsiTheme="majorBidi" w:cstheme="majorBidi"/>
                <w:b/>
                <w:bCs/>
                <w:color w:val="000000" w:themeColor="text1"/>
                <w:sz w:val="20"/>
                <w:szCs w:val="20"/>
              </w:rPr>
              <w:t>trinsic-motivation-enhancing HR practices</w:t>
            </w:r>
          </w:p>
        </w:tc>
      </w:tr>
      <w:tr w:rsidR="00A85428" w:rsidRPr="00A51404" w14:paraId="2C691828" w14:textId="77777777" w:rsidTr="001D5F54">
        <w:tc>
          <w:tcPr>
            <w:tcW w:w="1147" w:type="dxa"/>
            <w:vAlign w:val="center"/>
          </w:tcPr>
          <w:p w14:paraId="0ECA261E"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8</w:t>
            </w:r>
          </w:p>
        </w:tc>
        <w:tc>
          <w:tcPr>
            <w:tcW w:w="5760" w:type="dxa"/>
            <w:vAlign w:val="center"/>
          </w:tcPr>
          <w:p w14:paraId="7C24F834" w14:textId="77777777" w:rsidR="00A85428" w:rsidRPr="00AD30A9" w:rsidRDefault="00A85428" w:rsidP="00EB46F7">
            <w:pPr>
              <w:jc w:val="lowKashida"/>
              <w:rPr>
                <w:rFonts w:asciiTheme="majorBidi" w:hAnsiTheme="majorBidi" w:cstheme="majorBidi"/>
                <w:color w:val="000000" w:themeColor="text1"/>
                <w:sz w:val="20"/>
                <w:szCs w:val="20"/>
                <w:rtl/>
              </w:rPr>
            </w:pPr>
            <w:r w:rsidRPr="009A5E10">
              <w:rPr>
                <w:rFonts w:asciiTheme="majorBidi" w:hAnsiTheme="majorBidi" w:cstheme="majorBidi"/>
                <w:color w:val="000000" w:themeColor="text1"/>
                <w:sz w:val="20"/>
                <w:szCs w:val="20"/>
              </w:rPr>
              <w:t>The freedom to carry out my job the way I want to</w:t>
            </w:r>
          </w:p>
        </w:tc>
        <w:tc>
          <w:tcPr>
            <w:tcW w:w="630" w:type="dxa"/>
          </w:tcPr>
          <w:p w14:paraId="3152E2A5"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53CDA23E"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12D5F73F"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357AF3BE"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48E5A148"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A51404" w14:paraId="322110DB" w14:textId="77777777" w:rsidTr="001D5F54">
        <w:tc>
          <w:tcPr>
            <w:tcW w:w="1147" w:type="dxa"/>
            <w:vAlign w:val="center"/>
          </w:tcPr>
          <w:p w14:paraId="56D07791"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9</w:t>
            </w:r>
          </w:p>
        </w:tc>
        <w:tc>
          <w:tcPr>
            <w:tcW w:w="5760" w:type="dxa"/>
            <w:vAlign w:val="center"/>
          </w:tcPr>
          <w:p w14:paraId="1687E8FE" w14:textId="77777777" w:rsidR="00A85428" w:rsidRPr="00AD30A9" w:rsidRDefault="00A85428" w:rsidP="00EB46F7">
            <w:pPr>
              <w:jc w:val="lowKashida"/>
              <w:rPr>
                <w:rFonts w:asciiTheme="majorBidi" w:hAnsiTheme="majorBidi" w:cstheme="majorBidi"/>
                <w:color w:val="000000" w:themeColor="text1"/>
                <w:sz w:val="20"/>
                <w:szCs w:val="20"/>
                <w:rtl/>
              </w:rPr>
            </w:pPr>
            <w:r w:rsidRPr="009A5E10">
              <w:rPr>
                <w:rFonts w:asciiTheme="majorBidi" w:hAnsiTheme="majorBidi" w:cstheme="majorBidi"/>
                <w:color w:val="000000" w:themeColor="text1"/>
                <w:sz w:val="20"/>
                <w:szCs w:val="20"/>
              </w:rPr>
              <w:t xml:space="preserve">The opportunity </w:t>
            </w:r>
            <w:r w:rsidRPr="006838AE">
              <w:rPr>
                <w:rFonts w:asciiTheme="majorBidi" w:hAnsiTheme="majorBidi" w:cstheme="majorBidi"/>
                <w:color w:val="000000" w:themeColor="text1"/>
                <w:sz w:val="20"/>
                <w:szCs w:val="20"/>
              </w:rPr>
              <w:t xml:space="preserve">for suggesting work improvement </w:t>
            </w:r>
            <w:r w:rsidRPr="0090534A">
              <w:rPr>
                <w:rFonts w:asciiTheme="majorBidi" w:hAnsiTheme="majorBidi" w:cstheme="majorBidi"/>
                <w:sz w:val="20"/>
                <w:szCs w:val="20"/>
              </w:rPr>
              <w:t>initiative</w:t>
            </w:r>
            <w:r>
              <w:rPr>
                <w:rFonts w:asciiTheme="majorBidi" w:hAnsiTheme="majorBidi" w:cstheme="majorBidi"/>
                <w:sz w:val="20"/>
                <w:szCs w:val="20"/>
              </w:rPr>
              <w:t>s</w:t>
            </w:r>
          </w:p>
        </w:tc>
        <w:tc>
          <w:tcPr>
            <w:tcW w:w="630" w:type="dxa"/>
          </w:tcPr>
          <w:p w14:paraId="770220A7"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27AB9257"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7C19EE31"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09D3BECC"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1B4B484A"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A51404" w14:paraId="461BD326" w14:textId="77777777" w:rsidTr="001D5F54">
        <w:tc>
          <w:tcPr>
            <w:tcW w:w="1147" w:type="dxa"/>
            <w:vAlign w:val="center"/>
          </w:tcPr>
          <w:p w14:paraId="39907075"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10</w:t>
            </w:r>
          </w:p>
        </w:tc>
        <w:tc>
          <w:tcPr>
            <w:tcW w:w="5760" w:type="dxa"/>
            <w:vAlign w:val="center"/>
          </w:tcPr>
          <w:p w14:paraId="75371C9B" w14:textId="0A8F8DF3" w:rsidR="00A85428" w:rsidRPr="009A5E10" w:rsidRDefault="00A85428">
            <w:pPr>
              <w:jc w:val="lowKashida"/>
              <w:rPr>
                <w:rFonts w:ascii="Sakkal Majalla" w:hAnsi="Sakkal Majalla" w:cs="Sakkal Majalla"/>
                <w:color w:val="000000" w:themeColor="text1"/>
                <w:szCs w:val="24"/>
                <w:rtl/>
                <w:lang w:bidi="ar-AE"/>
              </w:rPr>
            </w:pPr>
            <w:r w:rsidRPr="009A5E10">
              <w:rPr>
                <w:rFonts w:asciiTheme="majorBidi" w:hAnsiTheme="majorBidi" w:cstheme="majorBidi"/>
                <w:color w:val="000000" w:themeColor="text1"/>
                <w:sz w:val="20"/>
                <w:szCs w:val="20"/>
              </w:rPr>
              <w:t>High level of variety in my</w:t>
            </w:r>
            <w:r>
              <w:rPr>
                <w:rFonts w:asciiTheme="majorBidi" w:hAnsiTheme="majorBidi" w:cstheme="majorBidi"/>
                <w:color w:val="000000" w:themeColor="text1"/>
                <w:sz w:val="20"/>
                <w:szCs w:val="20"/>
              </w:rPr>
              <w:t xml:space="preserve"> job</w:t>
            </w:r>
            <w:r>
              <w:rPr>
                <w:rFonts w:ascii="Sakkal Majalla" w:hAnsi="Sakkal Majalla" w:cs="Sakkal Majalla"/>
                <w:color w:val="000000" w:themeColor="text1"/>
                <w:szCs w:val="24"/>
                <w:lang w:bidi="ar-AE"/>
              </w:rPr>
              <w:t xml:space="preserve"> </w:t>
            </w:r>
          </w:p>
        </w:tc>
        <w:tc>
          <w:tcPr>
            <w:tcW w:w="630" w:type="dxa"/>
          </w:tcPr>
          <w:p w14:paraId="5E5159EC"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71F39710"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28F722F8"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2C055C23"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64AC6E99" w14:textId="77777777" w:rsidR="00A85428" w:rsidRPr="00A51404" w:rsidRDefault="00A85428" w:rsidP="00EB46F7">
            <w:pPr>
              <w:jc w:val="center"/>
              <w:rPr>
                <w:rFonts w:cs="Times New Roman"/>
                <w:sz w:val="20"/>
                <w:szCs w:val="20"/>
              </w:rPr>
            </w:pPr>
            <w:r>
              <w:rPr>
                <w:rFonts w:cs="Times New Roman"/>
                <w:sz w:val="20"/>
                <w:szCs w:val="20"/>
              </w:rPr>
              <w:t>5</w:t>
            </w:r>
          </w:p>
        </w:tc>
      </w:tr>
      <w:tr w:rsidR="00677985" w:rsidRPr="005F6EEF" w14:paraId="121604D3" w14:textId="77777777" w:rsidTr="0093109F">
        <w:tc>
          <w:tcPr>
            <w:tcW w:w="1147" w:type="dxa"/>
            <w:shd w:val="clear" w:color="auto" w:fill="D9D9D9" w:themeFill="background1" w:themeFillShade="D9"/>
            <w:vAlign w:val="center"/>
          </w:tcPr>
          <w:p w14:paraId="046E3D6A" w14:textId="77777777" w:rsidR="00677985" w:rsidRDefault="00677985" w:rsidP="00EB46F7">
            <w:pPr>
              <w:jc w:val="center"/>
              <w:rPr>
                <w:rFonts w:asciiTheme="majorBidi" w:hAnsiTheme="majorBidi" w:cstheme="majorBidi"/>
                <w:i/>
                <w:iCs/>
                <w:szCs w:val="24"/>
              </w:rPr>
            </w:pPr>
          </w:p>
        </w:tc>
        <w:tc>
          <w:tcPr>
            <w:tcW w:w="8730" w:type="dxa"/>
            <w:gridSpan w:val="6"/>
            <w:vAlign w:val="center"/>
          </w:tcPr>
          <w:p w14:paraId="180EFD3E" w14:textId="2A0F204F" w:rsidR="00677985" w:rsidRDefault="00677985" w:rsidP="001D5F54">
            <w:pPr>
              <w:rPr>
                <w:rFonts w:cs="Times New Roman"/>
                <w:sz w:val="20"/>
                <w:szCs w:val="20"/>
                <w:rtl/>
              </w:rPr>
            </w:pPr>
            <w:r w:rsidRPr="001D5F54">
              <w:rPr>
                <w:rFonts w:asciiTheme="majorBidi" w:hAnsiTheme="majorBidi" w:cstheme="majorBidi"/>
                <w:b/>
                <w:bCs/>
                <w:color w:val="000000" w:themeColor="text1"/>
                <w:sz w:val="20"/>
                <w:szCs w:val="20"/>
              </w:rPr>
              <w:t>Opportunity-enhancing HR practices</w:t>
            </w:r>
          </w:p>
        </w:tc>
      </w:tr>
      <w:tr w:rsidR="00A85428" w:rsidRPr="005F6EEF" w14:paraId="41C95405" w14:textId="77777777" w:rsidTr="001D5F54">
        <w:tc>
          <w:tcPr>
            <w:tcW w:w="1147" w:type="dxa"/>
            <w:vAlign w:val="center"/>
          </w:tcPr>
          <w:p w14:paraId="34804467"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11</w:t>
            </w:r>
          </w:p>
        </w:tc>
        <w:tc>
          <w:tcPr>
            <w:tcW w:w="5760" w:type="dxa"/>
            <w:vAlign w:val="center"/>
          </w:tcPr>
          <w:p w14:paraId="37CCF6F7" w14:textId="77777777" w:rsidR="00A85428" w:rsidRDefault="00A85428" w:rsidP="00EB46F7">
            <w:pPr>
              <w:jc w:val="lowKashida"/>
              <w:rPr>
                <w:rFonts w:asciiTheme="majorBidi" w:hAnsiTheme="majorBidi" w:cstheme="majorBidi"/>
                <w:color w:val="000000" w:themeColor="text1"/>
                <w:sz w:val="20"/>
                <w:szCs w:val="20"/>
              </w:rPr>
            </w:pPr>
            <w:r w:rsidRPr="009A5E10">
              <w:rPr>
                <w:rFonts w:asciiTheme="majorBidi" w:hAnsiTheme="majorBidi" w:cstheme="majorBidi"/>
                <w:color w:val="000000" w:themeColor="text1"/>
                <w:sz w:val="20"/>
                <w:szCs w:val="20"/>
              </w:rPr>
              <w:t xml:space="preserve">The organization holds </w:t>
            </w:r>
            <w:r>
              <w:rPr>
                <w:rFonts w:asciiTheme="majorBidi" w:hAnsiTheme="majorBidi" w:cstheme="majorBidi"/>
                <w:color w:val="000000" w:themeColor="text1"/>
                <w:sz w:val="20"/>
                <w:szCs w:val="20"/>
              </w:rPr>
              <w:t>informal gathering to promote friendly relationship</w:t>
            </w:r>
            <w:r w:rsidRPr="009A5E10">
              <w:rPr>
                <w:rFonts w:asciiTheme="majorBidi" w:hAnsiTheme="majorBidi" w:cstheme="majorBidi"/>
                <w:color w:val="000000" w:themeColor="text1"/>
                <w:sz w:val="20"/>
                <w:szCs w:val="20"/>
              </w:rPr>
              <w:t xml:space="preserve"> among colleagues</w:t>
            </w:r>
            <w:r>
              <w:rPr>
                <w:rFonts w:asciiTheme="majorBidi" w:hAnsiTheme="majorBidi" w:cstheme="majorBidi"/>
                <w:color w:val="000000" w:themeColor="text1"/>
                <w:sz w:val="20"/>
                <w:szCs w:val="20"/>
              </w:rPr>
              <w:t>.</w:t>
            </w:r>
          </w:p>
          <w:p w14:paraId="4D2B2983" w14:textId="77777777" w:rsidR="00A85428" w:rsidRPr="009A5E10" w:rsidRDefault="00A85428" w:rsidP="00EB46F7">
            <w:pPr>
              <w:jc w:val="lowKashida"/>
              <w:rPr>
                <w:rFonts w:asciiTheme="majorBidi" w:hAnsiTheme="majorBidi" w:cstheme="majorBidi"/>
                <w:color w:val="000000" w:themeColor="text1"/>
                <w:sz w:val="20"/>
                <w:szCs w:val="20"/>
              </w:rPr>
            </w:pPr>
          </w:p>
        </w:tc>
        <w:tc>
          <w:tcPr>
            <w:tcW w:w="630" w:type="dxa"/>
          </w:tcPr>
          <w:p w14:paraId="0BE460E2" w14:textId="77777777" w:rsidR="00A85428" w:rsidRDefault="00A85428" w:rsidP="00EB46F7">
            <w:pPr>
              <w:jc w:val="center"/>
              <w:rPr>
                <w:rFonts w:cs="Times New Roman"/>
                <w:sz w:val="20"/>
                <w:szCs w:val="20"/>
              </w:rPr>
            </w:pPr>
            <w:r>
              <w:rPr>
                <w:rFonts w:cs="Times New Roman" w:hint="cs"/>
                <w:sz w:val="20"/>
                <w:szCs w:val="20"/>
                <w:rtl/>
              </w:rPr>
              <w:t>1</w:t>
            </w:r>
          </w:p>
        </w:tc>
        <w:tc>
          <w:tcPr>
            <w:tcW w:w="540" w:type="dxa"/>
          </w:tcPr>
          <w:p w14:paraId="53656CDB" w14:textId="77777777" w:rsidR="00A85428" w:rsidRDefault="00A85428" w:rsidP="00EB46F7">
            <w:pPr>
              <w:jc w:val="center"/>
              <w:rPr>
                <w:rFonts w:cs="Times New Roman"/>
                <w:sz w:val="20"/>
                <w:szCs w:val="20"/>
              </w:rPr>
            </w:pPr>
            <w:r>
              <w:rPr>
                <w:rFonts w:cs="Times New Roman" w:hint="cs"/>
                <w:sz w:val="20"/>
                <w:szCs w:val="20"/>
                <w:rtl/>
              </w:rPr>
              <w:t>2</w:t>
            </w:r>
          </w:p>
        </w:tc>
        <w:tc>
          <w:tcPr>
            <w:tcW w:w="630" w:type="dxa"/>
          </w:tcPr>
          <w:p w14:paraId="750DF495" w14:textId="77777777" w:rsidR="00A85428" w:rsidRDefault="00A85428" w:rsidP="00EB46F7">
            <w:pPr>
              <w:jc w:val="center"/>
              <w:rPr>
                <w:rFonts w:cs="Times New Roman"/>
                <w:sz w:val="20"/>
                <w:szCs w:val="20"/>
              </w:rPr>
            </w:pPr>
            <w:r>
              <w:rPr>
                <w:rFonts w:cs="Times New Roman" w:hint="cs"/>
                <w:sz w:val="20"/>
                <w:szCs w:val="20"/>
                <w:rtl/>
              </w:rPr>
              <w:t>3</w:t>
            </w:r>
          </w:p>
        </w:tc>
        <w:tc>
          <w:tcPr>
            <w:tcW w:w="630" w:type="dxa"/>
          </w:tcPr>
          <w:p w14:paraId="336CEEF7" w14:textId="77777777" w:rsidR="00A85428" w:rsidRDefault="00A85428" w:rsidP="00EB46F7">
            <w:pPr>
              <w:jc w:val="center"/>
              <w:rPr>
                <w:rFonts w:cs="Times New Roman"/>
                <w:sz w:val="20"/>
                <w:szCs w:val="20"/>
              </w:rPr>
            </w:pPr>
            <w:r>
              <w:rPr>
                <w:rFonts w:cs="Times New Roman" w:hint="cs"/>
                <w:sz w:val="20"/>
                <w:szCs w:val="20"/>
                <w:rtl/>
              </w:rPr>
              <w:t>4</w:t>
            </w:r>
          </w:p>
        </w:tc>
        <w:tc>
          <w:tcPr>
            <w:tcW w:w="540" w:type="dxa"/>
          </w:tcPr>
          <w:p w14:paraId="751856DD" w14:textId="77777777" w:rsidR="00A85428" w:rsidRDefault="00A85428" w:rsidP="00EB46F7">
            <w:pPr>
              <w:jc w:val="center"/>
              <w:rPr>
                <w:rFonts w:cs="Times New Roman"/>
                <w:sz w:val="20"/>
                <w:szCs w:val="20"/>
              </w:rPr>
            </w:pPr>
            <w:r>
              <w:rPr>
                <w:rFonts w:cs="Times New Roman" w:hint="cs"/>
                <w:sz w:val="20"/>
                <w:szCs w:val="20"/>
                <w:rtl/>
              </w:rPr>
              <w:t>5</w:t>
            </w:r>
          </w:p>
        </w:tc>
      </w:tr>
      <w:tr w:rsidR="00A85428" w:rsidRPr="005F6EEF" w14:paraId="4B7DE331" w14:textId="77777777" w:rsidTr="001D5F54">
        <w:tc>
          <w:tcPr>
            <w:tcW w:w="1147" w:type="dxa"/>
            <w:vAlign w:val="center"/>
          </w:tcPr>
          <w:p w14:paraId="63A927D8"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12</w:t>
            </w:r>
          </w:p>
        </w:tc>
        <w:tc>
          <w:tcPr>
            <w:tcW w:w="5760" w:type="dxa"/>
            <w:vAlign w:val="center"/>
          </w:tcPr>
          <w:p w14:paraId="6B6A761D" w14:textId="77777777" w:rsidR="00A85428" w:rsidRPr="00AD30A9" w:rsidRDefault="00A85428" w:rsidP="00EB46F7">
            <w:pPr>
              <w:jc w:val="lowKashida"/>
              <w:rPr>
                <w:rFonts w:asciiTheme="majorBidi" w:hAnsiTheme="majorBidi" w:cstheme="majorBidi"/>
                <w:color w:val="000000" w:themeColor="text1"/>
                <w:sz w:val="20"/>
                <w:szCs w:val="20"/>
                <w:rtl/>
              </w:rPr>
            </w:pPr>
            <w:r w:rsidRPr="009A5E10">
              <w:rPr>
                <w:rFonts w:asciiTheme="majorBidi" w:hAnsiTheme="majorBidi" w:cstheme="majorBidi"/>
                <w:color w:val="000000" w:themeColor="text1"/>
                <w:sz w:val="20"/>
                <w:szCs w:val="20"/>
              </w:rPr>
              <w:t>The organization invites high-performance employees to share their knowledge with others in meetings</w:t>
            </w:r>
            <w:r>
              <w:rPr>
                <w:rFonts w:asciiTheme="majorBidi" w:hAnsiTheme="majorBidi" w:cstheme="majorBidi"/>
                <w:color w:val="000000" w:themeColor="text1"/>
                <w:sz w:val="20"/>
                <w:szCs w:val="20"/>
              </w:rPr>
              <w:t>.</w:t>
            </w:r>
          </w:p>
        </w:tc>
        <w:tc>
          <w:tcPr>
            <w:tcW w:w="630" w:type="dxa"/>
          </w:tcPr>
          <w:p w14:paraId="6E421EE8"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79A8AB88"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56C966FB"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07809EA7"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6C531C9F"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5F6EEF" w14:paraId="5DD72152" w14:textId="77777777" w:rsidTr="001D5F54">
        <w:tc>
          <w:tcPr>
            <w:tcW w:w="1147" w:type="dxa"/>
            <w:vAlign w:val="center"/>
          </w:tcPr>
          <w:p w14:paraId="3781AA24"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13</w:t>
            </w:r>
          </w:p>
        </w:tc>
        <w:tc>
          <w:tcPr>
            <w:tcW w:w="5760" w:type="dxa"/>
            <w:vAlign w:val="center"/>
          </w:tcPr>
          <w:p w14:paraId="0468EAAB" w14:textId="77777777" w:rsidR="00A85428" w:rsidRPr="00AD30A9" w:rsidRDefault="00A85428" w:rsidP="00EB46F7">
            <w:pPr>
              <w:jc w:val="lowKashida"/>
              <w:rPr>
                <w:rFonts w:asciiTheme="majorBidi" w:hAnsiTheme="majorBidi" w:cstheme="majorBidi"/>
                <w:color w:val="000000" w:themeColor="text1"/>
                <w:sz w:val="20"/>
                <w:szCs w:val="20"/>
                <w:rtl/>
              </w:rPr>
            </w:pPr>
            <w:r w:rsidRPr="009A5E10">
              <w:rPr>
                <w:rFonts w:asciiTheme="majorBidi" w:hAnsiTheme="majorBidi" w:cstheme="majorBidi"/>
                <w:color w:val="000000" w:themeColor="text1"/>
                <w:sz w:val="20"/>
                <w:szCs w:val="20"/>
              </w:rPr>
              <w:t>The organization invites employees who have just acquired new knowledge from outside sources to share what they have learned with others</w:t>
            </w:r>
            <w:r>
              <w:rPr>
                <w:rFonts w:asciiTheme="majorBidi" w:hAnsiTheme="majorBidi" w:cstheme="majorBidi"/>
                <w:color w:val="000000" w:themeColor="text1"/>
                <w:sz w:val="20"/>
                <w:szCs w:val="20"/>
              </w:rPr>
              <w:t>.</w:t>
            </w:r>
          </w:p>
        </w:tc>
        <w:tc>
          <w:tcPr>
            <w:tcW w:w="630" w:type="dxa"/>
          </w:tcPr>
          <w:p w14:paraId="47FF4F74"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2897EADC"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6719CBF7"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63B2BEF6"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5B54C359"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5F6EEF" w14:paraId="6944AE89" w14:textId="77777777" w:rsidTr="001D5F54">
        <w:tc>
          <w:tcPr>
            <w:tcW w:w="1147" w:type="dxa"/>
            <w:vAlign w:val="center"/>
          </w:tcPr>
          <w:p w14:paraId="21262786"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14</w:t>
            </w:r>
          </w:p>
        </w:tc>
        <w:tc>
          <w:tcPr>
            <w:tcW w:w="5760" w:type="dxa"/>
            <w:vAlign w:val="center"/>
          </w:tcPr>
          <w:p w14:paraId="4FC70643" w14:textId="77777777" w:rsidR="00A85428" w:rsidRPr="00AD30A9" w:rsidRDefault="00A85428" w:rsidP="00EB46F7">
            <w:pPr>
              <w:jc w:val="lowKashida"/>
              <w:rPr>
                <w:rFonts w:asciiTheme="majorBidi" w:hAnsiTheme="majorBidi" w:cstheme="majorBidi"/>
                <w:color w:val="000000" w:themeColor="text1"/>
                <w:sz w:val="20"/>
                <w:szCs w:val="20"/>
                <w:rtl/>
              </w:rPr>
            </w:pPr>
            <w:r w:rsidRPr="009A5E10">
              <w:rPr>
                <w:rFonts w:asciiTheme="majorBidi" w:hAnsiTheme="majorBidi" w:cstheme="majorBidi"/>
                <w:color w:val="000000" w:themeColor="text1"/>
                <w:sz w:val="20"/>
                <w:szCs w:val="20"/>
              </w:rPr>
              <w:t>The organization holds regular meetings where colleagues can share successful experiences or resolve work problems.</w:t>
            </w:r>
          </w:p>
        </w:tc>
        <w:tc>
          <w:tcPr>
            <w:tcW w:w="630" w:type="dxa"/>
          </w:tcPr>
          <w:p w14:paraId="2148163A"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65897966"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66031F16"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20CC7173"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5E29162D"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5F6EEF" w14:paraId="63CBDECB" w14:textId="77777777" w:rsidTr="001D5F54">
        <w:tc>
          <w:tcPr>
            <w:tcW w:w="1147" w:type="dxa"/>
            <w:vAlign w:val="center"/>
          </w:tcPr>
          <w:p w14:paraId="0AE8B715"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15</w:t>
            </w:r>
          </w:p>
        </w:tc>
        <w:tc>
          <w:tcPr>
            <w:tcW w:w="5760" w:type="dxa"/>
            <w:vAlign w:val="center"/>
          </w:tcPr>
          <w:p w14:paraId="1CC45708" w14:textId="77777777" w:rsidR="00A85428" w:rsidRPr="00AD30A9" w:rsidRDefault="00A85428" w:rsidP="00EB46F7">
            <w:pPr>
              <w:jc w:val="lowKashida"/>
              <w:rPr>
                <w:rFonts w:asciiTheme="majorBidi" w:hAnsiTheme="majorBidi" w:cstheme="majorBidi"/>
                <w:color w:val="000000" w:themeColor="text1"/>
                <w:sz w:val="20"/>
                <w:szCs w:val="20"/>
                <w:rtl/>
              </w:rPr>
            </w:pPr>
            <w:r w:rsidRPr="009A5E10">
              <w:rPr>
                <w:rFonts w:asciiTheme="majorBidi" w:hAnsiTheme="majorBidi" w:cstheme="majorBidi"/>
                <w:color w:val="000000" w:themeColor="text1"/>
                <w:sz w:val="20"/>
                <w:szCs w:val="20"/>
              </w:rPr>
              <w:t>The organization allows employees to consult their colleagues on problems during work time</w:t>
            </w:r>
            <w:r>
              <w:rPr>
                <w:rFonts w:asciiTheme="majorBidi" w:hAnsiTheme="majorBidi" w:cstheme="majorBidi"/>
                <w:color w:val="000000" w:themeColor="text1"/>
                <w:sz w:val="20"/>
                <w:szCs w:val="20"/>
              </w:rPr>
              <w:t>.</w:t>
            </w:r>
          </w:p>
        </w:tc>
        <w:tc>
          <w:tcPr>
            <w:tcW w:w="630" w:type="dxa"/>
          </w:tcPr>
          <w:p w14:paraId="334B7C70"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71F1A6CE"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5E993009"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35D4A535"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39D2B739"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5F6EEF" w14:paraId="7B2D303A" w14:textId="77777777" w:rsidTr="001D5F54">
        <w:tc>
          <w:tcPr>
            <w:tcW w:w="1147" w:type="dxa"/>
            <w:vAlign w:val="center"/>
          </w:tcPr>
          <w:p w14:paraId="1F2F10D4" w14:textId="77777777" w:rsidR="00A85428" w:rsidRPr="00C56900" w:rsidRDefault="00A85428" w:rsidP="00EB46F7">
            <w:pPr>
              <w:jc w:val="center"/>
              <w:rPr>
                <w:rFonts w:asciiTheme="majorBidi" w:hAnsiTheme="majorBidi" w:cstheme="majorBidi"/>
                <w:i/>
                <w:iCs/>
                <w:szCs w:val="24"/>
              </w:rPr>
            </w:pPr>
            <w:r>
              <w:rPr>
                <w:rFonts w:asciiTheme="majorBidi" w:hAnsiTheme="majorBidi" w:cstheme="majorBidi"/>
                <w:i/>
                <w:iCs/>
                <w:szCs w:val="24"/>
              </w:rPr>
              <w:t>16</w:t>
            </w:r>
          </w:p>
        </w:tc>
        <w:tc>
          <w:tcPr>
            <w:tcW w:w="5760" w:type="dxa"/>
            <w:vAlign w:val="center"/>
          </w:tcPr>
          <w:p w14:paraId="6BA54AE3" w14:textId="77777777" w:rsidR="00A85428" w:rsidRPr="00AD30A9" w:rsidRDefault="00A85428" w:rsidP="00EB46F7">
            <w:pPr>
              <w:jc w:val="lowKashida"/>
              <w:rPr>
                <w:rFonts w:asciiTheme="majorBidi" w:hAnsiTheme="majorBidi" w:cstheme="majorBidi"/>
                <w:color w:val="000000" w:themeColor="text1"/>
                <w:sz w:val="20"/>
                <w:szCs w:val="20"/>
                <w:rtl/>
              </w:rPr>
            </w:pPr>
            <w:r w:rsidRPr="009A5E10">
              <w:rPr>
                <w:rFonts w:asciiTheme="majorBidi" w:hAnsiTheme="majorBidi" w:cstheme="majorBidi"/>
                <w:color w:val="000000" w:themeColor="text1"/>
                <w:sz w:val="20"/>
                <w:szCs w:val="20"/>
              </w:rPr>
              <w:t xml:space="preserve">There are annual conferences concerning certain </w:t>
            </w:r>
            <w:r>
              <w:rPr>
                <w:rFonts w:asciiTheme="majorBidi" w:hAnsiTheme="majorBidi" w:cstheme="majorBidi"/>
                <w:color w:val="000000" w:themeColor="text1"/>
                <w:sz w:val="20"/>
                <w:szCs w:val="20"/>
              </w:rPr>
              <w:t>issues</w:t>
            </w:r>
            <w:r w:rsidRPr="009A5E10">
              <w:rPr>
                <w:rFonts w:asciiTheme="majorBidi" w:hAnsiTheme="majorBidi" w:cstheme="majorBidi"/>
                <w:color w:val="000000" w:themeColor="text1"/>
                <w:sz w:val="20"/>
                <w:szCs w:val="20"/>
              </w:rPr>
              <w:t xml:space="preserve"> that require in-depth discussion among colleagues in our organization</w:t>
            </w:r>
            <w:r>
              <w:rPr>
                <w:rFonts w:asciiTheme="majorBidi" w:hAnsiTheme="majorBidi" w:cstheme="majorBidi"/>
                <w:color w:val="000000" w:themeColor="text1"/>
                <w:sz w:val="20"/>
                <w:szCs w:val="20"/>
              </w:rPr>
              <w:t>.</w:t>
            </w:r>
          </w:p>
        </w:tc>
        <w:tc>
          <w:tcPr>
            <w:tcW w:w="630" w:type="dxa"/>
          </w:tcPr>
          <w:p w14:paraId="3F36D74F"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35EEBA75"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2273DC4B"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51D6EF27"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3DA19711"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5F6EEF" w14:paraId="41332FA1" w14:textId="77777777" w:rsidTr="001D5F54">
        <w:tc>
          <w:tcPr>
            <w:tcW w:w="1147" w:type="dxa"/>
            <w:vAlign w:val="center"/>
          </w:tcPr>
          <w:p w14:paraId="0FA02519" w14:textId="77777777" w:rsidR="00A85428" w:rsidRPr="00C56900" w:rsidRDefault="00A85428" w:rsidP="00EB46F7">
            <w:pPr>
              <w:jc w:val="center"/>
              <w:rPr>
                <w:rFonts w:asciiTheme="majorBidi" w:hAnsiTheme="majorBidi" w:cstheme="majorBidi"/>
                <w:i/>
                <w:iCs/>
                <w:szCs w:val="24"/>
              </w:rPr>
            </w:pPr>
            <w:r>
              <w:rPr>
                <w:rFonts w:asciiTheme="majorBidi" w:hAnsiTheme="majorBidi" w:cstheme="majorBidi"/>
                <w:i/>
                <w:iCs/>
                <w:szCs w:val="24"/>
              </w:rPr>
              <w:t>17</w:t>
            </w:r>
          </w:p>
        </w:tc>
        <w:tc>
          <w:tcPr>
            <w:tcW w:w="5760" w:type="dxa"/>
            <w:vAlign w:val="center"/>
          </w:tcPr>
          <w:p w14:paraId="0DBBE5A9" w14:textId="77777777" w:rsidR="00A85428" w:rsidRPr="00AD30A9" w:rsidRDefault="00A85428" w:rsidP="00EB46F7">
            <w:pPr>
              <w:jc w:val="lowKashida"/>
              <w:rPr>
                <w:rFonts w:asciiTheme="majorBidi" w:hAnsiTheme="majorBidi" w:cstheme="majorBidi"/>
                <w:color w:val="000000" w:themeColor="text1"/>
                <w:sz w:val="20"/>
                <w:szCs w:val="20"/>
                <w:rtl/>
              </w:rPr>
            </w:pPr>
            <w:r w:rsidRPr="009A5E10">
              <w:rPr>
                <w:rFonts w:asciiTheme="majorBidi" w:hAnsiTheme="majorBidi" w:cstheme="majorBidi"/>
                <w:color w:val="000000" w:themeColor="text1"/>
                <w:sz w:val="20"/>
                <w:szCs w:val="20"/>
              </w:rPr>
              <w:t>There are rest rooms available where employees can talk to each other and share experience in our organization</w:t>
            </w:r>
            <w:r>
              <w:rPr>
                <w:rFonts w:asciiTheme="majorBidi" w:hAnsiTheme="majorBidi" w:cstheme="majorBidi"/>
                <w:color w:val="000000" w:themeColor="text1"/>
                <w:sz w:val="20"/>
                <w:szCs w:val="20"/>
              </w:rPr>
              <w:t>.</w:t>
            </w:r>
          </w:p>
        </w:tc>
        <w:tc>
          <w:tcPr>
            <w:tcW w:w="630" w:type="dxa"/>
          </w:tcPr>
          <w:p w14:paraId="7C6632FF"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77BF6016"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03D62B26"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4A420DB9"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63153F88"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5F6EEF" w14:paraId="465B6A04" w14:textId="77777777" w:rsidTr="001D5F54">
        <w:tc>
          <w:tcPr>
            <w:tcW w:w="1147" w:type="dxa"/>
            <w:vAlign w:val="center"/>
          </w:tcPr>
          <w:p w14:paraId="63B70A8E" w14:textId="77777777" w:rsidR="00A85428" w:rsidRPr="00C56900" w:rsidRDefault="00A85428" w:rsidP="00EB46F7">
            <w:pPr>
              <w:jc w:val="center"/>
              <w:rPr>
                <w:rFonts w:asciiTheme="majorBidi" w:hAnsiTheme="majorBidi" w:cstheme="majorBidi"/>
                <w:i/>
                <w:iCs/>
                <w:szCs w:val="24"/>
              </w:rPr>
            </w:pPr>
            <w:r>
              <w:rPr>
                <w:rFonts w:asciiTheme="majorBidi" w:hAnsiTheme="majorBidi" w:cstheme="majorBidi"/>
                <w:i/>
                <w:iCs/>
                <w:szCs w:val="24"/>
              </w:rPr>
              <w:t>18</w:t>
            </w:r>
          </w:p>
        </w:tc>
        <w:tc>
          <w:tcPr>
            <w:tcW w:w="5760" w:type="dxa"/>
            <w:vAlign w:val="center"/>
          </w:tcPr>
          <w:p w14:paraId="001CC5FA" w14:textId="77777777" w:rsidR="00A85428" w:rsidRPr="00AD30A9" w:rsidRDefault="00A85428" w:rsidP="00EB46F7">
            <w:pPr>
              <w:jc w:val="lowKashida"/>
              <w:rPr>
                <w:rFonts w:asciiTheme="majorBidi" w:hAnsiTheme="majorBidi" w:cstheme="majorBidi"/>
                <w:color w:val="000000" w:themeColor="text1"/>
                <w:sz w:val="20"/>
                <w:szCs w:val="20"/>
                <w:rtl/>
              </w:rPr>
            </w:pPr>
            <w:r w:rsidRPr="009A5E10">
              <w:rPr>
                <w:rFonts w:asciiTheme="majorBidi" w:hAnsiTheme="majorBidi" w:cstheme="majorBidi"/>
                <w:color w:val="000000" w:themeColor="text1"/>
                <w:sz w:val="20"/>
                <w:szCs w:val="20"/>
              </w:rPr>
              <w:t>The company assigns every new employee a senior employee and coaching to help him/her during orientation</w:t>
            </w:r>
            <w:r>
              <w:rPr>
                <w:rFonts w:asciiTheme="majorBidi" w:hAnsiTheme="majorBidi" w:cstheme="majorBidi"/>
                <w:color w:val="000000" w:themeColor="text1"/>
                <w:sz w:val="20"/>
                <w:szCs w:val="20"/>
              </w:rPr>
              <w:t>.</w:t>
            </w:r>
          </w:p>
        </w:tc>
        <w:tc>
          <w:tcPr>
            <w:tcW w:w="630" w:type="dxa"/>
          </w:tcPr>
          <w:p w14:paraId="6AE3B9DF"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3D5E86BE"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6E63EA15"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0A181747"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5941A4C8"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5F6EEF" w14:paraId="483692CB" w14:textId="77777777" w:rsidTr="001D5F54">
        <w:tc>
          <w:tcPr>
            <w:tcW w:w="1147" w:type="dxa"/>
            <w:vAlign w:val="center"/>
          </w:tcPr>
          <w:p w14:paraId="3BFF01BB"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19</w:t>
            </w:r>
          </w:p>
        </w:tc>
        <w:tc>
          <w:tcPr>
            <w:tcW w:w="5760" w:type="dxa"/>
            <w:vAlign w:val="center"/>
          </w:tcPr>
          <w:p w14:paraId="40F23A73" w14:textId="77777777" w:rsidR="00A85428" w:rsidRPr="00AD30A9" w:rsidRDefault="00A85428" w:rsidP="00EB46F7">
            <w:pPr>
              <w:jc w:val="lowKashida"/>
              <w:rPr>
                <w:rFonts w:asciiTheme="majorBidi" w:hAnsiTheme="majorBidi" w:cstheme="majorBidi"/>
                <w:color w:val="000000" w:themeColor="text1"/>
                <w:sz w:val="20"/>
                <w:szCs w:val="20"/>
                <w:rtl/>
              </w:rPr>
            </w:pPr>
            <w:r w:rsidRPr="009A5E10">
              <w:rPr>
                <w:rFonts w:asciiTheme="majorBidi" w:hAnsiTheme="majorBidi" w:cstheme="majorBidi"/>
                <w:color w:val="000000" w:themeColor="text1"/>
                <w:sz w:val="20"/>
                <w:szCs w:val="20"/>
              </w:rPr>
              <w:t>The company has mentoring programs in which employees can receive their mentor’s help at any time</w:t>
            </w:r>
            <w:r>
              <w:rPr>
                <w:rFonts w:asciiTheme="majorBidi" w:hAnsiTheme="majorBidi" w:cstheme="majorBidi"/>
                <w:color w:val="000000" w:themeColor="text1"/>
                <w:sz w:val="20"/>
                <w:szCs w:val="20"/>
              </w:rPr>
              <w:t>.</w:t>
            </w:r>
          </w:p>
        </w:tc>
        <w:tc>
          <w:tcPr>
            <w:tcW w:w="630" w:type="dxa"/>
          </w:tcPr>
          <w:p w14:paraId="27B92D9D"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06179FBA"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5357652E"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5AD181E8"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32718636" w14:textId="77777777" w:rsidR="00A85428" w:rsidRPr="00A51404" w:rsidRDefault="00A85428" w:rsidP="00EB46F7">
            <w:pPr>
              <w:jc w:val="center"/>
              <w:rPr>
                <w:rFonts w:cs="Times New Roman"/>
                <w:sz w:val="20"/>
                <w:szCs w:val="20"/>
              </w:rPr>
            </w:pPr>
            <w:r>
              <w:rPr>
                <w:rFonts w:cs="Times New Roman"/>
                <w:sz w:val="20"/>
                <w:szCs w:val="20"/>
              </w:rPr>
              <w:t>5</w:t>
            </w:r>
          </w:p>
        </w:tc>
      </w:tr>
      <w:tr w:rsidR="00677985" w:rsidRPr="005F6EEF" w14:paraId="273376EA" w14:textId="77777777" w:rsidTr="0093109F">
        <w:tc>
          <w:tcPr>
            <w:tcW w:w="1147" w:type="dxa"/>
            <w:shd w:val="clear" w:color="auto" w:fill="D9D9D9" w:themeFill="background1" w:themeFillShade="D9"/>
            <w:vAlign w:val="center"/>
          </w:tcPr>
          <w:p w14:paraId="4F7EB754" w14:textId="77777777" w:rsidR="00677985" w:rsidRDefault="00677985" w:rsidP="00EB46F7">
            <w:pPr>
              <w:jc w:val="center"/>
              <w:rPr>
                <w:rFonts w:asciiTheme="majorBidi" w:hAnsiTheme="majorBidi" w:cstheme="majorBidi"/>
                <w:i/>
                <w:iCs/>
                <w:szCs w:val="24"/>
              </w:rPr>
            </w:pPr>
          </w:p>
        </w:tc>
        <w:tc>
          <w:tcPr>
            <w:tcW w:w="8730" w:type="dxa"/>
            <w:gridSpan w:val="6"/>
            <w:vAlign w:val="center"/>
          </w:tcPr>
          <w:p w14:paraId="7D866090" w14:textId="0B13E5FC" w:rsidR="00677985" w:rsidRDefault="00677985" w:rsidP="001D5F54">
            <w:pPr>
              <w:rPr>
                <w:rFonts w:cs="Times New Roman"/>
                <w:sz w:val="20"/>
                <w:szCs w:val="20"/>
              </w:rPr>
            </w:pPr>
            <w:r w:rsidRPr="001D5F54">
              <w:rPr>
                <w:rFonts w:asciiTheme="majorBidi" w:hAnsiTheme="majorBidi" w:cstheme="majorBidi"/>
                <w:b/>
                <w:bCs/>
                <w:color w:val="000000" w:themeColor="text1"/>
                <w:sz w:val="20"/>
                <w:szCs w:val="20"/>
              </w:rPr>
              <w:t>Ability-enhancing HR practices</w:t>
            </w:r>
          </w:p>
        </w:tc>
      </w:tr>
      <w:tr w:rsidR="00A85428" w:rsidRPr="005F6EEF" w14:paraId="7449113F" w14:textId="77777777" w:rsidTr="001D5F54">
        <w:tc>
          <w:tcPr>
            <w:tcW w:w="1147" w:type="dxa"/>
            <w:vAlign w:val="center"/>
          </w:tcPr>
          <w:p w14:paraId="70AA5307"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20</w:t>
            </w:r>
          </w:p>
        </w:tc>
        <w:tc>
          <w:tcPr>
            <w:tcW w:w="5760" w:type="dxa"/>
            <w:vAlign w:val="center"/>
          </w:tcPr>
          <w:p w14:paraId="51403937" w14:textId="77777777" w:rsidR="00A85428" w:rsidRPr="00AD30A9" w:rsidRDefault="00A85428" w:rsidP="00EB46F7">
            <w:pPr>
              <w:jc w:val="lowKashida"/>
              <w:rPr>
                <w:rFonts w:asciiTheme="majorBidi" w:hAnsiTheme="majorBidi" w:cstheme="majorBidi"/>
                <w:color w:val="000000" w:themeColor="text1"/>
                <w:sz w:val="20"/>
                <w:szCs w:val="20"/>
                <w:rtl/>
              </w:rPr>
            </w:pPr>
            <w:r w:rsidRPr="009A5E10">
              <w:rPr>
                <w:rFonts w:asciiTheme="majorBidi" w:hAnsiTheme="majorBidi" w:cstheme="majorBidi"/>
                <w:color w:val="000000" w:themeColor="text1"/>
                <w:sz w:val="20"/>
                <w:szCs w:val="20"/>
              </w:rPr>
              <w:t>In our organization there are trainings to develop interpersonal communication skills</w:t>
            </w:r>
            <w:r>
              <w:rPr>
                <w:rFonts w:asciiTheme="majorBidi" w:hAnsiTheme="majorBidi" w:cstheme="majorBidi"/>
                <w:color w:val="000000" w:themeColor="text1"/>
                <w:sz w:val="20"/>
                <w:szCs w:val="20"/>
              </w:rPr>
              <w:t>.</w:t>
            </w:r>
          </w:p>
        </w:tc>
        <w:tc>
          <w:tcPr>
            <w:tcW w:w="630" w:type="dxa"/>
          </w:tcPr>
          <w:p w14:paraId="27DFCE9F" w14:textId="77777777" w:rsidR="00A85428" w:rsidRPr="000B1B29" w:rsidRDefault="00A85428" w:rsidP="00EB46F7">
            <w:pPr>
              <w:jc w:val="center"/>
              <w:rPr>
                <w:rFonts w:cs="Times New Roman"/>
                <w:sz w:val="20"/>
                <w:szCs w:val="20"/>
              </w:rPr>
            </w:pPr>
            <w:r w:rsidRPr="000B1B29">
              <w:rPr>
                <w:rFonts w:cs="Times New Roman"/>
                <w:sz w:val="20"/>
                <w:szCs w:val="20"/>
              </w:rPr>
              <w:t>1</w:t>
            </w:r>
          </w:p>
        </w:tc>
        <w:tc>
          <w:tcPr>
            <w:tcW w:w="540" w:type="dxa"/>
          </w:tcPr>
          <w:p w14:paraId="500662DB" w14:textId="77777777" w:rsidR="00A85428" w:rsidRPr="000B1B29" w:rsidRDefault="00A85428" w:rsidP="00EB46F7">
            <w:pPr>
              <w:jc w:val="center"/>
              <w:rPr>
                <w:rFonts w:cs="Times New Roman"/>
                <w:sz w:val="20"/>
                <w:szCs w:val="20"/>
              </w:rPr>
            </w:pPr>
            <w:r w:rsidRPr="000B1B29">
              <w:rPr>
                <w:rFonts w:cs="Times New Roman"/>
                <w:sz w:val="20"/>
                <w:szCs w:val="20"/>
              </w:rPr>
              <w:t>2</w:t>
            </w:r>
          </w:p>
        </w:tc>
        <w:tc>
          <w:tcPr>
            <w:tcW w:w="630" w:type="dxa"/>
          </w:tcPr>
          <w:p w14:paraId="200B5523" w14:textId="77777777" w:rsidR="00A85428" w:rsidRPr="00A51404" w:rsidRDefault="00A85428" w:rsidP="00EB46F7">
            <w:pPr>
              <w:jc w:val="center"/>
              <w:rPr>
                <w:rFonts w:cs="Times New Roman"/>
                <w:sz w:val="20"/>
                <w:szCs w:val="20"/>
              </w:rPr>
            </w:pPr>
            <w:r w:rsidRPr="000B1B29">
              <w:rPr>
                <w:rFonts w:cs="Times New Roman"/>
                <w:sz w:val="20"/>
                <w:szCs w:val="20"/>
              </w:rPr>
              <w:t>3</w:t>
            </w:r>
          </w:p>
        </w:tc>
        <w:tc>
          <w:tcPr>
            <w:tcW w:w="630" w:type="dxa"/>
          </w:tcPr>
          <w:p w14:paraId="6DCDD091"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0BC73501"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5F6EEF" w14:paraId="641FA7D3" w14:textId="77777777" w:rsidTr="001D5F54">
        <w:tc>
          <w:tcPr>
            <w:tcW w:w="1147" w:type="dxa"/>
            <w:vAlign w:val="center"/>
          </w:tcPr>
          <w:p w14:paraId="32278C55"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21</w:t>
            </w:r>
          </w:p>
        </w:tc>
        <w:tc>
          <w:tcPr>
            <w:tcW w:w="5760" w:type="dxa"/>
            <w:vAlign w:val="center"/>
          </w:tcPr>
          <w:p w14:paraId="323F68D4" w14:textId="77777777" w:rsidR="00A85428" w:rsidRPr="00AD30A9" w:rsidRDefault="00A85428" w:rsidP="00EB46F7">
            <w:pPr>
              <w:jc w:val="lowKashida"/>
              <w:rPr>
                <w:rFonts w:asciiTheme="majorBidi" w:hAnsiTheme="majorBidi" w:cstheme="majorBidi"/>
                <w:color w:val="000000" w:themeColor="text1"/>
                <w:sz w:val="20"/>
                <w:szCs w:val="20"/>
                <w:rtl/>
              </w:rPr>
            </w:pPr>
            <w:r w:rsidRPr="009A5E10">
              <w:rPr>
                <w:rFonts w:asciiTheme="majorBidi" w:hAnsiTheme="majorBidi" w:cstheme="majorBidi"/>
                <w:color w:val="000000" w:themeColor="text1"/>
                <w:sz w:val="20"/>
                <w:szCs w:val="20"/>
              </w:rPr>
              <w:t>In our organization there are trainings for teamwork skills</w:t>
            </w:r>
            <w:r>
              <w:rPr>
                <w:rFonts w:asciiTheme="majorBidi" w:hAnsiTheme="majorBidi" w:cstheme="majorBidi"/>
                <w:color w:val="000000" w:themeColor="text1"/>
                <w:sz w:val="20"/>
                <w:szCs w:val="20"/>
              </w:rPr>
              <w:t>.</w:t>
            </w:r>
          </w:p>
        </w:tc>
        <w:tc>
          <w:tcPr>
            <w:tcW w:w="630" w:type="dxa"/>
          </w:tcPr>
          <w:p w14:paraId="45A55F96" w14:textId="77777777" w:rsidR="00A85428" w:rsidRPr="000B1B29" w:rsidRDefault="00A85428" w:rsidP="00EB46F7">
            <w:pPr>
              <w:jc w:val="center"/>
              <w:rPr>
                <w:rFonts w:cs="Times New Roman"/>
                <w:sz w:val="20"/>
                <w:szCs w:val="20"/>
              </w:rPr>
            </w:pPr>
            <w:r w:rsidRPr="000B1B29">
              <w:rPr>
                <w:rFonts w:cs="Times New Roman"/>
                <w:sz w:val="20"/>
                <w:szCs w:val="20"/>
              </w:rPr>
              <w:t>1</w:t>
            </w:r>
          </w:p>
        </w:tc>
        <w:tc>
          <w:tcPr>
            <w:tcW w:w="540" w:type="dxa"/>
          </w:tcPr>
          <w:p w14:paraId="7450DDC6" w14:textId="77777777" w:rsidR="00A85428" w:rsidRPr="000B1B29" w:rsidRDefault="00A85428" w:rsidP="00EB46F7">
            <w:pPr>
              <w:jc w:val="center"/>
              <w:rPr>
                <w:rFonts w:cs="Times New Roman"/>
                <w:sz w:val="20"/>
                <w:szCs w:val="20"/>
              </w:rPr>
            </w:pPr>
            <w:r w:rsidRPr="000B1B29">
              <w:rPr>
                <w:rFonts w:cs="Times New Roman"/>
                <w:sz w:val="20"/>
                <w:szCs w:val="20"/>
              </w:rPr>
              <w:t>2</w:t>
            </w:r>
          </w:p>
        </w:tc>
        <w:tc>
          <w:tcPr>
            <w:tcW w:w="630" w:type="dxa"/>
          </w:tcPr>
          <w:p w14:paraId="5D58DE6D" w14:textId="77777777" w:rsidR="00A85428" w:rsidRPr="000B1B29" w:rsidRDefault="00A85428" w:rsidP="00EB46F7">
            <w:pPr>
              <w:jc w:val="center"/>
              <w:rPr>
                <w:rFonts w:cs="Times New Roman"/>
                <w:sz w:val="20"/>
                <w:szCs w:val="20"/>
              </w:rPr>
            </w:pPr>
            <w:r w:rsidRPr="000B1B29">
              <w:rPr>
                <w:rFonts w:cs="Times New Roman"/>
                <w:sz w:val="20"/>
                <w:szCs w:val="20"/>
              </w:rPr>
              <w:t>3</w:t>
            </w:r>
          </w:p>
        </w:tc>
        <w:tc>
          <w:tcPr>
            <w:tcW w:w="630" w:type="dxa"/>
          </w:tcPr>
          <w:p w14:paraId="3559F236" w14:textId="77777777" w:rsidR="00A85428" w:rsidRPr="00A51404" w:rsidRDefault="00A85428" w:rsidP="00EB46F7">
            <w:pPr>
              <w:jc w:val="center"/>
              <w:rPr>
                <w:rFonts w:cs="Times New Roman"/>
                <w:sz w:val="20"/>
                <w:szCs w:val="20"/>
              </w:rPr>
            </w:pPr>
            <w:r w:rsidRPr="000B1B29">
              <w:rPr>
                <w:rFonts w:cs="Times New Roman"/>
                <w:sz w:val="20"/>
                <w:szCs w:val="20"/>
              </w:rPr>
              <w:t>4</w:t>
            </w:r>
          </w:p>
        </w:tc>
        <w:tc>
          <w:tcPr>
            <w:tcW w:w="540" w:type="dxa"/>
          </w:tcPr>
          <w:p w14:paraId="56ADC9B2"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5F6EEF" w14:paraId="1B9AA823" w14:textId="77777777" w:rsidTr="001D5F54">
        <w:tc>
          <w:tcPr>
            <w:tcW w:w="1147" w:type="dxa"/>
            <w:vAlign w:val="center"/>
          </w:tcPr>
          <w:p w14:paraId="2D7634A7"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22</w:t>
            </w:r>
          </w:p>
        </w:tc>
        <w:tc>
          <w:tcPr>
            <w:tcW w:w="5760" w:type="dxa"/>
            <w:vAlign w:val="center"/>
          </w:tcPr>
          <w:p w14:paraId="2ACEACD5" w14:textId="77777777" w:rsidR="00A85428" w:rsidRPr="00AD30A9" w:rsidRDefault="00A85428" w:rsidP="00EB46F7">
            <w:pPr>
              <w:jc w:val="lowKashida"/>
              <w:rPr>
                <w:rFonts w:asciiTheme="majorBidi" w:hAnsiTheme="majorBidi" w:cstheme="majorBidi"/>
                <w:sz w:val="20"/>
                <w:szCs w:val="20"/>
                <w:rtl/>
              </w:rPr>
            </w:pPr>
            <w:r w:rsidRPr="005F6EEF">
              <w:rPr>
                <w:rFonts w:asciiTheme="majorBidi" w:hAnsiTheme="majorBidi" w:cstheme="majorBidi"/>
                <w:sz w:val="20"/>
                <w:szCs w:val="20"/>
              </w:rPr>
              <w:t>The organization provides trainings to develop skills of self-reflection and knowledge externalization</w:t>
            </w:r>
            <w:r>
              <w:rPr>
                <w:rFonts w:asciiTheme="majorBidi" w:hAnsiTheme="majorBidi" w:cstheme="majorBidi"/>
                <w:sz w:val="20"/>
                <w:szCs w:val="20"/>
              </w:rPr>
              <w:t>.</w:t>
            </w:r>
          </w:p>
        </w:tc>
        <w:tc>
          <w:tcPr>
            <w:tcW w:w="630" w:type="dxa"/>
          </w:tcPr>
          <w:p w14:paraId="55C929C4"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21541B7F"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32AFA211"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16E9323B"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0B38C2ED" w14:textId="77777777" w:rsidR="00A85428" w:rsidRPr="00A51404" w:rsidRDefault="00A85428" w:rsidP="00EB46F7">
            <w:pPr>
              <w:jc w:val="center"/>
              <w:rPr>
                <w:rFonts w:cs="Times New Roman"/>
                <w:sz w:val="20"/>
                <w:szCs w:val="20"/>
              </w:rPr>
            </w:pPr>
            <w:r>
              <w:rPr>
                <w:rFonts w:cs="Times New Roman"/>
                <w:sz w:val="20"/>
                <w:szCs w:val="20"/>
              </w:rPr>
              <w:t>5</w:t>
            </w:r>
          </w:p>
        </w:tc>
      </w:tr>
      <w:tr w:rsidR="00677985" w:rsidRPr="005F6EEF" w14:paraId="12A46DD8" w14:textId="77777777" w:rsidTr="0093109F">
        <w:tc>
          <w:tcPr>
            <w:tcW w:w="1147" w:type="dxa"/>
            <w:tcBorders>
              <w:bottom w:val="nil"/>
            </w:tcBorders>
            <w:shd w:val="clear" w:color="auto" w:fill="D9D9D9" w:themeFill="background1" w:themeFillShade="D9"/>
            <w:vAlign w:val="center"/>
          </w:tcPr>
          <w:p w14:paraId="448E7C8D" w14:textId="77777777" w:rsidR="00677985" w:rsidRDefault="00677985" w:rsidP="00EB46F7">
            <w:pPr>
              <w:jc w:val="center"/>
              <w:rPr>
                <w:rFonts w:asciiTheme="majorBidi" w:hAnsiTheme="majorBidi" w:cstheme="majorBidi"/>
                <w:i/>
                <w:iCs/>
                <w:szCs w:val="24"/>
              </w:rPr>
            </w:pPr>
          </w:p>
        </w:tc>
        <w:tc>
          <w:tcPr>
            <w:tcW w:w="8730" w:type="dxa"/>
            <w:gridSpan w:val="6"/>
            <w:vAlign w:val="bottom"/>
          </w:tcPr>
          <w:p w14:paraId="735EB075" w14:textId="3CA8A06F" w:rsidR="00677985" w:rsidRDefault="00677985" w:rsidP="001D5F54">
            <w:pPr>
              <w:rPr>
                <w:rFonts w:cs="Times New Roman"/>
                <w:sz w:val="20"/>
                <w:szCs w:val="20"/>
              </w:rPr>
            </w:pPr>
            <w:r w:rsidRPr="00DA2166">
              <w:rPr>
                <w:rFonts w:cs="Times New Roman"/>
                <w:b/>
                <w:bCs/>
                <w:sz w:val="20"/>
                <w:szCs w:val="20"/>
              </w:rPr>
              <w:t>Section D</w:t>
            </w:r>
          </w:p>
        </w:tc>
      </w:tr>
      <w:tr w:rsidR="00677985" w:rsidRPr="005F6EEF" w14:paraId="15FDD11A" w14:textId="77777777" w:rsidTr="0093109F">
        <w:tc>
          <w:tcPr>
            <w:tcW w:w="1147" w:type="dxa"/>
            <w:tcBorders>
              <w:top w:val="nil"/>
            </w:tcBorders>
            <w:shd w:val="clear" w:color="auto" w:fill="D9D9D9" w:themeFill="background1" w:themeFillShade="D9"/>
            <w:vAlign w:val="center"/>
          </w:tcPr>
          <w:p w14:paraId="286805CC" w14:textId="77777777" w:rsidR="00677985" w:rsidRDefault="00677985" w:rsidP="00EB46F7">
            <w:pPr>
              <w:jc w:val="center"/>
              <w:rPr>
                <w:rFonts w:asciiTheme="majorBidi" w:hAnsiTheme="majorBidi" w:cstheme="majorBidi"/>
                <w:i/>
                <w:iCs/>
                <w:szCs w:val="24"/>
              </w:rPr>
            </w:pPr>
          </w:p>
        </w:tc>
        <w:tc>
          <w:tcPr>
            <w:tcW w:w="8730" w:type="dxa"/>
            <w:gridSpan w:val="6"/>
            <w:vAlign w:val="bottom"/>
          </w:tcPr>
          <w:p w14:paraId="53B65C3F" w14:textId="07A18577" w:rsidR="00677985" w:rsidRDefault="00677985" w:rsidP="001D5F54">
            <w:pPr>
              <w:rPr>
                <w:rFonts w:cs="Times New Roman"/>
                <w:sz w:val="20"/>
                <w:szCs w:val="20"/>
              </w:rPr>
            </w:pPr>
            <w:r w:rsidRPr="001D5F54">
              <w:rPr>
                <w:rFonts w:cs="Times New Roman"/>
                <w:b/>
                <w:bCs/>
                <w:sz w:val="20"/>
                <w:szCs w:val="20"/>
              </w:rPr>
              <w:t>Organizational learning</w:t>
            </w:r>
          </w:p>
        </w:tc>
      </w:tr>
      <w:tr w:rsidR="00A85428" w:rsidRPr="005F6EEF" w14:paraId="5B8A5F59" w14:textId="77777777" w:rsidTr="001D5F54">
        <w:tc>
          <w:tcPr>
            <w:tcW w:w="1147" w:type="dxa"/>
            <w:vAlign w:val="center"/>
          </w:tcPr>
          <w:p w14:paraId="1730F65F"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23</w:t>
            </w:r>
          </w:p>
        </w:tc>
        <w:tc>
          <w:tcPr>
            <w:tcW w:w="5760" w:type="dxa"/>
            <w:vAlign w:val="bottom"/>
          </w:tcPr>
          <w:p w14:paraId="4C686211" w14:textId="77777777" w:rsidR="00A85428" w:rsidRPr="009A5E10" w:rsidRDefault="00A85428" w:rsidP="00EB46F7">
            <w:pPr>
              <w:jc w:val="lowKashida"/>
              <w:rPr>
                <w:rFonts w:ascii="Sakkal Majalla" w:hAnsi="Sakkal Majalla" w:cs="Sakkal Majalla"/>
                <w:color w:val="000000" w:themeColor="text1"/>
                <w:szCs w:val="24"/>
                <w:rtl/>
                <w:lang w:bidi="ar-AE"/>
              </w:rPr>
            </w:pPr>
            <w:r w:rsidRPr="000B1B29">
              <w:rPr>
                <w:rFonts w:asciiTheme="majorBidi" w:hAnsiTheme="majorBidi" w:cstheme="majorBidi"/>
                <w:color w:val="000000" w:themeColor="text1"/>
                <w:sz w:val="20"/>
                <w:szCs w:val="20"/>
              </w:rPr>
              <w:t>Our employees are encouraged to learn from experience</w:t>
            </w:r>
            <w:r>
              <w:rPr>
                <w:rFonts w:ascii="AdvPS405B6" w:hAnsi="AdvPS405B6" w:cs="AdvPS405B6"/>
                <w:sz w:val="17"/>
                <w:szCs w:val="17"/>
              </w:rPr>
              <w:t>.</w:t>
            </w:r>
          </w:p>
        </w:tc>
        <w:tc>
          <w:tcPr>
            <w:tcW w:w="630" w:type="dxa"/>
          </w:tcPr>
          <w:p w14:paraId="5B8711EC"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67C76C37"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688F5FE1"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5F5E3C23"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3D35FF27"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5F6EEF" w14:paraId="2589CAC9" w14:textId="77777777" w:rsidTr="001D5F54">
        <w:tc>
          <w:tcPr>
            <w:tcW w:w="1147" w:type="dxa"/>
            <w:vAlign w:val="center"/>
          </w:tcPr>
          <w:p w14:paraId="6678AD8D"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24</w:t>
            </w:r>
          </w:p>
        </w:tc>
        <w:tc>
          <w:tcPr>
            <w:tcW w:w="5760" w:type="dxa"/>
            <w:vAlign w:val="bottom"/>
          </w:tcPr>
          <w:p w14:paraId="3EA6DA5B" w14:textId="77777777" w:rsidR="00A85428" w:rsidRPr="009A5E10" w:rsidRDefault="00A85428" w:rsidP="00EB46F7">
            <w:pPr>
              <w:jc w:val="lowKashida"/>
              <w:rPr>
                <w:rFonts w:ascii="Sakkal Majalla" w:hAnsi="Sakkal Majalla" w:cs="Sakkal Majalla"/>
                <w:color w:val="000000" w:themeColor="text1"/>
                <w:szCs w:val="24"/>
                <w:rtl/>
                <w:lang w:bidi="ar-AE"/>
              </w:rPr>
            </w:pPr>
            <w:r w:rsidRPr="000B1B29">
              <w:rPr>
                <w:rFonts w:asciiTheme="majorBidi" w:hAnsiTheme="majorBidi" w:cstheme="majorBidi"/>
                <w:color w:val="000000" w:themeColor="text1"/>
                <w:sz w:val="20"/>
                <w:szCs w:val="20"/>
              </w:rPr>
              <w:t>Our employees are encouraged to share knowledge</w:t>
            </w:r>
            <w:r>
              <w:rPr>
                <w:rFonts w:ascii="AdvPS405B6" w:hAnsi="AdvPS405B6" w:cs="AdvPS405B6"/>
                <w:sz w:val="17"/>
                <w:szCs w:val="17"/>
              </w:rPr>
              <w:t>.</w:t>
            </w:r>
          </w:p>
        </w:tc>
        <w:tc>
          <w:tcPr>
            <w:tcW w:w="630" w:type="dxa"/>
          </w:tcPr>
          <w:p w14:paraId="2213B0A0"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686B9C40"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035630F3"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1CA08AC2"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55F7FBF5"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5F6EEF" w14:paraId="029DB9C1" w14:textId="77777777" w:rsidTr="001D5F54">
        <w:tc>
          <w:tcPr>
            <w:tcW w:w="1147" w:type="dxa"/>
            <w:vAlign w:val="center"/>
          </w:tcPr>
          <w:p w14:paraId="32354043"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25</w:t>
            </w:r>
          </w:p>
        </w:tc>
        <w:tc>
          <w:tcPr>
            <w:tcW w:w="5760" w:type="dxa"/>
            <w:vAlign w:val="bottom"/>
          </w:tcPr>
          <w:p w14:paraId="3FEF0981" w14:textId="77777777" w:rsidR="00A85428" w:rsidRPr="00AD30A9" w:rsidRDefault="00A85428" w:rsidP="00EB46F7">
            <w:pPr>
              <w:rPr>
                <w:rFonts w:asciiTheme="majorBidi" w:hAnsiTheme="majorBidi" w:cstheme="majorBidi"/>
                <w:color w:val="000000" w:themeColor="text1"/>
                <w:sz w:val="20"/>
                <w:szCs w:val="20"/>
                <w:rtl/>
              </w:rPr>
            </w:pPr>
            <w:r w:rsidRPr="000B1B29">
              <w:rPr>
                <w:rFonts w:asciiTheme="majorBidi" w:hAnsiTheme="majorBidi" w:cstheme="majorBidi"/>
                <w:color w:val="000000" w:themeColor="text1"/>
                <w:sz w:val="20"/>
                <w:szCs w:val="20"/>
              </w:rPr>
              <w:t>Our management and employees are continuously encouraged to share their thoughts,</w:t>
            </w:r>
            <w:r>
              <w:rPr>
                <w:rFonts w:asciiTheme="majorBidi" w:hAnsiTheme="majorBidi" w:cstheme="majorBidi" w:hint="cs"/>
                <w:color w:val="000000" w:themeColor="text1"/>
                <w:sz w:val="20"/>
                <w:szCs w:val="20"/>
                <w:rtl/>
              </w:rPr>
              <w:t xml:space="preserve"> </w:t>
            </w:r>
            <w:r w:rsidRPr="000B1B29">
              <w:rPr>
                <w:rFonts w:asciiTheme="majorBidi" w:hAnsiTheme="majorBidi" w:cstheme="majorBidi"/>
                <w:color w:val="000000" w:themeColor="text1"/>
                <w:sz w:val="20"/>
                <w:szCs w:val="20"/>
              </w:rPr>
              <w:t>goals and ideas</w:t>
            </w:r>
            <w:r>
              <w:rPr>
                <w:rFonts w:asciiTheme="majorBidi" w:hAnsiTheme="majorBidi" w:cstheme="majorBidi"/>
                <w:color w:val="000000" w:themeColor="text1"/>
                <w:sz w:val="20"/>
                <w:szCs w:val="20"/>
              </w:rPr>
              <w:t>.</w:t>
            </w:r>
          </w:p>
        </w:tc>
        <w:tc>
          <w:tcPr>
            <w:tcW w:w="630" w:type="dxa"/>
          </w:tcPr>
          <w:p w14:paraId="504C786C"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20B4A9EB"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4DE75850"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3F33DAE4"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436130E6" w14:textId="77777777" w:rsidR="00A85428" w:rsidRPr="00A51404" w:rsidRDefault="00A85428" w:rsidP="00EB46F7">
            <w:pPr>
              <w:jc w:val="center"/>
              <w:rPr>
                <w:rFonts w:cs="Times New Roman"/>
                <w:sz w:val="20"/>
                <w:szCs w:val="20"/>
              </w:rPr>
            </w:pPr>
            <w:r>
              <w:rPr>
                <w:rFonts w:cs="Times New Roman"/>
                <w:sz w:val="20"/>
                <w:szCs w:val="20"/>
              </w:rPr>
              <w:t>5</w:t>
            </w:r>
          </w:p>
        </w:tc>
      </w:tr>
      <w:tr w:rsidR="00A85428" w:rsidRPr="005F6EEF" w14:paraId="3170B3E2" w14:textId="77777777" w:rsidTr="001D5F54">
        <w:tc>
          <w:tcPr>
            <w:tcW w:w="1147" w:type="dxa"/>
            <w:tcBorders>
              <w:bottom w:val="single" w:sz="4" w:space="0" w:color="auto"/>
            </w:tcBorders>
            <w:vAlign w:val="center"/>
          </w:tcPr>
          <w:p w14:paraId="77EBDE8D" w14:textId="77777777" w:rsidR="00A85428" w:rsidRPr="000F17EA" w:rsidRDefault="00A85428" w:rsidP="00EB46F7">
            <w:pPr>
              <w:jc w:val="center"/>
              <w:rPr>
                <w:rFonts w:asciiTheme="majorBidi" w:hAnsiTheme="majorBidi" w:cstheme="majorBidi"/>
                <w:i/>
                <w:iCs/>
                <w:szCs w:val="24"/>
              </w:rPr>
            </w:pPr>
            <w:r>
              <w:rPr>
                <w:rFonts w:asciiTheme="majorBidi" w:hAnsiTheme="majorBidi" w:cstheme="majorBidi"/>
                <w:i/>
                <w:iCs/>
                <w:szCs w:val="24"/>
              </w:rPr>
              <w:t>26</w:t>
            </w:r>
          </w:p>
        </w:tc>
        <w:tc>
          <w:tcPr>
            <w:tcW w:w="5760" w:type="dxa"/>
            <w:vAlign w:val="bottom"/>
          </w:tcPr>
          <w:p w14:paraId="2EC5C555" w14:textId="77777777" w:rsidR="00A85428" w:rsidRPr="00AD30A9" w:rsidRDefault="00A85428" w:rsidP="00EB46F7">
            <w:pPr>
              <w:jc w:val="lowKashida"/>
              <w:rPr>
                <w:rFonts w:asciiTheme="majorBidi" w:hAnsiTheme="majorBidi" w:cstheme="majorBidi"/>
                <w:color w:val="000000" w:themeColor="text1"/>
                <w:sz w:val="20"/>
                <w:szCs w:val="20"/>
                <w:rtl/>
              </w:rPr>
            </w:pPr>
            <w:r w:rsidRPr="000B1B29">
              <w:rPr>
                <w:rFonts w:ascii="AdvPS405B6" w:hAnsi="AdvPS405B6" w:cs="AdvPS405B6"/>
                <w:sz w:val="20"/>
                <w:szCs w:val="20"/>
              </w:rPr>
              <w:t>We appreciate trying out new ideas so much that we tolerate occasional error</w:t>
            </w:r>
            <w:r>
              <w:rPr>
                <w:rFonts w:asciiTheme="majorBidi" w:hAnsiTheme="majorBidi" w:cstheme="majorBidi"/>
                <w:color w:val="000000" w:themeColor="text1"/>
                <w:sz w:val="20"/>
                <w:szCs w:val="20"/>
              </w:rPr>
              <w:t>.</w:t>
            </w:r>
          </w:p>
        </w:tc>
        <w:tc>
          <w:tcPr>
            <w:tcW w:w="630" w:type="dxa"/>
          </w:tcPr>
          <w:p w14:paraId="74300CE4" w14:textId="77777777" w:rsidR="00A85428" w:rsidRPr="00A51404" w:rsidRDefault="00A85428" w:rsidP="00EB46F7">
            <w:pPr>
              <w:jc w:val="center"/>
              <w:rPr>
                <w:rFonts w:cs="Times New Roman"/>
                <w:sz w:val="20"/>
                <w:szCs w:val="20"/>
              </w:rPr>
            </w:pPr>
            <w:r>
              <w:rPr>
                <w:rFonts w:cs="Times New Roman"/>
                <w:sz w:val="20"/>
                <w:szCs w:val="20"/>
              </w:rPr>
              <w:t>1</w:t>
            </w:r>
          </w:p>
        </w:tc>
        <w:tc>
          <w:tcPr>
            <w:tcW w:w="540" w:type="dxa"/>
          </w:tcPr>
          <w:p w14:paraId="726B7DD0" w14:textId="77777777" w:rsidR="00A85428" w:rsidRPr="00A51404" w:rsidRDefault="00A85428" w:rsidP="00EB46F7">
            <w:pPr>
              <w:jc w:val="center"/>
              <w:rPr>
                <w:rFonts w:cs="Times New Roman"/>
                <w:sz w:val="20"/>
                <w:szCs w:val="20"/>
              </w:rPr>
            </w:pPr>
            <w:r>
              <w:rPr>
                <w:rFonts w:cs="Times New Roman"/>
                <w:sz w:val="20"/>
                <w:szCs w:val="20"/>
              </w:rPr>
              <w:t>2</w:t>
            </w:r>
          </w:p>
        </w:tc>
        <w:tc>
          <w:tcPr>
            <w:tcW w:w="630" w:type="dxa"/>
          </w:tcPr>
          <w:p w14:paraId="20C67F7D" w14:textId="77777777" w:rsidR="00A85428" w:rsidRPr="00A51404" w:rsidRDefault="00A85428" w:rsidP="00EB46F7">
            <w:pPr>
              <w:jc w:val="center"/>
              <w:rPr>
                <w:rFonts w:cs="Times New Roman"/>
                <w:sz w:val="20"/>
                <w:szCs w:val="20"/>
              </w:rPr>
            </w:pPr>
            <w:r>
              <w:rPr>
                <w:rFonts w:cs="Times New Roman"/>
                <w:sz w:val="20"/>
                <w:szCs w:val="20"/>
              </w:rPr>
              <w:t>3</w:t>
            </w:r>
          </w:p>
        </w:tc>
        <w:tc>
          <w:tcPr>
            <w:tcW w:w="630" w:type="dxa"/>
          </w:tcPr>
          <w:p w14:paraId="7A1599AD" w14:textId="77777777" w:rsidR="00A85428" w:rsidRPr="00A51404" w:rsidRDefault="00A85428" w:rsidP="00EB46F7">
            <w:pPr>
              <w:jc w:val="center"/>
              <w:rPr>
                <w:rFonts w:cs="Times New Roman"/>
                <w:sz w:val="20"/>
                <w:szCs w:val="20"/>
              </w:rPr>
            </w:pPr>
            <w:r>
              <w:rPr>
                <w:rFonts w:cs="Times New Roman"/>
                <w:sz w:val="20"/>
                <w:szCs w:val="20"/>
              </w:rPr>
              <w:t>4</w:t>
            </w:r>
          </w:p>
        </w:tc>
        <w:tc>
          <w:tcPr>
            <w:tcW w:w="540" w:type="dxa"/>
          </w:tcPr>
          <w:p w14:paraId="29B575B0" w14:textId="77777777" w:rsidR="00A85428" w:rsidRPr="00A51404" w:rsidRDefault="00A85428" w:rsidP="00EB46F7">
            <w:pPr>
              <w:jc w:val="center"/>
              <w:rPr>
                <w:rFonts w:cs="Times New Roman"/>
                <w:sz w:val="20"/>
                <w:szCs w:val="20"/>
              </w:rPr>
            </w:pPr>
            <w:r>
              <w:rPr>
                <w:rFonts w:cs="Times New Roman"/>
                <w:sz w:val="20"/>
                <w:szCs w:val="20"/>
              </w:rPr>
              <w:t>5</w:t>
            </w:r>
          </w:p>
        </w:tc>
      </w:tr>
      <w:tr w:rsidR="00677985" w:rsidRPr="008D0417" w14:paraId="470037F1" w14:textId="77777777" w:rsidTr="0093109F">
        <w:trPr>
          <w:trHeight w:hRule="exact" w:val="424"/>
        </w:trPr>
        <w:tc>
          <w:tcPr>
            <w:tcW w:w="1147" w:type="dxa"/>
            <w:tcBorders>
              <w:bottom w:val="nil"/>
            </w:tcBorders>
            <w:shd w:val="clear" w:color="auto" w:fill="D9D9D9" w:themeFill="background1" w:themeFillShade="D9"/>
            <w:vAlign w:val="center"/>
          </w:tcPr>
          <w:p w14:paraId="73DF1A17" w14:textId="77777777" w:rsidR="00677985" w:rsidRDefault="00677985" w:rsidP="00EB46F7">
            <w:pPr>
              <w:spacing w:line="276" w:lineRule="auto"/>
              <w:jc w:val="center"/>
              <w:rPr>
                <w:rFonts w:asciiTheme="majorBidi" w:hAnsiTheme="majorBidi" w:cstheme="majorBidi"/>
                <w:i/>
                <w:iCs/>
                <w:color w:val="000000" w:themeColor="text1"/>
                <w:szCs w:val="24"/>
              </w:rPr>
            </w:pPr>
          </w:p>
        </w:tc>
        <w:tc>
          <w:tcPr>
            <w:tcW w:w="8730" w:type="dxa"/>
            <w:gridSpan w:val="6"/>
            <w:shd w:val="clear" w:color="auto" w:fill="auto"/>
            <w:vAlign w:val="center"/>
          </w:tcPr>
          <w:p w14:paraId="4832269D" w14:textId="04BA518C" w:rsidR="00677985" w:rsidRPr="009A5E10" w:rsidRDefault="00677985" w:rsidP="001D5F54">
            <w:pPr>
              <w:spacing w:line="276" w:lineRule="auto"/>
              <w:rPr>
                <w:rFonts w:cs="Times New Roman"/>
                <w:color w:val="000000" w:themeColor="text1"/>
                <w:sz w:val="20"/>
                <w:szCs w:val="20"/>
              </w:rPr>
            </w:pPr>
            <w:r w:rsidRPr="001D5F54">
              <w:rPr>
                <w:rFonts w:asciiTheme="majorBidi" w:hAnsiTheme="majorBidi" w:cstheme="majorBidi"/>
                <w:b/>
                <w:bCs/>
                <w:color w:val="000000" w:themeColor="text1"/>
                <w:sz w:val="20"/>
                <w:szCs w:val="20"/>
              </w:rPr>
              <w:t>Section E</w:t>
            </w:r>
          </w:p>
        </w:tc>
      </w:tr>
      <w:tr w:rsidR="00677985" w:rsidRPr="008D0417" w14:paraId="4F1A13F8" w14:textId="77777777" w:rsidTr="0093109F">
        <w:trPr>
          <w:trHeight w:hRule="exact" w:val="424"/>
        </w:trPr>
        <w:tc>
          <w:tcPr>
            <w:tcW w:w="1147" w:type="dxa"/>
            <w:tcBorders>
              <w:top w:val="nil"/>
            </w:tcBorders>
            <w:shd w:val="clear" w:color="auto" w:fill="D9D9D9" w:themeFill="background1" w:themeFillShade="D9"/>
            <w:vAlign w:val="center"/>
          </w:tcPr>
          <w:p w14:paraId="19C25262" w14:textId="77777777" w:rsidR="00677985" w:rsidRDefault="00677985" w:rsidP="00EB46F7">
            <w:pPr>
              <w:spacing w:line="276" w:lineRule="auto"/>
              <w:jc w:val="center"/>
              <w:rPr>
                <w:rFonts w:asciiTheme="majorBidi" w:hAnsiTheme="majorBidi" w:cstheme="majorBidi"/>
                <w:i/>
                <w:iCs/>
                <w:color w:val="000000" w:themeColor="text1"/>
                <w:szCs w:val="24"/>
              </w:rPr>
            </w:pPr>
          </w:p>
        </w:tc>
        <w:tc>
          <w:tcPr>
            <w:tcW w:w="8730" w:type="dxa"/>
            <w:gridSpan w:val="6"/>
            <w:shd w:val="clear" w:color="auto" w:fill="auto"/>
            <w:vAlign w:val="center"/>
          </w:tcPr>
          <w:p w14:paraId="1AA1DFF9" w14:textId="37F14DFC" w:rsidR="00677985" w:rsidRPr="009A5E10" w:rsidRDefault="00677985" w:rsidP="001D5F54">
            <w:pPr>
              <w:spacing w:line="276" w:lineRule="auto"/>
              <w:rPr>
                <w:rFonts w:cs="Times New Roman"/>
                <w:color w:val="000000" w:themeColor="text1"/>
                <w:sz w:val="20"/>
                <w:szCs w:val="20"/>
              </w:rPr>
            </w:pPr>
            <w:r w:rsidRPr="001D5F54">
              <w:rPr>
                <w:rFonts w:asciiTheme="majorBidi" w:hAnsiTheme="majorBidi" w:cstheme="majorBidi"/>
                <w:b/>
                <w:bCs/>
                <w:color w:val="000000" w:themeColor="text1"/>
                <w:sz w:val="20"/>
                <w:szCs w:val="20"/>
              </w:rPr>
              <w:t xml:space="preserve">Knowledge management benefits </w:t>
            </w:r>
          </w:p>
        </w:tc>
      </w:tr>
      <w:tr w:rsidR="00A85428" w:rsidRPr="008D0417" w14:paraId="6DA0DE74" w14:textId="77777777" w:rsidTr="001D5F54">
        <w:trPr>
          <w:trHeight w:hRule="exact" w:val="424"/>
        </w:trPr>
        <w:tc>
          <w:tcPr>
            <w:tcW w:w="1147" w:type="dxa"/>
            <w:shd w:val="clear" w:color="auto" w:fill="auto"/>
            <w:vAlign w:val="center"/>
          </w:tcPr>
          <w:p w14:paraId="4BB1C1DD" w14:textId="77777777" w:rsidR="00A85428" w:rsidRPr="000F17EA" w:rsidRDefault="00A85428" w:rsidP="00EB46F7">
            <w:pPr>
              <w:spacing w:line="276" w:lineRule="auto"/>
              <w:jc w:val="center"/>
              <w:rPr>
                <w:rFonts w:asciiTheme="majorBidi" w:hAnsiTheme="majorBidi" w:cstheme="majorBidi"/>
                <w:i/>
                <w:iCs/>
                <w:color w:val="000000" w:themeColor="text1"/>
                <w:szCs w:val="24"/>
              </w:rPr>
            </w:pPr>
            <w:r>
              <w:rPr>
                <w:rFonts w:asciiTheme="majorBidi" w:hAnsiTheme="majorBidi" w:cstheme="majorBidi"/>
                <w:i/>
                <w:iCs/>
                <w:color w:val="000000" w:themeColor="text1"/>
                <w:szCs w:val="24"/>
              </w:rPr>
              <w:t>27</w:t>
            </w:r>
          </w:p>
        </w:tc>
        <w:tc>
          <w:tcPr>
            <w:tcW w:w="5760" w:type="dxa"/>
            <w:shd w:val="clear" w:color="auto" w:fill="auto"/>
            <w:vAlign w:val="center"/>
          </w:tcPr>
          <w:p w14:paraId="7D67102D" w14:textId="77777777" w:rsidR="00A85428" w:rsidRPr="00AD30A9" w:rsidRDefault="00A85428" w:rsidP="00EB46F7">
            <w:pPr>
              <w:spacing w:line="276" w:lineRule="auto"/>
              <w:rPr>
                <w:rFonts w:asciiTheme="majorBidi" w:hAnsiTheme="majorBidi" w:cstheme="majorBidi"/>
                <w:color w:val="000000" w:themeColor="text1"/>
                <w:sz w:val="20"/>
                <w:szCs w:val="20"/>
                <w:rtl/>
              </w:rPr>
            </w:pPr>
            <w:r>
              <w:rPr>
                <w:rFonts w:asciiTheme="majorBidi" w:hAnsiTheme="majorBidi" w:cstheme="majorBidi"/>
                <w:color w:val="000000" w:themeColor="text1"/>
                <w:sz w:val="20"/>
                <w:szCs w:val="20"/>
              </w:rPr>
              <w:t>KM benefit helps drives strategy.</w:t>
            </w:r>
          </w:p>
        </w:tc>
        <w:tc>
          <w:tcPr>
            <w:tcW w:w="630" w:type="dxa"/>
          </w:tcPr>
          <w:p w14:paraId="75E486D4"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1</w:t>
            </w:r>
          </w:p>
        </w:tc>
        <w:tc>
          <w:tcPr>
            <w:tcW w:w="540" w:type="dxa"/>
          </w:tcPr>
          <w:p w14:paraId="5B157637"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2</w:t>
            </w:r>
          </w:p>
        </w:tc>
        <w:tc>
          <w:tcPr>
            <w:tcW w:w="630" w:type="dxa"/>
          </w:tcPr>
          <w:p w14:paraId="6164F7EA"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3</w:t>
            </w:r>
          </w:p>
        </w:tc>
        <w:tc>
          <w:tcPr>
            <w:tcW w:w="630" w:type="dxa"/>
          </w:tcPr>
          <w:p w14:paraId="7987C756"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4</w:t>
            </w:r>
          </w:p>
        </w:tc>
        <w:tc>
          <w:tcPr>
            <w:tcW w:w="540" w:type="dxa"/>
          </w:tcPr>
          <w:p w14:paraId="68F72DB1"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5</w:t>
            </w:r>
          </w:p>
        </w:tc>
      </w:tr>
      <w:tr w:rsidR="00A85428" w:rsidRPr="008D0417" w14:paraId="27D24A20" w14:textId="77777777" w:rsidTr="001D5F54">
        <w:trPr>
          <w:trHeight w:hRule="exact" w:val="361"/>
        </w:trPr>
        <w:tc>
          <w:tcPr>
            <w:tcW w:w="1147" w:type="dxa"/>
            <w:shd w:val="clear" w:color="auto" w:fill="auto"/>
            <w:vAlign w:val="center"/>
          </w:tcPr>
          <w:p w14:paraId="4F82EB58" w14:textId="77777777" w:rsidR="00A85428" w:rsidRPr="000F17EA" w:rsidRDefault="00A85428" w:rsidP="00EB46F7">
            <w:pPr>
              <w:spacing w:line="276" w:lineRule="auto"/>
              <w:jc w:val="center"/>
              <w:rPr>
                <w:rFonts w:asciiTheme="majorBidi" w:hAnsiTheme="majorBidi" w:cstheme="majorBidi"/>
                <w:i/>
                <w:iCs/>
                <w:color w:val="000000" w:themeColor="text1"/>
                <w:szCs w:val="24"/>
              </w:rPr>
            </w:pPr>
            <w:r>
              <w:rPr>
                <w:rFonts w:asciiTheme="majorBidi" w:hAnsiTheme="majorBidi" w:cstheme="majorBidi"/>
                <w:i/>
                <w:iCs/>
                <w:color w:val="000000" w:themeColor="text1"/>
                <w:szCs w:val="24"/>
              </w:rPr>
              <w:t>28</w:t>
            </w:r>
          </w:p>
        </w:tc>
        <w:tc>
          <w:tcPr>
            <w:tcW w:w="5760" w:type="dxa"/>
            <w:shd w:val="clear" w:color="auto" w:fill="auto"/>
            <w:vAlign w:val="center"/>
          </w:tcPr>
          <w:p w14:paraId="6C8B7BB0" w14:textId="77777777" w:rsidR="00A85428" w:rsidRPr="00AD30A9" w:rsidRDefault="00A85428" w:rsidP="00EB46F7">
            <w:pPr>
              <w:spacing w:line="276" w:lineRule="auto"/>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KM benefit solves problems quickly.</w:t>
            </w:r>
          </w:p>
        </w:tc>
        <w:tc>
          <w:tcPr>
            <w:tcW w:w="630" w:type="dxa"/>
          </w:tcPr>
          <w:p w14:paraId="3E14FE48"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1</w:t>
            </w:r>
          </w:p>
        </w:tc>
        <w:tc>
          <w:tcPr>
            <w:tcW w:w="540" w:type="dxa"/>
          </w:tcPr>
          <w:p w14:paraId="466BE700"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2</w:t>
            </w:r>
          </w:p>
        </w:tc>
        <w:tc>
          <w:tcPr>
            <w:tcW w:w="630" w:type="dxa"/>
          </w:tcPr>
          <w:p w14:paraId="3489B27C"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3</w:t>
            </w:r>
          </w:p>
        </w:tc>
        <w:tc>
          <w:tcPr>
            <w:tcW w:w="630" w:type="dxa"/>
          </w:tcPr>
          <w:p w14:paraId="2190FD77"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4</w:t>
            </w:r>
          </w:p>
        </w:tc>
        <w:tc>
          <w:tcPr>
            <w:tcW w:w="540" w:type="dxa"/>
          </w:tcPr>
          <w:p w14:paraId="52587D78"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5</w:t>
            </w:r>
          </w:p>
        </w:tc>
      </w:tr>
      <w:tr w:rsidR="00A85428" w:rsidRPr="008D0417" w14:paraId="5C24B8B1" w14:textId="77777777" w:rsidTr="001D5F54">
        <w:trPr>
          <w:trHeight w:hRule="exact" w:val="361"/>
        </w:trPr>
        <w:tc>
          <w:tcPr>
            <w:tcW w:w="1147" w:type="dxa"/>
            <w:shd w:val="clear" w:color="auto" w:fill="auto"/>
            <w:vAlign w:val="center"/>
          </w:tcPr>
          <w:p w14:paraId="497265D2" w14:textId="77777777" w:rsidR="00A85428" w:rsidRPr="000F17EA" w:rsidRDefault="00A85428" w:rsidP="00EB46F7">
            <w:pPr>
              <w:spacing w:line="276" w:lineRule="auto"/>
              <w:jc w:val="center"/>
              <w:rPr>
                <w:rFonts w:asciiTheme="majorBidi" w:hAnsiTheme="majorBidi" w:cstheme="majorBidi"/>
                <w:i/>
                <w:iCs/>
                <w:color w:val="000000" w:themeColor="text1"/>
                <w:szCs w:val="24"/>
              </w:rPr>
            </w:pPr>
            <w:r>
              <w:rPr>
                <w:rFonts w:asciiTheme="majorBidi" w:hAnsiTheme="majorBidi" w:cstheme="majorBidi"/>
                <w:i/>
                <w:iCs/>
                <w:color w:val="000000" w:themeColor="text1"/>
                <w:szCs w:val="24"/>
              </w:rPr>
              <w:t>29</w:t>
            </w:r>
          </w:p>
        </w:tc>
        <w:tc>
          <w:tcPr>
            <w:tcW w:w="5760" w:type="dxa"/>
            <w:shd w:val="clear" w:color="auto" w:fill="auto"/>
            <w:vAlign w:val="center"/>
          </w:tcPr>
          <w:p w14:paraId="44B90BF8" w14:textId="77777777" w:rsidR="00A85428" w:rsidRPr="00AD30A9" w:rsidRDefault="00A85428" w:rsidP="00EB46F7">
            <w:pPr>
              <w:spacing w:line="276" w:lineRule="auto"/>
              <w:rPr>
                <w:rFonts w:asciiTheme="majorBidi" w:hAnsiTheme="majorBidi" w:cstheme="majorBidi"/>
                <w:color w:val="000000" w:themeColor="text1"/>
                <w:sz w:val="20"/>
                <w:szCs w:val="20"/>
                <w:rtl/>
              </w:rPr>
            </w:pPr>
            <w:r>
              <w:rPr>
                <w:rFonts w:asciiTheme="majorBidi" w:hAnsiTheme="majorBidi" w:cstheme="majorBidi"/>
                <w:color w:val="000000" w:themeColor="text1"/>
                <w:sz w:val="20"/>
                <w:szCs w:val="20"/>
              </w:rPr>
              <w:t>KM benefit diffuse best practices.</w:t>
            </w:r>
          </w:p>
        </w:tc>
        <w:tc>
          <w:tcPr>
            <w:tcW w:w="630" w:type="dxa"/>
          </w:tcPr>
          <w:p w14:paraId="0A0D0B67"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1</w:t>
            </w:r>
          </w:p>
        </w:tc>
        <w:tc>
          <w:tcPr>
            <w:tcW w:w="540" w:type="dxa"/>
          </w:tcPr>
          <w:p w14:paraId="317B2DE2"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2</w:t>
            </w:r>
          </w:p>
        </w:tc>
        <w:tc>
          <w:tcPr>
            <w:tcW w:w="630" w:type="dxa"/>
          </w:tcPr>
          <w:p w14:paraId="5D9C0B2B"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3</w:t>
            </w:r>
          </w:p>
        </w:tc>
        <w:tc>
          <w:tcPr>
            <w:tcW w:w="630" w:type="dxa"/>
          </w:tcPr>
          <w:p w14:paraId="4665692E"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4</w:t>
            </w:r>
          </w:p>
        </w:tc>
        <w:tc>
          <w:tcPr>
            <w:tcW w:w="540" w:type="dxa"/>
          </w:tcPr>
          <w:p w14:paraId="3B80ED84"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5</w:t>
            </w:r>
          </w:p>
        </w:tc>
      </w:tr>
      <w:tr w:rsidR="00A85428" w:rsidRPr="008D0417" w14:paraId="3D75B3F5" w14:textId="77777777" w:rsidTr="001D5F54">
        <w:trPr>
          <w:trHeight w:hRule="exact" w:val="361"/>
        </w:trPr>
        <w:tc>
          <w:tcPr>
            <w:tcW w:w="1147" w:type="dxa"/>
            <w:shd w:val="clear" w:color="auto" w:fill="auto"/>
            <w:vAlign w:val="center"/>
          </w:tcPr>
          <w:p w14:paraId="07CE530B" w14:textId="77777777" w:rsidR="00A85428" w:rsidRPr="000F17EA" w:rsidRDefault="00A85428" w:rsidP="00EB46F7">
            <w:pPr>
              <w:spacing w:line="276" w:lineRule="auto"/>
              <w:jc w:val="center"/>
              <w:rPr>
                <w:rFonts w:asciiTheme="majorBidi" w:hAnsiTheme="majorBidi" w:cstheme="majorBidi"/>
                <w:i/>
                <w:iCs/>
                <w:color w:val="000000" w:themeColor="text1"/>
                <w:szCs w:val="24"/>
              </w:rPr>
            </w:pPr>
            <w:r>
              <w:rPr>
                <w:rFonts w:asciiTheme="majorBidi" w:hAnsiTheme="majorBidi" w:cstheme="majorBidi"/>
                <w:i/>
                <w:iCs/>
                <w:color w:val="000000" w:themeColor="text1"/>
                <w:szCs w:val="24"/>
              </w:rPr>
              <w:t>30</w:t>
            </w:r>
          </w:p>
        </w:tc>
        <w:tc>
          <w:tcPr>
            <w:tcW w:w="5760" w:type="dxa"/>
            <w:shd w:val="clear" w:color="auto" w:fill="auto"/>
            <w:vAlign w:val="center"/>
          </w:tcPr>
          <w:p w14:paraId="11548053" w14:textId="77777777" w:rsidR="00A85428" w:rsidRPr="00AD30A9" w:rsidRDefault="00A85428" w:rsidP="00EB46F7">
            <w:pPr>
              <w:spacing w:line="276" w:lineRule="auto"/>
              <w:rPr>
                <w:rFonts w:asciiTheme="majorBidi" w:hAnsiTheme="majorBidi" w:cstheme="majorBidi"/>
                <w:color w:val="000000" w:themeColor="text1"/>
                <w:sz w:val="20"/>
                <w:szCs w:val="20"/>
                <w:rtl/>
              </w:rPr>
            </w:pPr>
            <w:r>
              <w:rPr>
                <w:rFonts w:asciiTheme="majorBidi" w:hAnsiTheme="majorBidi" w:cstheme="majorBidi"/>
                <w:color w:val="000000" w:themeColor="text1"/>
                <w:sz w:val="20"/>
                <w:szCs w:val="20"/>
              </w:rPr>
              <w:t>KM benefit i</w:t>
            </w:r>
            <w:r w:rsidRPr="009A5E10">
              <w:rPr>
                <w:rFonts w:asciiTheme="majorBidi" w:hAnsiTheme="majorBidi" w:cstheme="majorBidi"/>
                <w:color w:val="000000" w:themeColor="text1"/>
                <w:sz w:val="20"/>
                <w:szCs w:val="20"/>
              </w:rPr>
              <w:t xml:space="preserve">mproves </w:t>
            </w:r>
            <w:r>
              <w:rPr>
                <w:rFonts w:asciiTheme="majorBidi" w:hAnsiTheme="majorBidi" w:cstheme="majorBidi"/>
                <w:color w:val="000000" w:themeColor="text1"/>
                <w:sz w:val="20"/>
                <w:szCs w:val="20"/>
              </w:rPr>
              <w:t>knowledge embedded in services.</w:t>
            </w:r>
          </w:p>
        </w:tc>
        <w:tc>
          <w:tcPr>
            <w:tcW w:w="630" w:type="dxa"/>
          </w:tcPr>
          <w:p w14:paraId="71CBB3E3"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1</w:t>
            </w:r>
          </w:p>
        </w:tc>
        <w:tc>
          <w:tcPr>
            <w:tcW w:w="540" w:type="dxa"/>
          </w:tcPr>
          <w:p w14:paraId="2EC0ED19"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2</w:t>
            </w:r>
          </w:p>
        </w:tc>
        <w:tc>
          <w:tcPr>
            <w:tcW w:w="630" w:type="dxa"/>
          </w:tcPr>
          <w:p w14:paraId="3A54A5A2"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3</w:t>
            </w:r>
          </w:p>
        </w:tc>
        <w:tc>
          <w:tcPr>
            <w:tcW w:w="630" w:type="dxa"/>
          </w:tcPr>
          <w:p w14:paraId="5C63119D"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4</w:t>
            </w:r>
          </w:p>
        </w:tc>
        <w:tc>
          <w:tcPr>
            <w:tcW w:w="540" w:type="dxa"/>
          </w:tcPr>
          <w:p w14:paraId="5FA7A51A"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5</w:t>
            </w:r>
          </w:p>
        </w:tc>
      </w:tr>
      <w:tr w:rsidR="00A85428" w:rsidRPr="008D0417" w14:paraId="1A3BA052" w14:textId="77777777" w:rsidTr="001D5F54">
        <w:trPr>
          <w:trHeight w:hRule="exact" w:val="370"/>
        </w:trPr>
        <w:tc>
          <w:tcPr>
            <w:tcW w:w="1147" w:type="dxa"/>
            <w:shd w:val="clear" w:color="auto" w:fill="auto"/>
            <w:vAlign w:val="center"/>
          </w:tcPr>
          <w:p w14:paraId="67858BDA" w14:textId="77777777" w:rsidR="00A85428" w:rsidRPr="000F17EA" w:rsidRDefault="00A85428" w:rsidP="00EB46F7">
            <w:pPr>
              <w:spacing w:line="276" w:lineRule="auto"/>
              <w:jc w:val="center"/>
              <w:rPr>
                <w:rFonts w:asciiTheme="majorBidi" w:hAnsiTheme="majorBidi" w:cstheme="majorBidi"/>
                <w:i/>
                <w:iCs/>
                <w:color w:val="000000" w:themeColor="text1"/>
                <w:szCs w:val="24"/>
              </w:rPr>
            </w:pPr>
            <w:r>
              <w:rPr>
                <w:rFonts w:asciiTheme="majorBidi" w:hAnsiTheme="majorBidi" w:cstheme="majorBidi"/>
                <w:i/>
                <w:iCs/>
                <w:color w:val="000000" w:themeColor="text1"/>
                <w:szCs w:val="24"/>
              </w:rPr>
              <w:t>31</w:t>
            </w:r>
          </w:p>
        </w:tc>
        <w:tc>
          <w:tcPr>
            <w:tcW w:w="5760" w:type="dxa"/>
            <w:shd w:val="clear" w:color="auto" w:fill="auto"/>
            <w:vAlign w:val="center"/>
          </w:tcPr>
          <w:p w14:paraId="09531FD6" w14:textId="77777777" w:rsidR="00A85428" w:rsidRPr="00AD30A9" w:rsidRDefault="00A85428" w:rsidP="00EB46F7">
            <w:pPr>
              <w:spacing w:line="276" w:lineRule="auto"/>
              <w:rPr>
                <w:rFonts w:asciiTheme="majorBidi" w:hAnsiTheme="majorBidi" w:cstheme="majorBidi"/>
                <w:color w:val="000000" w:themeColor="text1"/>
                <w:sz w:val="20"/>
                <w:szCs w:val="20"/>
                <w:rtl/>
              </w:rPr>
            </w:pPr>
            <w:r>
              <w:rPr>
                <w:rFonts w:asciiTheme="majorBidi" w:hAnsiTheme="majorBidi" w:cstheme="majorBidi"/>
                <w:color w:val="000000" w:themeColor="text1"/>
                <w:sz w:val="20"/>
                <w:szCs w:val="20"/>
              </w:rPr>
              <w:t>Cross-fertilizes ideas and increased opportunities for innovation.</w:t>
            </w:r>
          </w:p>
        </w:tc>
        <w:tc>
          <w:tcPr>
            <w:tcW w:w="630" w:type="dxa"/>
          </w:tcPr>
          <w:p w14:paraId="54F90EF6"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1</w:t>
            </w:r>
          </w:p>
        </w:tc>
        <w:tc>
          <w:tcPr>
            <w:tcW w:w="540" w:type="dxa"/>
          </w:tcPr>
          <w:p w14:paraId="71BFD260"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2</w:t>
            </w:r>
          </w:p>
        </w:tc>
        <w:tc>
          <w:tcPr>
            <w:tcW w:w="630" w:type="dxa"/>
          </w:tcPr>
          <w:p w14:paraId="66F69300"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3</w:t>
            </w:r>
          </w:p>
        </w:tc>
        <w:tc>
          <w:tcPr>
            <w:tcW w:w="630" w:type="dxa"/>
          </w:tcPr>
          <w:p w14:paraId="1C725705"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4</w:t>
            </w:r>
          </w:p>
        </w:tc>
        <w:tc>
          <w:tcPr>
            <w:tcW w:w="540" w:type="dxa"/>
          </w:tcPr>
          <w:p w14:paraId="6981237F"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5</w:t>
            </w:r>
          </w:p>
        </w:tc>
      </w:tr>
      <w:tr w:rsidR="00A85428" w:rsidRPr="008D0417" w14:paraId="4E11C539" w14:textId="77777777" w:rsidTr="001D5F54">
        <w:trPr>
          <w:trHeight w:hRule="exact" w:val="352"/>
        </w:trPr>
        <w:tc>
          <w:tcPr>
            <w:tcW w:w="1147" w:type="dxa"/>
            <w:shd w:val="clear" w:color="auto" w:fill="auto"/>
            <w:vAlign w:val="center"/>
          </w:tcPr>
          <w:p w14:paraId="7C8233D1" w14:textId="77777777" w:rsidR="00A85428" w:rsidRPr="000F17EA" w:rsidRDefault="00A85428" w:rsidP="00EB46F7">
            <w:pPr>
              <w:spacing w:line="276" w:lineRule="auto"/>
              <w:jc w:val="center"/>
              <w:rPr>
                <w:rFonts w:asciiTheme="majorBidi" w:hAnsiTheme="majorBidi" w:cstheme="majorBidi"/>
                <w:i/>
                <w:iCs/>
                <w:color w:val="000000" w:themeColor="text1"/>
                <w:szCs w:val="24"/>
              </w:rPr>
            </w:pPr>
            <w:r>
              <w:rPr>
                <w:rFonts w:asciiTheme="majorBidi" w:hAnsiTheme="majorBidi" w:cstheme="majorBidi"/>
                <w:i/>
                <w:iCs/>
                <w:color w:val="000000" w:themeColor="text1"/>
                <w:szCs w:val="24"/>
              </w:rPr>
              <w:t>32</w:t>
            </w:r>
          </w:p>
        </w:tc>
        <w:tc>
          <w:tcPr>
            <w:tcW w:w="5760" w:type="dxa"/>
            <w:shd w:val="clear" w:color="auto" w:fill="auto"/>
            <w:vAlign w:val="center"/>
          </w:tcPr>
          <w:p w14:paraId="2A0AC473" w14:textId="77777777" w:rsidR="00A85428" w:rsidRPr="00AD30A9" w:rsidRDefault="00A85428" w:rsidP="00EB46F7">
            <w:pPr>
              <w:spacing w:line="276" w:lineRule="auto"/>
              <w:rPr>
                <w:rFonts w:asciiTheme="majorBidi" w:hAnsiTheme="majorBidi" w:cstheme="majorBidi"/>
                <w:color w:val="000000" w:themeColor="text1"/>
                <w:sz w:val="20"/>
                <w:szCs w:val="20"/>
                <w:rtl/>
              </w:rPr>
            </w:pPr>
            <w:r>
              <w:rPr>
                <w:rFonts w:asciiTheme="majorBidi" w:hAnsiTheme="majorBidi" w:cstheme="majorBidi"/>
                <w:color w:val="000000" w:themeColor="text1"/>
                <w:sz w:val="20"/>
                <w:szCs w:val="20"/>
              </w:rPr>
              <w:t>KM benefit enables organization to stay ahead of the competition better.</w:t>
            </w:r>
          </w:p>
        </w:tc>
        <w:tc>
          <w:tcPr>
            <w:tcW w:w="630" w:type="dxa"/>
          </w:tcPr>
          <w:p w14:paraId="7A1F3C6D"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1</w:t>
            </w:r>
          </w:p>
        </w:tc>
        <w:tc>
          <w:tcPr>
            <w:tcW w:w="540" w:type="dxa"/>
          </w:tcPr>
          <w:p w14:paraId="1B5E1AD6"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2</w:t>
            </w:r>
          </w:p>
        </w:tc>
        <w:tc>
          <w:tcPr>
            <w:tcW w:w="630" w:type="dxa"/>
          </w:tcPr>
          <w:p w14:paraId="04383353"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3</w:t>
            </w:r>
          </w:p>
        </w:tc>
        <w:tc>
          <w:tcPr>
            <w:tcW w:w="630" w:type="dxa"/>
          </w:tcPr>
          <w:p w14:paraId="7B15B7BD"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4</w:t>
            </w:r>
          </w:p>
        </w:tc>
        <w:tc>
          <w:tcPr>
            <w:tcW w:w="540" w:type="dxa"/>
          </w:tcPr>
          <w:p w14:paraId="0B36BD88"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5</w:t>
            </w:r>
          </w:p>
        </w:tc>
      </w:tr>
      <w:tr w:rsidR="00A85428" w:rsidRPr="008D0417" w14:paraId="73E0829D" w14:textId="77777777" w:rsidTr="001D5F54">
        <w:trPr>
          <w:trHeight w:hRule="exact" w:val="361"/>
        </w:trPr>
        <w:tc>
          <w:tcPr>
            <w:tcW w:w="1147" w:type="dxa"/>
            <w:shd w:val="clear" w:color="auto" w:fill="auto"/>
            <w:vAlign w:val="center"/>
          </w:tcPr>
          <w:p w14:paraId="1AC80C1A" w14:textId="77777777" w:rsidR="00A85428" w:rsidRPr="000F17EA" w:rsidRDefault="00A85428" w:rsidP="00EB46F7">
            <w:pPr>
              <w:spacing w:line="276" w:lineRule="auto"/>
              <w:jc w:val="center"/>
              <w:rPr>
                <w:rFonts w:asciiTheme="majorBidi" w:hAnsiTheme="majorBidi" w:cstheme="majorBidi"/>
                <w:i/>
                <w:iCs/>
                <w:color w:val="000000" w:themeColor="text1"/>
                <w:szCs w:val="24"/>
              </w:rPr>
            </w:pPr>
            <w:r>
              <w:rPr>
                <w:rFonts w:asciiTheme="majorBidi" w:hAnsiTheme="majorBidi" w:cstheme="majorBidi"/>
                <w:i/>
                <w:iCs/>
                <w:color w:val="000000" w:themeColor="text1"/>
                <w:szCs w:val="24"/>
              </w:rPr>
              <w:t>33</w:t>
            </w:r>
          </w:p>
        </w:tc>
        <w:tc>
          <w:tcPr>
            <w:tcW w:w="5760" w:type="dxa"/>
            <w:shd w:val="clear" w:color="auto" w:fill="auto"/>
            <w:vAlign w:val="center"/>
          </w:tcPr>
          <w:p w14:paraId="0785069C" w14:textId="77777777" w:rsidR="00A85428" w:rsidRPr="000B1B29" w:rsidRDefault="00A85428" w:rsidP="00EB46F7">
            <w:pPr>
              <w:spacing w:line="276" w:lineRule="auto"/>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KM benefit builds organizations memory. </w:t>
            </w:r>
          </w:p>
          <w:p w14:paraId="155B34E3" w14:textId="77777777" w:rsidR="00A85428" w:rsidRPr="009A5E10" w:rsidRDefault="00A85428" w:rsidP="00EB46F7">
            <w:pPr>
              <w:bidi/>
              <w:spacing w:line="276" w:lineRule="auto"/>
              <w:rPr>
                <w:rFonts w:ascii="Sakkal Majalla" w:hAnsi="Sakkal Majalla" w:cs="Sakkal Majalla"/>
                <w:color w:val="000000" w:themeColor="text1"/>
                <w:szCs w:val="24"/>
                <w:rtl/>
                <w:lang w:bidi="ar-AE"/>
              </w:rPr>
            </w:pPr>
          </w:p>
        </w:tc>
        <w:tc>
          <w:tcPr>
            <w:tcW w:w="630" w:type="dxa"/>
          </w:tcPr>
          <w:p w14:paraId="6708B45D"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1</w:t>
            </w:r>
          </w:p>
        </w:tc>
        <w:tc>
          <w:tcPr>
            <w:tcW w:w="540" w:type="dxa"/>
          </w:tcPr>
          <w:p w14:paraId="53FC5410"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2</w:t>
            </w:r>
          </w:p>
        </w:tc>
        <w:tc>
          <w:tcPr>
            <w:tcW w:w="630" w:type="dxa"/>
          </w:tcPr>
          <w:p w14:paraId="1231C275"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3</w:t>
            </w:r>
          </w:p>
        </w:tc>
        <w:tc>
          <w:tcPr>
            <w:tcW w:w="630" w:type="dxa"/>
          </w:tcPr>
          <w:p w14:paraId="19FDB169"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4</w:t>
            </w:r>
          </w:p>
        </w:tc>
        <w:tc>
          <w:tcPr>
            <w:tcW w:w="540" w:type="dxa"/>
          </w:tcPr>
          <w:p w14:paraId="348BD7BF" w14:textId="77777777" w:rsidR="00A85428" w:rsidRPr="009A5E10" w:rsidRDefault="00A85428" w:rsidP="00EB46F7">
            <w:pPr>
              <w:spacing w:line="276" w:lineRule="auto"/>
              <w:jc w:val="center"/>
              <w:rPr>
                <w:rFonts w:cs="Times New Roman"/>
                <w:color w:val="000000" w:themeColor="text1"/>
                <w:sz w:val="20"/>
                <w:szCs w:val="20"/>
              </w:rPr>
            </w:pPr>
            <w:r w:rsidRPr="009A5E10">
              <w:rPr>
                <w:rFonts w:cs="Times New Roman"/>
                <w:color w:val="000000" w:themeColor="text1"/>
                <w:sz w:val="20"/>
                <w:szCs w:val="20"/>
              </w:rPr>
              <w:t>5</w:t>
            </w:r>
          </w:p>
        </w:tc>
      </w:tr>
    </w:tbl>
    <w:p w14:paraId="602C0CD0" w14:textId="77777777" w:rsidR="007C79F2" w:rsidRPr="002A7627" w:rsidRDefault="007C79F2" w:rsidP="007C79F2">
      <w:pPr>
        <w:spacing w:line="480" w:lineRule="auto"/>
      </w:pPr>
    </w:p>
    <w:p w14:paraId="7EB0EB4B" w14:textId="77777777" w:rsidR="00C41F2A" w:rsidRPr="00215E40" w:rsidRDefault="00C41F2A" w:rsidP="00C41F2A">
      <w:pPr>
        <w:spacing w:line="480" w:lineRule="auto"/>
      </w:pPr>
    </w:p>
    <w:p w14:paraId="643F958E" w14:textId="77777777" w:rsidR="00C41F2A" w:rsidRPr="00215E40" w:rsidRDefault="00C41F2A" w:rsidP="00C41F2A">
      <w:pPr>
        <w:spacing w:line="480" w:lineRule="auto"/>
      </w:pPr>
    </w:p>
    <w:p w14:paraId="7659456B" w14:textId="77777777" w:rsidR="00C41F2A" w:rsidRPr="00215E40" w:rsidRDefault="00C41F2A" w:rsidP="00C41F2A">
      <w:pPr>
        <w:spacing w:line="480" w:lineRule="auto"/>
      </w:pPr>
    </w:p>
    <w:p w14:paraId="5866AAFC" w14:textId="129D366D" w:rsidR="00492925" w:rsidRDefault="00492925" w:rsidP="00C41F2A">
      <w:pPr>
        <w:spacing w:line="480" w:lineRule="auto"/>
      </w:pPr>
    </w:p>
    <w:p w14:paraId="343DC01A" w14:textId="1ACAA50B" w:rsidR="00492925" w:rsidRDefault="00492925" w:rsidP="00C41F2A">
      <w:pPr>
        <w:spacing w:line="480" w:lineRule="auto"/>
      </w:pPr>
    </w:p>
    <w:p w14:paraId="0F32D26C" w14:textId="1A1D6F38" w:rsidR="00492925" w:rsidRDefault="00492925" w:rsidP="00C41F2A">
      <w:pPr>
        <w:spacing w:line="480" w:lineRule="auto"/>
      </w:pPr>
    </w:p>
    <w:p w14:paraId="3A53AC9A" w14:textId="39781D60" w:rsidR="00492925" w:rsidRDefault="00492925" w:rsidP="005833E7">
      <w:pPr>
        <w:pStyle w:val="Heading2"/>
        <w:jc w:val="center"/>
      </w:pPr>
      <w:bookmarkStart w:id="312" w:name="_Toc22331730"/>
      <w:r w:rsidRPr="002A7627">
        <w:t xml:space="preserve">Appendix </w:t>
      </w:r>
      <w:r>
        <w:t>2</w:t>
      </w:r>
      <w:r w:rsidRPr="002A7627">
        <w:t xml:space="preserve">: </w:t>
      </w:r>
      <w:r w:rsidR="007B10C7">
        <w:t>IRB approval</w:t>
      </w:r>
      <w:bookmarkEnd w:id="312"/>
    </w:p>
    <w:p w14:paraId="752183D5" w14:textId="39C0B85A" w:rsidR="002B59B1" w:rsidRDefault="005833E7" w:rsidP="00492925">
      <w:pPr>
        <w:jc w:val="center"/>
        <w:rPr>
          <w:b/>
          <w:bCs/>
        </w:rPr>
      </w:pPr>
      <w:r>
        <w:rPr>
          <w:noProof/>
          <w:lang w:val="en-GB" w:eastAsia="en-GB"/>
        </w:rPr>
        <w:drawing>
          <wp:inline distT="0" distB="0" distL="0" distR="0" wp14:anchorId="316D264B" wp14:editId="7C4E41DC">
            <wp:extent cx="5029200" cy="4933760"/>
            <wp:effectExtent l="0" t="0" r="0" b="635"/>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3066" t="17852" r="30129" b="5682"/>
                    <a:stretch/>
                  </pic:blipFill>
                  <pic:spPr bwMode="auto">
                    <a:xfrm>
                      <a:off x="0" y="0"/>
                      <a:ext cx="5029200" cy="4933760"/>
                    </a:xfrm>
                    <a:prstGeom prst="rect">
                      <a:avLst/>
                    </a:prstGeom>
                    <a:ln>
                      <a:noFill/>
                    </a:ln>
                    <a:extLst>
                      <a:ext uri="{53640926-AAD7-44D8-BBD7-CCE9431645EC}">
                        <a14:shadowObscured xmlns:a14="http://schemas.microsoft.com/office/drawing/2010/main"/>
                      </a:ext>
                    </a:extLst>
                  </pic:spPr>
                </pic:pic>
              </a:graphicData>
            </a:graphic>
          </wp:inline>
        </w:drawing>
      </w:r>
    </w:p>
    <w:p w14:paraId="08F6813B" w14:textId="6F0879FA" w:rsidR="002B59B1" w:rsidRDefault="002B59B1" w:rsidP="00492925">
      <w:pPr>
        <w:jc w:val="center"/>
        <w:rPr>
          <w:b/>
          <w:bCs/>
        </w:rPr>
      </w:pPr>
    </w:p>
    <w:p w14:paraId="333C5B77" w14:textId="0DE88771" w:rsidR="002B59B1" w:rsidRDefault="002B59B1" w:rsidP="00492925">
      <w:pPr>
        <w:jc w:val="center"/>
        <w:rPr>
          <w:b/>
          <w:bCs/>
        </w:rPr>
      </w:pPr>
    </w:p>
    <w:p w14:paraId="2CA0B7F1" w14:textId="2CBD73BD" w:rsidR="009973C7" w:rsidRDefault="009973C7" w:rsidP="00492925">
      <w:pPr>
        <w:jc w:val="center"/>
        <w:rPr>
          <w:b/>
          <w:bCs/>
        </w:rPr>
      </w:pPr>
    </w:p>
    <w:p w14:paraId="7B0DF5AB" w14:textId="6196A36B" w:rsidR="009973C7" w:rsidRDefault="009973C7" w:rsidP="00492925">
      <w:pPr>
        <w:jc w:val="center"/>
        <w:rPr>
          <w:b/>
          <w:bCs/>
        </w:rPr>
      </w:pPr>
    </w:p>
    <w:p w14:paraId="6B083B47" w14:textId="35D6F2DA" w:rsidR="009973C7" w:rsidRDefault="009973C7" w:rsidP="00492925">
      <w:pPr>
        <w:jc w:val="center"/>
        <w:rPr>
          <w:b/>
          <w:bCs/>
        </w:rPr>
      </w:pPr>
    </w:p>
    <w:p w14:paraId="122F69F1" w14:textId="400006BC" w:rsidR="009973C7" w:rsidRDefault="009973C7" w:rsidP="00492925">
      <w:pPr>
        <w:jc w:val="center"/>
        <w:rPr>
          <w:b/>
          <w:bCs/>
        </w:rPr>
      </w:pPr>
    </w:p>
    <w:p w14:paraId="5C0F3F60" w14:textId="4FFF20FD" w:rsidR="009973C7" w:rsidRDefault="009973C7" w:rsidP="00492925">
      <w:pPr>
        <w:jc w:val="center"/>
        <w:rPr>
          <w:b/>
          <w:bCs/>
        </w:rPr>
      </w:pPr>
    </w:p>
    <w:p w14:paraId="09A15EF5" w14:textId="0EC496B4" w:rsidR="009973C7" w:rsidRDefault="009973C7" w:rsidP="00492925">
      <w:pPr>
        <w:jc w:val="center"/>
        <w:rPr>
          <w:b/>
          <w:bCs/>
        </w:rPr>
      </w:pPr>
    </w:p>
    <w:p w14:paraId="4B31C79D" w14:textId="4FC39D43" w:rsidR="009973C7" w:rsidRDefault="009973C7" w:rsidP="00492925">
      <w:pPr>
        <w:jc w:val="center"/>
        <w:rPr>
          <w:b/>
          <w:bCs/>
        </w:rPr>
      </w:pPr>
    </w:p>
    <w:p w14:paraId="1E74FB45" w14:textId="08D83713" w:rsidR="009973C7" w:rsidRDefault="009973C7" w:rsidP="00492925">
      <w:pPr>
        <w:jc w:val="center"/>
        <w:rPr>
          <w:b/>
          <w:bCs/>
        </w:rPr>
      </w:pPr>
    </w:p>
    <w:p w14:paraId="69C57F6F" w14:textId="58B6B39E" w:rsidR="009973C7" w:rsidRDefault="009973C7" w:rsidP="00492925">
      <w:pPr>
        <w:jc w:val="center"/>
        <w:rPr>
          <w:b/>
          <w:bCs/>
        </w:rPr>
      </w:pPr>
    </w:p>
    <w:p w14:paraId="74159C9F" w14:textId="7C267300" w:rsidR="009973C7" w:rsidRDefault="009973C7" w:rsidP="00492925">
      <w:pPr>
        <w:jc w:val="center"/>
        <w:rPr>
          <w:b/>
          <w:bCs/>
        </w:rPr>
      </w:pPr>
    </w:p>
    <w:p w14:paraId="3B24C257" w14:textId="33C783B1" w:rsidR="00324FA8" w:rsidRDefault="00324FA8" w:rsidP="005833E7">
      <w:pPr>
        <w:pStyle w:val="Heading2"/>
        <w:jc w:val="center"/>
      </w:pPr>
      <w:bookmarkStart w:id="313" w:name="_Toc22331731"/>
      <w:r w:rsidRPr="002A7627">
        <w:t xml:space="preserve">Appendix </w:t>
      </w:r>
      <w:r>
        <w:t>3</w:t>
      </w:r>
      <w:r w:rsidRPr="002A7627">
        <w:t xml:space="preserve">: </w:t>
      </w:r>
      <w:r w:rsidR="00547FDF">
        <w:t>Proofreading</w:t>
      </w:r>
      <w:r w:rsidR="005833E7">
        <w:t xml:space="preserve"> </w:t>
      </w:r>
      <w:r w:rsidR="001712CE">
        <w:t>letter</w:t>
      </w:r>
      <w:bookmarkEnd w:id="313"/>
    </w:p>
    <w:p w14:paraId="2D373CD0" w14:textId="316F612E" w:rsidR="00324FA8" w:rsidRDefault="00324FA8" w:rsidP="00C41F2A">
      <w:pPr>
        <w:spacing w:line="480" w:lineRule="auto"/>
      </w:pPr>
    </w:p>
    <w:p w14:paraId="18F00152" w14:textId="7C828944" w:rsidR="005833E7" w:rsidRDefault="005833E7" w:rsidP="00C41F2A">
      <w:pPr>
        <w:spacing w:line="480" w:lineRule="auto"/>
      </w:pPr>
      <w:r>
        <w:rPr>
          <w:noProof/>
        </w:rPr>
        <w:drawing>
          <wp:inline distT="0" distB="0" distL="0" distR="0" wp14:anchorId="36D8EB57" wp14:editId="36B652EE">
            <wp:extent cx="5029200" cy="69170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29200" cy="6917055"/>
                    </a:xfrm>
                    <a:prstGeom prst="rect">
                      <a:avLst/>
                    </a:prstGeom>
                    <a:noFill/>
                    <a:ln>
                      <a:noFill/>
                    </a:ln>
                  </pic:spPr>
                </pic:pic>
              </a:graphicData>
            </a:graphic>
          </wp:inline>
        </w:drawing>
      </w:r>
    </w:p>
    <w:sectPr w:rsidR="005833E7" w:rsidSect="001708DA">
      <w:pgSz w:w="12240" w:h="15840"/>
      <w:pgMar w:top="1800" w:right="2160" w:bottom="1800" w:left="216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56F37" w14:textId="77777777" w:rsidR="00B76C18" w:rsidRDefault="00B76C18">
      <w:r>
        <w:separator/>
      </w:r>
    </w:p>
  </w:endnote>
  <w:endnote w:type="continuationSeparator" w:id="0">
    <w:p w14:paraId="04E46439" w14:textId="77777777" w:rsidR="00B76C18" w:rsidRDefault="00B76C18">
      <w:r>
        <w:continuationSeparator/>
      </w:r>
    </w:p>
  </w:endnote>
  <w:endnote w:type="continuationNotice" w:id="1">
    <w:p w14:paraId="2887F95F" w14:textId="77777777" w:rsidR="00B76C18" w:rsidRDefault="00B76C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D5E1B" w14:textId="77777777" w:rsidR="000332A0" w:rsidRDefault="000332A0" w:rsidP="00030E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50050E" w14:textId="77777777" w:rsidR="000332A0" w:rsidRDefault="000332A0" w:rsidP="00030E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CD9D5" w14:textId="77777777" w:rsidR="000332A0" w:rsidRDefault="000332A0" w:rsidP="00030E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xvi</w:t>
    </w:r>
    <w:r>
      <w:rPr>
        <w:rStyle w:val="PageNumber"/>
      </w:rPr>
      <w:fldChar w:fldCharType="end"/>
    </w:r>
  </w:p>
  <w:p w14:paraId="356D9400" w14:textId="77777777" w:rsidR="000332A0" w:rsidRDefault="000332A0" w:rsidP="00030E8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3277058"/>
      <w:docPartObj>
        <w:docPartGallery w:val="Page Numbers (Bottom of Page)"/>
        <w:docPartUnique/>
      </w:docPartObj>
    </w:sdtPr>
    <w:sdtEndPr>
      <w:rPr>
        <w:noProof/>
      </w:rPr>
    </w:sdtEndPr>
    <w:sdtContent>
      <w:p w14:paraId="4406984A" w14:textId="4C8B42E2" w:rsidR="000332A0" w:rsidRDefault="000332A0" w:rsidP="00FE66B3">
        <w:pPr>
          <w:pStyle w:val="Footer"/>
          <w:jc w:val="center"/>
        </w:pPr>
        <w:r>
          <w:fldChar w:fldCharType="begin"/>
        </w:r>
        <w:r>
          <w:instrText xml:space="preserve"> PAGE   \* MERGEFORMAT </w:instrText>
        </w:r>
        <w:r>
          <w:fldChar w:fldCharType="separate"/>
        </w:r>
        <w:r>
          <w:rPr>
            <w:noProof/>
          </w:rPr>
          <w:t>xii</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7022154"/>
      <w:docPartObj>
        <w:docPartGallery w:val="Page Numbers (Bottom of Page)"/>
        <w:docPartUnique/>
      </w:docPartObj>
    </w:sdtPr>
    <w:sdtEndPr>
      <w:rPr>
        <w:noProof/>
      </w:rPr>
    </w:sdtEndPr>
    <w:sdtContent>
      <w:p w14:paraId="58E3FDC6" w14:textId="13E81F42" w:rsidR="000332A0" w:rsidRDefault="000332A0">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79D6FF18" w14:textId="6865F15A" w:rsidR="000332A0" w:rsidRDefault="000332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5415936"/>
      <w:docPartObj>
        <w:docPartGallery w:val="Page Numbers (Bottom of Page)"/>
        <w:docPartUnique/>
      </w:docPartObj>
    </w:sdtPr>
    <w:sdtEndPr/>
    <w:sdtContent>
      <w:p w14:paraId="2D85E75F" w14:textId="492F1B12" w:rsidR="000332A0" w:rsidRDefault="000332A0">
        <w:pPr>
          <w:pStyle w:val="Footer"/>
          <w:jc w:val="center"/>
        </w:pPr>
        <w:r>
          <w:fldChar w:fldCharType="begin"/>
        </w:r>
        <w:r>
          <w:instrText xml:space="preserve"> PAGE   \* MERGEFORMAT </w:instrText>
        </w:r>
        <w:r>
          <w:fldChar w:fldCharType="separate"/>
        </w:r>
        <w:r>
          <w:rPr>
            <w:noProof/>
          </w:rPr>
          <w:t>68</w:t>
        </w:r>
        <w:r>
          <w:rPr>
            <w:noProof/>
          </w:rPr>
          <w:fldChar w:fldCharType="end"/>
        </w:r>
      </w:p>
    </w:sdtContent>
  </w:sdt>
  <w:p w14:paraId="0509DFDD" w14:textId="77777777" w:rsidR="000332A0" w:rsidRDefault="000332A0" w:rsidP="00B27A2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11790"/>
      <w:docPartObj>
        <w:docPartGallery w:val="Page Numbers (Bottom of Page)"/>
        <w:docPartUnique/>
      </w:docPartObj>
    </w:sdtPr>
    <w:sdtEndPr/>
    <w:sdtContent>
      <w:p w14:paraId="0C84DA61" w14:textId="23A7A50E" w:rsidR="000332A0" w:rsidRDefault="000332A0">
        <w:pPr>
          <w:pStyle w:val="Footer"/>
          <w:jc w:val="center"/>
        </w:pPr>
        <w:r>
          <w:fldChar w:fldCharType="begin"/>
        </w:r>
        <w:r>
          <w:instrText xml:space="preserve"> PAGE   \* MERGEFORMAT </w:instrText>
        </w:r>
        <w:r>
          <w:fldChar w:fldCharType="separate"/>
        </w:r>
        <w:r>
          <w:rPr>
            <w:noProof/>
          </w:rPr>
          <w:t>69</w:t>
        </w:r>
        <w:r>
          <w:rPr>
            <w:noProof/>
          </w:rPr>
          <w:fldChar w:fldCharType="end"/>
        </w:r>
      </w:p>
    </w:sdtContent>
  </w:sdt>
  <w:p w14:paraId="5FBA7C46" w14:textId="77777777" w:rsidR="000332A0" w:rsidRDefault="000332A0" w:rsidP="00B27A2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7908479"/>
      <w:docPartObj>
        <w:docPartGallery w:val="Page Numbers (Bottom of Page)"/>
        <w:docPartUnique/>
      </w:docPartObj>
    </w:sdtPr>
    <w:sdtEndPr>
      <w:rPr>
        <w:noProof/>
      </w:rPr>
    </w:sdtEndPr>
    <w:sdtContent>
      <w:p w14:paraId="75331297" w14:textId="4818CC5F" w:rsidR="000332A0" w:rsidRDefault="000332A0">
        <w:pPr>
          <w:pStyle w:val="Footer"/>
          <w:jc w:val="center"/>
        </w:pPr>
        <w:r>
          <w:rPr>
            <w:noProof/>
          </w:rPr>
          <w:fldChar w:fldCharType="begin"/>
        </w:r>
        <w:r>
          <w:rPr>
            <w:noProof/>
          </w:rPr>
          <w:instrText xml:space="preserve"> PAGE   \* MERGEFORMAT </w:instrText>
        </w:r>
        <w:r>
          <w:rPr>
            <w:noProof/>
          </w:rPr>
          <w:fldChar w:fldCharType="separate"/>
        </w:r>
        <w:r>
          <w:rPr>
            <w:noProof/>
          </w:rPr>
          <w:t>82</w:t>
        </w:r>
        <w:r>
          <w:rPr>
            <w:noProof/>
          </w:rPr>
          <w:fldChar w:fldCharType="end"/>
        </w:r>
      </w:p>
    </w:sdtContent>
  </w:sdt>
  <w:p w14:paraId="435D1BC6" w14:textId="77777777" w:rsidR="000332A0" w:rsidRDefault="000332A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9564470"/>
      <w:docPartObj>
        <w:docPartGallery w:val="Page Numbers (Bottom of Page)"/>
        <w:docPartUnique/>
      </w:docPartObj>
    </w:sdtPr>
    <w:sdtEndPr>
      <w:rPr>
        <w:noProof/>
      </w:rPr>
    </w:sdtEndPr>
    <w:sdtContent>
      <w:p w14:paraId="1E96F0D5" w14:textId="1FF7C0DA" w:rsidR="000332A0" w:rsidRDefault="000332A0">
        <w:pPr>
          <w:pStyle w:val="Footer"/>
          <w:jc w:val="center"/>
        </w:pPr>
        <w:r>
          <w:fldChar w:fldCharType="begin"/>
        </w:r>
        <w:r>
          <w:instrText xml:space="preserve"> PAGE   \* MERGEFORMAT </w:instrText>
        </w:r>
        <w:r>
          <w:fldChar w:fldCharType="separate"/>
        </w:r>
        <w:r>
          <w:rPr>
            <w:noProof/>
          </w:rPr>
          <w:t>98</w:t>
        </w:r>
        <w:r>
          <w:rPr>
            <w:noProof/>
          </w:rPr>
          <w:fldChar w:fldCharType="end"/>
        </w:r>
      </w:p>
    </w:sdtContent>
  </w:sdt>
  <w:p w14:paraId="1FA1EAF4" w14:textId="77777777" w:rsidR="000332A0" w:rsidRDefault="000332A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2797582"/>
      <w:docPartObj>
        <w:docPartGallery w:val="Page Numbers (Bottom of Page)"/>
        <w:docPartUnique/>
      </w:docPartObj>
    </w:sdtPr>
    <w:sdtEndPr>
      <w:rPr>
        <w:noProof/>
      </w:rPr>
    </w:sdtEndPr>
    <w:sdtContent>
      <w:p w14:paraId="19AEB980" w14:textId="4EF8AC2F" w:rsidR="000332A0" w:rsidRDefault="000332A0">
        <w:pPr>
          <w:pStyle w:val="Footer"/>
          <w:jc w:val="center"/>
        </w:pPr>
        <w:r>
          <w:fldChar w:fldCharType="begin"/>
        </w:r>
        <w:r>
          <w:instrText xml:space="preserve"> PAGE   \* MERGEFORMAT </w:instrText>
        </w:r>
        <w:r>
          <w:fldChar w:fldCharType="separate"/>
        </w:r>
        <w:r>
          <w:rPr>
            <w:noProof/>
          </w:rPr>
          <w:t>127</w:t>
        </w:r>
        <w:r>
          <w:rPr>
            <w:noProof/>
          </w:rPr>
          <w:fldChar w:fldCharType="end"/>
        </w:r>
      </w:p>
    </w:sdtContent>
  </w:sdt>
  <w:p w14:paraId="5F0F1E78" w14:textId="77777777" w:rsidR="000332A0" w:rsidRDefault="00033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67793" w14:textId="77777777" w:rsidR="00B76C18" w:rsidRDefault="00B76C18">
      <w:r>
        <w:separator/>
      </w:r>
    </w:p>
  </w:footnote>
  <w:footnote w:type="continuationSeparator" w:id="0">
    <w:p w14:paraId="69203DBC" w14:textId="77777777" w:rsidR="00B76C18" w:rsidRDefault="00B76C18">
      <w:r>
        <w:continuationSeparator/>
      </w:r>
    </w:p>
  </w:footnote>
  <w:footnote w:type="continuationNotice" w:id="1">
    <w:p w14:paraId="6CDC84DD" w14:textId="77777777" w:rsidR="00B76C18" w:rsidRDefault="00B76C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D5276" w14:textId="77777777" w:rsidR="000332A0" w:rsidRDefault="000332A0" w:rsidP="00FE66B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7144D8" w14:textId="77777777" w:rsidR="000332A0" w:rsidRDefault="000332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7DBA4" w14:textId="77777777" w:rsidR="000332A0" w:rsidRDefault="000332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97F2B" w14:textId="5AC8617A" w:rsidR="000332A0" w:rsidRDefault="000332A0" w:rsidP="00B27A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DA7E6" w14:textId="77BAD1B8" w:rsidR="000332A0" w:rsidRDefault="000332A0" w:rsidP="00B27A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D3DA" w14:textId="77777777" w:rsidR="000332A0" w:rsidRPr="00FF013F" w:rsidRDefault="000332A0" w:rsidP="00FF01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5BF8"/>
    <w:multiLevelType w:val="hybridMultilevel"/>
    <w:tmpl w:val="E592CA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AD2DBA"/>
    <w:multiLevelType w:val="hybridMultilevel"/>
    <w:tmpl w:val="F43E9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404C39"/>
    <w:multiLevelType w:val="hybridMultilevel"/>
    <w:tmpl w:val="B4768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61691"/>
    <w:multiLevelType w:val="hybridMultilevel"/>
    <w:tmpl w:val="C4B867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5E762C"/>
    <w:multiLevelType w:val="hybridMultilevel"/>
    <w:tmpl w:val="826E1C5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2A2DFC"/>
    <w:multiLevelType w:val="hybridMultilevel"/>
    <w:tmpl w:val="A9D2688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A45D35"/>
    <w:multiLevelType w:val="hybridMultilevel"/>
    <w:tmpl w:val="BAD63D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E95485"/>
    <w:multiLevelType w:val="multilevel"/>
    <w:tmpl w:val="BDD2AC4E"/>
    <w:lvl w:ilvl="0">
      <w:start w:val="5"/>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214B68E9"/>
    <w:multiLevelType w:val="hybridMultilevel"/>
    <w:tmpl w:val="F9AA7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B4B74"/>
    <w:multiLevelType w:val="hybridMultilevel"/>
    <w:tmpl w:val="C52CE5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9E7FA4"/>
    <w:multiLevelType w:val="hybridMultilevel"/>
    <w:tmpl w:val="C19AB9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9E3D3B"/>
    <w:multiLevelType w:val="multilevel"/>
    <w:tmpl w:val="AB1032A0"/>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0"/>
      </w:pPr>
      <w:rPr>
        <w:rFonts w:ascii="Times New Roman" w:hAnsi="Times New Roman" w:cs="Times New Roman" w:hint="default"/>
        <w:sz w:val="28"/>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3746409D"/>
    <w:multiLevelType w:val="multilevel"/>
    <w:tmpl w:val="E17AB4E0"/>
    <w:lvl w:ilvl="0">
      <w:start w:val="1"/>
      <w:numFmt w:val="decimal"/>
      <w:lvlText w:val="%1."/>
      <w:lvlJc w:val="left"/>
      <w:pPr>
        <w:ind w:left="1170" w:hanging="360"/>
      </w:pPr>
    </w:lvl>
    <w:lvl w:ilvl="1">
      <w:start w:val="1"/>
      <w:numFmt w:val="decimal"/>
      <w:isLgl/>
      <w:lvlText w:val="%1.%2."/>
      <w:lvlJc w:val="left"/>
      <w:pPr>
        <w:ind w:left="1230" w:hanging="4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13" w15:restartNumberingAfterBreak="0">
    <w:nsid w:val="388F1381"/>
    <w:multiLevelType w:val="multilevel"/>
    <w:tmpl w:val="D938F5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A01816"/>
    <w:multiLevelType w:val="multilevel"/>
    <w:tmpl w:val="6194F79C"/>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4C02C60"/>
    <w:multiLevelType w:val="hybridMultilevel"/>
    <w:tmpl w:val="F5A44C4C"/>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454235FB"/>
    <w:multiLevelType w:val="hybridMultilevel"/>
    <w:tmpl w:val="5916000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BFE1FB6"/>
    <w:multiLevelType w:val="multilevel"/>
    <w:tmpl w:val="4BFE1FB6"/>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18" w15:restartNumberingAfterBreak="0">
    <w:nsid w:val="4DF62920"/>
    <w:multiLevelType w:val="multilevel"/>
    <w:tmpl w:val="AB1822F2"/>
    <w:lvl w:ilvl="0">
      <w:start w:val="1"/>
      <w:numFmt w:val="none"/>
      <w:suff w:val="space"/>
      <w:lvlText w:val="5"/>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4E584947"/>
    <w:multiLevelType w:val="multilevel"/>
    <w:tmpl w:val="DC10120C"/>
    <w:lvl w:ilvl="0">
      <w:start w:val="1"/>
      <w:numFmt w:val="decimal"/>
      <w:lvlText w:val="%1"/>
      <w:lvlJc w:val="left"/>
      <w:pPr>
        <w:ind w:left="408" w:hanging="408"/>
      </w:pPr>
      <w:rPr>
        <w:rFonts w:hint="default"/>
      </w:rPr>
    </w:lvl>
    <w:lvl w:ilvl="1">
      <w:start w:val="1"/>
      <w:numFmt w:val="decimal"/>
      <w:lvlText w:val="%1.%2"/>
      <w:lvlJc w:val="left"/>
      <w:pPr>
        <w:ind w:left="1308" w:hanging="408"/>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F85559E"/>
    <w:multiLevelType w:val="multilevel"/>
    <w:tmpl w:val="9FB6BA34"/>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sz w:val="28"/>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21" w15:restartNumberingAfterBreak="0">
    <w:nsid w:val="54A20A46"/>
    <w:multiLevelType w:val="hybridMultilevel"/>
    <w:tmpl w:val="9266D9DA"/>
    <w:lvl w:ilvl="0" w:tplc="0D606C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E172E2"/>
    <w:multiLevelType w:val="multilevel"/>
    <w:tmpl w:val="540836FC"/>
    <w:lvl w:ilvl="0">
      <w:start w:val="1"/>
      <w:numFmt w:val="decimal"/>
      <w:lvlText w:val="%1."/>
      <w:lvlJc w:val="left"/>
      <w:pPr>
        <w:ind w:left="360" w:hanging="360"/>
      </w:p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60DF11CE"/>
    <w:multiLevelType w:val="multilevel"/>
    <w:tmpl w:val="965A7F1A"/>
    <w:lvl w:ilvl="0">
      <w:start w:val="5"/>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4" w15:restartNumberingAfterBreak="0">
    <w:nsid w:val="62CB5116"/>
    <w:multiLevelType w:val="hybridMultilevel"/>
    <w:tmpl w:val="10A013F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2CD17F8"/>
    <w:multiLevelType w:val="multilevel"/>
    <w:tmpl w:val="8EE21EEE"/>
    <w:lvl w:ilvl="0">
      <w:start w:val="1"/>
      <w:numFmt w:val="decimal"/>
      <w:lvlText w:val="%1"/>
      <w:lvlJc w:val="left"/>
      <w:pPr>
        <w:ind w:left="0" w:firstLine="0"/>
      </w:pPr>
      <w:rPr>
        <w:rFonts w:hint="default"/>
      </w:rPr>
    </w:lvl>
    <w:lvl w:ilvl="1">
      <w:start w:val="1"/>
      <w:numFmt w:val="decimal"/>
      <w:suff w:val="space"/>
      <w:lvlText w:val="%1.%2"/>
      <w:lvlJc w:val="left"/>
      <w:pPr>
        <w:ind w:left="0" w:firstLine="0"/>
      </w:pPr>
      <w:rPr>
        <w:rFonts w:ascii="Times New Roman" w:hAnsi="Times New Roman" w:cs="Times New Roman" w:hint="default"/>
        <w:sz w:val="28"/>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6" w15:restartNumberingAfterBreak="0">
    <w:nsid w:val="68014501"/>
    <w:multiLevelType w:val="multilevel"/>
    <w:tmpl w:val="D6341B66"/>
    <w:lvl w:ilvl="0">
      <w:start w:val="2"/>
      <w:numFmt w:val="decimal"/>
      <w:lvlText w:val="%1"/>
      <w:lvlJc w:val="left"/>
      <w:pPr>
        <w:ind w:left="0" w:firstLine="0"/>
      </w:pPr>
      <w:rPr>
        <w:rFonts w:hint="default"/>
      </w:rPr>
    </w:lvl>
    <w:lvl w:ilvl="1">
      <w:start w:val="1"/>
      <w:numFmt w:val="decimal"/>
      <w:suff w:val="space"/>
      <w:lvlText w:val="%1.%2"/>
      <w:lvlJc w:val="left"/>
      <w:pPr>
        <w:ind w:left="0" w:firstLine="0"/>
      </w:pPr>
      <w:rPr>
        <w:rFonts w:hint="default"/>
        <w:color w:val="000000" w:themeColor="text1"/>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7" w15:restartNumberingAfterBreak="0">
    <w:nsid w:val="6FB0776D"/>
    <w:multiLevelType w:val="hybridMultilevel"/>
    <w:tmpl w:val="BF56C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D523A6"/>
    <w:multiLevelType w:val="hybridMultilevel"/>
    <w:tmpl w:val="F5A44C4C"/>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9" w15:restartNumberingAfterBreak="0">
    <w:nsid w:val="751F7880"/>
    <w:multiLevelType w:val="multilevel"/>
    <w:tmpl w:val="296EDF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52C5DB1"/>
    <w:multiLevelType w:val="multilevel"/>
    <w:tmpl w:val="8494A642"/>
    <w:lvl w:ilvl="0">
      <w:start w:val="1"/>
      <w:numFmt w:val="decimal"/>
      <w:lvlText w:val="Chapter %1:"/>
      <w:lvlJc w:val="left"/>
      <w:pPr>
        <w:ind w:left="0" w:firstLine="0"/>
      </w:pPr>
      <w:rPr>
        <w:rFonts w:hint="default"/>
        <w:b/>
        <w:bCs/>
        <w:i w:val="0"/>
        <w:iCs w:val="0"/>
        <w:sz w:val="32"/>
        <w:szCs w:val="32"/>
      </w:rPr>
    </w:lvl>
    <w:lvl w:ilvl="1">
      <w:start w:val="1"/>
      <w:numFmt w:val="decimal"/>
      <w:suff w:val="space"/>
      <w:lvlText w:val="%1.%2"/>
      <w:lvlJc w:val="left"/>
      <w:pPr>
        <w:ind w:left="0" w:firstLine="0"/>
      </w:pPr>
      <w:rPr>
        <w:rFonts w:hint="default"/>
        <w:b/>
        <w:bCs/>
        <w:i w:val="0"/>
        <w:iCs w:val="0"/>
        <w:sz w:val="28"/>
        <w:szCs w:val="28"/>
      </w:rPr>
    </w:lvl>
    <w:lvl w:ilvl="2">
      <w:start w:val="1"/>
      <w:numFmt w:val="decimal"/>
      <w:suff w:val="space"/>
      <w:lvlText w:val="%1.%2.%3"/>
      <w:lvlJc w:val="left"/>
      <w:pPr>
        <w:ind w:left="1170" w:firstLine="0"/>
      </w:pPr>
      <w:rPr>
        <w:rFonts w:hint="default"/>
        <w:b/>
        <w:bCs/>
        <w:i/>
        <w:iCs/>
        <w:color w:val="000000" w:themeColor="text1"/>
        <w:sz w:val="24"/>
        <w:szCs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15:restartNumberingAfterBreak="0">
    <w:nsid w:val="783C6C6A"/>
    <w:multiLevelType w:val="hybridMultilevel"/>
    <w:tmpl w:val="F692D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D8D614D"/>
    <w:multiLevelType w:val="multilevel"/>
    <w:tmpl w:val="29B67108"/>
    <w:lvl w:ilvl="0">
      <w:start w:val="5"/>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E2A5FE5"/>
    <w:multiLevelType w:val="hybridMultilevel"/>
    <w:tmpl w:val="7EFAA6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7"/>
  </w:num>
  <w:num w:numId="2">
    <w:abstractNumId w:val="6"/>
  </w:num>
  <w:num w:numId="3">
    <w:abstractNumId w:val="9"/>
  </w:num>
  <w:num w:numId="4">
    <w:abstractNumId w:val="4"/>
  </w:num>
  <w:num w:numId="5">
    <w:abstractNumId w:val="0"/>
  </w:num>
  <w:num w:numId="6">
    <w:abstractNumId w:val="2"/>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0"/>
  </w:num>
  <w:num w:numId="11">
    <w:abstractNumId w:val="25"/>
  </w:num>
  <w:num w:numId="12">
    <w:abstractNumId w:val="25"/>
  </w:num>
  <w:num w:numId="13">
    <w:abstractNumId w:val="25"/>
  </w:num>
  <w:num w:numId="14">
    <w:abstractNumId w:val="25"/>
  </w:num>
  <w:num w:numId="15">
    <w:abstractNumId w:val="1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8"/>
  </w:num>
  <w:num w:numId="21">
    <w:abstractNumId w:val="7"/>
  </w:num>
  <w:num w:numId="22">
    <w:abstractNumId w:val="23"/>
  </w:num>
  <w:num w:numId="23">
    <w:abstractNumId w:val="25"/>
  </w:num>
  <w:num w:numId="24">
    <w:abstractNumId w:val="22"/>
  </w:num>
  <w:num w:numId="25">
    <w:abstractNumId w:val="22"/>
    <w:lvlOverride w:ilvl="0">
      <w:lvl w:ilvl="0">
        <w:start w:val="1"/>
        <w:numFmt w:val="decimal"/>
        <w:lvlText w:val="%1."/>
        <w:lvlJc w:val="left"/>
        <w:pPr>
          <w:ind w:left="360" w:hanging="360"/>
        </w:pPr>
        <w:rPr>
          <w:rFonts w:hint="default"/>
        </w:rPr>
      </w:lvl>
    </w:lvlOverride>
    <w:lvlOverride w:ilvl="1">
      <w:lvl w:ilvl="1">
        <w:start w:val="5"/>
        <w:numFmt w:val="decimal"/>
        <w:isLgl/>
        <w:lvlText w:val="%1.%2"/>
        <w:lvlJc w:val="left"/>
        <w:pPr>
          <w:ind w:left="360" w:hanging="360"/>
        </w:pPr>
        <w:rPr>
          <w:rFonts w:hint="default"/>
        </w:rPr>
      </w:lvl>
    </w:lvlOverride>
    <w:lvlOverride w:ilvl="2">
      <w:lvl w:ilvl="2">
        <w:start w:val="1"/>
        <w:numFmt w:val="decimal"/>
        <w:isLgl/>
        <w:lvlText w:val="%1.%2.%3"/>
        <w:lvlJc w:val="left"/>
        <w:pPr>
          <w:ind w:left="720" w:hanging="720"/>
        </w:pPr>
        <w:rPr>
          <w:rFonts w:hint="default"/>
        </w:rPr>
      </w:lvl>
    </w:lvlOverride>
    <w:lvlOverride w:ilvl="3">
      <w:lvl w:ilvl="3">
        <w:start w:val="1"/>
        <w:numFmt w:val="decimal"/>
        <w:isLgl/>
        <w:lvlText w:val="%1.%2.%3.%4"/>
        <w:lvlJc w:val="left"/>
        <w:pPr>
          <w:ind w:left="720" w:hanging="72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080" w:hanging="1080"/>
        </w:pPr>
        <w:rPr>
          <w:rFonts w:hint="default"/>
        </w:rPr>
      </w:lvl>
    </w:lvlOverride>
    <w:lvlOverride w:ilvl="6">
      <w:lvl w:ilvl="6">
        <w:start w:val="1"/>
        <w:numFmt w:val="decimal"/>
        <w:isLgl/>
        <w:lvlText w:val="%1.%2.%3.%4.%5.%6.%7"/>
        <w:lvlJc w:val="left"/>
        <w:pPr>
          <w:ind w:left="1440" w:hanging="1440"/>
        </w:pPr>
        <w:rPr>
          <w:rFonts w:hint="default"/>
        </w:rPr>
      </w:lvl>
    </w:lvlOverride>
    <w:lvlOverride w:ilvl="7">
      <w:lvl w:ilvl="7">
        <w:start w:val="1"/>
        <w:numFmt w:val="decimal"/>
        <w:isLgl/>
        <w:lvlText w:val="%1.%2.%3.%4.%5.%6.%7.%8"/>
        <w:lvlJc w:val="left"/>
        <w:pPr>
          <w:ind w:left="1440" w:hanging="1440"/>
        </w:pPr>
        <w:rPr>
          <w:rFonts w:hint="default"/>
        </w:rPr>
      </w:lvl>
    </w:lvlOverride>
    <w:lvlOverride w:ilvl="8">
      <w:lvl w:ilvl="8">
        <w:start w:val="1"/>
        <w:numFmt w:val="decimal"/>
        <w:isLgl/>
        <w:lvlText w:val="%1.%2.%3.%4.%5.%6.%7.%8.%9"/>
        <w:lvlJc w:val="left"/>
        <w:pPr>
          <w:ind w:left="1800" w:hanging="1800"/>
        </w:pPr>
        <w:rPr>
          <w:rFonts w:hint="default"/>
        </w:rPr>
      </w:lvl>
    </w:lvlOverride>
  </w:num>
  <w:num w:numId="26">
    <w:abstractNumId w:val="14"/>
  </w:num>
  <w:num w:numId="27">
    <w:abstractNumId w:val="32"/>
  </w:num>
  <w:num w:numId="28">
    <w:abstractNumId w:val="17"/>
  </w:num>
  <w:num w:numId="29">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6"/>
  </w:num>
  <w:num w:numId="32">
    <w:abstractNumId w:val="31"/>
  </w:num>
  <w:num w:numId="33">
    <w:abstractNumId w:val="12"/>
  </w:num>
  <w:num w:numId="34">
    <w:abstractNumId w:val="15"/>
  </w:num>
  <w:num w:numId="35">
    <w:abstractNumId w:val="10"/>
  </w:num>
  <w:num w:numId="36">
    <w:abstractNumId w:val="33"/>
  </w:num>
  <w:num w:numId="37">
    <w:abstractNumId w:val="3"/>
  </w:num>
  <w:num w:numId="38">
    <w:abstractNumId w:val="28"/>
  </w:num>
  <w:num w:numId="39">
    <w:abstractNumId w:val="13"/>
  </w:num>
  <w:num w:numId="40">
    <w:abstractNumId w:val="21"/>
  </w:num>
  <w:num w:numId="41">
    <w:abstractNumId w:val="29"/>
  </w:num>
  <w:num w:numId="42">
    <w:abstractNumId w:val="5"/>
  </w:num>
  <w:num w:numId="43">
    <w:abstractNumId w:val="8"/>
  </w:num>
  <w:num w:numId="44">
    <w:abstractNumId w:val="1"/>
  </w:num>
  <w:num w:numId="4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c3NDAxNDC2NLIwMjVS0lEKTi0uzszPAykwNKwFAGeKJFYtAAAA"/>
    <w:docVar w:name="hColour" w:val="0"/>
  </w:docVars>
  <w:rsids>
    <w:rsidRoot w:val="00FF1554"/>
    <w:rsid w:val="00000286"/>
    <w:rsid w:val="00000872"/>
    <w:rsid w:val="00000FC6"/>
    <w:rsid w:val="00002286"/>
    <w:rsid w:val="0000261C"/>
    <w:rsid w:val="00003344"/>
    <w:rsid w:val="0000492B"/>
    <w:rsid w:val="00004AB2"/>
    <w:rsid w:val="00004BFD"/>
    <w:rsid w:val="00005369"/>
    <w:rsid w:val="000064D6"/>
    <w:rsid w:val="00006CB4"/>
    <w:rsid w:val="0000749A"/>
    <w:rsid w:val="00007F7D"/>
    <w:rsid w:val="00007FC9"/>
    <w:rsid w:val="000104C2"/>
    <w:rsid w:val="000110DD"/>
    <w:rsid w:val="00011321"/>
    <w:rsid w:val="00012253"/>
    <w:rsid w:val="00015A65"/>
    <w:rsid w:val="00015F0D"/>
    <w:rsid w:val="00016F59"/>
    <w:rsid w:val="0001706B"/>
    <w:rsid w:val="00020728"/>
    <w:rsid w:val="00020832"/>
    <w:rsid w:val="0002111F"/>
    <w:rsid w:val="00022008"/>
    <w:rsid w:val="0002433C"/>
    <w:rsid w:val="00024568"/>
    <w:rsid w:val="00024F67"/>
    <w:rsid w:val="00025DEC"/>
    <w:rsid w:val="00026F1B"/>
    <w:rsid w:val="00027C60"/>
    <w:rsid w:val="0003020B"/>
    <w:rsid w:val="0003070C"/>
    <w:rsid w:val="00030E83"/>
    <w:rsid w:val="00031A41"/>
    <w:rsid w:val="00031AF8"/>
    <w:rsid w:val="00032101"/>
    <w:rsid w:val="00032B01"/>
    <w:rsid w:val="000332A0"/>
    <w:rsid w:val="00034035"/>
    <w:rsid w:val="0003417D"/>
    <w:rsid w:val="00034E18"/>
    <w:rsid w:val="00035802"/>
    <w:rsid w:val="0003640B"/>
    <w:rsid w:val="00036503"/>
    <w:rsid w:val="00036536"/>
    <w:rsid w:val="0003661F"/>
    <w:rsid w:val="00036A31"/>
    <w:rsid w:val="00036CED"/>
    <w:rsid w:val="000377CE"/>
    <w:rsid w:val="00037E57"/>
    <w:rsid w:val="0004130E"/>
    <w:rsid w:val="0004167C"/>
    <w:rsid w:val="00042117"/>
    <w:rsid w:val="000428FE"/>
    <w:rsid w:val="00042E77"/>
    <w:rsid w:val="0004395B"/>
    <w:rsid w:val="00043E7A"/>
    <w:rsid w:val="000450A7"/>
    <w:rsid w:val="000465F2"/>
    <w:rsid w:val="00046EEF"/>
    <w:rsid w:val="00050FBF"/>
    <w:rsid w:val="000519B1"/>
    <w:rsid w:val="00052605"/>
    <w:rsid w:val="00052A87"/>
    <w:rsid w:val="00052EC1"/>
    <w:rsid w:val="00054373"/>
    <w:rsid w:val="000558F6"/>
    <w:rsid w:val="00057E6B"/>
    <w:rsid w:val="00057F98"/>
    <w:rsid w:val="00060A95"/>
    <w:rsid w:val="0006152C"/>
    <w:rsid w:val="00061A25"/>
    <w:rsid w:val="0006379F"/>
    <w:rsid w:val="00063F24"/>
    <w:rsid w:val="00064DA6"/>
    <w:rsid w:val="0006527B"/>
    <w:rsid w:val="00067825"/>
    <w:rsid w:val="00070056"/>
    <w:rsid w:val="00070E28"/>
    <w:rsid w:val="0007174D"/>
    <w:rsid w:val="00071837"/>
    <w:rsid w:val="00072113"/>
    <w:rsid w:val="00072741"/>
    <w:rsid w:val="000733A5"/>
    <w:rsid w:val="00074359"/>
    <w:rsid w:val="00074C38"/>
    <w:rsid w:val="00075907"/>
    <w:rsid w:val="00077566"/>
    <w:rsid w:val="0008057E"/>
    <w:rsid w:val="000815A6"/>
    <w:rsid w:val="00081B26"/>
    <w:rsid w:val="000821F7"/>
    <w:rsid w:val="00082821"/>
    <w:rsid w:val="00082E5D"/>
    <w:rsid w:val="00085558"/>
    <w:rsid w:val="00085B1B"/>
    <w:rsid w:val="00086B11"/>
    <w:rsid w:val="0008703E"/>
    <w:rsid w:val="0008707C"/>
    <w:rsid w:val="00087170"/>
    <w:rsid w:val="00087296"/>
    <w:rsid w:val="000872D7"/>
    <w:rsid w:val="00087DCE"/>
    <w:rsid w:val="00091FA2"/>
    <w:rsid w:val="0009547C"/>
    <w:rsid w:val="000956EF"/>
    <w:rsid w:val="0009577B"/>
    <w:rsid w:val="000961B7"/>
    <w:rsid w:val="0009671F"/>
    <w:rsid w:val="0009734A"/>
    <w:rsid w:val="00097BFF"/>
    <w:rsid w:val="000A0432"/>
    <w:rsid w:val="000A0567"/>
    <w:rsid w:val="000A0A02"/>
    <w:rsid w:val="000A0B48"/>
    <w:rsid w:val="000A1432"/>
    <w:rsid w:val="000A1880"/>
    <w:rsid w:val="000A1BB2"/>
    <w:rsid w:val="000A2CA7"/>
    <w:rsid w:val="000A35B0"/>
    <w:rsid w:val="000A36BF"/>
    <w:rsid w:val="000A376E"/>
    <w:rsid w:val="000A3EE2"/>
    <w:rsid w:val="000A42A1"/>
    <w:rsid w:val="000A4862"/>
    <w:rsid w:val="000A496B"/>
    <w:rsid w:val="000A55E0"/>
    <w:rsid w:val="000A670C"/>
    <w:rsid w:val="000A6AC4"/>
    <w:rsid w:val="000A6DB7"/>
    <w:rsid w:val="000A7092"/>
    <w:rsid w:val="000B03ED"/>
    <w:rsid w:val="000B1A5F"/>
    <w:rsid w:val="000B1DDE"/>
    <w:rsid w:val="000B1DFD"/>
    <w:rsid w:val="000B26BF"/>
    <w:rsid w:val="000B2994"/>
    <w:rsid w:val="000B2A8B"/>
    <w:rsid w:val="000B31F7"/>
    <w:rsid w:val="000B3E7F"/>
    <w:rsid w:val="000B5678"/>
    <w:rsid w:val="000B6747"/>
    <w:rsid w:val="000B67B0"/>
    <w:rsid w:val="000B681A"/>
    <w:rsid w:val="000C0EAF"/>
    <w:rsid w:val="000C24D7"/>
    <w:rsid w:val="000C3077"/>
    <w:rsid w:val="000C393F"/>
    <w:rsid w:val="000C492F"/>
    <w:rsid w:val="000C493D"/>
    <w:rsid w:val="000C4CF0"/>
    <w:rsid w:val="000C5006"/>
    <w:rsid w:val="000C6D2F"/>
    <w:rsid w:val="000C6EED"/>
    <w:rsid w:val="000C705E"/>
    <w:rsid w:val="000C75AD"/>
    <w:rsid w:val="000D146D"/>
    <w:rsid w:val="000D1CA3"/>
    <w:rsid w:val="000D1D61"/>
    <w:rsid w:val="000D2BD3"/>
    <w:rsid w:val="000D30FA"/>
    <w:rsid w:val="000D322F"/>
    <w:rsid w:val="000D35EA"/>
    <w:rsid w:val="000D4F1F"/>
    <w:rsid w:val="000D502C"/>
    <w:rsid w:val="000D5E49"/>
    <w:rsid w:val="000D6A43"/>
    <w:rsid w:val="000D754D"/>
    <w:rsid w:val="000D7E2F"/>
    <w:rsid w:val="000E075F"/>
    <w:rsid w:val="000E0850"/>
    <w:rsid w:val="000E16A5"/>
    <w:rsid w:val="000E198E"/>
    <w:rsid w:val="000E2269"/>
    <w:rsid w:val="000E25C6"/>
    <w:rsid w:val="000E31D5"/>
    <w:rsid w:val="000E479C"/>
    <w:rsid w:val="000E4FA4"/>
    <w:rsid w:val="000E58CC"/>
    <w:rsid w:val="000E6948"/>
    <w:rsid w:val="000F006F"/>
    <w:rsid w:val="000F0723"/>
    <w:rsid w:val="000F122C"/>
    <w:rsid w:val="000F1D3A"/>
    <w:rsid w:val="000F31D7"/>
    <w:rsid w:val="000F366F"/>
    <w:rsid w:val="000F556A"/>
    <w:rsid w:val="000F56E9"/>
    <w:rsid w:val="000F5A74"/>
    <w:rsid w:val="000F5F1C"/>
    <w:rsid w:val="000F65E0"/>
    <w:rsid w:val="000F6771"/>
    <w:rsid w:val="000F6777"/>
    <w:rsid w:val="000F7769"/>
    <w:rsid w:val="000F77AC"/>
    <w:rsid w:val="000F7F2A"/>
    <w:rsid w:val="00100CB9"/>
    <w:rsid w:val="00101AC1"/>
    <w:rsid w:val="00101C94"/>
    <w:rsid w:val="00102EE3"/>
    <w:rsid w:val="001031A4"/>
    <w:rsid w:val="00103C5A"/>
    <w:rsid w:val="00105CB1"/>
    <w:rsid w:val="00106C69"/>
    <w:rsid w:val="0010785C"/>
    <w:rsid w:val="001102A6"/>
    <w:rsid w:val="00110478"/>
    <w:rsid w:val="00110669"/>
    <w:rsid w:val="001115F6"/>
    <w:rsid w:val="001116AA"/>
    <w:rsid w:val="001128D1"/>
    <w:rsid w:val="0011318D"/>
    <w:rsid w:val="001141BF"/>
    <w:rsid w:val="00114214"/>
    <w:rsid w:val="0011438E"/>
    <w:rsid w:val="00114507"/>
    <w:rsid w:val="00115B5E"/>
    <w:rsid w:val="001162B7"/>
    <w:rsid w:val="0011691A"/>
    <w:rsid w:val="0012037C"/>
    <w:rsid w:val="00120B21"/>
    <w:rsid w:val="00120B70"/>
    <w:rsid w:val="00121297"/>
    <w:rsid w:val="0012275A"/>
    <w:rsid w:val="00122976"/>
    <w:rsid w:val="00123ED5"/>
    <w:rsid w:val="00124A9F"/>
    <w:rsid w:val="00124CDB"/>
    <w:rsid w:val="001264CA"/>
    <w:rsid w:val="001265E5"/>
    <w:rsid w:val="00126A26"/>
    <w:rsid w:val="00127110"/>
    <w:rsid w:val="00130EB5"/>
    <w:rsid w:val="001313BE"/>
    <w:rsid w:val="001313F6"/>
    <w:rsid w:val="001315B6"/>
    <w:rsid w:val="00131666"/>
    <w:rsid w:val="001316FE"/>
    <w:rsid w:val="0013170A"/>
    <w:rsid w:val="0013185F"/>
    <w:rsid w:val="0013264C"/>
    <w:rsid w:val="00132B99"/>
    <w:rsid w:val="00133925"/>
    <w:rsid w:val="001343BD"/>
    <w:rsid w:val="00135247"/>
    <w:rsid w:val="00137001"/>
    <w:rsid w:val="00137032"/>
    <w:rsid w:val="001407A0"/>
    <w:rsid w:val="00141425"/>
    <w:rsid w:val="00142470"/>
    <w:rsid w:val="001425D5"/>
    <w:rsid w:val="00143288"/>
    <w:rsid w:val="0014433D"/>
    <w:rsid w:val="001445FE"/>
    <w:rsid w:val="0014528D"/>
    <w:rsid w:val="0014640E"/>
    <w:rsid w:val="00146BE4"/>
    <w:rsid w:val="001472D4"/>
    <w:rsid w:val="00147629"/>
    <w:rsid w:val="00147693"/>
    <w:rsid w:val="0014777F"/>
    <w:rsid w:val="0014784D"/>
    <w:rsid w:val="001506F1"/>
    <w:rsid w:val="001507D9"/>
    <w:rsid w:val="0015110E"/>
    <w:rsid w:val="00151878"/>
    <w:rsid w:val="00152C88"/>
    <w:rsid w:val="00152EA9"/>
    <w:rsid w:val="0015316F"/>
    <w:rsid w:val="00153B50"/>
    <w:rsid w:val="00154333"/>
    <w:rsid w:val="00154FC8"/>
    <w:rsid w:val="001550E5"/>
    <w:rsid w:val="00156AA9"/>
    <w:rsid w:val="00157357"/>
    <w:rsid w:val="00157B8B"/>
    <w:rsid w:val="00157FEF"/>
    <w:rsid w:val="00160440"/>
    <w:rsid w:val="001605A5"/>
    <w:rsid w:val="0016141C"/>
    <w:rsid w:val="00161BA3"/>
    <w:rsid w:val="00161C7B"/>
    <w:rsid w:val="00162143"/>
    <w:rsid w:val="001629ED"/>
    <w:rsid w:val="00162CAC"/>
    <w:rsid w:val="001633B1"/>
    <w:rsid w:val="0016388F"/>
    <w:rsid w:val="00164D65"/>
    <w:rsid w:val="00164F85"/>
    <w:rsid w:val="00165102"/>
    <w:rsid w:val="001658BA"/>
    <w:rsid w:val="00165B08"/>
    <w:rsid w:val="001671D7"/>
    <w:rsid w:val="00167454"/>
    <w:rsid w:val="00167629"/>
    <w:rsid w:val="00167D31"/>
    <w:rsid w:val="001708DA"/>
    <w:rsid w:val="00170927"/>
    <w:rsid w:val="00170FA3"/>
    <w:rsid w:val="0017121F"/>
    <w:rsid w:val="001712CE"/>
    <w:rsid w:val="00172C08"/>
    <w:rsid w:val="0017340D"/>
    <w:rsid w:val="00173AA7"/>
    <w:rsid w:val="00173E56"/>
    <w:rsid w:val="00175A1D"/>
    <w:rsid w:val="0017601F"/>
    <w:rsid w:val="00176D22"/>
    <w:rsid w:val="001771E9"/>
    <w:rsid w:val="001777CA"/>
    <w:rsid w:val="00180F6D"/>
    <w:rsid w:val="0018176F"/>
    <w:rsid w:val="00181A9C"/>
    <w:rsid w:val="001820D9"/>
    <w:rsid w:val="00182EAC"/>
    <w:rsid w:val="00183B27"/>
    <w:rsid w:val="00183B40"/>
    <w:rsid w:val="00184325"/>
    <w:rsid w:val="001844A3"/>
    <w:rsid w:val="00185ABE"/>
    <w:rsid w:val="00185F88"/>
    <w:rsid w:val="001864FD"/>
    <w:rsid w:val="00186D97"/>
    <w:rsid w:val="00187070"/>
    <w:rsid w:val="001877A7"/>
    <w:rsid w:val="00187AED"/>
    <w:rsid w:val="00190325"/>
    <w:rsid w:val="001912F0"/>
    <w:rsid w:val="001920DE"/>
    <w:rsid w:val="001923D7"/>
    <w:rsid w:val="001924EF"/>
    <w:rsid w:val="00192AC8"/>
    <w:rsid w:val="001938C3"/>
    <w:rsid w:val="001938DF"/>
    <w:rsid w:val="00193A9C"/>
    <w:rsid w:val="001940E1"/>
    <w:rsid w:val="00194906"/>
    <w:rsid w:val="001951BD"/>
    <w:rsid w:val="00195735"/>
    <w:rsid w:val="00195F26"/>
    <w:rsid w:val="00196862"/>
    <w:rsid w:val="00196FA2"/>
    <w:rsid w:val="0019785A"/>
    <w:rsid w:val="00197E4F"/>
    <w:rsid w:val="001A0711"/>
    <w:rsid w:val="001A0B27"/>
    <w:rsid w:val="001A120A"/>
    <w:rsid w:val="001A13D5"/>
    <w:rsid w:val="001A2347"/>
    <w:rsid w:val="001A23D6"/>
    <w:rsid w:val="001A23EB"/>
    <w:rsid w:val="001A2420"/>
    <w:rsid w:val="001A2559"/>
    <w:rsid w:val="001A25B4"/>
    <w:rsid w:val="001A2CF3"/>
    <w:rsid w:val="001A2F96"/>
    <w:rsid w:val="001A37CC"/>
    <w:rsid w:val="001A3B61"/>
    <w:rsid w:val="001A3E07"/>
    <w:rsid w:val="001A45AD"/>
    <w:rsid w:val="001A4AEB"/>
    <w:rsid w:val="001A4B04"/>
    <w:rsid w:val="001A50B7"/>
    <w:rsid w:val="001A5289"/>
    <w:rsid w:val="001A5BD3"/>
    <w:rsid w:val="001A5EE3"/>
    <w:rsid w:val="001A658E"/>
    <w:rsid w:val="001A6E84"/>
    <w:rsid w:val="001A7CB6"/>
    <w:rsid w:val="001B0204"/>
    <w:rsid w:val="001B149E"/>
    <w:rsid w:val="001B1BCD"/>
    <w:rsid w:val="001B2B3C"/>
    <w:rsid w:val="001B2E7F"/>
    <w:rsid w:val="001B475A"/>
    <w:rsid w:val="001B6395"/>
    <w:rsid w:val="001B6538"/>
    <w:rsid w:val="001B702D"/>
    <w:rsid w:val="001B7051"/>
    <w:rsid w:val="001B7185"/>
    <w:rsid w:val="001B7D0F"/>
    <w:rsid w:val="001C005E"/>
    <w:rsid w:val="001C0DA4"/>
    <w:rsid w:val="001C15CE"/>
    <w:rsid w:val="001C1DAE"/>
    <w:rsid w:val="001C2427"/>
    <w:rsid w:val="001C2620"/>
    <w:rsid w:val="001C2F38"/>
    <w:rsid w:val="001C32CD"/>
    <w:rsid w:val="001C3A98"/>
    <w:rsid w:val="001C3B8F"/>
    <w:rsid w:val="001C3DBF"/>
    <w:rsid w:val="001C3F5D"/>
    <w:rsid w:val="001C3FDE"/>
    <w:rsid w:val="001C41A3"/>
    <w:rsid w:val="001C4338"/>
    <w:rsid w:val="001C69E9"/>
    <w:rsid w:val="001C75FD"/>
    <w:rsid w:val="001D0590"/>
    <w:rsid w:val="001D06B1"/>
    <w:rsid w:val="001D0892"/>
    <w:rsid w:val="001D0D7F"/>
    <w:rsid w:val="001D491F"/>
    <w:rsid w:val="001D4D8B"/>
    <w:rsid w:val="001D549D"/>
    <w:rsid w:val="001D5BB6"/>
    <w:rsid w:val="001D5F54"/>
    <w:rsid w:val="001D6402"/>
    <w:rsid w:val="001D65B6"/>
    <w:rsid w:val="001D6CD6"/>
    <w:rsid w:val="001D7032"/>
    <w:rsid w:val="001D746C"/>
    <w:rsid w:val="001D77B1"/>
    <w:rsid w:val="001D7E71"/>
    <w:rsid w:val="001E0878"/>
    <w:rsid w:val="001E0E06"/>
    <w:rsid w:val="001E10E1"/>
    <w:rsid w:val="001E212F"/>
    <w:rsid w:val="001E3EE6"/>
    <w:rsid w:val="001E5538"/>
    <w:rsid w:val="001E7031"/>
    <w:rsid w:val="001E7C46"/>
    <w:rsid w:val="001E7CFB"/>
    <w:rsid w:val="001F0161"/>
    <w:rsid w:val="001F049B"/>
    <w:rsid w:val="001F1B37"/>
    <w:rsid w:val="001F1C45"/>
    <w:rsid w:val="001F27A4"/>
    <w:rsid w:val="001F3957"/>
    <w:rsid w:val="001F3DE0"/>
    <w:rsid w:val="001F3E05"/>
    <w:rsid w:val="001F42F7"/>
    <w:rsid w:val="001F4FBF"/>
    <w:rsid w:val="001F6632"/>
    <w:rsid w:val="001F68E4"/>
    <w:rsid w:val="001F6C31"/>
    <w:rsid w:val="001F7DF1"/>
    <w:rsid w:val="002003D0"/>
    <w:rsid w:val="002005E0"/>
    <w:rsid w:val="00200CC1"/>
    <w:rsid w:val="00200EDF"/>
    <w:rsid w:val="002029D6"/>
    <w:rsid w:val="00202AD6"/>
    <w:rsid w:val="00202DD4"/>
    <w:rsid w:val="00202E94"/>
    <w:rsid w:val="002034BA"/>
    <w:rsid w:val="00204DCA"/>
    <w:rsid w:val="00206557"/>
    <w:rsid w:val="0020697D"/>
    <w:rsid w:val="002069F5"/>
    <w:rsid w:val="00206C5E"/>
    <w:rsid w:val="002115B3"/>
    <w:rsid w:val="00212FA3"/>
    <w:rsid w:val="00213258"/>
    <w:rsid w:val="00213F4C"/>
    <w:rsid w:val="00214440"/>
    <w:rsid w:val="00215E40"/>
    <w:rsid w:val="002162D2"/>
    <w:rsid w:val="00217CA6"/>
    <w:rsid w:val="00217EA0"/>
    <w:rsid w:val="002238E1"/>
    <w:rsid w:val="00223C79"/>
    <w:rsid w:val="00223EC7"/>
    <w:rsid w:val="002240CF"/>
    <w:rsid w:val="00224132"/>
    <w:rsid w:val="00226018"/>
    <w:rsid w:val="00227F92"/>
    <w:rsid w:val="00230464"/>
    <w:rsid w:val="002304D6"/>
    <w:rsid w:val="00231F44"/>
    <w:rsid w:val="002324AA"/>
    <w:rsid w:val="002324D3"/>
    <w:rsid w:val="00233EC7"/>
    <w:rsid w:val="002347A0"/>
    <w:rsid w:val="00234BE3"/>
    <w:rsid w:val="002354CC"/>
    <w:rsid w:val="00236238"/>
    <w:rsid w:val="00236B19"/>
    <w:rsid w:val="00237972"/>
    <w:rsid w:val="002412B7"/>
    <w:rsid w:val="002423AD"/>
    <w:rsid w:val="00242BFB"/>
    <w:rsid w:val="002449F0"/>
    <w:rsid w:val="00244A63"/>
    <w:rsid w:val="00245CA1"/>
    <w:rsid w:val="0024606F"/>
    <w:rsid w:val="0024701C"/>
    <w:rsid w:val="002470E1"/>
    <w:rsid w:val="00247804"/>
    <w:rsid w:val="002478EA"/>
    <w:rsid w:val="00250B34"/>
    <w:rsid w:val="00250DF0"/>
    <w:rsid w:val="00250EDF"/>
    <w:rsid w:val="002520C0"/>
    <w:rsid w:val="00252ED5"/>
    <w:rsid w:val="0025372F"/>
    <w:rsid w:val="002539EF"/>
    <w:rsid w:val="002554BC"/>
    <w:rsid w:val="002560C3"/>
    <w:rsid w:val="002561C5"/>
    <w:rsid w:val="002571D3"/>
    <w:rsid w:val="0026021B"/>
    <w:rsid w:val="0026236A"/>
    <w:rsid w:val="00263B9C"/>
    <w:rsid w:val="002651D3"/>
    <w:rsid w:val="002656DE"/>
    <w:rsid w:val="0026632C"/>
    <w:rsid w:val="00266817"/>
    <w:rsid w:val="002701A0"/>
    <w:rsid w:val="0027064C"/>
    <w:rsid w:val="0027070A"/>
    <w:rsid w:val="00270B14"/>
    <w:rsid w:val="00270BB7"/>
    <w:rsid w:val="00271964"/>
    <w:rsid w:val="00271B7E"/>
    <w:rsid w:val="00272854"/>
    <w:rsid w:val="00273827"/>
    <w:rsid w:val="002745F8"/>
    <w:rsid w:val="00274F9C"/>
    <w:rsid w:val="002753F8"/>
    <w:rsid w:val="00276A4D"/>
    <w:rsid w:val="00277843"/>
    <w:rsid w:val="00281821"/>
    <w:rsid w:val="0028348C"/>
    <w:rsid w:val="00283957"/>
    <w:rsid w:val="0028474F"/>
    <w:rsid w:val="00284EDE"/>
    <w:rsid w:val="002851BC"/>
    <w:rsid w:val="00285FED"/>
    <w:rsid w:val="002862B7"/>
    <w:rsid w:val="0029058C"/>
    <w:rsid w:val="002906E6"/>
    <w:rsid w:val="00291282"/>
    <w:rsid w:val="002919E1"/>
    <w:rsid w:val="00291E5E"/>
    <w:rsid w:val="00292166"/>
    <w:rsid w:val="002936D9"/>
    <w:rsid w:val="0029376D"/>
    <w:rsid w:val="00295315"/>
    <w:rsid w:val="00295C91"/>
    <w:rsid w:val="00295D50"/>
    <w:rsid w:val="00297742"/>
    <w:rsid w:val="002A0CCA"/>
    <w:rsid w:val="002A0F28"/>
    <w:rsid w:val="002A15BA"/>
    <w:rsid w:val="002A2347"/>
    <w:rsid w:val="002A2B0D"/>
    <w:rsid w:val="002A2EB0"/>
    <w:rsid w:val="002A34F2"/>
    <w:rsid w:val="002A385C"/>
    <w:rsid w:val="002A3B8C"/>
    <w:rsid w:val="002A43B9"/>
    <w:rsid w:val="002A461C"/>
    <w:rsid w:val="002A4F3C"/>
    <w:rsid w:val="002A5132"/>
    <w:rsid w:val="002A6A30"/>
    <w:rsid w:val="002A6A54"/>
    <w:rsid w:val="002A6B05"/>
    <w:rsid w:val="002A7627"/>
    <w:rsid w:val="002A7C3B"/>
    <w:rsid w:val="002A7D37"/>
    <w:rsid w:val="002A7D53"/>
    <w:rsid w:val="002B2012"/>
    <w:rsid w:val="002B3649"/>
    <w:rsid w:val="002B4252"/>
    <w:rsid w:val="002B52A9"/>
    <w:rsid w:val="002B57CC"/>
    <w:rsid w:val="002B59B1"/>
    <w:rsid w:val="002B6537"/>
    <w:rsid w:val="002B76EA"/>
    <w:rsid w:val="002B7F41"/>
    <w:rsid w:val="002C03AD"/>
    <w:rsid w:val="002C0971"/>
    <w:rsid w:val="002C10A7"/>
    <w:rsid w:val="002C133D"/>
    <w:rsid w:val="002C151B"/>
    <w:rsid w:val="002C2AD5"/>
    <w:rsid w:val="002C2E8E"/>
    <w:rsid w:val="002C2F0F"/>
    <w:rsid w:val="002C36C6"/>
    <w:rsid w:val="002C446A"/>
    <w:rsid w:val="002C49B8"/>
    <w:rsid w:val="002C4A1A"/>
    <w:rsid w:val="002C5132"/>
    <w:rsid w:val="002C6005"/>
    <w:rsid w:val="002C65EB"/>
    <w:rsid w:val="002C68CB"/>
    <w:rsid w:val="002C7D61"/>
    <w:rsid w:val="002C7E22"/>
    <w:rsid w:val="002D026E"/>
    <w:rsid w:val="002D1153"/>
    <w:rsid w:val="002D22BC"/>
    <w:rsid w:val="002D23A6"/>
    <w:rsid w:val="002D3F3C"/>
    <w:rsid w:val="002D477A"/>
    <w:rsid w:val="002D4D8D"/>
    <w:rsid w:val="002D539D"/>
    <w:rsid w:val="002D5566"/>
    <w:rsid w:val="002D5B28"/>
    <w:rsid w:val="002D5DAE"/>
    <w:rsid w:val="002D5EEE"/>
    <w:rsid w:val="002D6022"/>
    <w:rsid w:val="002D6855"/>
    <w:rsid w:val="002D6919"/>
    <w:rsid w:val="002D69D4"/>
    <w:rsid w:val="002D7303"/>
    <w:rsid w:val="002D74A6"/>
    <w:rsid w:val="002E068E"/>
    <w:rsid w:val="002E14B4"/>
    <w:rsid w:val="002E1D8D"/>
    <w:rsid w:val="002E39B5"/>
    <w:rsid w:val="002E4272"/>
    <w:rsid w:val="002E44E6"/>
    <w:rsid w:val="002E4ACA"/>
    <w:rsid w:val="002E51D2"/>
    <w:rsid w:val="002E5D31"/>
    <w:rsid w:val="002E6144"/>
    <w:rsid w:val="002E64B3"/>
    <w:rsid w:val="002E6DFA"/>
    <w:rsid w:val="002E72A1"/>
    <w:rsid w:val="002F0822"/>
    <w:rsid w:val="002F0BDA"/>
    <w:rsid w:val="002F127D"/>
    <w:rsid w:val="002F1E62"/>
    <w:rsid w:val="002F20D4"/>
    <w:rsid w:val="002F2A7A"/>
    <w:rsid w:val="002F3A25"/>
    <w:rsid w:val="002F459A"/>
    <w:rsid w:val="002F46AB"/>
    <w:rsid w:val="002F4726"/>
    <w:rsid w:val="002F5A45"/>
    <w:rsid w:val="002F6825"/>
    <w:rsid w:val="002F7905"/>
    <w:rsid w:val="0030118F"/>
    <w:rsid w:val="0030308A"/>
    <w:rsid w:val="003031AD"/>
    <w:rsid w:val="00304155"/>
    <w:rsid w:val="003047B3"/>
    <w:rsid w:val="0030488C"/>
    <w:rsid w:val="0030492A"/>
    <w:rsid w:val="003049A1"/>
    <w:rsid w:val="00305006"/>
    <w:rsid w:val="00305398"/>
    <w:rsid w:val="00306637"/>
    <w:rsid w:val="00306884"/>
    <w:rsid w:val="003074B6"/>
    <w:rsid w:val="0030757B"/>
    <w:rsid w:val="003076F5"/>
    <w:rsid w:val="003100CC"/>
    <w:rsid w:val="0031018A"/>
    <w:rsid w:val="00310CED"/>
    <w:rsid w:val="00311213"/>
    <w:rsid w:val="003118D6"/>
    <w:rsid w:val="0031223F"/>
    <w:rsid w:val="00312D73"/>
    <w:rsid w:val="00314CF4"/>
    <w:rsid w:val="00315DC0"/>
    <w:rsid w:val="003166D3"/>
    <w:rsid w:val="003179E2"/>
    <w:rsid w:val="0032001F"/>
    <w:rsid w:val="003211F6"/>
    <w:rsid w:val="00322814"/>
    <w:rsid w:val="003241E7"/>
    <w:rsid w:val="00324E61"/>
    <w:rsid w:val="00324FA8"/>
    <w:rsid w:val="00326DAA"/>
    <w:rsid w:val="00327219"/>
    <w:rsid w:val="0032730E"/>
    <w:rsid w:val="00331021"/>
    <w:rsid w:val="00331A77"/>
    <w:rsid w:val="00332170"/>
    <w:rsid w:val="003325BB"/>
    <w:rsid w:val="00333069"/>
    <w:rsid w:val="00334EF6"/>
    <w:rsid w:val="0033505C"/>
    <w:rsid w:val="00335438"/>
    <w:rsid w:val="0033734C"/>
    <w:rsid w:val="00337A00"/>
    <w:rsid w:val="00337C70"/>
    <w:rsid w:val="003407C8"/>
    <w:rsid w:val="003417DC"/>
    <w:rsid w:val="0034266D"/>
    <w:rsid w:val="00342CE4"/>
    <w:rsid w:val="0034327E"/>
    <w:rsid w:val="00343F39"/>
    <w:rsid w:val="00344CD1"/>
    <w:rsid w:val="00344EEC"/>
    <w:rsid w:val="00346692"/>
    <w:rsid w:val="00346BB2"/>
    <w:rsid w:val="0034740D"/>
    <w:rsid w:val="00350163"/>
    <w:rsid w:val="00351480"/>
    <w:rsid w:val="00352328"/>
    <w:rsid w:val="0035259C"/>
    <w:rsid w:val="00352934"/>
    <w:rsid w:val="00352A02"/>
    <w:rsid w:val="00352DF6"/>
    <w:rsid w:val="00353796"/>
    <w:rsid w:val="00354544"/>
    <w:rsid w:val="00354979"/>
    <w:rsid w:val="00354C88"/>
    <w:rsid w:val="003555D0"/>
    <w:rsid w:val="0035561A"/>
    <w:rsid w:val="003561E8"/>
    <w:rsid w:val="003568A9"/>
    <w:rsid w:val="00356FDE"/>
    <w:rsid w:val="00357AC2"/>
    <w:rsid w:val="003610FF"/>
    <w:rsid w:val="00361674"/>
    <w:rsid w:val="00361B24"/>
    <w:rsid w:val="003625C0"/>
    <w:rsid w:val="00362C9B"/>
    <w:rsid w:val="00362D3B"/>
    <w:rsid w:val="00362DDC"/>
    <w:rsid w:val="00362F14"/>
    <w:rsid w:val="003637DD"/>
    <w:rsid w:val="00363816"/>
    <w:rsid w:val="00363EFF"/>
    <w:rsid w:val="00364AE7"/>
    <w:rsid w:val="0036675F"/>
    <w:rsid w:val="003669CA"/>
    <w:rsid w:val="00366DAF"/>
    <w:rsid w:val="00370917"/>
    <w:rsid w:val="00370FC6"/>
    <w:rsid w:val="0037148D"/>
    <w:rsid w:val="003742C3"/>
    <w:rsid w:val="00376E06"/>
    <w:rsid w:val="003770C4"/>
    <w:rsid w:val="00377E57"/>
    <w:rsid w:val="00380767"/>
    <w:rsid w:val="00380ACB"/>
    <w:rsid w:val="003816AD"/>
    <w:rsid w:val="00381A7E"/>
    <w:rsid w:val="00381DC8"/>
    <w:rsid w:val="00381EBA"/>
    <w:rsid w:val="00381F71"/>
    <w:rsid w:val="003820FB"/>
    <w:rsid w:val="00382DA0"/>
    <w:rsid w:val="00383215"/>
    <w:rsid w:val="003841AE"/>
    <w:rsid w:val="00385014"/>
    <w:rsid w:val="003856B8"/>
    <w:rsid w:val="003861C9"/>
    <w:rsid w:val="00386511"/>
    <w:rsid w:val="0039037A"/>
    <w:rsid w:val="0039072A"/>
    <w:rsid w:val="00390B30"/>
    <w:rsid w:val="00390B68"/>
    <w:rsid w:val="003910AF"/>
    <w:rsid w:val="00391831"/>
    <w:rsid w:val="00391ADF"/>
    <w:rsid w:val="003922CF"/>
    <w:rsid w:val="00394706"/>
    <w:rsid w:val="003964CA"/>
    <w:rsid w:val="00396AB5"/>
    <w:rsid w:val="00396C8B"/>
    <w:rsid w:val="0039700B"/>
    <w:rsid w:val="003A007F"/>
    <w:rsid w:val="003A05EA"/>
    <w:rsid w:val="003A0710"/>
    <w:rsid w:val="003A077F"/>
    <w:rsid w:val="003A0E3C"/>
    <w:rsid w:val="003A1142"/>
    <w:rsid w:val="003A17F8"/>
    <w:rsid w:val="003A1B5A"/>
    <w:rsid w:val="003A1F0A"/>
    <w:rsid w:val="003A4C75"/>
    <w:rsid w:val="003A6DF5"/>
    <w:rsid w:val="003A70DE"/>
    <w:rsid w:val="003A76E2"/>
    <w:rsid w:val="003A78CD"/>
    <w:rsid w:val="003A7C4F"/>
    <w:rsid w:val="003A7D0A"/>
    <w:rsid w:val="003B1D7C"/>
    <w:rsid w:val="003B25B5"/>
    <w:rsid w:val="003B34BC"/>
    <w:rsid w:val="003B4097"/>
    <w:rsid w:val="003B41AF"/>
    <w:rsid w:val="003B4518"/>
    <w:rsid w:val="003B4535"/>
    <w:rsid w:val="003B5B2F"/>
    <w:rsid w:val="003B5CBE"/>
    <w:rsid w:val="003B5DB1"/>
    <w:rsid w:val="003B6090"/>
    <w:rsid w:val="003B6D4E"/>
    <w:rsid w:val="003B73C7"/>
    <w:rsid w:val="003B7619"/>
    <w:rsid w:val="003B7CD2"/>
    <w:rsid w:val="003C0518"/>
    <w:rsid w:val="003C0756"/>
    <w:rsid w:val="003C0996"/>
    <w:rsid w:val="003C0B31"/>
    <w:rsid w:val="003C1BE0"/>
    <w:rsid w:val="003C2483"/>
    <w:rsid w:val="003C428F"/>
    <w:rsid w:val="003C44D7"/>
    <w:rsid w:val="003C4898"/>
    <w:rsid w:val="003C4C7A"/>
    <w:rsid w:val="003C5753"/>
    <w:rsid w:val="003C649C"/>
    <w:rsid w:val="003C6511"/>
    <w:rsid w:val="003C719D"/>
    <w:rsid w:val="003C72CF"/>
    <w:rsid w:val="003C7C2D"/>
    <w:rsid w:val="003C7F86"/>
    <w:rsid w:val="003D0A89"/>
    <w:rsid w:val="003D1BBA"/>
    <w:rsid w:val="003D2778"/>
    <w:rsid w:val="003D2F48"/>
    <w:rsid w:val="003D33A8"/>
    <w:rsid w:val="003D4673"/>
    <w:rsid w:val="003D4F95"/>
    <w:rsid w:val="003D5092"/>
    <w:rsid w:val="003D5748"/>
    <w:rsid w:val="003D7EAD"/>
    <w:rsid w:val="003E36C0"/>
    <w:rsid w:val="003E3D9D"/>
    <w:rsid w:val="003E3DE3"/>
    <w:rsid w:val="003E3DF1"/>
    <w:rsid w:val="003E4231"/>
    <w:rsid w:val="003E7C6F"/>
    <w:rsid w:val="003F11CA"/>
    <w:rsid w:val="003F21F8"/>
    <w:rsid w:val="003F2316"/>
    <w:rsid w:val="003F25BD"/>
    <w:rsid w:val="003F2AC5"/>
    <w:rsid w:val="003F32DD"/>
    <w:rsid w:val="003F3872"/>
    <w:rsid w:val="003F4F0C"/>
    <w:rsid w:val="003F5D02"/>
    <w:rsid w:val="003F70CA"/>
    <w:rsid w:val="00400450"/>
    <w:rsid w:val="004010C1"/>
    <w:rsid w:val="004021AA"/>
    <w:rsid w:val="004021B2"/>
    <w:rsid w:val="00402446"/>
    <w:rsid w:val="00403CF6"/>
    <w:rsid w:val="00404DD3"/>
    <w:rsid w:val="00406000"/>
    <w:rsid w:val="00407369"/>
    <w:rsid w:val="00407713"/>
    <w:rsid w:val="004104A5"/>
    <w:rsid w:val="00410EBE"/>
    <w:rsid w:val="00410EFB"/>
    <w:rsid w:val="0041118C"/>
    <w:rsid w:val="00412E02"/>
    <w:rsid w:val="00413520"/>
    <w:rsid w:val="00413EE1"/>
    <w:rsid w:val="004148D9"/>
    <w:rsid w:val="00415C38"/>
    <w:rsid w:val="0041635F"/>
    <w:rsid w:val="0041636A"/>
    <w:rsid w:val="00416760"/>
    <w:rsid w:val="00417660"/>
    <w:rsid w:val="004176FB"/>
    <w:rsid w:val="00417D4E"/>
    <w:rsid w:val="00417F70"/>
    <w:rsid w:val="00420B5F"/>
    <w:rsid w:val="00421CBA"/>
    <w:rsid w:val="00421DA5"/>
    <w:rsid w:val="00421E09"/>
    <w:rsid w:val="0042241C"/>
    <w:rsid w:val="004239C7"/>
    <w:rsid w:val="00423E4C"/>
    <w:rsid w:val="0042407F"/>
    <w:rsid w:val="00424F70"/>
    <w:rsid w:val="004258CB"/>
    <w:rsid w:val="004259F4"/>
    <w:rsid w:val="0042676B"/>
    <w:rsid w:val="00426BB2"/>
    <w:rsid w:val="00431AB1"/>
    <w:rsid w:val="00432130"/>
    <w:rsid w:val="004324A1"/>
    <w:rsid w:val="00432A4E"/>
    <w:rsid w:val="004331BB"/>
    <w:rsid w:val="00433598"/>
    <w:rsid w:val="004336AF"/>
    <w:rsid w:val="00434F56"/>
    <w:rsid w:val="00435545"/>
    <w:rsid w:val="0043558A"/>
    <w:rsid w:val="004356E3"/>
    <w:rsid w:val="00435B1C"/>
    <w:rsid w:val="004362F0"/>
    <w:rsid w:val="00437157"/>
    <w:rsid w:val="00440305"/>
    <w:rsid w:val="00440923"/>
    <w:rsid w:val="00440C4C"/>
    <w:rsid w:val="00441873"/>
    <w:rsid w:val="00443007"/>
    <w:rsid w:val="004431AC"/>
    <w:rsid w:val="0044426B"/>
    <w:rsid w:val="0044488B"/>
    <w:rsid w:val="00445392"/>
    <w:rsid w:val="00446EB2"/>
    <w:rsid w:val="0044733E"/>
    <w:rsid w:val="00447383"/>
    <w:rsid w:val="00447628"/>
    <w:rsid w:val="00451732"/>
    <w:rsid w:val="00451D6C"/>
    <w:rsid w:val="00451FA3"/>
    <w:rsid w:val="00452702"/>
    <w:rsid w:val="0045279B"/>
    <w:rsid w:val="00452851"/>
    <w:rsid w:val="00452AC9"/>
    <w:rsid w:val="00453612"/>
    <w:rsid w:val="004543B0"/>
    <w:rsid w:val="00455B6F"/>
    <w:rsid w:val="004567B9"/>
    <w:rsid w:val="004579DC"/>
    <w:rsid w:val="0046177B"/>
    <w:rsid w:val="00461CF2"/>
    <w:rsid w:val="004623E8"/>
    <w:rsid w:val="004637B1"/>
    <w:rsid w:val="004642FA"/>
    <w:rsid w:val="00464EE0"/>
    <w:rsid w:val="00465156"/>
    <w:rsid w:val="00466938"/>
    <w:rsid w:val="00466A09"/>
    <w:rsid w:val="00472A4B"/>
    <w:rsid w:val="004730DB"/>
    <w:rsid w:val="00474656"/>
    <w:rsid w:val="004749B9"/>
    <w:rsid w:val="00474ECE"/>
    <w:rsid w:val="004750B9"/>
    <w:rsid w:val="00475FF0"/>
    <w:rsid w:val="00476AAF"/>
    <w:rsid w:val="0047799D"/>
    <w:rsid w:val="00480D89"/>
    <w:rsid w:val="004812FD"/>
    <w:rsid w:val="00482405"/>
    <w:rsid w:val="00482DB2"/>
    <w:rsid w:val="0048360D"/>
    <w:rsid w:val="00483795"/>
    <w:rsid w:val="00483974"/>
    <w:rsid w:val="00483F4F"/>
    <w:rsid w:val="004846C7"/>
    <w:rsid w:val="004850A2"/>
    <w:rsid w:val="00485E86"/>
    <w:rsid w:val="00490D68"/>
    <w:rsid w:val="004918C1"/>
    <w:rsid w:val="00491A60"/>
    <w:rsid w:val="004924DF"/>
    <w:rsid w:val="0049269F"/>
    <w:rsid w:val="00492925"/>
    <w:rsid w:val="00492EB9"/>
    <w:rsid w:val="0049311A"/>
    <w:rsid w:val="00494067"/>
    <w:rsid w:val="004944E0"/>
    <w:rsid w:val="00494C90"/>
    <w:rsid w:val="00494F6B"/>
    <w:rsid w:val="004967F0"/>
    <w:rsid w:val="0049689C"/>
    <w:rsid w:val="0049693A"/>
    <w:rsid w:val="00496B7B"/>
    <w:rsid w:val="00497FBD"/>
    <w:rsid w:val="004A02D9"/>
    <w:rsid w:val="004A1282"/>
    <w:rsid w:val="004A1E2C"/>
    <w:rsid w:val="004A3CBB"/>
    <w:rsid w:val="004A6180"/>
    <w:rsid w:val="004A6D74"/>
    <w:rsid w:val="004A78CC"/>
    <w:rsid w:val="004B005C"/>
    <w:rsid w:val="004B2637"/>
    <w:rsid w:val="004B2859"/>
    <w:rsid w:val="004B32DB"/>
    <w:rsid w:val="004B42DF"/>
    <w:rsid w:val="004B487C"/>
    <w:rsid w:val="004B4B63"/>
    <w:rsid w:val="004B5FB8"/>
    <w:rsid w:val="004B6C02"/>
    <w:rsid w:val="004B7DB3"/>
    <w:rsid w:val="004B7E06"/>
    <w:rsid w:val="004C070E"/>
    <w:rsid w:val="004C1312"/>
    <w:rsid w:val="004C18B5"/>
    <w:rsid w:val="004C2618"/>
    <w:rsid w:val="004C27D4"/>
    <w:rsid w:val="004C2F91"/>
    <w:rsid w:val="004C3875"/>
    <w:rsid w:val="004C5A5E"/>
    <w:rsid w:val="004C5D9D"/>
    <w:rsid w:val="004C6050"/>
    <w:rsid w:val="004C7C46"/>
    <w:rsid w:val="004D044F"/>
    <w:rsid w:val="004D08C5"/>
    <w:rsid w:val="004D1C0C"/>
    <w:rsid w:val="004D3601"/>
    <w:rsid w:val="004D4BAF"/>
    <w:rsid w:val="004D5A27"/>
    <w:rsid w:val="004D5A9D"/>
    <w:rsid w:val="004D6616"/>
    <w:rsid w:val="004D740C"/>
    <w:rsid w:val="004E036F"/>
    <w:rsid w:val="004E0692"/>
    <w:rsid w:val="004E0828"/>
    <w:rsid w:val="004E10AA"/>
    <w:rsid w:val="004E1CC7"/>
    <w:rsid w:val="004E20E0"/>
    <w:rsid w:val="004E277C"/>
    <w:rsid w:val="004E36CC"/>
    <w:rsid w:val="004E3B3B"/>
    <w:rsid w:val="004E43A7"/>
    <w:rsid w:val="004E44B9"/>
    <w:rsid w:val="004E4A63"/>
    <w:rsid w:val="004E56CC"/>
    <w:rsid w:val="004E5BC7"/>
    <w:rsid w:val="004E6453"/>
    <w:rsid w:val="004E6572"/>
    <w:rsid w:val="004E6797"/>
    <w:rsid w:val="004F0356"/>
    <w:rsid w:val="004F03A4"/>
    <w:rsid w:val="004F0BF9"/>
    <w:rsid w:val="004F1DE5"/>
    <w:rsid w:val="004F212E"/>
    <w:rsid w:val="004F2D93"/>
    <w:rsid w:val="004F3A31"/>
    <w:rsid w:val="004F3F4D"/>
    <w:rsid w:val="004F4485"/>
    <w:rsid w:val="004F5EC3"/>
    <w:rsid w:val="004F5EDA"/>
    <w:rsid w:val="004F7FC8"/>
    <w:rsid w:val="00500081"/>
    <w:rsid w:val="00500DB9"/>
    <w:rsid w:val="00501995"/>
    <w:rsid w:val="00501BB1"/>
    <w:rsid w:val="00502FC7"/>
    <w:rsid w:val="00505AAF"/>
    <w:rsid w:val="005062F7"/>
    <w:rsid w:val="005069D8"/>
    <w:rsid w:val="00507D55"/>
    <w:rsid w:val="0051097C"/>
    <w:rsid w:val="00510A69"/>
    <w:rsid w:val="00512CF7"/>
    <w:rsid w:val="005138C0"/>
    <w:rsid w:val="00513BC1"/>
    <w:rsid w:val="00514927"/>
    <w:rsid w:val="00514C49"/>
    <w:rsid w:val="0051506C"/>
    <w:rsid w:val="00515584"/>
    <w:rsid w:val="0051596E"/>
    <w:rsid w:val="00516CD9"/>
    <w:rsid w:val="0051712B"/>
    <w:rsid w:val="00522001"/>
    <w:rsid w:val="00522538"/>
    <w:rsid w:val="00522F85"/>
    <w:rsid w:val="0052363D"/>
    <w:rsid w:val="00523ACC"/>
    <w:rsid w:val="00523C2B"/>
    <w:rsid w:val="00525234"/>
    <w:rsid w:val="00525455"/>
    <w:rsid w:val="005261C5"/>
    <w:rsid w:val="00526273"/>
    <w:rsid w:val="00526359"/>
    <w:rsid w:val="00526616"/>
    <w:rsid w:val="00527008"/>
    <w:rsid w:val="00527B36"/>
    <w:rsid w:val="0053103B"/>
    <w:rsid w:val="00531FFF"/>
    <w:rsid w:val="0053266A"/>
    <w:rsid w:val="00533664"/>
    <w:rsid w:val="00535676"/>
    <w:rsid w:val="00535D2B"/>
    <w:rsid w:val="00536049"/>
    <w:rsid w:val="0053681A"/>
    <w:rsid w:val="00537291"/>
    <w:rsid w:val="005407AD"/>
    <w:rsid w:val="00540DD0"/>
    <w:rsid w:val="00541888"/>
    <w:rsid w:val="00541B42"/>
    <w:rsid w:val="00542ACC"/>
    <w:rsid w:val="00542ED5"/>
    <w:rsid w:val="00543455"/>
    <w:rsid w:val="005434F4"/>
    <w:rsid w:val="00544048"/>
    <w:rsid w:val="00545552"/>
    <w:rsid w:val="005456DC"/>
    <w:rsid w:val="00546777"/>
    <w:rsid w:val="00546878"/>
    <w:rsid w:val="0054702A"/>
    <w:rsid w:val="005477BA"/>
    <w:rsid w:val="00547B00"/>
    <w:rsid w:val="00547FDF"/>
    <w:rsid w:val="005503DB"/>
    <w:rsid w:val="005507A5"/>
    <w:rsid w:val="00551128"/>
    <w:rsid w:val="00552515"/>
    <w:rsid w:val="00553356"/>
    <w:rsid w:val="005535EA"/>
    <w:rsid w:val="00553705"/>
    <w:rsid w:val="00553920"/>
    <w:rsid w:val="00555D5A"/>
    <w:rsid w:val="00557DDF"/>
    <w:rsid w:val="00560197"/>
    <w:rsid w:val="00560961"/>
    <w:rsid w:val="00560BBA"/>
    <w:rsid w:val="00561FAC"/>
    <w:rsid w:val="00562705"/>
    <w:rsid w:val="0056271E"/>
    <w:rsid w:val="00562B35"/>
    <w:rsid w:val="005634E2"/>
    <w:rsid w:val="00563734"/>
    <w:rsid w:val="00563CF8"/>
    <w:rsid w:val="0056454A"/>
    <w:rsid w:val="00565735"/>
    <w:rsid w:val="005658B1"/>
    <w:rsid w:val="00565BDA"/>
    <w:rsid w:val="00565CE3"/>
    <w:rsid w:val="00566391"/>
    <w:rsid w:val="005676DF"/>
    <w:rsid w:val="00570D44"/>
    <w:rsid w:val="0057133F"/>
    <w:rsid w:val="00571997"/>
    <w:rsid w:val="00572167"/>
    <w:rsid w:val="005727BB"/>
    <w:rsid w:val="0057295E"/>
    <w:rsid w:val="005730E2"/>
    <w:rsid w:val="005732DF"/>
    <w:rsid w:val="005757EE"/>
    <w:rsid w:val="00576151"/>
    <w:rsid w:val="005765D7"/>
    <w:rsid w:val="00576F9F"/>
    <w:rsid w:val="00577439"/>
    <w:rsid w:val="00577719"/>
    <w:rsid w:val="00582C64"/>
    <w:rsid w:val="005833E7"/>
    <w:rsid w:val="00583498"/>
    <w:rsid w:val="00583634"/>
    <w:rsid w:val="00583C89"/>
    <w:rsid w:val="005861DE"/>
    <w:rsid w:val="005862D7"/>
    <w:rsid w:val="00587917"/>
    <w:rsid w:val="00587A4B"/>
    <w:rsid w:val="00587A91"/>
    <w:rsid w:val="0059030B"/>
    <w:rsid w:val="00590777"/>
    <w:rsid w:val="0059083F"/>
    <w:rsid w:val="00590969"/>
    <w:rsid w:val="005920BA"/>
    <w:rsid w:val="00592711"/>
    <w:rsid w:val="00592B9D"/>
    <w:rsid w:val="005940B8"/>
    <w:rsid w:val="00594959"/>
    <w:rsid w:val="00594CDA"/>
    <w:rsid w:val="00595532"/>
    <w:rsid w:val="00595705"/>
    <w:rsid w:val="00595A4F"/>
    <w:rsid w:val="0059614D"/>
    <w:rsid w:val="00596EE7"/>
    <w:rsid w:val="005A0B47"/>
    <w:rsid w:val="005A19A3"/>
    <w:rsid w:val="005A1B1E"/>
    <w:rsid w:val="005A21C5"/>
    <w:rsid w:val="005A2678"/>
    <w:rsid w:val="005A283D"/>
    <w:rsid w:val="005A2B79"/>
    <w:rsid w:val="005A2DDA"/>
    <w:rsid w:val="005A2F23"/>
    <w:rsid w:val="005A37E4"/>
    <w:rsid w:val="005A463E"/>
    <w:rsid w:val="005A4689"/>
    <w:rsid w:val="005A5C98"/>
    <w:rsid w:val="005A6347"/>
    <w:rsid w:val="005A7778"/>
    <w:rsid w:val="005A7B1D"/>
    <w:rsid w:val="005B12E8"/>
    <w:rsid w:val="005B2733"/>
    <w:rsid w:val="005B2983"/>
    <w:rsid w:val="005B2E99"/>
    <w:rsid w:val="005B45B6"/>
    <w:rsid w:val="005B4612"/>
    <w:rsid w:val="005B478E"/>
    <w:rsid w:val="005B4831"/>
    <w:rsid w:val="005B4B32"/>
    <w:rsid w:val="005B5637"/>
    <w:rsid w:val="005B5D82"/>
    <w:rsid w:val="005B6A36"/>
    <w:rsid w:val="005B7777"/>
    <w:rsid w:val="005B7FC9"/>
    <w:rsid w:val="005C0102"/>
    <w:rsid w:val="005C039A"/>
    <w:rsid w:val="005C0853"/>
    <w:rsid w:val="005C1D1D"/>
    <w:rsid w:val="005C1E1A"/>
    <w:rsid w:val="005C20CA"/>
    <w:rsid w:val="005C2441"/>
    <w:rsid w:val="005C324B"/>
    <w:rsid w:val="005C373B"/>
    <w:rsid w:val="005C44EB"/>
    <w:rsid w:val="005C4613"/>
    <w:rsid w:val="005C464D"/>
    <w:rsid w:val="005C514F"/>
    <w:rsid w:val="005C692B"/>
    <w:rsid w:val="005C775D"/>
    <w:rsid w:val="005C7D2F"/>
    <w:rsid w:val="005C7DB7"/>
    <w:rsid w:val="005D0364"/>
    <w:rsid w:val="005D0E67"/>
    <w:rsid w:val="005D1071"/>
    <w:rsid w:val="005D1105"/>
    <w:rsid w:val="005D160D"/>
    <w:rsid w:val="005D1BF9"/>
    <w:rsid w:val="005D2EB7"/>
    <w:rsid w:val="005D32BF"/>
    <w:rsid w:val="005D3A3C"/>
    <w:rsid w:val="005D4920"/>
    <w:rsid w:val="005D56BC"/>
    <w:rsid w:val="005D5C41"/>
    <w:rsid w:val="005D6EEB"/>
    <w:rsid w:val="005E0101"/>
    <w:rsid w:val="005E01B5"/>
    <w:rsid w:val="005E290D"/>
    <w:rsid w:val="005E2C76"/>
    <w:rsid w:val="005E2E01"/>
    <w:rsid w:val="005E35A2"/>
    <w:rsid w:val="005E41DB"/>
    <w:rsid w:val="005E4284"/>
    <w:rsid w:val="005E4295"/>
    <w:rsid w:val="005E4ADF"/>
    <w:rsid w:val="005E4AE8"/>
    <w:rsid w:val="005E5223"/>
    <w:rsid w:val="005E5E33"/>
    <w:rsid w:val="005E6936"/>
    <w:rsid w:val="005F017D"/>
    <w:rsid w:val="005F1201"/>
    <w:rsid w:val="005F1277"/>
    <w:rsid w:val="005F1824"/>
    <w:rsid w:val="005F189E"/>
    <w:rsid w:val="005F18D3"/>
    <w:rsid w:val="005F1C63"/>
    <w:rsid w:val="005F31A3"/>
    <w:rsid w:val="005F3798"/>
    <w:rsid w:val="005F3E06"/>
    <w:rsid w:val="005F4ACA"/>
    <w:rsid w:val="005F4ECB"/>
    <w:rsid w:val="005F5508"/>
    <w:rsid w:val="005F65C9"/>
    <w:rsid w:val="005F6687"/>
    <w:rsid w:val="005F6C45"/>
    <w:rsid w:val="005F6C54"/>
    <w:rsid w:val="005F6EC8"/>
    <w:rsid w:val="005F72A9"/>
    <w:rsid w:val="005F735C"/>
    <w:rsid w:val="005F7414"/>
    <w:rsid w:val="005F758B"/>
    <w:rsid w:val="005F75FC"/>
    <w:rsid w:val="005F7899"/>
    <w:rsid w:val="005F7CAC"/>
    <w:rsid w:val="00600509"/>
    <w:rsid w:val="00600A2E"/>
    <w:rsid w:val="006012BC"/>
    <w:rsid w:val="00601387"/>
    <w:rsid w:val="006015D4"/>
    <w:rsid w:val="00601B4F"/>
    <w:rsid w:val="0060215A"/>
    <w:rsid w:val="006022A0"/>
    <w:rsid w:val="00602709"/>
    <w:rsid w:val="006035F9"/>
    <w:rsid w:val="0060467B"/>
    <w:rsid w:val="00604B24"/>
    <w:rsid w:val="00604D5D"/>
    <w:rsid w:val="00605EA6"/>
    <w:rsid w:val="00606CAA"/>
    <w:rsid w:val="00606D42"/>
    <w:rsid w:val="00611189"/>
    <w:rsid w:val="006111A3"/>
    <w:rsid w:val="006116D5"/>
    <w:rsid w:val="00613095"/>
    <w:rsid w:val="006133E5"/>
    <w:rsid w:val="0061362E"/>
    <w:rsid w:val="00613C94"/>
    <w:rsid w:val="00613F19"/>
    <w:rsid w:val="00614553"/>
    <w:rsid w:val="00614978"/>
    <w:rsid w:val="00615FB5"/>
    <w:rsid w:val="00616044"/>
    <w:rsid w:val="00616240"/>
    <w:rsid w:val="00616F4B"/>
    <w:rsid w:val="00617024"/>
    <w:rsid w:val="00620CB9"/>
    <w:rsid w:val="006211C3"/>
    <w:rsid w:val="00621516"/>
    <w:rsid w:val="00621676"/>
    <w:rsid w:val="00621F08"/>
    <w:rsid w:val="0062227D"/>
    <w:rsid w:val="00622AEA"/>
    <w:rsid w:val="00622D81"/>
    <w:rsid w:val="006231B2"/>
    <w:rsid w:val="00623230"/>
    <w:rsid w:val="006236C7"/>
    <w:rsid w:val="00624F50"/>
    <w:rsid w:val="006256A1"/>
    <w:rsid w:val="00625C1A"/>
    <w:rsid w:val="00625D27"/>
    <w:rsid w:val="00626E15"/>
    <w:rsid w:val="00627282"/>
    <w:rsid w:val="00627422"/>
    <w:rsid w:val="006274E5"/>
    <w:rsid w:val="00627A0D"/>
    <w:rsid w:val="00630226"/>
    <w:rsid w:val="00630699"/>
    <w:rsid w:val="00630CA8"/>
    <w:rsid w:val="0063129D"/>
    <w:rsid w:val="0063181B"/>
    <w:rsid w:val="006318C0"/>
    <w:rsid w:val="006324B9"/>
    <w:rsid w:val="00632770"/>
    <w:rsid w:val="00633308"/>
    <w:rsid w:val="00633CD8"/>
    <w:rsid w:val="00634242"/>
    <w:rsid w:val="00634E71"/>
    <w:rsid w:val="00634E9C"/>
    <w:rsid w:val="00634FCF"/>
    <w:rsid w:val="006356A5"/>
    <w:rsid w:val="00636913"/>
    <w:rsid w:val="006369D5"/>
    <w:rsid w:val="006376D2"/>
    <w:rsid w:val="00640530"/>
    <w:rsid w:val="0064072A"/>
    <w:rsid w:val="0064075F"/>
    <w:rsid w:val="00644AF6"/>
    <w:rsid w:val="00644BCE"/>
    <w:rsid w:val="006459CA"/>
    <w:rsid w:val="00645CE9"/>
    <w:rsid w:val="00646FC6"/>
    <w:rsid w:val="00647E5E"/>
    <w:rsid w:val="00647F8A"/>
    <w:rsid w:val="006507E7"/>
    <w:rsid w:val="006520A8"/>
    <w:rsid w:val="006520FB"/>
    <w:rsid w:val="00652243"/>
    <w:rsid w:val="00652598"/>
    <w:rsid w:val="00653587"/>
    <w:rsid w:val="00653B0B"/>
    <w:rsid w:val="00653DAE"/>
    <w:rsid w:val="00654361"/>
    <w:rsid w:val="00655F99"/>
    <w:rsid w:val="00657300"/>
    <w:rsid w:val="0066052E"/>
    <w:rsid w:val="00660F0D"/>
    <w:rsid w:val="006615FD"/>
    <w:rsid w:val="00661B8B"/>
    <w:rsid w:val="00661CD4"/>
    <w:rsid w:val="00662A77"/>
    <w:rsid w:val="00663038"/>
    <w:rsid w:val="00664E74"/>
    <w:rsid w:val="00664F79"/>
    <w:rsid w:val="00665C2E"/>
    <w:rsid w:val="00666232"/>
    <w:rsid w:val="006671CF"/>
    <w:rsid w:val="00667253"/>
    <w:rsid w:val="0066752F"/>
    <w:rsid w:val="006675D2"/>
    <w:rsid w:val="00667F7D"/>
    <w:rsid w:val="0067086A"/>
    <w:rsid w:val="00670885"/>
    <w:rsid w:val="00671304"/>
    <w:rsid w:val="00673D34"/>
    <w:rsid w:val="0067596B"/>
    <w:rsid w:val="00677069"/>
    <w:rsid w:val="00677985"/>
    <w:rsid w:val="00680CC9"/>
    <w:rsid w:val="00682EEA"/>
    <w:rsid w:val="00683897"/>
    <w:rsid w:val="00685B10"/>
    <w:rsid w:val="00685DDC"/>
    <w:rsid w:val="006864E6"/>
    <w:rsid w:val="0068760E"/>
    <w:rsid w:val="0069071B"/>
    <w:rsid w:val="00690CD5"/>
    <w:rsid w:val="00692B3D"/>
    <w:rsid w:val="006945A7"/>
    <w:rsid w:val="006946E6"/>
    <w:rsid w:val="00694B65"/>
    <w:rsid w:val="0069502B"/>
    <w:rsid w:val="00695260"/>
    <w:rsid w:val="006957E1"/>
    <w:rsid w:val="0069581D"/>
    <w:rsid w:val="00696FB0"/>
    <w:rsid w:val="00697070"/>
    <w:rsid w:val="00697CFD"/>
    <w:rsid w:val="006A003C"/>
    <w:rsid w:val="006A1066"/>
    <w:rsid w:val="006A1BF8"/>
    <w:rsid w:val="006A1CA6"/>
    <w:rsid w:val="006A32F9"/>
    <w:rsid w:val="006A456B"/>
    <w:rsid w:val="006A46EA"/>
    <w:rsid w:val="006A4AAD"/>
    <w:rsid w:val="006A53A3"/>
    <w:rsid w:val="006A5799"/>
    <w:rsid w:val="006A5AA8"/>
    <w:rsid w:val="006A5B45"/>
    <w:rsid w:val="006A6986"/>
    <w:rsid w:val="006A70F4"/>
    <w:rsid w:val="006A727F"/>
    <w:rsid w:val="006A758A"/>
    <w:rsid w:val="006B010A"/>
    <w:rsid w:val="006B01E0"/>
    <w:rsid w:val="006B0270"/>
    <w:rsid w:val="006B063F"/>
    <w:rsid w:val="006B166A"/>
    <w:rsid w:val="006B2188"/>
    <w:rsid w:val="006B227A"/>
    <w:rsid w:val="006B3ED3"/>
    <w:rsid w:val="006B4642"/>
    <w:rsid w:val="006B4B7D"/>
    <w:rsid w:val="006B4CF2"/>
    <w:rsid w:val="006B5250"/>
    <w:rsid w:val="006B5CDB"/>
    <w:rsid w:val="006B6D66"/>
    <w:rsid w:val="006B7F47"/>
    <w:rsid w:val="006C02B6"/>
    <w:rsid w:val="006C04A0"/>
    <w:rsid w:val="006C0AB2"/>
    <w:rsid w:val="006C1046"/>
    <w:rsid w:val="006C1642"/>
    <w:rsid w:val="006C23C5"/>
    <w:rsid w:val="006C2BD2"/>
    <w:rsid w:val="006C3550"/>
    <w:rsid w:val="006C355A"/>
    <w:rsid w:val="006C3AE0"/>
    <w:rsid w:val="006C41EC"/>
    <w:rsid w:val="006C5A5A"/>
    <w:rsid w:val="006C6613"/>
    <w:rsid w:val="006C6930"/>
    <w:rsid w:val="006C7560"/>
    <w:rsid w:val="006C76C4"/>
    <w:rsid w:val="006D04F3"/>
    <w:rsid w:val="006D0AFF"/>
    <w:rsid w:val="006D160F"/>
    <w:rsid w:val="006D1CC3"/>
    <w:rsid w:val="006D1D2F"/>
    <w:rsid w:val="006D2D95"/>
    <w:rsid w:val="006D32F8"/>
    <w:rsid w:val="006D33E4"/>
    <w:rsid w:val="006D3493"/>
    <w:rsid w:val="006D3F54"/>
    <w:rsid w:val="006D47B2"/>
    <w:rsid w:val="006D756B"/>
    <w:rsid w:val="006D77D5"/>
    <w:rsid w:val="006D79C5"/>
    <w:rsid w:val="006E36E2"/>
    <w:rsid w:val="006E3994"/>
    <w:rsid w:val="006E4439"/>
    <w:rsid w:val="006E458F"/>
    <w:rsid w:val="006E4F86"/>
    <w:rsid w:val="006E524C"/>
    <w:rsid w:val="006E5FB4"/>
    <w:rsid w:val="006E6969"/>
    <w:rsid w:val="006E6AA4"/>
    <w:rsid w:val="006E6AC4"/>
    <w:rsid w:val="006E70D4"/>
    <w:rsid w:val="006E71A5"/>
    <w:rsid w:val="006E76A1"/>
    <w:rsid w:val="006E7FB1"/>
    <w:rsid w:val="006F07AC"/>
    <w:rsid w:val="006F1028"/>
    <w:rsid w:val="006F15D9"/>
    <w:rsid w:val="006F213F"/>
    <w:rsid w:val="006F269E"/>
    <w:rsid w:val="006F28B5"/>
    <w:rsid w:val="006F2FA0"/>
    <w:rsid w:val="006F3D04"/>
    <w:rsid w:val="006F46EB"/>
    <w:rsid w:val="006F4B12"/>
    <w:rsid w:val="006F4C48"/>
    <w:rsid w:val="006F52E5"/>
    <w:rsid w:val="006F53AF"/>
    <w:rsid w:val="006F63ED"/>
    <w:rsid w:val="006F6828"/>
    <w:rsid w:val="006F7861"/>
    <w:rsid w:val="00700ABB"/>
    <w:rsid w:val="00701F64"/>
    <w:rsid w:val="00702132"/>
    <w:rsid w:val="0070376B"/>
    <w:rsid w:val="007037D0"/>
    <w:rsid w:val="00703D5F"/>
    <w:rsid w:val="0070671C"/>
    <w:rsid w:val="00706BAF"/>
    <w:rsid w:val="00706E31"/>
    <w:rsid w:val="00707F87"/>
    <w:rsid w:val="00710067"/>
    <w:rsid w:val="007110DD"/>
    <w:rsid w:val="0071310F"/>
    <w:rsid w:val="0071314D"/>
    <w:rsid w:val="00713558"/>
    <w:rsid w:val="00714B3B"/>
    <w:rsid w:val="00715246"/>
    <w:rsid w:val="0071588D"/>
    <w:rsid w:val="00715C71"/>
    <w:rsid w:val="00715CBC"/>
    <w:rsid w:val="00717987"/>
    <w:rsid w:val="00717FA5"/>
    <w:rsid w:val="00720C50"/>
    <w:rsid w:val="00720FE6"/>
    <w:rsid w:val="007210D4"/>
    <w:rsid w:val="007227D8"/>
    <w:rsid w:val="00722FCA"/>
    <w:rsid w:val="007240DC"/>
    <w:rsid w:val="00724A4B"/>
    <w:rsid w:val="00725432"/>
    <w:rsid w:val="007268D8"/>
    <w:rsid w:val="00727421"/>
    <w:rsid w:val="00731A95"/>
    <w:rsid w:val="00731AAB"/>
    <w:rsid w:val="00731B74"/>
    <w:rsid w:val="007322DD"/>
    <w:rsid w:val="00732C3E"/>
    <w:rsid w:val="00733271"/>
    <w:rsid w:val="00733BDC"/>
    <w:rsid w:val="00734071"/>
    <w:rsid w:val="0073439D"/>
    <w:rsid w:val="00734B5F"/>
    <w:rsid w:val="00734BD9"/>
    <w:rsid w:val="00734F7B"/>
    <w:rsid w:val="007350ED"/>
    <w:rsid w:val="0073547E"/>
    <w:rsid w:val="0073607B"/>
    <w:rsid w:val="00737FD4"/>
    <w:rsid w:val="00740FB6"/>
    <w:rsid w:val="007413AA"/>
    <w:rsid w:val="0074167F"/>
    <w:rsid w:val="00741CF5"/>
    <w:rsid w:val="00742D75"/>
    <w:rsid w:val="00743798"/>
    <w:rsid w:val="00743BA2"/>
    <w:rsid w:val="0074530B"/>
    <w:rsid w:val="00745FE6"/>
    <w:rsid w:val="0075026B"/>
    <w:rsid w:val="00750A22"/>
    <w:rsid w:val="00750AF6"/>
    <w:rsid w:val="0075103D"/>
    <w:rsid w:val="007511BF"/>
    <w:rsid w:val="007513B4"/>
    <w:rsid w:val="007515CB"/>
    <w:rsid w:val="007516DB"/>
    <w:rsid w:val="00751FC8"/>
    <w:rsid w:val="007526CB"/>
    <w:rsid w:val="0075374E"/>
    <w:rsid w:val="00753CFF"/>
    <w:rsid w:val="00753D86"/>
    <w:rsid w:val="007541DB"/>
    <w:rsid w:val="0075471F"/>
    <w:rsid w:val="007560E6"/>
    <w:rsid w:val="00756EB9"/>
    <w:rsid w:val="00757459"/>
    <w:rsid w:val="007579F2"/>
    <w:rsid w:val="00757DB4"/>
    <w:rsid w:val="00761153"/>
    <w:rsid w:val="00761860"/>
    <w:rsid w:val="007629B1"/>
    <w:rsid w:val="00762A59"/>
    <w:rsid w:val="00763BF4"/>
    <w:rsid w:val="00763EB8"/>
    <w:rsid w:val="007645D8"/>
    <w:rsid w:val="00764A3C"/>
    <w:rsid w:val="0076523E"/>
    <w:rsid w:val="0076702F"/>
    <w:rsid w:val="00767A01"/>
    <w:rsid w:val="00767DE2"/>
    <w:rsid w:val="007701A7"/>
    <w:rsid w:val="00771453"/>
    <w:rsid w:val="0077179B"/>
    <w:rsid w:val="00771E1C"/>
    <w:rsid w:val="00771F63"/>
    <w:rsid w:val="00772171"/>
    <w:rsid w:val="0077227E"/>
    <w:rsid w:val="007728C1"/>
    <w:rsid w:val="00772BE0"/>
    <w:rsid w:val="00772DAB"/>
    <w:rsid w:val="00773086"/>
    <w:rsid w:val="007731DA"/>
    <w:rsid w:val="00773B8C"/>
    <w:rsid w:val="00774453"/>
    <w:rsid w:val="007744C1"/>
    <w:rsid w:val="0077686C"/>
    <w:rsid w:val="00776FE9"/>
    <w:rsid w:val="00777B31"/>
    <w:rsid w:val="00780272"/>
    <w:rsid w:val="00781CD9"/>
    <w:rsid w:val="00781ECB"/>
    <w:rsid w:val="00782E71"/>
    <w:rsid w:val="00783DB3"/>
    <w:rsid w:val="00783FD6"/>
    <w:rsid w:val="0078439B"/>
    <w:rsid w:val="0078456F"/>
    <w:rsid w:val="007847C8"/>
    <w:rsid w:val="00784AD7"/>
    <w:rsid w:val="00784D81"/>
    <w:rsid w:val="007852BE"/>
    <w:rsid w:val="007857F2"/>
    <w:rsid w:val="00785A96"/>
    <w:rsid w:val="007860D7"/>
    <w:rsid w:val="007865C0"/>
    <w:rsid w:val="007868B2"/>
    <w:rsid w:val="007872AA"/>
    <w:rsid w:val="007905C4"/>
    <w:rsid w:val="00790A4A"/>
    <w:rsid w:val="00790C38"/>
    <w:rsid w:val="00790F99"/>
    <w:rsid w:val="00791E02"/>
    <w:rsid w:val="007922D8"/>
    <w:rsid w:val="00793A53"/>
    <w:rsid w:val="00793E1A"/>
    <w:rsid w:val="00794148"/>
    <w:rsid w:val="00794943"/>
    <w:rsid w:val="00794ED2"/>
    <w:rsid w:val="0079574F"/>
    <w:rsid w:val="00796D06"/>
    <w:rsid w:val="007970B7"/>
    <w:rsid w:val="00797508"/>
    <w:rsid w:val="007A0E9F"/>
    <w:rsid w:val="007A1E15"/>
    <w:rsid w:val="007A1FA2"/>
    <w:rsid w:val="007A249C"/>
    <w:rsid w:val="007A382F"/>
    <w:rsid w:val="007A3F29"/>
    <w:rsid w:val="007A441D"/>
    <w:rsid w:val="007A48A8"/>
    <w:rsid w:val="007A4FD8"/>
    <w:rsid w:val="007A5049"/>
    <w:rsid w:val="007A512C"/>
    <w:rsid w:val="007A53EF"/>
    <w:rsid w:val="007A583D"/>
    <w:rsid w:val="007A5FD3"/>
    <w:rsid w:val="007A62EC"/>
    <w:rsid w:val="007A64C2"/>
    <w:rsid w:val="007B04A4"/>
    <w:rsid w:val="007B09A4"/>
    <w:rsid w:val="007B0F8B"/>
    <w:rsid w:val="007B10C7"/>
    <w:rsid w:val="007B1B82"/>
    <w:rsid w:val="007B1CF1"/>
    <w:rsid w:val="007B1E09"/>
    <w:rsid w:val="007B2ED1"/>
    <w:rsid w:val="007B3D50"/>
    <w:rsid w:val="007B4659"/>
    <w:rsid w:val="007B4924"/>
    <w:rsid w:val="007B4A31"/>
    <w:rsid w:val="007B4E04"/>
    <w:rsid w:val="007B4E13"/>
    <w:rsid w:val="007B567E"/>
    <w:rsid w:val="007B582C"/>
    <w:rsid w:val="007B5B3A"/>
    <w:rsid w:val="007B79D4"/>
    <w:rsid w:val="007C0420"/>
    <w:rsid w:val="007C0730"/>
    <w:rsid w:val="007C0C1E"/>
    <w:rsid w:val="007C11DE"/>
    <w:rsid w:val="007C1416"/>
    <w:rsid w:val="007C26FF"/>
    <w:rsid w:val="007C3418"/>
    <w:rsid w:val="007C437D"/>
    <w:rsid w:val="007C565B"/>
    <w:rsid w:val="007C678C"/>
    <w:rsid w:val="007C67B7"/>
    <w:rsid w:val="007C67EB"/>
    <w:rsid w:val="007C6AC8"/>
    <w:rsid w:val="007C6C53"/>
    <w:rsid w:val="007C712D"/>
    <w:rsid w:val="007C79F2"/>
    <w:rsid w:val="007D0AC3"/>
    <w:rsid w:val="007D1CCD"/>
    <w:rsid w:val="007D2C01"/>
    <w:rsid w:val="007D2FA3"/>
    <w:rsid w:val="007D314F"/>
    <w:rsid w:val="007D32E0"/>
    <w:rsid w:val="007D36CC"/>
    <w:rsid w:val="007D37F8"/>
    <w:rsid w:val="007D39DE"/>
    <w:rsid w:val="007D3FB5"/>
    <w:rsid w:val="007D46A7"/>
    <w:rsid w:val="007D665B"/>
    <w:rsid w:val="007D702B"/>
    <w:rsid w:val="007D70EA"/>
    <w:rsid w:val="007D7429"/>
    <w:rsid w:val="007D7779"/>
    <w:rsid w:val="007E0FF3"/>
    <w:rsid w:val="007E1692"/>
    <w:rsid w:val="007E1879"/>
    <w:rsid w:val="007E26A6"/>
    <w:rsid w:val="007E2F08"/>
    <w:rsid w:val="007E558F"/>
    <w:rsid w:val="007E5986"/>
    <w:rsid w:val="007E60E1"/>
    <w:rsid w:val="007E74A0"/>
    <w:rsid w:val="007F32B1"/>
    <w:rsid w:val="007F3B13"/>
    <w:rsid w:val="007F3DF9"/>
    <w:rsid w:val="007F4B51"/>
    <w:rsid w:val="007F5F80"/>
    <w:rsid w:val="007F797E"/>
    <w:rsid w:val="00801535"/>
    <w:rsid w:val="0080223C"/>
    <w:rsid w:val="00802321"/>
    <w:rsid w:val="0080300F"/>
    <w:rsid w:val="00804110"/>
    <w:rsid w:val="00804A7A"/>
    <w:rsid w:val="00805782"/>
    <w:rsid w:val="008059FB"/>
    <w:rsid w:val="00805AD1"/>
    <w:rsid w:val="00805C63"/>
    <w:rsid w:val="00805E42"/>
    <w:rsid w:val="00807073"/>
    <w:rsid w:val="00807E89"/>
    <w:rsid w:val="00810171"/>
    <w:rsid w:val="00810491"/>
    <w:rsid w:val="008104B9"/>
    <w:rsid w:val="008105E1"/>
    <w:rsid w:val="00811A3B"/>
    <w:rsid w:val="00811BE9"/>
    <w:rsid w:val="00812F2C"/>
    <w:rsid w:val="00813574"/>
    <w:rsid w:val="00814111"/>
    <w:rsid w:val="008143C4"/>
    <w:rsid w:val="00814511"/>
    <w:rsid w:val="00814855"/>
    <w:rsid w:val="00814A47"/>
    <w:rsid w:val="00814E18"/>
    <w:rsid w:val="0081518F"/>
    <w:rsid w:val="00816258"/>
    <w:rsid w:val="0081701D"/>
    <w:rsid w:val="008176C0"/>
    <w:rsid w:val="008204A1"/>
    <w:rsid w:val="008206C1"/>
    <w:rsid w:val="008218F5"/>
    <w:rsid w:val="00821912"/>
    <w:rsid w:val="00822CFA"/>
    <w:rsid w:val="00823CC3"/>
    <w:rsid w:val="008247D1"/>
    <w:rsid w:val="008259F1"/>
    <w:rsid w:val="00825B55"/>
    <w:rsid w:val="00825DC2"/>
    <w:rsid w:val="00825EB6"/>
    <w:rsid w:val="00826041"/>
    <w:rsid w:val="0082607B"/>
    <w:rsid w:val="008268F0"/>
    <w:rsid w:val="00827012"/>
    <w:rsid w:val="00827562"/>
    <w:rsid w:val="00827BB6"/>
    <w:rsid w:val="00827BF5"/>
    <w:rsid w:val="00827EF9"/>
    <w:rsid w:val="00830760"/>
    <w:rsid w:val="00830FC8"/>
    <w:rsid w:val="0083144E"/>
    <w:rsid w:val="008314C6"/>
    <w:rsid w:val="00831DB2"/>
    <w:rsid w:val="00832C02"/>
    <w:rsid w:val="0083379D"/>
    <w:rsid w:val="00833AB0"/>
    <w:rsid w:val="008341FC"/>
    <w:rsid w:val="008348A5"/>
    <w:rsid w:val="00834B16"/>
    <w:rsid w:val="00834C24"/>
    <w:rsid w:val="0083593B"/>
    <w:rsid w:val="008377FA"/>
    <w:rsid w:val="00840B7B"/>
    <w:rsid w:val="0084182A"/>
    <w:rsid w:val="0084184C"/>
    <w:rsid w:val="00841BF5"/>
    <w:rsid w:val="00841E0F"/>
    <w:rsid w:val="00841F0A"/>
    <w:rsid w:val="00842C4E"/>
    <w:rsid w:val="00843316"/>
    <w:rsid w:val="0084455E"/>
    <w:rsid w:val="008453D4"/>
    <w:rsid w:val="00845A10"/>
    <w:rsid w:val="00845A6E"/>
    <w:rsid w:val="00845FBB"/>
    <w:rsid w:val="00846741"/>
    <w:rsid w:val="00846B25"/>
    <w:rsid w:val="008472BB"/>
    <w:rsid w:val="00847384"/>
    <w:rsid w:val="00847689"/>
    <w:rsid w:val="00850232"/>
    <w:rsid w:val="00850DB1"/>
    <w:rsid w:val="008511F4"/>
    <w:rsid w:val="00851433"/>
    <w:rsid w:val="00851481"/>
    <w:rsid w:val="008524A9"/>
    <w:rsid w:val="00853A6D"/>
    <w:rsid w:val="00853D04"/>
    <w:rsid w:val="00854558"/>
    <w:rsid w:val="00855C96"/>
    <w:rsid w:val="00855D98"/>
    <w:rsid w:val="00855EE4"/>
    <w:rsid w:val="00856863"/>
    <w:rsid w:val="00860F2F"/>
    <w:rsid w:val="008618C6"/>
    <w:rsid w:val="0086324B"/>
    <w:rsid w:val="00864742"/>
    <w:rsid w:val="00864DD8"/>
    <w:rsid w:val="00865EB1"/>
    <w:rsid w:val="008662C5"/>
    <w:rsid w:val="0086658F"/>
    <w:rsid w:val="00866F89"/>
    <w:rsid w:val="00867034"/>
    <w:rsid w:val="0087038B"/>
    <w:rsid w:val="008706DE"/>
    <w:rsid w:val="008708EB"/>
    <w:rsid w:val="00871B7F"/>
    <w:rsid w:val="00871C79"/>
    <w:rsid w:val="00872075"/>
    <w:rsid w:val="008723D7"/>
    <w:rsid w:val="00872555"/>
    <w:rsid w:val="008726CD"/>
    <w:rsid w:val="008726DE"/>
    <w:rsid w:val="00872887"/>
    <w:rsid w:val="00872F0F"/>
    <w:rsid w:val="00873152"/>
    <w:rsid w:val="008738E3"/>
    <w:rsid w:val="00874328"/>
    <w:rsid w:val="008744EF"/>
    <w:rsid w:val="00874521"/>
    <w:rsid w:val="00874A3A"/>
    <w:rsid w:val="00874AB4"/>
    <w:rsid w:val="00874F07"/>
    <w:rsid w:val="0087517A"/>
    <w:rsid w:val="008756FE"/>
    <w:rsid w:val="0087661B"/>
    <w:rsid w:val="00877672"/>
    <w:rsid w:val="008776BC"/>
    <w:rsid w:val="0088047E"/>
    <w:rsid w:val="00881BD0"/>
    <w:rsid w:val="008829AA"/>
    <w:rsid w:val="00884352"/>
    <w:rsid w:val="00884851"/>
    <w:rsid w:val="00886CC5"/>
    <w:rsid w:val="00886CDC"/>
    <w:rsid w:val="008902C6"/>
    <w:rsid w:val="008907D9"/>
    <w:rsid w:val="00890987"/>
    <w:rsid w:val="00890F57"/>
    <w:rsid w:val="008911E5"/>
    <w:rsid w:val="008917E0"/>
    <w:rsid w:val="00891E35"/>
    <w:rsid w:val="00892051"/>
    <w:rsid w:val="0089223E"/>
    <w:rsid w:val="00892372"/>
    <w:rsid w:val="00892E65"/>
    <w:rsid w:val="00893496"/>
    <w:rsid w:val="00893A44"/>
    <w:rsid w:val="008941A9"/>
    <w:rsid w:val="00894335"/>
    <w:rsid w:val="008951C4"/>
    <w:rsid w:val="00895516"/>
    <w:rsid w:val="00896479"/>
    <w:rsid w:val="008966E2"/>
    <w:rsid w:val="0089685B"/>
    <w:rsid w:val="00896AB1"/>
    <w:rsid w:val="00896B24"/>
    <w:rsid w:val="0089702C"/>
    <w:rsid w:val="008978EF"/>
    <w:rsid w:val="008A00AB"/>
    <w:rsid w:val="008A01FE"/>
    <w:rsid w:val="008A02DA"/>
    <w:rsid w:val="008A0DC6"/>
    <w:rsid w:val="008A1A69"/>
    <w:rsid w:val="008A39CB"/>
    <w:rsid w:val="008A4923"/>
    <w:rsid w:val="008A4BA7"/>
    <w:rsid w:val="008A4FC1"/>
    <w:rsid w:val="008A50E0"/>
    <w:rsid w:val="008A512F"/>
    <w:rsid w:val="008A5410"/>
    <w:rsid w:val="008B0405"/>
    <w:rsid w:val="008B09F7"/>
    <w:rsid w:val="008B0E41"/>
    <w:rsid w:val="008B0E4B"/>
    <w:rsid w:val="008B2446"/>
    <w:rsid w:val="008B2967"/>
    <w:rsid w:val="008B2C8E"/>
    <w:rsid w:val="008B3E26"/>
    <w:rsid w:val="008B4B3D"/>
    <w:rsid w:val="008B5285"/>
    <w:rsid w:val="008B592D"/>
    <w:rsid w:val="008B5E43"/>
    <w:rsid w:val="008B5FB4"/>
    <w:rsid w:val="008B7321"/>
    <w:rsid w:val="008C02C4"/>
    <w:rsid w:val="008C132E"/>
    <w:rsid w:val="008C13C7"/>
    <w:rsid w:val="008C164D"/>
    <w:rsid w:val="008C19F4"/>
    <w:rsid w:val="008C2333"/>
    <w:rsid w:val="008C2989"/>
    <w:rsid w:val="008C2A03"/>
    <w:rsid w:val="008C2BD2"/>
    <w:rsid w:val="008C40B2"/>
    <w:rsid w:val="008C4AEB"/>
    <w:rsid w:val="008C565D"/>
    <w:rsid w:val="008C6605"/>
    <w:rsid w:val="008C6780"/>
    <w:rsid w:val="008C7742"/>
    <w:rsid w:val="008C78EB"/>
    <w:rsid w:val="008D30A1"/>
    <w:rsid w:val="008D33F0"/>
    <w:rsid w:val="008D36C6"/>
    <w:rsid w:val="008D3FF3"/>
    <w:rsid w:val="008D5C7D"/>
    <w:rsid w:val="008D66AC"/>
    <w:rsid w:val="008D7744"/>
    <w:rsid w:val="008E0679"/>
    <w:rsid w:val="008E07CF"/>
    <w:rsid w:val="008E14F2"/>
    <w:rsid w:val="008E1C92"/>
    <w:rsid w:val="008E3363"/>
    <w:rsid w:val="008E402B"/>
    <w:rsid w:val="008E42E6"/>
    <w:rsid w:val="008E47A3"/>
    <w:rsid w:val="008E47DF"/>
    <w:rsid w:val="008E4D5D"/>
    <w:rsid w:val="008E64E5"/>
    <w:rsid w:val="008E6FE1"/>
    <w:rsid w:val="008E7047"/>
    <w:rsid w:val="008F05FC"/>
    <w:rsid w:val="008F0C5C"/>
    <w:rsid w:val="008F17D8"/>
    <w:rsid w:val="008F1887"/>
    <w:rsid w:val="008F31EE"/>
    <w:rsid w:val="008F3393"/>
    <w:rsid w:val="008F434D"/>
    <w:rsid w:val="008F4794"/>
    <w:rsid w:val="008F65A3"/>
    <w:rsid w:val="008F7DCB"/>
    <w:rsid w:val="0090030A"/>
    <w:rsid w:val="009003D9"/>
    <w:rsid w:val="009006D4"/>
    <w:rsid w:val="0090072C"/>
    <w:rsid w:val="00900C2E"/>
    <w:rsid w:val="00901920"/>
    <w:rsid w:val="0090250F"/>
    <w:rsid w:val="00902DB0"/>
    <w:rsid w:val="009031AE"/>
    <w:rsid w:val="009037A2"/>
    <w:rsid w:val="00904B26"/>
    <w:rsid w:val="00904C7D"/>
    <w:rsid w:val="00905783"/>
    <w:rsid w:val="0090638C"/>
    <w:rsid w:val="009072FF"/>
    <w:rsid w:val="009077C9"/>
    <w:rsid w:val="00907ACC"/>
    <w:rsid w:val="00907E40"/>
    <w:rsid w:val="00911502"/>
    <w:rsid w:val="00911B5D"/>
    <w:rsid w:val="009135FB"/>
    <w:rsid w:val="00913852"/>
    <w:rsid w:val="0091393D"/>
    <w:rsid w:val="00913DCA"/>
    <w:rsid w:val="00914EBD"/>
    <w:rsid w:val="00915BA7"/>
    <w:rsid w:val="00916036"/>
    <w:rsid w:val="00916526"/>
    <w:rsid w:val="0091664C"/>
    <w:rsid w:val="00916742"/>
    <w:rsid w:val="00920C80"/>
    <w:rsid w:val="00920FFF"/>
    <w:rsid w:val="009214BF"/>
    <w:rsid w:val="00921DCF"/>
    <w:rsid w:val="00922E53"/>
    <w:rsid w:val="00923296"/>
    <w:rsid w:val="00923D75"/>
    <w:rsid w:val="00924342"/>
    <w:rsid w:val="0092549D"/>
    <w:rsid w:val="0092582B"/>
    <w:rsid w:val="00925987"/>
    <w:rsid w:val="00926815"/>
    <w:rsid w:val="00927420"/>
    <w:rsid w:val="0093014F"/>
    <w:rsid w:val="0093109F"/>
    <w:rsid w:val="009318C4"/>
    <w:rsid w:val="009318F9"/>
    <w:rsid w:val="0093247F"/>
    <w:rsid w:val="0093288A"/>
    <w:rsid w:val="009336CD"/>
    <w:rsid w:val="00933A66"/>
    <w:rsid w:val="00934694"/>
    <w:rsid w:val="009349FF"/>
    <w:rsid w:val="00934D20"/>
    <w:rsid w:val="0093561C"/>
    <w:rsid w:val="009357E7"/>
    <w:rsid w:val="00935DBF"/>
    <w:rsid w:val="0093656B"/>
    <w:rsid w:val="00937840"/>
    <w:rsid w:val="00937FA8"/>
    <w:rsid w:val="00940222"/>
    <w:rsid w:val="00941469"/>
    <w:rsid w:val="0094163C"/>
    <w:rsid w:val="00941D46"/>
    <w:rsid w:val="00943A73"/>
    <w:rsid w:val="00944E89"/>
    <w:rsid w:val="00944EFB"/>
    <w:rsid w:val="009457A2"/>
    <w:rsid w:val="00945C50"/>
    <w:rsid w:val="00945ECD"/>
    <w:rsid w:val="00947256"/>
    <w:rsid w:val="009472B2"/>
    <w:rsid w:val="00950623"/>
    <w:rsid w:val="00950818"/>
    <w:rsid w:val="00950A71"/>
    <w:rsid w:val="00950B69"/>
    <w:rsid w:val="0095176E"/>
    <w:rsid w:val="00951EFC"/>
    <w:rsid w:val="00952A80"/>
    <w:rsid w:val="00952D50"/>
    <w:rsid w:val="00953073"/>
    <w:rsid w:val="00953346"/>
    <w:rsid w:val="009539E2"/>
    <w:rsid w:val="00953C02"/>
    <w:rsid w:val="00953FD6"/>
    <w:rsid w:val="009544B7"/>
    <w:rsid w:val="0095462F"/>
    <w:rsid w:val="0095476D"/>
    <w:rsid w:val="00954CF2"/>
    <w:rsid w:val="00954D2A"/>
    <w:rsid w:val="00955753"/>
    <w:rsid w:val="009557A0"/>
    <w:rsid w:val="00956CCA"/>
    <w:rsid w:val="00956F50"/>
    <w:rsid w:val="00960F88"/>
    <w:rsid w:val="00962366"/>
    <w:rsid w:val="009628C3"/>
    <w:rsid w:val="009629A1"/>
    <w:rsid w:val="00963A2B"/>
    <w:rsid w:val="00963D35"/>
    <w:rsid w:val="00964785"/>
    <w:rsid w:val="00964BEF"/>
    <w:rsid w:val="00964F2F"/>
    <w:rsid w:val="00964F8D"/>
    <w:rsid w:val="00965222"/>
    <w:rsid w:val="00965C69"/>
    <w:rsid w:val="00966255"/>
    <w:rsid w:val="00966C45"/>
    <w:rsid w:val="00966D43"/>
    <w:rsid w:val="009703FE"/>
    <w:rsid w:val="00970526"/>
    <w:rsid w:val="009717EC"/>
    <w:rsid w:val="00971C98"/>
    <w:rsid w:val="00971DEE"/>
    <w:rsid w:val="00972430"/>
    <w:rsid w:val="00972542"/>
    <w:rsid w:val="00972C3F"/>
    <w:rsid w:val="009746D8"/>
    <w:rsid w:val="0097488B"/>
    <w:rsid w:val="00974C3D"/>
    <w:rsid w:val="009755E4"/>
    <w:rsid w:val="00975A2B"/>
    <w:rsid w:val="00975F1A"/>
    <w:rsid w:val="009765F7"/>
    <w:rsid w:val="00976638"/>
    <w:rsid w:val="00976800"/>
    <w:rsid w:val="0097765C"/>
    <w:rsid w:val="00977A54"/>
    <w:rsid w:val="00980745"/>
    <w:rsid w:val="00980992"/>
    <w:rsid w:val="009813C3"/>
    <w:rsid w:val="00981719"/>
    <w:rsid w:val="00981B90"/>
    <w:rsid w:val="00981C0D"/>
    <w:rsid w:val="0098259B"/>
    <w:rsid w:val="00982A7C"/>
    <w:rsid w:val="00983777"/>
    <w:rsid w:val="0098389F"/>
    <w:rsid w:val="00985139"/>
    <w:rsid w:val="00985A91"/>
    <w:rsid w:val="00987B04"/>
    <w:rsid w:val="00987CAC"/>
    <w:rsid w:val="0099114D"/>
    <w:rsid w:val="00992042"/>
    <w:rsid w:val="009920E8"/>
    <w:rsid w:val="009922E2"/>
    <w:rsid w:val="009923A8"/>
    <w:rsid w:val="00992811"/>
    <w:rsid w:val="00994647"/>
    <w:rsid w:val="00994E52"/>
    <w:rsid w:val="00995C57"/>
    <w:rsid w:val="00996151"/>
    <w:rsid w:val="0099708E"/>
    <w:rsid w:val="009973C7"/>
    <w:rsid w:val="00997E9A"/>
    <w:rsid w:val="009A0E55"/>
    <w:rsid w:val="009A3427"/>
    <w:rsid w:val="009A3B7C"/>
    <w:rsid w:val="009A3DEA"/>
    <w:rsid w:val="009A4237"/>
    <w:rsid w:val="009A4719"/>
    <w:rsid w:val="009A59CF"/>
    <w:rsid w:val="009A5A2F"/>
    <w:rsid w:val="009A6D66"/>
    <w:rsid w:val="009B1335"/>
    <w:rsid w:val="009B19E3"/>
    <w:rsid w:val="009B1BBD"/>
    <w:rsid w:val="009B2F8C"/>
    <w:rsid w:val="009B3D05"/>
    <w:rsid w:val="009B4619"/>
    <w:rsid w:val="009B497C"/>
    <w:rsid w:val="009B4A73"/>
    <w:rsid w:val="009B4E80"/>
    <w:rsid w:val="009B5D75"/>
    <w:rsid w:val="009B6830"/>
    <w:rsid w:val="009B6E18"/>
    <w:rsid w:val="009B6F25"/>
    <w:rsid w:val="009B79CC"/>
    <w:rsid w:val="009B7B0F"/>
    <w:rsid w:val="009B7C13"/>
    <w:rsid w:val="009C041B"/>
    <w:rsid w:val="009C09E9"/>
    <w:rsid w:val="009C1100"/>
    <w:rsid w:val="009C15B6"/>
    <w:rsid w:val="009C1EB8"/>
    <w:rsid w:val="009C29FD"/>
    <w:rsid w:val="009C4209"/>
    <w:rsid w:val="009C443A"/>
    <w:rsid w:val="009C4702"/>
    <w:rsid w:val="009C4774"/>
    <w:rsid w:val="009C4BB0"/>
    <w:rsid w:val="009C6236"/>
    <w:rsid w:val="009C67A3"/>
    <w:rsid w:val="009C67AC"/>
    <w:rsid w:val="009C7FAD"/>
    <w:rsid w:val="009D0000"/>
    <w:rsid w:val="009D0612"/>
    <w:rsid w:val="009D0E58"/>
    <w:rsid w:val="009D129D"/>
    <w:rsid w:val="009D2179"/>
    <w:rsid w:val="009D2CD2"/>
    <w:rsid w:val="009D3288"/>
    <w:rsid w:val="009D39B7"/>
    <w:rsid w:val="009D406C"/>
    <w:rsid w:val="009D4995"/>
    <w:rsid w:val="009D50CB"/>
    <w:rsid w:val="009D52E4"/>
    <w:rsid w:val="009D6732"/>
    <w:rsid w:val="009D6894"/>
    <w:rsid w:val="009E18A7"/>
    <w:rsid w:val="009E23B0"/>
    <w:rsid w:val="009E2475"/>
    <w:rsid w:val="009E2807"/>
    <w:rsid w:val="009E3350"/>
    <w:rsid w:val="009E3B66"/>
    <w:rsid w:val="009E4E6F"/>
    <w:rsid w:val="009E52A9"/>
    <w:rsid w:val="009E5C1E"/>
    <w:rsid w:val="009E77AC"/>
    <w:rsid w:val="009E7C38"/>
    <w:rsid w:val="009F02A6"/>
    <w:rsid w:val="009F06B5"/>
    <w:rsid w:val="009F1802"/>
    <w:rsid w:val="009F18D6"/>
    <w:rsid w:val="009F1A3F"/>
    <w:rsid w:val="009F1F9C"/>
    <w:rsid w:val="009F2A18"/>
    <w:rsid w:val="009F32A5"/>
    <w:rsid w:val="009F477A"/>
    <w:rsid w:val="009F4A2E"/>
    <w:rsid w:val="009F4E98"/>
    <w:rsid w:val="009F5476"/>
    <w:rsid w:val="009F6111"/>
    <w:rsid w:val="009F725A"/>
    <w:rsid w:val="00A01875"/>
    <w:rsid w:val="00A02238"/>
    <w:rsid w:val="00A02CAC"/>
    <w:rsid w:val="00A03C7B"/>
    <w:rsid w:val="00A048D5"/>
    <w:rsid w:val="00A04AA1"/>
    <w:rsid w:val="00A057FB"/>
    <w:rsid w:val="00A05F3D"/>
    <w:rsid w:val="00A05FEE"/>
    <w:rsid w:val="00A06073"/>
    <w:rsid w:val="00A066BD"/>
    <w:rsid w:val="00A06E51"/>
    <w:rsid w:val="00A06EDF"/>
    <w:rsid w:val="00A07730"/>
    <w:rsid w:val="00A10A7E"/>
    <w:rsid w:val="00A11749"/>
    <w:rsid w:val="00A1253B"/>
    <w:rsid w:val="00A1283C"/>
    <w:rsid w:val="00A128E4"/>
    <w:rsid w:val="00A13448"/>
    <w:rsid w:val="00A13811"/>
    <w:rsid w:val="00A13BE1"/>
    <w:rsid w:val="00A16095"/>
    <w:rsid w:val="00A1656D"/>
    <w:rsid w:val="00A16FBB"/>
    <w:rsid w:val="00A179DF"/>
    <w:rsid w:val="00A17A3C"/>
    <w:rsid w:val="00A200C2"/>
    <w:rsid w:val="00A2052B"/>
    <w:rsid w:val="00A20730"/>
    <w:rsid w:val="00A21D56"/>
    <w:rsid w:val="00A23207"/>
    <w:rsid w:val="00A25474"/>
    <w:rsid w:val="00A26D76"/>
    <w:rsid w:val="00A30B8A"/>
    <w:rsid w:val="00A327BE"/>
    <w:rsid w:val="00A32D64"/>
    <w:rsid w:val="00A33144"/>
    <w:rsid w:val="00A333EB"/>
    <w:rsid w:val="00A33AD3"/>
    <w:rsid w:val="00A33CC3"/>
    <w:rsid w:val="00A33E78"/>
    <w:rsid w:val="00A3467E"/>
    <w:rsid w:val="00A3561F"/>
    <w:rsid w:val="00A373F9"/>
    <w:rsid w:val="00A37BEE"/>
    <w:rsid w:val="00A37D7B"/>
    <w:rsid w:val="00A40660"/>
    <w:rsid w:val="00A40C62"/>
    <w:rsid w:val="00A41385"/>
    <w:rsid w:val="00A41520"/>
    <w:rsid w:val="00A42D23"/>
    <w:rsid w:val="00A4308E"/>
    <w:rsid w:val="00A43766"/>
    <w:rsid w:val="00A4424D"/>
    <w:rsid w:val="00A4515F"/>
    <w:rsid w:val="00A453CD"/>
    <w:rsid w:val="00A454F6"/>
    <w:rsid w:val="00A45A2E"/>
    <w:rsid w:val="00A46A58"/>
    <w:rsid w:val="00A46AB0"/>
    <w:rsid w:val="00A471CD"/>
    <w:rsid w:val="00A47261"/>
    <w:rsid w:val="00A47E80"/>
    <w:rsid w:val="00A51B96"/>
    <w:rsid w:val="00A5338F"/>
    <w:rsid w:val="00A54FA8"/>
    <w:rsid w:val="00A55292"/>
    <w:rsid w:val="00A55DA2"/>
    <w:rsid w:val="00A5616E"/>
    <w:rsid w:val="00A56191"/>
    <w:rsid w:val="00A56730"/>
    <w:rsid w:val="00A56888"/>
    <w:rsid w:val="00A569EA"/>
    <w:rsid w:val="00A56C49"/>
    <w:rsid w:val="00A56D78"/>
    <w:rsid w:val="00A5781D"/>
    <w:rsid w:val="00A57E82"/>
    <w:rsid w:val="00A600A7"/>
    <w:rsid w:val="00A6059F"/>
    <w:rsid w:val="00A60B2E"/>
    <w:rsid w:val="00A60D6D"/>
    <w:rsid w:val="00A60E54"/>
    <w:rsid w:val="00A62620"/>
    <w:rsid w:val="00A63012"/>
    <w:rsid w:val="00A633EE"/>
    <w:rsid w:val="00A64480"/>
    <w:rsid w:val="00A644A2"/>
    <w:rsid w:val="00A64B3F"/>
    <w:rsid w:val="00A64BDC"/>
    <w:rsid w:val="00A654F2"/>
    <w:rsid w:val="00A66254"/>
    <w:rsid w:val="00A668A0"/>
    <w:rsid w:val="00A66C47"/>
    <w:rsid w:val="00A66F01"/>
    <w:rsid w:val="00A6707F"/>
    <w:rsid w:val="00A717D0"/>
    <w:rsid w:val="00A7200D"/>
    <w:rsid w:val="00A72247"/>
    <w:rsid w:val="00A72284"/>
    <w:rsid w:val="00A757D3"/>
    <w:rsid w:val="00A7791A"/>
    <w:rsid w:val="00A779F9"/>
    <w:rsid w:val="00A77CA9"/>
    <w:rsid w:val="00A80CB9"/>
    <w:rsid w:val="00A8155D"/>
    <w:rsid w:val="00A8178A"/>
    <w:rsid w:val="00A817FD"/>
    <w:rsid w:val="00A83A4C"/>
    <w:rsid w:val="00A83D3F"/>
    <w:rsid w:val="00A84AEB"/>
    <w:rsid w:val="00A85428"/>
    <w:rsid w:val="00A8646C"/>
    <w:rsid w:val="00A86519"/>
    <w:rsid w:val="00A86DCB"/>
    <w:rsid w:val="00A8779F"/>
    <w:rsid w:val="00A90239"/>
    <w:rsid w:val="00A9147A"/>
    <w:rsid w:val="00A9154C"/>
    <w:rsid w:val="00A926D1"/>
    <w:rsid w:val="00A92AE2"/>
    <w:rsid w:val="00A93414"/>
    <w:rsid w:val="00A93EDF"/>
    <w:rsid w:val="00A94135"/>
    <w:rsid w:val="00A94F96"/>
    <w:rsid w:val="00A95306"/>
    <w:rsid w:val="00A9605E"/>
    <w:rsid w:val="00A963AC"/>
    <w:rsid w:val="00A976AD"/>
    <w:rsid w:val="00AA0C1D"/>
    <w:rsid w:val="00AA0DB6"/>
    <w:rsid w:val="00AA17A7"/>
    <w:rsid w:val="00AA19A8"/>
    <w:rsid w:val="00AA1B6A"/>
    <w:rsid w:val="00AA2DC1"/>
    <w:rsid w:val="00AA317F"/>
    <w:rsid w:val="00AA3C52"/>
    <w:rsid w:val="00AA3D9A"/>
    <w:rsid w:val="00AA406D"/>
    <w:rsid w:val="00AA446A"/>
    <w:rsid w:val="00AA56A8"/>
    <w:rsid w:val="00AA69BC"/>
    <w:rsid w:val="00AA6B02"/>
    <w:rsid w:val="00AA6B46"/>
    <w:rsid w:val="00AA7585"/>
    <w:rsid w:val="00AA7698"/>
    <w:rsid w:val="00AB0460"/>
    <w:rsid w:val="00AB307B"/>
    <w:rsid w:val="00AB3B72"/>
    <w:rsid w:val="00AB6991"/>
    <w:rsid w:val="00AB6EA7"/>
    <w:rsid w:val="00AB70B7"/>
    <w:rsid w:val="00AC0650"/>
    <w:rsid w:val="00AC0BAC"/>
    <w:rsid w:val="00AC107D"/>
    <w:rsid w:val="00AC2F8A"/>
    <w:rsid w:val="00AC3C56"/>
    <w:rsid w:val="00AC4AC1"/>
    <w:rsid w:val="00AC51BA"/>
    <w:rsid w:val="00AC5296"/>
    <w:rsid w:val="00AC52C9"/>
    <w:rsid w:val="00AC5913"/>
    <w:rsid w:val="00AC7BE8"/>
    <w:rsid w:val="00AD064D"/>
    <w:rsid w:val="00AD0A21"/>
    <w:rsid w:val="00AD12BA"/>
    <w:rsid w:val="00AD183A"/>
    <w:rsid w:val="00AD1DA3"/>
    <w:rsid w:val="00AD33A2"/>
    <w:rsid w:val="00AD3AD3"/>
    <w:rsid w:val="00AD3B3B"/>
    <w:rsid w:val="00AD3FC9"/>
    <w:rsid w:val="00AD58CA"/>
    <w:rsid w:val="00AD617F"/>
    <w:rsid w:val="00AD66AC"/>
    <w:rsid w:val="00AD6B61"/>
    <w:rsid w:val="00AD7B25"/>
    <w:rsid w:val="00AE05AD"/>
    <w:rsid w:val="00AE0760"/>
    <w:rsid w:val="00AE0949"/>
    <w:rsid w:val="00AE09CB"/>
    <w:rsid w:val="00AE2EFD"/>
    <w:rsid w:val="00AE4290"/>
    <w:rsid w:val="00AE457E"/>
    <w:rsid w:val="00AE462F"/>
    <w:rsid w:val="00AE47E1"/>
    <w:rsid w:val="00AE4838"/>
    <w:rsid w:val="00AE4D96"/>
    <w:rsid w:val="00AE52F3"/>
    <w:rsid w:val="00AE54E2"/>
    <w:rsid w:val="00AE60FF"/>
    <w:rsid w:val="00AE6932"/>
    <w:rsid w:val="00AE6DAD"/>
    <w:rsid w:val="00AE6FCE"/>
    <w:rsid w:val="00AE7437"/>
    <w:rsid w:val="00AE7B9A"/>
    <w:rsid w:val="00AF0BEA"/>
    <w:rsid w:val="00AF102E"/>
    <w:rsid w:val="00AF127C"/>
    <w:rsid w:val="00AF1D23"/>
    <w:rsid w:val="00AF3C37"/>
    <w:rsid w:val="00AF3F80"/>
    <w:rsid w:val="00AF41A6"/>
    <w:rsid w:val="00AF41CC"/>
    <w:rsid w:val="00AF707B"/>
    <w:rsid w:val="00AF70BD"/>
    <w:rsid w:val="00AF7300"/>
    <w:rsid w:val="00AF7682"/>
    <w:rsid w:val="00AF7C2D"/>
    <w:rsid w:val="00B00750"/>
    <w:rsid w:val="00B00903"/>
    <w:rsid w:val="00B012CC"/>
    <w:rsid w:val="00B01FBB"/>
    <w:rsid w:val="00B02514"/>
    <w:rsid w:val="00B0252A"/>
    <w:rsid w:val="00B028FA"/>
    <w:rsid w:val="00B02953"/>
    <w:rsid w:val="00B040E4"/>
    <w:rsid w:val="00B04568"/>
    <w:rsid w:val="00B04DE4"/>
    <w:rsid w:val="00B0552A"/>
    <w:rsid w:val="00B05733"/>
    <w:rsid w:val="00B0587E"/>
    <w:rsid w:val="00B05D8E"/>
    <w:rsid w:val="00B06B7F"/>
    <w:rsid w:val="00B072FA"/>
    <w:rsid w:val="00B07964"/>
    <w:rsid w:val="00B111A8"/>
    <w:rsid w:val="00B11239"/>
    <w:rsid w:val="00B1204A"/>
    <w:rsid w:val="00B12FFF"/>
    <w:rsid w:val="00B131E4"/>
    <w:rsid w:val="00B13B82"/>
    <w:rsid w:val="00B145B9"/>
    <w:rsid w:val="00B14E11"/>
    <w:rsid w:val="00B15B1B"/>
    <w:rsid w:val="00B15DA1"/>
    <w:rsid w:val="00B1687F"/>
    <w:rsid w:val="00B16E12"/>
    <w:rsid w:val="00B170B6"/>
    <w:rsid w:val="00B17AED"/>
    <w:rsid w:val="00B203C9"/>
    <w:rsid w:val="00B2178B"/>
    <w:rsid w:val="00B21D44"/>
    <w:rsid w:val="00B21D76"/>
    <w:rsid w:val="00B21F58"/>
    <w:rsid w:val="00B23689"/>
    <w:rsid w:val="00B23A42"/>
    <w:rsid w:val="00B268C5"/>
    <w:rsid w:val="00B27181"/>
    <w:rsid w:val="00B27A20"/>
    <w:rsid w:val="00B27C79"/>
    <w:rsid w:val="00B27CEE"/>
    <w:rsid w:val="00B30169"/>
    <w:rsid w:val="00B30461"/>
    <w:rsid w:val="00B31797"/>
    <w:rsid w:val="00B31B51"/>
    <w:rsid w:val="00B324F0"/>
    <w:rsid w:val="00B33366"/>
    <w:rsid w:val="00B342CD"/>
    <w:rsid w:val="00B35E94"/>
    <w:rsid w:val="00B4028A"/>
    <w:rsid w:val="00B40FB4"/>
    <w:rsid w:val="00B418A4"/>
    <w:rsid w:val="00B41BB8"/>
    <w:rsid w:val="00B428B9"/>
    <w:rsid w:val="00B42B15"/>
    <w:rsid w:val="00B457CB"/>
    <w:rsid w:val="00B46366"/>
    <w:rsid w:val="00B47982"/>
    <w:rsid w:val="00B50D76"/>
    <w:rsid w:val="00B51097"/>
    <w:rsid w:val="00B51DEA"/>
    <w:rsid w:val="00B5238B"/>
    <w:rsid w:val="00B52FBC"/>
    <w:rsid w:val="00B5455F"/>
    <w:rsid w:val="00B545F2"/>
    <w:rsid w:val="00B54DCB"/>
    <w:rsid w:val="00B550EA"/>
    <w:rsid w:val="00B5645C"/>
    <w:rsid w:val="00B56693"/>
    <w:rsid w:val="00B56DAE"/>
    <w:rsid w:val="00B575CC"/>
    <w:rsid w:val="00B602BC"/>
    <w:rsid w:val="00B60560"/>
    <w:rsid w:val="00B60E2B"/>
    <w:rsid w:val="00B614E5"/>
    <w:rsid w:val="00B6179C"/>
    <w:rsid w:val="00B6180C"/>
    <w:rsid w:val="00B62C4D"/>
    <w:rsid w:val="00B63265"/>
    <w:rsid w:val="00B63E16"/>
    <w:rsid w:val="00B6457A"/>
    <w:rsid w:val="00B64CEE"/>
    <w:rsid w:val="00B64DA7"/>
    <w:rsid w:val="00B6504E"/>
    <w:rsid w:val="00B65925"/>
    <w:rsid w:val="00B70530"/>
    <w:rsid w:val="00B705FF"/>
    <w:rsid w:val="00B70686"/>
    <w:rsid w:val="00B70A6E"/>
    <w:rsid w:val="00B7108D"/>
    <w:rsid w:val="00B72592"/>
    <w:rsid w:val="00B72E48"/>
    <w:rsid w:val="00B73F25"/>
    <w:rsid w:val="00B73F8C"/>
    <w:rsid w:val="00B743F8"/>
    <w:rsid w:val="00B74B35"/>
    <w:rsid w:val="00B7505F"/>
    <w:rsid w:val="00B75E46"/>
    <w:rsid w:val="00B76728"/>
    <w:rsid w:val="00B76C18"/>
    <w:rsid w:val="00B76E1F"/>
    <w:rsid w:val="00B771A1"/>
    <w:rsid w:val="00B776E5"/>
    <w:rsid w:val="00B7792E"/>
    <w:rsid w:val="00B77DFC"/>
    <w:rsid w:val="00B8012A"/>
    <w:rsid w:val="00B803B3"/>
    <w:rsid w:val="00B80BDA"/>
    <w:rsid w:val="00B81C4B"/>
    <w:rsid w:val="00B8223E"/>
    <w:rsid w:val="00B84045"/>
    <w:rsid w:val="00B8709B"/>
    <w:rsid w:val="00B9027D"/>
    <w:rsid w:val="00B90E94"/>
    <w:rsid w:val="00B9115E"/>
    <w:rsid w:val="00B911E0"/>
    <w:rsid w:val="00B91371"/>
    <w:rsid w:val="00B91593"/>
    <w:rsid w:val="00B91A1C"/>
    <w:rsid w:val="00B92D5D"/>
    <w:rsid w:val="00B92DDC"/>
    <w:rsid w:val="00B92FD8"/>
    <w:rsid w:val="00B93187"/>
    <w:rsid w:val="00B9419B"/>
    <w:rsid w:val="00B954D0"/>
    <w:rsid w:val="00B9572E"/>
    <w:rsid w:val="00B95B8C"/>
    <w:rsid w:val="00B96549"/>
    <w:rsid w:val="00B96A44"/>
    <w:rsid w:val="00B96D1A"/>
    <w:rsid w:val="00B97EB2"/>
    <w:rsid w:val="00BA0779"/>
    <w:rsid w:val="00BA16A7"/>
    <w:rsid w:val="00BA293B"/>
    <w:rsid w:val="00BA30A3"/>
    <w:rsid w:val="00BA3146"/>
    <w:rsid w:val="00BA3226"/>
    <w:rsid w:val="00BA3475"/>
    <w:rsid w:val="00BA3F88"/>
    <w:rsid w:val="00BA43E1"/>
    <w:rsid w:val="00BB15FD"/>
    <w:rsid w:val="00BB350B"/>
    <w:rsid w:val="00BB363F"/>
    <w:rsid w:val="00BB44CD"/>
    <w:rsid w:val="00BB492E"/>
    <w:rsid w:val="00BB51BF"/>
    <w:rsid w:val="00BB5415"/>
    <w:rsid w:val="00BB7167"/>
    <w:rsid w:val="00BB76B1"/>
    <w:rsid w:val="00BC0722"/>
    <w:rsid w:val="00BC072E"/>
    <w:rsid w:val="00BC0EC9"/>
    <w:rsid w:val="00BC10C1"/>
    <w:rsid w:val="00BC1FD8"/>
    <w:rsid w:val="00BC2F97"/>
    <w:rsid w:val="00BC3583"/>
    <w:rsid w:val="00BC3985"/>
    <w:rsid w:val="00BC4048"/>
    <w:rsid w:val="00BC404C"/>
    <w:rsid w:val="00BC570F"/>
    <w:rsid w:val="00BC6D1C"/>
    <w:rsid w:val="00BC7061"/>
    <w:rsid w:val="00BD005E"/>
    <w:rsid w:val="00BD03B0"/>
    <w:rsid w:val="00BD0A26"/>
    <w:rsid w:val="00BD0CF7"/>
    <w:rsid w:val="00BD1E3A"/>
    <w:rsid w:val="00BD1F35"/>
    <w:rsid w:val="00BD28C2"/>
    <w:rsid w:val="00BD2CF8"/>
    <w:rsid w:val="00BD2EB3"/>
    <w:rsid w:val="00BD338D"/>
    <w:rsid w:val="00BD3718"/>
    <w:rsid w:val="00BD5CDF"/>
    <w:rsid w:val="00BD72C9"/>
    <w:rsid w:val="00BD7A99"/>
    <w:rsid w:val="00BE066F"/>
    <w:rsid w:val="00BE0A3A"/>
    <w:rsid w:val="00BE1FDD"/>
    <w:rsid w:val="00BE2B6C"/>
    <w:rsid w:val="00BE2C32"/>
    <w:rsid w:val="00BE2F96"/>
    <w:rsid w:val="00BE5448"/>
    <w:rsid w:val="00BE5A68"/>
    <w:rsid w:val="00BE6209"/>
    <w:rsid w:val="00BE63E7"/>
    <w:rsid w:val="00BE64C4"/>
    <w:rsid w:val="00BE69F8"/>
    <w:rsid w:val="00BE6C4B"/>
    <w:rsid w:val="00BE7155"/>
    <w:rsid w:val="00BE7695"/>
    <w:rsid w:val="00BE7B87"/>
    <w:rsid w:val="00BE7D47"/>
    <w:rsid w:val="00BE7DCF"/>
    <w:rsid w:val="00BF0EC2"/>
    <w:rsid w:val="00BF11F6"/>
    <w:rsid w:val="00BF126A"/>
    <w:rsid w:val="00BF17D3"/>
    <w:rsid w:val="00BF2649"/>
    <w:rsid w:val="00BF34F4"/>
    <w:rsid w:val="00BF3A51"/>
    <w:rsid w:val="00BF45FC"/>
    <w:rsid w:val="00BF5FEE"/>
    <w:rsid w:val="00BF646C"/>
    <w:rsid w:val="00BF6BCB"/>
    <w:rsid w:val="00BF7A4A"/>
    <w:rsid w:val="00C01B4A"/>
    <w:rsid w:val="00C01DBE"/>
    <w:rsid w:val="00C02835"/>
    <w:rsid w:val="00C0530A"/>
    <w:rsid w:val="00C057AD"/>
    <w:rsid w:val="00C06AA1"/>
    <w:rsid w:val="00C07006"/>
    <w:rsid w:val="00C0702F"/>
    <w:rsid w:val="00C07604"/>
    <w:rsid w:val="00C10F7C"/>
    <w:rsid w:val="00C11A0D"/>
    <w:rsid w:val="00C124D7"/>
    <w:rsid w:val="00C14252"/>
    <w:rsid w:val="00C16008"/>
    <w:rsid w:val="00C16F21"/>
    <w:rsid w:val="00C177A3"/>
    <w:rsid w:val="00C17A7E"/>
    <w:rsid w:val="00C2127C"/>
    <w:rsid w:val="00C2166A"/>
    <w:rsid w:val="00C2177B"/>
    <w:rsid w:val="00C21E97"/>
    <w:rsid w:val="00C22189"/>
    <w:rsid w:val="00C2276A"/>
    <w:rsid w:val="00C22F29"/>
    <w:rsid w:val="00C233F8"/>
    <w:rsid w:val="00C23463"/>
    <w:rsid w:val="00C23FC7"/>
    <w:rsid w:val="00C240F9"/>
    <w:rsid w:val="00C251C0"/>
    <w:rsid w:val="00C25D8C"/>
    <w:rsid w:val="00C26203"/>
    <w:rsid w:val="00C26F63"/>
    <w:rsid w:val="00C2708E"/>
    <w:rsid w:val="00C276ED"/>
    <w:rsid w:val="00C27DAE"/>
    <w:rsid w:val="00C32287"/>
    <w:rsid w:val="00C3432F"/>
    <w:rsid w:val="00C3468A"/>
    <w:rsid w:val="00C34775"/>
    <w:rsid w:val="00C34D69"/>
    <w:rsid w:val="00C35E5F"/>
    <w:rsid w:val="00C36798"/>
    <w:rsid w:val="00C36BC8"/>
    <w:rsid w:val="00C36C1B"/>
    <w:rsid w:val="00C40545"/>
    <w:rsid w:val="00C414E1"/>
    <w:rsid w:val="00C41F2A"/>
    <w:rsid w:val="00C430DB"/>
    <w:rsid w:val="00C430F0"/>
    <w:rsid w:val="00C43266"/>
    <w:rsid w:val="00C44922"/>
    <w:rsid w:val="00C44DAC"/>
    <w:rsid w:val="00C44EB9"/>
    <w:rsid w:val="00C44F7F"/>
    <w:rsid w:val="00C44FEA"/>
    <w:rsid w:val="00C4511B"/>
    <w:rsid w:val="00C459B3"/>
    <w:rsid w:val="00C459BE"/>
    <w:rsid w:val="00C4656E"/>
    <w:rsid w:val="00C47240"/>
    <w:rsid w:val="00C474BD"/>
    <w:rsid w:val="00C51462"/>
    <w:rsid w:val="00C51FB8"/>
    <w:rsid w:val="00C52075"/>
    <w:rsid w:val="00C52840"/>
    <w:rsid w:val="00C537A0"/>
    <w:rsid w:val="00C544E3"/>
    <w:rsid w:val="00C5548D"/>
    <w:rsid w:val="00C5569F"/>
    <w:rsid w:val="00C55B7E"/>
    <w:rsid w:val="00C55E8F"/>
    <w:rsid w:val="00C56C14"/>
    <w:rsid w:val="00C573CC"/>
    <w:rsid w:val="00C575A3"/>
    <w:rsid w:val="00C57A33"/>
    <w:rsid w:val="00C57CC0"/>
    <w:rsid w:val="00C57D8A"/>
    <w:rsid w:val="00C601F5"/>
    <w:rsid w:val="00C60A3F"/>
    <w:rsid w:val="00C628C0"/>
    <w:rsid w:val="00C62F54"/>
    <w:rsid w:val="00C62F89"/>
    <w:rsid w:val="00C63EC2"/>
    <w:rsid w:val="00C640E6"/>
    <w:rsid w:val="00C64849"/>
    <w:rsid w:val="00C65AFD"/>
    <w:rsid w:val="00C664CC"/>
    <w:rsid w:val="00C665E6"/>
    <w:rsid w:val="00C67B8A"/>
    <w:rsid w:val="00C67CAF"/>
    <w:rsid w:val="00C7066F"/>
    <w:rsid w:val="00C70AF6"/>
    <w:rsid w:val="00C7226E"/>
    <w:rsid w:val="00C72400"/>
    <w:rsid w:val="00C74D51"/>
    <w:rsid w:val="00C74F17"/>
    <w:rsid w:val="00C752AC"/>
    <w:rsid w:val="00C752C4"/>
    <w:rsid w:val="00C7562B"/>
    <w:rsid w:val="00C76CE3"/>
    <w:rsid w:val="00C76DA8"/>
    <w:rsid w:val="00C778F4"/>
    <w:rsid w:val="00C8016E"/>
    <w:rsid w:val="00C80902"/>
    <w:rsid w:val="00C811D1"/>
    <w:rsid w:val="00C81FC8"/>
    <w:rsid w:val="00C822B2"/>
    <w:rsid w:val="00C82778"/>
    <w:rsid w:val="00C8286A"/>
    <w:rsid w:val="00C83BB2"/>
    <w:rsid w:val="00C84398"/>
    <w:rsid w:val="00C84A9F"/>
    <w:rsid w:val="00C87044"/>
    <w:rsid w:val="00C90072"/>
    <w:rsid w:val="00C9029E"/>
    <w:rsid w:val="00C90EAA"/>
    <w:rsid w:val="00C91E5E"/>
    <w:rsid w:val="00C92046"/>
    <w:rsid w:val="00C92B9C"/>
    <w:rsid w:val="00C92C10"/>
    <w:rsid w:val="00C93055"/>
    <w:rsid w:val="00C941B0"/>
    <w:rsid w:val="00C94711"/>
    <w:rsid w:val="00C95CC7"/>
    <w:rsid w:val="00C96829"/>
    <w:rsid w:val="00C96C7F"/>
    <w:rsid w:val="00C97966"/>
    <w:rsid w:val="00CA01C7"/>
    <w:rsid w:val="00CA07E2"/>
    <w:rsid w:val="00CA0897"/>
    <w:rsid w:val="00CA09E8"/>
    <w:rsid w:val="00CA1375"/>
    <w:rsid w:val="00CA14DE"/>
    <w:rsid w:val="00CA1754"/>
    <w:rsid w:val="00CA2009"/>
    <w:rsid w:val="00CA2BBA"/>
    <w:rsid w:val="00CA3082"/>
    <w:rsid w:val="00CA3FE6"/>
    <w:rsid w:val="00CA419D"/>
    <w:rsid w:val="00CA4631"/>
    <w:rsid w:val="00CA48BE"/>
    <w:rsid w:val="00CA4DEF"/>
    <w:rsid w:val="00CA540D"/>
    <w:rsid w:val="00CA661D"/>
    <w:rsid w:val="00CA6BB8"/>
    <w:rsid w:val="00CA7D06"/>
    <w:rsid w:val="00CB066B"/>
    <w:rsid w:val="00CB0950"/>
    <w:rsid w:val="00CB0956"/>
    <w:rsid w:val="00CB1194"/>
    <w:rsid w:val="00CB13F5"/>
    <w:rsid w:val="00CB1846"/>
    <w:rsid w:val="00CB1B42"/>
    <w:rsid w:val="00CB1E39"/>
    <w:rsid w:val="00CB1E5B"/>
    <w:rsid w:val="00CB2A38"/>
    <w:rsid w:val="00CB3B7D"/>
    <w:rsid w:val="00CB4157"/>
    <w:rsid w:val="00CB431F"/>
    <w:rsid w:val="00CB4DF7"/>
    <w:rsid w:val="00CB634C"/>
    <w:rsid w:val="00CB6ED2"/>
    <w:rsid w:val="00CB71A9"/>
    <w:rsid w:val="00CB7A31"/>
    <w:rsid w:val="00CC0336"/>
    <w:rsid w:val="00CC048E"/>
    <w:rsid w:val="00CC0821"/>
    <w:rsid w:val="00CC0B87"/>
    <w:rsid w:val="00CC0C5C"/>
    <w:rsid w:val="00CC1728"/>
    <w:rsid w:val="00CC1FAC"/>
    <w:rsid w:val="00CC30E5"/>
    <w:rsid w:val="00CC39FF"/>
    <w:rsid w:val="00CC448B"/>
    <w:rsid w:val="00CC4B33"/>
    <w:rsid w:val="00CC5481"/>
    <w:rsid w:val="00CC5546"/>
    <w:rsid w:val="00CC6748"/>
    <w:rsid w:val="00CC6FCA"/>
    <w:rsid w:val="00CC7B4F"/>
    <w:rsid w:val="00CD0B2F"/>
    <w:rsid w:val="00CD19FB"/>
    <w:rsid w:val="00CD1B30"/>
    <w:rsid w:val="00CD1E36"/>
    <w:rsid w:val="00CD1F30"/>
    <w:rsid w:val="00CD22D0"/>
    <w:rsid w:val="00CD2757"/>
    <w:rsid w:val="00CD294D"/>
    <w:rsid w:val="00CD2A89"/>
    <w:rsid w:val="00CD3800"/>
    <w:rsid w:val="00CD44C0"/>
    <w:rsid w:val="00CD45F2"/>
    <w:rsid w:val="00CD4619"/>
    <w:rsid w:val="00CD5122"/>
    <w:rsid w:val="00CD59C1"/>
    <w:rsid w:val="00CD5C09"/>
    <w:rsid w:val="00CD6830"/>
    <w:rsid w:val="00CD6DF4"/>
    <w:rsid w:val="00CD719A"/>
    <w:rsid w:val="00CD7A80"/>
    <w:rsid w:val="00CE0BAD"/>
    <w:rsid w:val="00CE0DBC"/>
    <w:rsid w:val="00CE0E9F"/>
    <w:rsid w:val="00CE1013"/>
    <w:rsid w:val="00CE1380"/>
    <w:rsid w:val="00CE1C59"/>
    <w:rsid w:val="00CE21A7"/>
    <w:rsid w:val="00CE25E1"/>
    <w:rsid w:val="00CE2C23"/>
    <w:rsid w:val="00CE30A3"/>
    <w:rsid w:val="00CE38DD"/>
    <w:rsid w:val="00CE3959"/>
    <w:rsid w:val="00CE4990"/>
    <w:rsid w:val="00CE683B"/>
    <w:rsid w:val="00CE6C8E"/>
    <w:rsid w:val="00CE7B8C"/>
    <w:rsid w:val="00CE7BBD"/>
    <w:rsid w:val="00CF0A1D"/>
    <w:rsid w:val="00CF1414"/>
    <w:rsid w:val="00CF1D83"/>
    <w:rsid w:val="00CF1F41"/>
    <w:rsid w:val="00CF2460"/>
    <w:rsid w:val="00CF27F6"/>
    <w:rsid w:val="00CF2C64"/>
    <w:rsid w:val="00CF2C98"/>
    <w:rsid w:val="00CF30D0"/>
    <w:rsid w:val="00CF34A2"/>
    <w:rsid w:val="00CF3A3E"/>
    <w:rsid w:val="00CF3E0C"/>
    <w:rsid w:val="00CF43F6"/>
    <w:rsid w:val="00CF47E6"/>
    <w:rsid w:val="00CF4FBA"/>
    <w:rsid w:val="00CF5817"/>
    <w:rsid w:val="00CF73C7"/>
    <w:rsid w:val="00CF79D5"/>
    <w:rsid w:val="00D00CFD"/>
    <w:rsid w:val="00D00EEA"/>
    <w:rsid w:val="00D0176E"/>
    <w:rsid w:val="00D02791"/>
    <w:rsid w:val="00D02821"/>
    <w:rsid w:val="00D03258"/>
    <w:rsid w:val="00D04BB8"/>
    <w:rsid w:val="00D05123"/>
    <w:rsid w:val="00D060C0"/>
    <w:rsid w:val="00D062C6"/>
    <w:rsid w:val="00D066D3"/>
    <w:rsid w:val="00D07126"/>
    <w:rsid w:val="00D10DFF"/>
    <w:rsid w:val="00D11FEA"/>
    <w:rsid w:val="00D12D52"/>
    <w:rsid w:val="00D13A36"/>
    <w:rsid w:val="00D13CDA"/>
    <w:rsid w:val="00D1428D"/>
    <w:rsid w:val="00D1480D"/>
    <w:rsid w:val="00D15D3F"/>
    <w:rsid w:val="00D17386"/>
    <w:rsid w:val="00D17F1B"/>
    <w:rsid w:val="00D203E2"/>
    <w:rsid w:val="00D21A6E"/>
    <w:rsid w:val="00D21C6A"/>
    <w:rsid w:val="00D23220"/>
    <w:rsid w:val="00D23290"/>
    <w:rsid w:val="00D23886"/>
    <w:rsid w:val="00D24BE7"/>
    <w:rsid w:val="00D25779"/>
    <w:rsid w:val="00D2614E"/>
    <w:rsid w:val="00D30D44"/>
    <w:rsid w:val="00D31236"/>
    <w:rsid w:val="00D31B8A"/>
    <w:rsid w:val="00D32204"/>
    <w:rsid w:val="00D32594"/>
    <w:rsid w:val="00D325FA"/>
    <w:rsid w:val="00D32A23"/>
    <w:rsid w:val="00D33843"/>
    <w:rsid w:val="00D34952"/>
    <w:rsid w:val="00D35BEA"/>
    <w:rsid w:val="00D36881"/>
    <w:rsid w:val="00D36B46"/>
    <w:rsid w:val="00D36BD0"/>
    <w:rsid w:val="00D372E3"/>
    <w:rsid w:val="00D37686"/>
    <w:rsid w:val="00D37AE4"/>
    <w:rsid w:val="00D37C06"/>
    <w:rsid w:val="00D40EBA"/>
    <w:rsid w:val="00D4144E"/>
    <w:rsid w:val="00D41672"/>
    <w:rsid w:val="00D41D4E"/>
    <w:rsid w:val="00D43B5E"/>
    <w:rsid w:val="00D44169"/>
    <w:rsid w:val="00D442A8"/>
    <w:rsid w:val="00D443CE"/>
    <w:rsid w:val="00D448F0"/>
    <w:rsid w:val="00D44B77"/>
    <w:rsid w:val="00D4519B"/>
    <w:rsid w:val="00D45ABD"/>
    <w:rsid w:val="00D45FE9"/>
    <w:rsid w:val="00D47E56"/>
    <w:rsid w:val="00D51121"/>
    <w:rsid w:val="00D5125C"/>
    <w:rsid w:val="00D5128A"/>
    <w:rsid w:val="00D51814"/>
    <w:rsid w:val="00D51C65"/>
    <w:rsid w:val="00D521FA"/>
    <w:rsid w:val="00D53597"/>
    <w:rsid w:val="00D54690"/>
    <w:rsid w:val="00D54958"/>
    <w:rsid w:val="00D55790"/>
    <w:rsid w:val="00D55D9A"/>
    <w:rsid w:val="00D56987"/>
    <w:rsid w:val="00D56CC9"/>
    <w:rsid w:val="00D60C2A"/>
    <w:rsid w:val="00D61D84"/>
    <w:rsid w:val="00D62837"/>
    <w:rsid w:val="00D63283"/>
    <w:rsid w:val="00D633F1"/>
    <w:rsid w:val="00D634CC"/>
    <w:rsid w:val="00D63637"/>
    <w:rsid w:val="00D6384D"/>
    <w:rsid w:val="00D63BCA"/>
    <w:rsid w:val="00D64908"/>
    <w:rsid w:val="00D6562C"/>
    <w:rsid w:val="00D65761"/>
    <w:rsid w:val="00D65B86"/>
    <w:rsid w:val="00D65E11"/>
    <w:rsid w:val="00D66DE8"/>
    <w:rsid w:val="00D66F34"/>
    <w:rsid w:val="00D67FCE"/>
    <w:rsid w:val="00D707FA"/>
    <w:rsid w:val="00D70C48"/>
    <w:rsid w:val="00D72610"/>
    <w:rsid w:val="00D726EC"/>
    <w:rsid w:val="00D727A2"/>
    <w:rsid w:val="00D7332E"/>
    <w:rsid w:val="00D7337F"/>
    <w:rsid w:val="00D7351C"/>
    <w:rsid w:val="00D73E28"/>
    <w:rsid w:val="00D73F01"/>
    <w:rsid w:val="00D743D5"/>
    <w:rsid w:val="00D745D5"/>
    <w:rsid w:val="00D74EE8"/>
    <w:rsid w:val="00D764F9"/>
    <w:rsid w:val="00D7683D"/>
    <w:rsid w:val="00D77692"/>
    <w:rsid w:val="00D801C6"/>
    <w:rsid w:val="00D80D7F"/>
    <w:rsid w:val="00D84A8E"/>
    <w:rsid w:val="00D85CDD"/>
    <w:rsid w:val="00D86FB2"/>
    <w:rsid w:val="00D87072"/>
    <w:rsid w:val="00D87366"/>
    <w:rsid w:val="00D874FB"/>
    <w:rsid w:val="00D9052C"/>
    <w:rsid w:val="00D91867"/>
    <w:rsid w:val="00D919AD"/>
    <w:rsid w:val="00D91E90"/>
    <w:rsid w:val="00D9236B"/>
    <w:rsid w:val="00D92A6F"/>
    <w:rsid w:val="00D93370"/>
    <w:rsid w:val="00D938D1"/>
    <w:rsid w:val="00D93BC4"/>
    <w:rsid w:val="00D9405D"/>
    <w:rsid w:val="00D94161"/>
    <w:rsid w:val="00D94276"/>
    <w:rsid w:val="00D95E15"/>
    <w:rsid w:val="00D96695"/>
    <w:rsid w:val="00D97548"/>
    <w:rsid w:val="00D97E4C"/>
    <w:rsid w:val="00DA004D"/>
    <w:rsid w:val="00DA0ACB"/>
    <w:rsid w:val="00DA1469"/>
    <w:rsid w:val="00DA1CA5"/>
    <w:rsid w:val="00DA2F2A"/>
    <w:rsid w:val="00DA36C0"/>
    <w:rsid w:val="00DA3AF2"/>
    <w:rsid w:val="00DA3EB9"/>
    <w:rsid w:val="00DA4637"/>
    <w:rsid w:val="00DA4B4C"/>
    <w:rsid w:val="00DA5344"/>
    <w:rsid w:val="00DA571F"/>
    <w:rsid w:val="00DA7AED"/>
    <w:rsid w:val="00DB0AF8"/>
    <w:rsid w:val="00DB0B98"/>
    <w:rsid w:val="00DB0CBC"/>
    <w:rsid w:val="00DB17FF"/>
    <w:rsid w:val="00DB2051"/>
    <w:rsid w:val="00DB276C"/>
    <w:rsid w:val="00DB373A"/>
    <w:rsid w:val="00DB3C9F"/>
    <w:rsid w:val="00DB425E"/>
    <w:rsid w:val="00DB543C"/>
    <w:rsid w:val="00DB56FA"/>
    <w:rsid w:val="00DB62EF"/>
    <w:rsid w:val="00DB6428"/>
    <w:rsid w:val="00DB7635"/>
    <w:rsid w:val="00DB7E43"/>
    <w:rsid w:val="00DC0A0B"/>
    <w:rsid w:val="00DC0DEB"/>
    <w:rsid w:val="00DC15DC"/>
    <w:rsid w:val="00DC1694"/>
    <w:rsid w:val="00DC181B"/>
    <w:rsid w:val="00DC1DF9"/>
    <w:rsid w:val="00DC35B1"/>
    <w:rsid w:val="00DC384E"/>
    <w:rsid w:val="00DC5587"/>
    <w:rsid w:val="00DC588D"/>
    <w:rsid w:val="00DC632E"/>
    <w:rsid w:val="00DC69D0"/>
    <w:rsid w:val="00DC6B30"/>
    <w:rsid w:val="00DC7291"/>
    <w:rsid w:val="00DD018D"/>
    <w:rsid w:val="00DD0C32"/>
    <w:rsid w:val="00DD1254"/>
    <w:rsid w:val="00DD1381"/>
    <w:rsid w:val="00DD1894"/>
    <w:rsid w:val="00DD3AB2"/>
    <w:rsid w:val="00DD4594"/>
    <w:rsid w:val="00DD4734"/>
    <w:rsid w:val="00DD52D0"/>
    <w:rsid w:val="00DD7712"/>
    <w:rsid w:val="00DE1AD0"/>
    <w:rsid w:val="00DE1CF4"/>
    <w:rsid w:val="00DE1DCE"/>
    <w:rsid w:val="00DE229A"/>
    <w:rsid w:val="00DE25AD"/>
    <w:rsid w:val="00DE2ECA"/>
    <w:rsid w:val="00DE30F4"/>
    <w:rsid w:val="00DE39E8"/>
    <w:rsid w:val="00DE4221"/>
    <w:rsid w:val="00DE46F2"/>
    <w:rsid w:val="00DE5128"/>
    <w:rsid w:val="00DE56DD"/>
    <w:rsid w:val="00DE7768"/>
    <w:rsid w:val="00DF12CF"/>
    <w:rsid w:val="00DF201C"/>
    <w:rsid w:val="00DF2073"/>
    <w:rsid w:val="00DF2BA7"/>
    <w:rsid w:val="00DF2C39"/>
    <w:rsid w:val="00DF44CE"/>
    <w:rsid w:val="00DF496F"/>
    <w:rsid w:val="00DF5C67"/>
    <w:rsid w:val="00DF6B90"/>
    <w:rsid w:val="00DF6CA6"/>
    <w:rsid w:val="00DF741A"/>
    <w:rsid w:val="00E0118A"/>
    <w:rsid w:val="00E01B04"/>
    <w:rsid w:val="00E01BF4"/>
    <w:rsid w:val="00E029D7"/>
    <w:rsid w:val="00E031DB"/>
    <w:rsid w:val="00E03583"/>
    <w:rsid w:val="00E03CDB"/>
    <w:rsid w:val="00E03DA7"/>
    <w:rsid w:val="00E0404C"/>
    <w:rsid w:val="00E05339"/>
    <w:rsid w:val="00E0576E"/>
    <w:rsid w:val="00E06200"/>
    <w:rsid w:val="00E063AA"/>
    <w:rsid w:val="00E06DB7"/>
    <w:rsid w:val="00E07827"/>
    <w:rsid w:val="00E11ADF"/>
    <w:rsid w:val="00E11DFA"/>
    <w:rsid w:val="00E12E40"/>
    <w:rsid w:val="00E13534"/>
    <w:rsid w:val="00E13757"/>
    <w:rsid w:val="00E141F9"/>
    <w:rsid w:val="00E1622C"/>
    <w:rsid w:val="00E166CC"/>
    <w:rsid w:val="00E16D53"/>
    <w:rsid w:val="00E2083F"/>
    <w:rsid w:val="00E21458"/>
    <w:rsid w:val="00E2182E"/>
    <w:rsid w:val="00E21A8A"/>
    <w:rsid w:val="00E238B0"/>
    <w:rsid w:val="00E241FB"/>
    <w:rsid w:val="00E24626"/>
    <w:rsid w:val="00E2550B"/>
    <w:rsid w:val="00E26BB3"/>
    <w:rsid w:val="00E2710D"/>
    <w:rsid w:val="00E27F4B"/>
    <w:rsid w:val="00E302CF"/>
    <w:rsid w:val="00E30D7D"/>
    <w:rsid w:val="00E310C1"/>
    <w:rsid w:val="00E31197"/>
    <w:rsid w:val="00E31795"/>
    <w:rsid w:val="00E3180B"/>
    <w:rsid w:val="00E3210E"/>
    <w:rsid w:val="00E32F04"/>
    <w:rsid w:val="00E334F5"/>
    <w:rsid w:val="00E33886"/>
    <w:rsid w:val="00E33E99"/>
    <w:rsid w:val="00E3407A"/>
    <w:rsid w:val="00E34D32"/>
    <w:rsid w:val="00E350EA"/>
    <w:rsid w:val="00E357BC"/>
    <w:rsid w:val="00E366F6"/>
    <w:rsid w:val="00E3727D"/>
    <w:rsid w:val="00E37DF3"/>
    <w:rsid w:val="00E40180"/>
    <w:rsid w:val="00E40628"/>
    <w:rsid w:val="00E40972"/>
    <w:rsid w:val="00E40C46"/>
    <w:rsid w:val="00E41D7B"/>
    <w:rsid w:val="00E4233C"/>
    <w:rsid w:val="00E464A0"/>
    <w:rsid w:val="00E47230"/>
    <w:rsid w:val="00E50040"/>
    <w:rsid w:val="00E50D47"/>
    <w:rsid w:val="00E50E8D"/>
    <w:rsid w:val="00E5162B"/>
    <w:rsid w:val="00E535AF"/>
    <w:rsid w:val="00E53FDE"/>
    <w:rsid w:val="00E552D5"/>
    <w:rsid w:val="00E558DE"/>
    <w:rsid w:val="00E573CE"/>
    <w:rsid w:val="00E57658"/>
    <w:rsid w:val="00E60C78"/>
    <w:rsid w:val="00E60D54"/>
    <w:rsid w:val="00E612E0"/>
    <w:rsid w:val="00E61610"/>
    <w:rsid w:val="00E61929"/>
    <w:rsid w:val="00E61F2D"/>
    <w:rsid w:val="00E6203F"/>
    <w:rsid w:val="00E6291F"/>
    <w:rsid w:val="00E62D53"/>
    <w:rsid w:val="00E6310E"/>
    <w:rsid w:val="00E6318A"/>
    <w:rsid w:val="00E63A04"/>
    <w:rsid w:val="00E644FF"/>
    <w:rsid w:val="00E64508"/>
    <w:rsid w:val="00E651C1"/>
    <w:rsid w:val="00E66103"/>
    <w:rsid w:val="00E67B74"/>
    <w:rsid w:val="00E67E16"/>
    <w:rsid w:val="00E700C1"/>
    <w:rsid w:val="00E7088B"/>
    <w:rsid w:val="00E71A4E"/>
    <w:rsid w:val="00E722B0"/>
    <w:rsid w:val="00E72A61"/>
    <w:rsid w:val="00E72D12"/>
    <w:rsid w:val="00E74652"/>
    <w:rsid w:val="00E773B8"/>
    <w:rsid w:val="00E77673"/>
    <w:rsid w:val="00E77AB0"/>
    <w:rsid w:val="00E77ED5"/>
    <w:rsid w:val="00E8017D"/>
    <w:rsid w:val="00E801D3"/>
    <w:rsid w:val="00E80BA4"/>
    <w:rsid w:val="00E80E86"/>
    <w:rsid w:val="00E82318"/>
    <w:rsid w:val="00E8289A"/>
    <w:rsid w:val="00E829A3"/>
    <w:rsid w:val="00E83004"/>
    <w:rsid w:val="00E83253"/>
    <w:rsid w:val="00E8370D"/>
    <w:rsid w:val="00E847AE"/>
    <w:rsid w:val="00E84D28"/>
    <w:rsid w:val="00E85146"/>
    <w:rsid w:val="00E86715"/>
    <w:rsid w:val="00E900A4"/>
    <w:rsid w:val="00E903F9"/>
    <w:rsid w:val="00E91771"/>
    <w:rsid w:val="00E91D01"/>
    <w:rsid w:val="00E93898"/>
    <w:rsid w:val="00E95A91"/>
    <w:rsid w:val="00E95CE8"/>
    <w:rsid w:val="00E967B8"/>
    <w:rsid w:val="00E97583"/>
    <w:rsid w:val="00E979DC"/>
    <w:rsid w:val="00E97B82"/>
    <w:rsid w:val="00EA018B"/>
    <w:rsid w:val="00EA06AE"/>
    <w:rsid w:val="00EA0FDC"/>
    <w:rsid w:val="00EA1573"/>
    <w:rsid w:val="00EA2B99"/>
    <w:rsid w:val="00EA3249"/>
    <w:rsid w:val="00EA377A"/>
    <w:rsid w:val="00EA3B2C"/>
    <w:rsid w:val="00EA3E08"/>
    <w:rsid w:val="00EA4132"/>
    <w:rsid w:val="00EA458F"/>
    <w:rsid w:val="00EA6273"/>
    <w:rsid w:val="00EA65A2"/>
    <w:rsid w:val="00EA7079"/>
    <w:rsid w:val="00EA7AD3"/>
    <w:rsid w:val="00EA7F85"/>
    <w:rsid w:val="00EA7FDD"/>
    <w:rsid w:val="00EB04CE"/>
    <w:rsid w:val="00EB0885"/>
    <w:rsid w:val="00EB0C76"/>
    <w:rsid w:val="00EB1C5C"/>
    <w:rsid w:val="00EB2944"/>
    <w:rsid w:val="00EB2AD5"/>
    <w:rsid w:val="00EB46F7"/>
    <w:rsid w:val="00EB4F63"/>
    <w:rsid w:val="00EB5305"/>
    <w:rsid w:val="00EB65FE"/>
    <w:rsid w:val="00EB662C"/>
    <w:rsid w:val="00EB75C3"/>
    <w:rsid w:val="00EB7624"/>
    <w:rsid w:val="00EB78C8"/>
    <w:rsid w:val="00EC082F"/>
    <w:rsid w:val="00EC0CF6"/>
    <w:rsid w:val="00EC1573"/>
    <w:rsid w:val="00EC1CB8"/>
    <w:rsid w:val="00EC2726"/>
    <w:rsid w:val="00EC2EA7"/>
    <w:rsid w:val="00EC41DD"/>
    <w:rsid w:val="00EC42B5"/>
    <w:rsid w:val="00EC4332"/>
    <w:rsid w:val="00EC4B2C"/>
    <w:rsid w:val="00EC5D9B"/>
    <w:rsid w:val="00EC6243"/>
    <w:rsid w:val="00ED089C"/>
    <w:rsid w:val="00ED0C05"/>
    <w:rsid w:val="00ED14B2"/>
    <w:rsid w:val="00ED169C"/>
    <w:rsid w:val="00ED180A"/>
    <w:rsid w:val="00ED1A21"/>
    <w:rsid w:val="00ED20D5"/>
    <w:rsid w:val="00ED27F3"/>
    <w:rsid w:val="00ED4164"/>
    <w:rsid w:val="00ED4348"/>
    <w:rsid w:val="00ED4592"/>
    <w:rsid w:val="00ED45B7"/>
    <w:rsid w:val="00ED5E93"/>
    <w:rsid w:val="00ED68C2"/>
    <w:rsid w:val="00ED70CD"/>
    <w:rsid w:val="00EE00BF"/>
    <w:rsid w:val="00EE042D"/>
    <w:rsid w:val="00EE0681"/>
    <w:rsid w:val="00EE0B52"/>
    <w:rsid w:val="00EE12B8"/>
    <w:rsid w:val="00EE212B"/>
    <w:rsid w:val="00EE2593"/>
    <w:rsid w:val="00EE270B"/>
    <w:rsid w:val="00EE27A7"/>
    <w:rsid w:val="00EE3B60"/>
    <w:rsid w:val="00EE3F64"/>
    <w:rsid w:val="00EE462A"/>
    <w:rsid w:val="00EE53EB"/>
    <w:rsid w:val="00EE5BED"/>
    <w:rsid w:val="00EF06B2"/>
    <w:rsid w:val="00EF0FDB"/>
    <w:rsid w:val="00EF1F05"/>
    <w:rsid w:val="00EF38CC"/>
    <w:rsid w:val="00EF3B67"/>
    <w:rsid w:val="00EF4876"/>
    <w:rsid w:val="00EF4A32"/>
    <w:rsid w:val="00EF4C91"/>
    <w:rsid w:val="00EF61FC"/>
    <w:rsid w:val="00EF7663"/>
    <w:rsid w:val="00F00EDB"/>
    <w:rsid w:val="00F0134F"/>
    <w:rsid w:val="00F02FD3"/>
    <w:rsid w:val="00F0587D"/>
    <w:rsid w:val="00F05B34"/>
    <w:rsid w:val="00F05C2F"/>
    <w:rsid w:val="00F05F67"/>
    <w:rsid w:val="00F06A5E"/>
    <w:rsid w:val="00F07513"/>
    <w:rsid w:val="00F077DC"/>
    <w:rsid w:val="00F07A18"/>
    <w:rsid w:val="00F10539"/>
    <w:rsid w:val="00F105FE"/>
    <w:rsid w:val="00F1121D"/>
    <w:rsid w:val="00F113DF"/>
    <w:rsid w:val="00F12187"/>
    <w:rsid w:val="00F12BF4"/>
    <w:rsid w:val="00F132DD"/>
    <w:rsid w:val="00F1475D"/>
    <w:rsid w:val="00F150EB"/>
    <w:rsid w:val="00F16031"/>
    <w:rsid w:val="00F163F4"/>
    <w:rsid w:val="00F165FB"/>
    <w:rsid w:val="00F21379"/>
    <w:rsid w:val="00F21544"/>
    <w:rsid w:val="00F2164F"/>
    <w:rsid w:val="00F21ABA"/>
    <w:rsid w:val="00F224AB"/>
    <w:rsid w:val="00F224EB"/>
    <w:rsid w:val="00F227AB"/>
    <w:rsid w:val="00F239D3"/>
    <w:rsid w:val="00F242B7"/>
    <w:rsid w:val="00F2477B"/>
    <w:rsid w:val="00F2482A"/>
    <w:rsid w:val="00F2487F"/>
    <w:rsid w:val="00F24B41"/>
    <w:rsid w:val="00F2530C"/>
    <w:rsid w:val="00F25A6B"/>
    <w:rsid w:val="00F25C90"/>
    <w:rsid w:val="00F26DD0"/>
    <w:rsid w:val="00F271C4"/>
    <w:rsid w:val="00F27434"/>
    <w:rsid w:val="00F27B30"/>
    <w:rsid w:val="00F301B3"/>
    <w:rsid w:val="00F306E1"/>
    <w:rsid w:val="00F31753"/>
    <w:rsid w:val="00F31FE6"/>
    <w:rsid w:val="00F32C6C"/>
    <w:rsid w:val="00F33006"/>
    <w:rsid w:val="00F33F27"/>
    <w:rsid w:val="00F34710"/>
    <w:rsid w:val="00F353CB"/>
    <w:rsid w:val="00F35A25"/>
    <w:rsid w:val="00F35F29"/>
    <w:rsid w:val="00F37561"/>
    <w:rsid w:val="00F3765C"/>
    <w:rsid w:val="00F37818"/>
    <w:rsid w:val="00F4135D"/>
    <w:rsid w:val="00F42568"/>
    <w:rsid w:val="00F4281A"/>
    <w:rsid w:val="00F42A8D"/>
    <w:rsid w:val="00F43C2E"/>
    <w:rsid w:val="00F444D3"/>
    <w:rsid w:val="00F44DA1"/>
    <w:rsid w:val="00F44FCB"/>
    <w:rsid w:val="00F454A4"/>
    <w:rsid w:val="00F45710"/>
    <w:rsid w:val="00F45F19"/>
    <w:rsid w:val="00F468E7"/>
    <w:rsid w:val="00F46B69"/>
    <w:rsid w:val="00F47364"/>
    <w:rsid w:val="00F474FA"/>
    <w:rsid w:val="00F47819"/>
    <w:rsid w:val="00F501EC"/>
    <w:rsid w:val="00F50AA8"/>
    <w:rsid w:val="00F50BFB"/>
    <w:rsid w:val="00F50E4F"/>
    <w:rsid w:val="00F50F2E"/>
    <w:rsid w:val="00F512E0"/>
    <w:rsid w:val="00F51530"/>
    <w:rsid w:val="00F51DEA"/>
    <w:rsid w:val="00F52F1B"/>
    <w:rsid w:val="00F531E4"/>
    <w:rsid w:val="00F548E8"/>
    <w:rsid w:val="00F54CE2"/>
    <w:rsid w:val="00F55421"/>
    <w:rsid w:val="00F55652"/>
    <w:rsid w:val="00F55F21"/>
    <w:rsid w:val="00F57A3C"/>
    <w:rsid w:val="00F57D8D"/>
    <w:rsid w:val="00F60784"/>
    <w:rsid w:val="00F60BC6"/>
    <w:rsid w:val="00F60E70"/>
    <w:rsid w:val="00F60FAC"/>
    <w:rsid w:val="00F614CA"/>
    <w:rsid w:val="00F61ACD"/>
    <w:rsid w:val="00F628CD"/>
    <w:rsid w:val="00F63AB5"/>
    <w:rsid w:val="00F63BAE"/>
    <w:rsid w:val="00F6400B"/>
    <w:rsid w:val="00F6531E"/>
    <w:rsid w:val="00F6536D"/>
    <w:rsid w:val="00F65B28"/>
    <w:rsid w:val="00F65C7F"/>
    <w:rsid w:val="00F65C84"/>
    <w:rsid w:val="00F66155"/>
    <w:rsid w:val="00F664E8"/>
    <w:rsid w:val="00F7131C"/>
    <w:rsid w:val="00F713D1"/>
    <w:rsid w:val="00F72147"/>
    <w:rsid w:val="00F72408"/>
    <w:rsid w:val="00F72B24"/>
    <w:rsid w:val="00F73B49"/>
    <w:rsid w:val="00F73FE3"/>
    <w:rsid w:val="00F746AD"/>
    <w:rsid w:val="00F748D6"/>
    <w:rsid w:val="00F74B21"/>
    <w:rsid w:val="00F752FA"/>
    <w:rsid w:val="00F755B9"/>
    <w:rsid w:val="00F75B06"/>
    <w:rsid w:val="00F7752B"/>
    <w:rsid w:val="00F77F4E"/>
    <w:rsid w:val="00F804D7"/>
    <w:rsid w:val="00F81197"/>
    <w:rsid w:val="00F814C8"/>
    <w:rsid w:val="00F816A0"/>
    <w:rsid w:val="00F82928"/>
    <w:rsid w:val="00F82BA4"/>
    <w:rsid w:val="00F83B2C"/>
    <w:rsid w:val="00F83D26"/>
    <w:rsid w:val="00F84625"/>
    <w:rsid w:val="00F8494E"/>
    <w:rsid w:val="00F85905"/>
    <w:rsid w:val="00F8782B"/>
    <w:rsid w:val="00F9173A"/>
    <w:rsid w:val="00F9358D"/>
    <w:rsid w:val="00F936C2"/>
    <w:rsid w:val="00F93AAB"/>
    <w:rsid w:val="00F94515"/>
    <w:rsid w:val="00F94584"/>
    <w:rsid w:val="00F94A38"/>
    <w:rsid w:val="00F9532A"/>
    <w:rsid w:val="00F95DF3"/>
    <w:rsid w:val="00F96384"/>
    <w:rsid w:val="00F972F1"/>
    <w:rsid w:val="00F9774F"/>
    <w:rsid w:val="00FA0613"/>
    <w:rsid w:val="00FA1108"/>
    <w:rsid w:val="00FA1362"/>
    <w:rsid w:val="00FA17AB"/>
    <w:rsid w:val="00FA1AA2"/>
    <w:rsid w:val="00FA302F"/>
    <w:rsid w:val="00FA39EA"/>
    <w:rsid w:val="00FA406E"/>
    <w:rsid w:val="00FA41DD"/>
    <w:rsid w:val="00FA4259"/>
    <w:rsid w:val="00FA448B"/>
    <w:rsid w:val="00FA4798"/>
    <w:rsid w:val="00FA4CC8"/>
    <w:rsid w:val="00FA6394"/>
    <w:rsid w:val="00FA64A1"/>
    <w:rsid w:val="00FA7791"/>
    <w:rsid w:val="00FA7CB4"/>
    <w:rsid w:val="00FB084A"/>
    <w:rsid w:val="00FB0DB0"/>
    <w:rsid w:val="00FB11E6"/>
    <w:rsid w:val="00FB292E"/>
    <w:rsid w:val="00FB2C14"/>
    <w:rsid w:val="00FB3B36"/>
    <w:rsid w:val="00FB43B2"/>
    <w:rsid w:val="00FB49AF"/>
    <w:rsid w:val="00FB4A03"/>
    <w:rsid w:val="00FB5741"/>
    <w:rsid w:val="00FB59C9"/>
    <w:rsid w:val="00FB6252"/>
    <w:rsid w:val="00FB65DD"/>
    <w:rsid w:val="00FB6669"/>
    <w:rsid w:val="00FB6A0B"/>
    <w:rsid w:val="00FB7443"/>
    <w:rsid w:val="00FC0140"/>
    <w:rsid w:val="00FC06D6"/>
    <w:rsid w:val="00FC0A09"/>
    <w:rsid w:val="00FC0F7D"/>
    <w:rsid w:val="00FC1E9D"/>
    <w:rsid w:val="00FC24B5"/>
    <w:rsid w:val="00FC24FE"/>
    <w:rsid w:val="00FC262D"/>
    <w:rsid w:val="00FC2674"/>
    <w:rsid w:val="00FC2EEE"/>
    <w:rsid w:val="00FC3412"/>
    <w:rsid w:val="00FC3500"/>
    <w:rsid w:val="00FC3963"/>
    <w:rsid w:val="00FC41EF"/>
    <w:rsid w:val="00FC4F98"/>
    <w:rsid w:val="00FD064D"/>
    <w:rsid w:val="00FD0D42"/>
    <w:rsid w:val="00FD1019"/>
    <w:rsid w:val="00FD1139"/>
    <w:rsid w:val="00FD119C"/>
    <w:rsid w:val="00FD19DF"/>
    <w:rsid w:val="00FD1B5E"/>
    <w:rsid w:val="00FD22EF"/>
    <w:rsid w:val="00FD3124"/>
    <w:rsid w:val="00FD319C"/>
    <w:rsid w:val="00FD3710"/>
    <w:rsid w:val="00FD472E"/>
    <w:rsid w:val="00FD4EEC"/>
    <w:rsid w:val="00FD51EE"/>
    <w:rsid w:val="00FD6A0A"/>
    <w:rsid w:val="00FD6ABB"/>
    <w:rsid w:val="00FD7329"/>
    <w:rsid w:val="00FD7705"/>
    <w:rsid w:val="00FD7BE3"/>
    <w:rsid w:val="00FE0470"/>
    <w:rsid w:val="00FE09F1"/>
    <w:rsid w:val="00FE1497"/>
    <w:rsid w:val="00FE1DFA"/>
    <w:rsid w:val="00FE2A8B"/>
    <w:rsid w:val="00FE2D51"/>
    <w:rsid w:val="00FE34FC"/>
    <w:rsid w:val="00FE3544"/>
    <w:rsid w:val="00FE5813"/>
    <w:rsid w:val="00FE64CE"/>
    <w:rsid w:val="00FE6508"/>
    <w:rsid w:val="00FE66B3"/>
    <w:rsid w:val="00FE6B06"/>
    <w:rsid w:val="00FE7E90"/>
    <w:rsid w:val="00FE7EF1"/>
    <w:rsid w:val="00FF013F"/>
    <w:rsid w:val="00FF1554"/>
    <w:rsid w:val="00FF1B4C"/>
    <w:rsid w:val="00FF1B9E"/>
    <w:rsid w:val="00FF283F"/>
    <w:rsid w:val="00FF2880"/>
    <w:rsid w:val="00FF2B52"/>
    <w:rsid w:val="00FF40E9"/>
    <w:rsid w:val="00FF47C9"/>
    <w:rsid w:val="00FF5D38"/>
    <w:rsid w:val="00FF640B"/>
    <w:rsid w:val="00FF699A"/>
    <w:rsid w:val="00FF6ADD"/>
    <w:rsid w:val="00FF6F52"/>
    <w:rsid w:val="00FF7982"/>
    <w:rsid w:val="1DE320C1"/>
    <w:rsid w:val="31DA3AD9"/>
    <w:rsid w:val="510A33FC"/>
    <w:rsid w:val="5CA61F83"/>
    <w:rsid w:val="66022669"/>
    <w:rsid w:val="76BF79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BD372A"/>
  <w15:docId w15:val="{8CD8D6EF-5D8F-4096-924A-C62C6471C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77FA"/>
    <w:pPr>
      <w:widowControl w:val="0"/>
      <w:autoSpaceDE w:val="0"/>
      <w:autoSpaceDN w:val="0"/>
      <w:adjustRightInd w:val="0"/>
    </w:pPr>
    <w:rPr>
      <w:rFonts w:ascii="Times New Roman" w:hAnsi="Times New Roman" w:cs="Courier New"/>
      <w:color w:val="000000"/>
      <w:sz w:val="24"/>
      <w:szCs w:val="28"/>
    </w:rPr>
  </w:style>
  <w:style w:type="paragraph" w:styleId="Heading1">
    <w:name w:val="heading 1"/>
    <w:basedOn w:val="Normal"/>
    <w:next w:val="Normal"/>
    <w:link w:val="Heading1Char"/>
    <w:uiPriority w:val="9"/>
    <w:qFormat/>
    <w:rsid w:val="0093109F"/>
    <w:pPr>
      <w:keepNext/>
      <w:keepLines/>
      <w:widowControl/>
      <w:autoSpaceDE/>
      <w:autoSpaceDN/>
      <w:adjustRightInd/>
      <w:spacing w:line="480" w:lineRule="auto"/>
      <w:outlineLvl w:val="0"/>
    </w:pPr>
    <w:rPr>
      <w:rFonts w:eastAsiaTheme="majorEastAsia" w:cstheme="majorBidi"/>
      <w:b/>
      <w:bCs/>
      <w:color w:val="000000" w:themeColor="text1"/>
      <w:sz w:val="28"/>
      <w:szCs w:val="24"/>
      <w:lang w:bidi="en-US"/>
    </w:rPr>
  </w:style>
  <w:style w:type="paragraph" w:styleId="Heading2">
    <w:name w:val="heading 2"/>
    <w:basedOn w:val="Normal"/>
    <w:next w:val="Normal"/>
    <w:link w:val="Heading2Char"/>
    <w:uiPriority w:val="9"/>
    <w:unhideWhenUsed/>
    <w:qFormat/>
    <w:rsid w:val="0017121F"/>
    <w:pPr>
      <w:keepNext/>
      <w:keepLines/>
      <w:widowControl/>
      <w:autoSpaceDE/>
      <w:autoSpaceDN/>
      <w:adjustRightInd/>
      <w:spacing w:line="480" w:lineRule="auto"/>
      <w:outlineLvl w:val="1"/>
    </w:pPr>
    <w:rPr>
      <w:rFonts w:eastAsiaTheme="majorEastAsia" w:cstheme="majorBidi"/>
      <w:b/>
      <w:color w:val="000000" w:themeColor="text1"/>
      <w:szCs w:val="24"/>
      <w:u w:val="single"/>
    </w:rPr>
  </w:style>
  <w:style w:type="paragraph" w:styleId="Heading3">
    <w:name w:val="heading 3"/>
    <w:basedOn w:val="Normal"/>
    <w:next w:val="Normal"/>
    <w:link w:val="Heading3Char"/>
    <w:uiPriority w:val="9"/>
    <w:unhideWhenUsed/>
    <w:qFormat/>
    <w:rsid w:val="008377FA"/>
    <w:pPr>
      <w:keepNext/>
      <w:keepLines/>
      <w:numPr>
        <w:ilvl w:val="2"/>
        <w:numId w:val="7"/>
      </w:numPr>
      <w:spacing w:before="120" w:after="120"/>
      <w:outlineLvl w:val="2"/>
    </w:pPr>
    <w:rPr>
      <w:rFonts w:eastAsiaTheme="majorEastAsia" w:cstheme="majorBidi"/>
      <w:b/>
      <w:i/>
      <w:color w:val="0D0D0D" w:themeColor="text1" w:themeTint="F2"/>
      <w:szCs w:val="24"/>
    </w:rPr>
  </w:style>
  <w:style w:type="paragraph" w:styleId="Heading4">
    <w:name w:val="heading 4"/>
    <w:basedOn w:val="Normal"/>
    <w:next w:val="Normal"/>
    <w:link w:val="Heading4Char"/>
    <w:uiPriority w:val="9"/>
    <w:unhideWhenUsed/>
    <w:qFormat/>
    <w:rsid w:val="008377FA"/>
    <w:pPr>
      <w:keepNext/>
      <w:keepLines/>
      <w:widowControl/>
      <w:numPr>
        <w:ilvl w:val="3"/>
        <w:numId w:val="7"/>
      </w:numPr>
      <w:autoSpaceDE/>
      <w:autoSpaceDN/>
      <w:bidi/>
      <w:adjustRightInd/>
      <w:spacing w:before="40" w:line="276"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iPriority w:val="9"/>
    <w:unhideWhenUsed/>
    <w:qFormat/>
    <w:rsid w:val="008377FA"/>
    <w:pPr>
      <w:keepNext/>
      <w:keepLines/>
      <w:widowControl/>
      <w:numPr>
        <w:ilvl w:val="4"/>
        <w:numId w:val="7"/>
      </w:numPr>
      <w:autoSpaceDE/>
      <w:autoSpaceDN/>
      <w:bidi/>
      <w:adjustRightInd/>
      <w:spacing w:before="40" w:line="276"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unhideWhenUsed/>
    <w:qFormat/>
    <w:rsid w:val="008377FA"/>
    <w:pPr>
      <w:keepNext/>
      <w:keepLines/>
      <w:widowControl/>
      <w:numPr>
        <w:ilvl w:val="5"/>
        <w:numId w:val="7"/>
      </w:numPr>
      <w:autoSpaceDE/>
      <w:autoSpaceDN/>
      <w:bidi/>
      <w:adjustRightInd/>
      <w:spacing w:before="40" w:line="276" w:lineRule="auto"/>
      <w:outlineLvl w:val="5"/>
    </w:pPr>
    <w:rPr>
      <w:rFonts w:asciiTheme="majorHAnsi" w:eastAsiaTheme="majorEastAsia" w:hAnsiTheme="majorHAnsi" w:cstheme="majorBidi"/>
      <w:color w:val="243F60" w:themeColor="accent1" w:themeShade="7F"/>
      <w:sz w:val="22"/>
      <w:szCs w:val="22"/>
    </w:rPr>
  </w:style>
  <w:style w:type="paragraph" w:styleId="Heading7">
    <w:name w:val="heading 7"/>
    <w:basedOn w:val="Normal"/>
    <w:next w:val="Normal"/>
    <w:link w:val="Heading7Char"/>
    <w:uiPriority w:val="9"/>
    <w:unhideWhenUsed/>
    <w:qFormat/>
    <w:rsid w:val="008377FA"/>
    <w:pPr>
      <w:keepNext/>
      <w:keepLines/>
      <w:widowControl/>
      <w:numPr>
        <w:ilvl w:val="6"/>
        <w:numId w:val="7"/>
      </w:numPr>
      <w:autoSpaceDE/>
      <w:autoSpaceDN/>
      <w:bidi/>
      <w:adjustRightInd/>
      <w:spacing w:before="40" w:line="276" w:lineRule="auto"/>
      <w:outlineLvl w:val="6"/>
    </w:pPr>
    <w:rPr>
      <w:rFonts w:asciiTheme="majorHAnsi" w:eastAsiaTheme="majorEastAsia" w:hAnsiTheme="majorHAnsi" w:cstheme="majorBidi"/>
      <w:i/>
      <w:iCs/>
      <w:color w:val="243F60" w:themeColor="accent1" w:themeShade="7F"/>
      <w:sz w:val="22"/>
      <w:szCs w:val="22"/>
    </w:rPr>
  </w:style>
  <w:style w:type="paragraph" w:styleId="Heading8">
    <w:name w:val="heading 8"/>
    <w:basedOn w:val="Normal"/>
    <w:next w:val="Normal"/>
    <w:link w:val="Heading8Char"/>
    <w:uiPriority w:val="9"/>
    <w:unhideWhenUsed/>
    <w:qFormat/>
    <w:rsid w:val="008377FA"/>
    <w:pPr>
      <w:keepNext/>
      <w:keepLines/>
      <w:widowControl/>
      <w:numPr>
        <w:ilvl w:val="7"/>
        <w:numId w:val="7"/>
      </w:numPr>
      <w:autoSpaceDE/>
      <w:autoSpaceDN/>
      <w:bidi/>
      <w:adjustRightInd/>
      <w:spacing w:before="40" w:line="27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8377FA"/>
    <w:pPr>
      <w:keepNext/>
      <w:keepLines/>
      <w:widowControl/>
      <w:numPr>
        <w:ilvl w:val="8"/>
        <w:numId w:val="7"/>
      </w:numPr>
      <w:autoSpaceDE/>
      <w:autoSpaceDN/>
      <w:bidi/>
      <w:adjustRightInd/>
      <w:spacing w:before="4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widowControl/>
      <w:autoSpaceDE/>
      <w:autoSpaceDN/>
      <w:adjustRightInd/>
    </w:pPr>
    <w:rPr>
      <w:rFonts w:ascii="Lucida Grande" w:hAnsi="Lucida Grande" w:cs="Lucida Grande"/>
      <w:color w:val="auto"/>
      <w:sz w:val="18"/>
      <w:szCs w:val="18"/>
    </w:rPr>
  </w:style>
  <w:style w:type="paragraph" w:styleId="Caption">
    <w:name w:val="caption"/>
    <w:aliases w:val="caption"/>
    <w:basedOn w:val="Normal"/>
    <w:next w:val="Normal"/>
    <w:uiPriority w:val="35"/>
    <w:unhideWhenUsed/>
    <w:qFormat/>
    <w:rsid w:val="005F7414"/>
    <w:pPr>
      <w:widowControl/>
      <w:autoSpaceDE/>
      <w:autoSpaceDN/>
      <w:adjustRightInd/>
      <w:spacing w:after="200" w:line="480" w:lineRule="auto"/>
    </w:pPr>
    <w:rPr>
      <w:rFonts w:eastAsiaTheme="minorEastAsia" w:cs="Times New Roman"/>
      <w:b/>
      <w:bCs/>
      <w:color w:val="auto"/>
      <w:szCs w:val="18"/>
      <w:lang w:bidi="en-US"/>
    </w:rPr>
  </w:style>
  <w:style w:type="paragraph" w:styleId="CommentText">
    <w:name w:val="annotation text"/>
    <w:basedOn w:val="Normal"/>
    <w:link w:val="CommentTextChar"/>
    <w:uiPriority w:val="99"/>
    <w:unhideWhenUsed/>
    <w:pPr>
      <w:widowControl/>
      <w:autoSpaceDE/>
      <w:autoSpaceDN/>
      <w:adjustRightInd/>
      <w:spacing w:after="200"/>
    </w:pPr>
    <w:rPr>
      <w:rFonts w:asciiTheme="minorHAnsi" w:hAnsiTheme="minorHAnsi" w:cstheme="minorBidi"/>
      <w:color w:val="auto"/>
      <w:szCs w:val="24"/>
    </w:rPr>
  </w:style>
  <w:style w:type="paragraph" w:styleId="CommentSubject">
    <w:name w:val="annotation subject"/>
    <w:basedOn w:val="CommentText"/>
    <w:next w:val="CommentText"/>
    <w:link w:val="CommentSubjectChar"/>
    <w:uiPriority w:val="99"/>
    <w:unhideWhenUsed/>
    <w:qFormat/>
    <w:rPr>
      <w:b/>
      <w:bCs/>
      <w:sz w:val="20"/>
      <w:szCs w:val="20"/>
    </w:rPr>
  </w:style>
  <w:style w:type="paragraph" w:styleId="Footer">
    <w:name w:val="footer"/>
    <w:basedOn w:val="Normal"/>
    <w:link w:val="FooterChar"/>
    <w:uiPriority w:val="99"/>
    <w:unhideWhenUsed/>
    <w:pPr>
      <w:widowControl/>
      <w:tabs>
        <w:tab w:val="center" w:pos="4680"/>
        <w:tab w:val="right" w:pos="9360"/>
      </w:tabs>
      <w:autoSpaceDE/>
      <w:autoSpaceDN/>
      <w:adjustRightInd/>
    </w:pPr>
    <w:rPr>
      <w:rFonts w:asciiTheme="minorHAnsi" w:hAnsiTheme="minorHAnsi" w:cstheme="minorBidi"/>
      <w:color w:val="auto"/>
      <w:sz w:val="22"/>
      <w:szCs w:val="22"/>
    </w:rPr>
  </w:style>
  <w:style w:type="paragraph" w:styleId="Header">
    <w:name w:val="header"/>
    <w:basedOn w:val="Normal"/>
    <w:link w:val="HeaderChar"/>
    <w:uiPriority w:val="99"/>
    <w:unhideWhenUsed/>
    <w:pPr>
      <w:widowControl/>
      <w:tabs>
        <w:tab w:val="center" w:pos="4680"/>
        <w:tab w:val="right" w:pos="9360"/>
      </w:tabs>
      <w:autoSpaceDE/>
      <w:autoSpaceDN/>
      <w:adjustRightInd/>
    </w:pPr>
    <w:rPr>
      <w:rFonts w:asciiTheme="minorHAnsi" w:hAnsiTheme="minorHAnsi" w:cstheme="minorBidi"/>
      <w:color w:val="auto"/>
      <w:sz w:val="22"/>
      <w:szCs w:val="22"/>
    </w:rPr>
  </w:style>
  <w:style w:type="paragraph" w:styleId="NormalWeb">
    <w:name w:val="Normal (Web)"/>
    <w:basedOn w:val="Normal"/>
    <w:link w:val="NormalWebChar"/>
    <w:uiPriority w:val="99"/>
    <w:unhideWhenUsed/>
    <w:qFormat/>
    <w:pPr>
      <w:widowControl/>
      <w:autoSpaceDE/>
      <w:autoSpaceDN/>
      <w:adjustRightInd/>
      <w:spacing w:before="100" w:beforeAutospacing="1" w:after="100" w:afterAutospacing="1"/>
    </w:pPr>
    <w:rPr>
      <w:rFonts w:ascii="Times" w:eastAsiaTheme="minorEastAsia" w:hAnsi="Times" w:cs="Times New Roman"/>
      <w:color w:val="auto"/>
      <w:sz w:val="20"/>
      <w:szCs w:val="20"/>
    </w:rPr>
  </w:style>
  <w:style w:type="paragraph" w:styleId="TableofFigures">
    <w:name w:val="table of figures"/>
    <w:basedOn w:val="Normal"/>
    <w:next w:val="Normal"/>
    <w:autoRedefine/>
    <w:uiPriority w:val="99"/>
    <w:unhideWhenUsed/>
    <w:qFormat/>
    <w:rsid w:val="00E57658"/>
    <w:pPr>
      <w:widowControl/>
      <w:autoSpaceDE/>
      <w:autoSpaceDN/>
      <w:adjustRightInd/>
      <w:spacing w:after="200" w:line="276" w:lineRule="auto"/>
      <w:ind w:left="440" w:hanging="440"/>
    </w:pPr>
    <w:rPr>
      <w:rFonts w:cstheme="minorBidi"/>
      <w:b/>
      <w:color w:val="auto"/>
      <w:szCs w:val="22"/>
    </w:rPr>
  </w:style>
  <w:style w:type="paragraph" w:styleId="Title">
    <w:name w:val="Title"/>
    <w:basedOn w:val="Normal"/>
    <w:next w:val="Normal"/>
    <w:link w:val="TitleChar"/>
    <w:uiPriority w:val="10"/>
    <w:qFormat/>
    <w:rsid w:val="00433598"/>
    <w:pPr>
      <w:widowControl/>
      <w:autoSpaceDE/>
      <w:autoSpaceDN/>
      <w:adjustRightInd/>
      <w:spacing w:line="480" w:lineRule="auto"/>
      <w:jc w:val="center"/>
      <w:outlineLvl w:val="0"/>
    </w:pPr>
    <w:rPr>
      <w:rFonts w:eastAsiaTheme="majorEastAsia" w:cs="Times New Roman"/>
      <w:b/>
      <w:bCs/>
      <w:color w:val="auto"/>
      <w:kern w:val="28"/>
      <w:szCs w:val="24"/>
      <w:lang w:bidi="en-US"/>
    </w:rPr>
  </w:style>
  <w:style w:type="paragraph" w:styleId="TOC1">
    <w:name w:val="toc 1"/>
    <w:basedOn w:val="Normal"/>
    <w:next w:val="Normal"/>
    <w:uiPriority w:val="39"/>
    <w:unhideWhenUsed/>
    <w:pPr>
      <w:widowControl/>
      <w:tabs>
        <w:tab w:val="right" w:leader="dot" w:pos="9350"/>
      </w:tabs>
      <w:autoSpaceDE/>
      <w:autoSpaceDN/>
      <w:adjustRightInd/>
      <w:spacing w:before="120" w:line="360" w:lineRule="auto"/>
    </w:pPr>
    <w:rPr>
      <w:rFonts w:asciiTheme="minorHAnsi" w:hAnsiTheme="minorHAnsi" w:cstheme="minorBidi"/>
      <w:b/>
      <w:color w:val="auto"/>
      <w:szCs w:val="24"/>
    </w:rPr>
  </w:style>
  <w:style w:type="paragraph" w:styleId="TOC2">
    <w:name w:val="toc 2"/>
    <w:basedOn w:val="Normal"/>
    <w:next w:val="Normal"/>
    <w:uiPriority w:val="39"/>
    <w:unhideWhenUsed/>
    <w:qFormat/>
    <w:pPr>
      <w:widowControl/>
      <w:tabs>
        <w:tab w:val="right" w:leader="dot" w:pos="9350"/>
      </w:tabs>
      <w:autoSpaceDE/>
      <w:autoSpaceDN/>
      <w:adjustRightInd/>
      <w:spacing w:line="360" w:lineRule="auto"/>
      <w:ind w:left="220"/>
    </w:pPr>
    <w:rPr>
      <w:rFonts w:asciiTheme="minorHAnsi" w:hAnsiTheme="minorHAnsi" w:cstheme="minorBidi"/>
      <w:b/>
      <w:color w:val="auto"/>
      <w:sz w:val="22"/>
      <w:szCs w:val="22"/>
    </w:rPr>
  </w:style>
  <w:style w:type="paragraph" w:styleId="TOC3">
    <w:name w:val="toc 3"/>
    <w:basedOn w:val="Normal"/>
    <w:next w:val="Normal"/>
    <w:uiPriority w:val="39"/>
    <w:unhideWhenUsed/>
    <w:qFormat/>
    <w:pPr>
      <w:widowControl/>
      <w:autoSpaceDE/>
      <w:autoSpaceDN/>
      <w:adjustRightInd/>
      <w:spacing w:line="276" w:lineRule="auto"/>
      <w:ind w:left="440"/>
    </w:pPr>
    <w:rPr>
      <w:rFonts w:asciiTheme="minorHAnsi" w:hAnsiTheme="minorHAnsi" w:cstheme="minorBidi"/>
      <w:color w:val="auto"/>
      <w:sz w:val="22"/>
      <w:szCs w:val="22"/>
    </w:rPr>
  </w:style>
  <w:style w:type="paragraph" w:styleId="TOC4">
    <w:name w:val="toc 4"/>
    <w:basedOn w:val="Normal"/>
    <w:next w:val="Normal"/>
    <w:uiPriority w:val="39"/>
    <w:unhideWhenUsed/>
    <w:pPr>
      <w:widowControl/>
      <w:autoSpaceDE/>
      <w:autoSpaceDN/>
      <w:adjustRightInd/>
      <w:spacing w:line="276" w:lineRule="auto"/>
      <w:ind w:left="660"/>
    </w:pPr>
    <w:rPr>
      <w:rFonts w:asciiTheme="minorHAnsi" w:hAnsiTheme="minorHAnsi" w:cstheme="minorBidi"/>
      <w:color w:val="auto"/>
      <w:sz w:val="20"/>
      <w:szCs w:val="20"/>
    </w:rPr>
  </w:style>
  <w:style w:type="paragraph" w:styleId="TOC5">
    <w:name w:val="toc 5"/>
    <w:basedOn w:val="Normal"/>
    <w:next w:val="Normal"/>
    <w:uiPriority w:val="39"/>
    <w:unhideWhenUsed/>
    <w:qFormat/>
    <w:pPr>
      <w:widowControl/>
      <w:autoSpaceDE/>
      <w:autoSpaceDN/>
      <w:adjustRightInd/>
      <w:spacing w:line="276" w:lineRule="auto"/>
      <w:ind w:left="880"/>
    </w:pPr>
    <w:rPr>
      <w:rFonts w:asciiTheme="minorHAnsi" w:hAnsiTheme="minorHAnsi" w:cstheme="minorBidi"/>
      <w:color w:val="auto"/>
      <w:sz w:val="20"/>
      <w:szCs w:val="20"/>
    </w:rPr>
  </w:style>
  <w:style w:type="paragraph" w:styleId="TOC6">
    <w:name w:val="toc 6"/>
    <w:basedOn w:val="Normal"/>
    <w:next w:val="Normal"/>
    <w:uiPriority w:val="39"/>
    <w:unhideWhenUsed/>
    <w:qFormat/>
    <w:pPr>
      <w:widowControl/>
      <w:autoSpaceDE/>
      <w:autoSpaceDN/>
      <w:adjustRightInd/>
      <w:spacing w:line="276" w:lineRule="auto"/>
      <w:ind w:left="1100"/>
    </w:pPr>
    <w:rPr>
      <w:rFonts w:asciiTheme="minorHAnsi" w:hAnsiTheme="minorHAnsi" w:cstheme="minorBidi"/>
      <w:color w:val="auto"/>
      <w:sz w:val="20"/>
      <w:szCs w:val="20"/>
    </w:rPr>
  </w:style>
  <w:style w:type="paragraph" w:styleId="TOC7">
    <w:name w:val="toc 7"/>
    <w:basedOn w:val="Normal"/>
    <w:next w:val="Normal"/>
    <w:uiPriority w:val="39"/>
    <w:unhideWhenUsed/>
    <w:qFormat/>
    <w:pPr>
      <w:widowControl/>
      <w:autoSpaceDE/>
      <w:autoSpaceDN/>
      <w:adjustRightInd/>
      <w:spacing w:line="276" w:lineRule="auto"/>
      <w:ind w:left="1320"/>
    </w:pPr>
    <w:rPr>
      <w:rFonts w:asciiTheme="minorHAnsi" w:hAnsiTheme="minorHAnsi" w:cstheme="minorBidi"/>
      <w:color w:val="auto"/>
      <w:sz w:val="20"/>
      <w:szCs w:val="20"/>
    </w:rPr>
  </w:style>
  <w:style w:type="paragraph" w:styleId="TOC8">
    <w:name w:val="toc 8"/>
    <w:basedOn w:val="Normal"/>
    <w:next w:val="Normal"/>
    <w:uiPriority w:val="39"/>
    <w:unhideWhenUsed/>
    <w:pPr>
      <w:widowControl/>
      <w:autoSpaceDE/>
      <w:autoSpaceDN/>
      <w:adjustRightInd/>
      <w:spacing w:line="276" w:lineRule="auto"/>
      <w:ind w:left="1540"/>
    </w:pPr>
    <w:rPr>
      <w:rFonts w:asciiTheme="minorHAnsi" w:hAnsiTheme="minorHAnsi" w:cstheme="minorBidi"/>
      <w:color w:val="auto"/>
      <w:sz w:val="20"/>
      <w:szCs w:val="20"/>
    </w:rPr>
  </w:style>
  <w:style w:type="paragraph" w:styleId="TOC9">
    <w:name w:val="toc 9"/>
    <w:basedOn w:val="Normal"/>
    <w:next w:val="Normal"/>
    <w:uiPriority w:val="39"/>
    <w:unhideWhenUsed/>
    <w:qFormat/>
    <w:pPr>
      <w:widowControl/>
      <w:autoSpaceDE/>
      <w:autoSpaceDN/>
      <w:adjustRightInd/>
      <w:spacing w:line="276" w:lineRule="auto"/>
      <w:ind w:left="1760"/>
    </w:pPr>
    <w:rPr>
      <w:rFonts w:asciiTheme="minorHAnsi" w:hAnsiTheme="minorHAnsi" w:cstheme="minorBidi"/>
      <w:color w:val="auto"/>
      <w:sz w:val="20"/>
      <w:szCs w:val="20"/>
    </w:rPr>
  </w:style>
  <w:style w:type="character" w:styleId="CommentReference">
    <w:name w:val="annotation reference"/>
    <w:basedOn w:val="DefaultParagraphFont"/>
    <w:uiPriority w:val="99"/>
    <w:unhideWhenUsed/>
    <w:rPr>
      <w:sz w:val="18"/>
      <w:szCs w:val="18"/>
    </w:rPr>
  </w:style>
  <w:style w:type="character" w:styleId="Hyperlink">
    <w:name w:val="Hyperlink"/>
    <w:basedOn w:val="DefaultParagraphFont"/>
    <w:uiPriority w:val="99"/>
    <w:unhideWhenUsed/>
    <w:qFormat/>
    <w:rPr>
      <w:color w:val="0000FF" w:themeColor="hyperlink"/>
      <w:u w:val="single"/>
    </w:rPr>
  </w:style>
  <w:style w:type="character" w:styleId="PageNumber">
    <w:name w:val="page number"/>
    <w:basedOn w:val="DefaultParagraphFont"/>
    <w:uiPriority w:val="99"/>
    <w:unhideWhenUsed/>
    <w:qFormat/>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pPr>
      <w:widowControl/>
      <w:autoSpaceDE/>
      <w:autoSpaceDN/>
      <w:adjustRightInd/>
      <w:ind w:left="720"/>
      <w:contextualSpacing/>
    </w:pPr>
    <w:rPr>
      <w:rFonts w:asciiTheme="minorHAnsi" w:eastAsiaTheme="minorEastAsia" w:hAnsiTheme="minorHAnsi" w:cs="Times New Roman"/>
      <w:color w:val="auto"/>
      <w:szCs w:val="24"/>
      <w:lang w:bidi="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qFormat/>
    <w:rPr>
      <w:rFonts w:ascii="Lucida Grande" w:hAnsi="Lucida Grande" w:cs="Lucida Grande"/>
      <w:sz w:val="18"/>
      <w:szCs w:val="18"/>
    </w:rPr>
  </w:style>
  <w:style w:type="character" w:customStyle="1" w:styleId="TitleChar">
    <w:name w:val="Title Char"/>
    <w:basedOn w:val="DefaultParagraphFont"/>
    <w:link w:val="Title"/>
    <w:uiPriority w:val="10"/>
    <w:rsid w:val="00433598"/>
    <w:rPr>
      <w:rFonts w:ascii="Times New Roman" w:eastAsiaTheme="majorEastAsia" w:hAnsi="Times New Roman" w:cs="Times New Roman"/>
      <w:b/>
      <w:bCs/>
      <w:kern w:val="28"/>
      <w:sz w:val="24"/>
      <w:szCs w:val="24"/>
      <w:lang w:bidi="en-US"/>
    </w:rPr>
  </w:style>
  <w:style w:type="character" w:customStyle="1" w:styleId="Heading1Char">
    <w:name w:val="Heading 1 Char"/>
    <w:basedOn w:val="DefaultParagraphFont"/>
    <w:link w:val="Heading1"/>
    <w:uiPriority w:val="9"/>
    <w:qFormat/>
    <w:rsid w:val="0093109F"/>
    <w:rPr>
      <w:rFonts w:ascii="Times New Roman" w:eastAsiaTheme="majorEastAsia" w:hAnsi="Times New Roman" w:cstheme="majorBidi"/>
      <w:b/>
      <w:bCs/>
      <w:color w:val="000000" w:themeColor="text1"/>
      <w:sz w:val="28"/>
      <w:szCs w:val="24"/>
      <w:lang w:bidi="en-US"/>
    </w:rPr>
  </w:style>
  <w:style w:type="paragraph" w:customStyle="1" w:styleId="Bibliography1">
    <w:name w:val="Bibliography1"/>
    <w:basedOn w:val="Normal"/>
    <w:next w:val="Normal"/>
    <w:uiPriority w:val="37"/>
    <w:unhideWhenUsed/>
    <w:qFormat/>
    <w:pPr>
      <w:widowControl/>
      <w:autoSpaceDE/>
      <w:autoSpaceDN/>
      <w:adjustRightInd/>
      <w:spacing w:after="200" w:line="276" w:lineRule="auto"/>
    </w:pPr>
    <w:rPr>
      <w:rFonts w:asciiTheme="minorHAnsi" w:hAnsiTheme="minorHAnsi" w:cstheme="minorBidi"/>
      <w:color w:val="auto"/>
      <w:sz w:val="22"/>
      <w:szCs w:val="22"/>
    </w:rPr>
  </w:style>
  <w:style w:type="character" w:customStyle="1" w:styleId="CommentTextChar">
    <w:name w:val="Comment Text Char"/>
    <w:basedOn w:val="DefaultParagraphFont"/>
    <w:link w:val="CommentText"/>
    <w:uiPriority w:val="99"/>
    <w:qFormat/>
    <w:rPr>
      <w:sz w:val="24"/>
      <w:szCs w:val="24"/>
    </w:rPr>
  </w:style>
  <w:style w:type="character" w:customStyle="1" w:styleId="CommentSubjectChar">
    <w:name w:val="Comment Subject Char"/>
    <w:basedOn w:val="CommentTextChar"/>
    <w:link w:val="CommentSubject"/>
    <w:uiPriority w:val="99"/>
    <w:qFormat/>
    <w:rPr>
      <w:b/>
      <w:bCs/>
      <w:sz w:val="20"/>
      <w:szCs w:val="20"/>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TOCHeading1">
    <w:name w:val="TOC Heading1"/>
    <w:basedOn w:val="Heading1"/>
    <w:next w:val="Normal"/>
    <w:uiPriority w:val="39"/>
    <w:unhideWhenUsed/>
    <w:qFormat/>
    <w:pPr>
      <w:outlineLvl w:val="9"/>
    </w:pPr>
    <w:rPr>
      <w:lang w:bidi="ar-SA"/>
    </w:rPr>
  </w:style>
  <w:style w:type="character" w:customStyle="1" w:styleId="Heading2Char">
    <w:name w:val="Heading 2 Char"/>
    <w:basedOn w:val="DefaultParagraphFont"/>
    <w:link w:val="Heading2"/>
    <w:uiPriority w:val="9"/>
    <w:qFormat/>
    <w:rsid w:val="0017121F"/>
    <w:rPr>
      <w:rFonts w:ascii="Times New Roman" w:eastAsiaTheme="majorEastAsia" w:hAnsi="Times New Roman" w:cstheme="majorBidi"/>
      <w:b/>
      <w:color w:val="000000" w:themeColor="text1"/>
      <w:sz w:val="24"/>
      <w:szCs w:val="24"/>
      <w:u w:val="single"/>
    </w:rPr>
  </w:style>
  <w:style w:type="paragraph" w:customStyle="1" w:styleId="NoSpacing1">
    <w:name w:val="No Spacing1"/>
    <w:uiPriority w:val="1"/>
    <w:rPr>
      <w:sz w:val="22"/>
      <w:szCs w:val="22"/>
    </w:rPr>
  </w:style>
  <w:style w:type="paragraph" w:styleId="Revision">
    <w:name w:val="Revision"/>
    <w:hidden/>
    <w:uiPriority w:val="99"/>
    <w:semiHidden/>
    <w:rsid w:val="00600A2E"/>
    <w:rPr>
      <w:rFonts w:ascii="Courier New" w:hAnsi="Courier New" w:cs="Courier New"/>
      <w:color w:val="000000"/>
      <w:sz w:val="28"/>
      <w:szCs w:val="28"/>
    </w:rPr>
  </w:style>
  <w:style w:type="paragraph" w:styleId="ListParagraph">
    <w:name w:val="List Paragraph"/>
    <w:aliases w:val="본문1"/>
    <w:basedOn w:val="Normal"/>
    <w:link w:val="ListParagraphChar"/>
    <w:uiPriority w:val="34"/>
    <w:qFormat/>
    <w:rsid w:val="00E67E16"/>
    <w:pPr>
      <w:ind w:left="720"/>
      <w:contextualSpacing/>
    </w:pPr>
  </w:style>
  <w:style w:type="character" w:customStyle="1" w:styleId="Heading3Char">
    <w:name w:val="Heading 3 Char"/>
    <w:basedOn w:val="DefaultParagraphFont"/>
    <w:link w:val="Heading3"/>
    <w:uiPriority w:val="9"/>
    <w:rsid w:val="008377FA"/>
    <w:rPr>
      <w:rFonts w:ascii="Times New Roman" w:eastAsiaTheme="majorEastAsia" w:hAnsi="Times New Roman" w:cstheme="majorBidi"/>
      <w:b/>
      <w:i/>
      <w:color w:val="0D0D0D" w:themeColor="text1" w:themeTint="F2"/>
      <w:sz w:val="24"/>
      <w:szCs w:val="24"/>
    </w:rPr>
  </w:style>
  <w:style w:type="character" w:customStyle="1" w:styleId="Heading4Char">
    <w:name w:val="Heading 4 Char"/>
    <w:basedOn w:val="DefaultParagraphFont"/>
    <w:link w:val="Heading4"/>
    <w:uiPriority w:val="9"/>
    <w:rsid w:val="008377FA"/>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rsid w:val="008377FA"/>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rsid w:val="008377FA"/>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rsid w:val="008377FA"/>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rsid w:val="008377F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8377FA"/>
    <w:rPr>
      <w:rFonts w:asciiTheme="majorHAnsi" w:eastAsiaTheme="majorEastAsia" w:hAnsiTheme="majorHAnsi" w:cstheme="majorBidi"/>
      <w:i/>
      <w:iCs/>
      <w:color w:val="272727" w:themeColor="text1" w:themeTint="D8"/>
      <w:sz w:val="21"/>
      <w:szCs w:val="21"/>
    </w:rPr>
  </w:style>
  <w:style w:type="paragraph" w:customStyle="1" w:styleId="ecxmsonormal">
    <w:name w:val="ecxmsonormal"/>
    <w:basedOn w:val="Normal"/>
    <w:rsid w:val="008377FA"/>
    <w:pPr>
      <w:widowControl/>
      <w:autoSpaceDE/>
      <w:autoSpaceDN/>
      <w:adjustRightInd/>
      <w:spacing w:after="324"/>
    </w:pPr>
    <w:rPr>
      <w:rFonts w:eastAsia="Times New Roman" w:cs="Times New Roman"/>
      <w:color w:val="auto"/>
      <w:szCs w:val="24"/>
    </w:rPr>
  </w:style>
  <w:style w:type="character" w:customStyle="1" w:styleId="ListParagraphChar">
    <w:name w:val="List Paragraph Char"/>
    <w:aliases w:val="본문1 Char"/>
    <w:link w:val="ListParagraph"/>
    <w:uiPriority w:val="34"/>
    <w:rsid w:val="008377FA"/>
    <w:rPr>
      <w:rFonts w:ascii="Courier New" w:hAnsi="Courier New" w:cs="Courier New"/>
      <w:color w:val="000000"/>
      <w:sz w:val="28"/>
      <w:szCs w:val="28"/>
    </w:rPr>
  </w:style>
  <w:style w:type="paragraph" w:customStyle="1" w:styleId="Body">
    <w:name w:val="Body"/>
    <w:rsid w:val="008377F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hlfld-contribauthor">
    <w:name w:val="hlfld-contribauthor"/>
    <w:basedOn w:val="DefaultParagraphFont"/>
    <w:rsid w:val="008377FA"/>
  </w:style>
  <w:style w:type="character" w:customStyle="1" w:styleId="nlmyear">
    <w:name w:val="nlm_year"/>
    <w:basedOn w:val="DefaultParagraphFont"/>
    <w:rsid w:val="008377FA"/>
  </w:style>
  <w:style w:type="character" w:customStyle="1" w:styleId="nlmarticle-title">
    <w:name w:val="nlm_article-title"/>
    <w:basedOn w:val="DefaultParagraphFont"/>
    <w:rsid w:val="008377FA"/>
  </w:style>
  <w:style w:type="character" w:customStyle="1" w:styleId="nlmfpage">
    <w:name w:val="nlm_fpage"/>
    <w:basedOn w:val="DefaultParagraphFont"/>
    <w:rsid w:val="008377FA"/>
  </w:style>
  <w:style w:type="character" w:customStyle="1" w:styleId="nlmlpage">
    <w:name w:val="nlm_lpage"/>
    <w:basedOn w:val="DefaultParagraphFont"/>
    <w:rsid w:val="008377FA"/>
  </w:style>
  <w:style w:type="character" w:customStyle="1" w:styleId="singlehighlightclass">
    <w:name w:val="single_highlight_class"/>
    <w:basedOn w:val="DefaultParagraphFont"/>
    <w:rsid w:val="008377FA"/>
  </w:style>
  <w:style w:type="character" w:customStyle="1" w:styleId="ref-lnk">
    <w:name w:val="ref-lnk"/>
    <w:basedOn w:val="DefaultParagraphFont"/>
    <w:rsid w:val="008377FA"/>
  </w:style>
  <w:style w:type="character" w:customStyle="1" w:styleId="ref-overlay">
    <w:name w:val="ref-overlay"/>
    <w:basedOn w:val="DefaultParagraphFont"/>
    <w:rsid w:val="008377FA"/>
  </w:style>
  <w:style w:type="character" w:customStyle="1" w:styleId="nlmgiven-names">
    <w:name w:val="nlm_given-names"/>
    <w:basedOn w:val="DefaultParagraphFont"/>
    <w:rsid w:val="008377FA"/>
  </w:style>
  <w:style w:type="character" w:customStyle="1" w:styleId="ref-links">
    <w:name w:val="ref-links"/>
    <w:basedOn w:val="DefaultParagraphFont"/>
    <w:rsid w:val="008377FA"/>
  </w:style>
  <w:style w:type="character" w:customStyle="1" w:styleId="xlinks-container">
    <w:name w:val="xlinks-container"/>
    <w:basedOn w:val="DefaultParagraphFont"/>
    <w:rsid w:val="008377FA"/>
  </w:style>
  <w:style w:type="character" w:customStyle="1" w:styleId="googlescholar-container">
    <w:name w:val="googlescholar-container"/>
    <w:basedOn w:val="DefaultParagraphFont"/>
    <w:rsid w:val="008377FA"/>
  </w:style>
  <w:style w:type="character" w:customStyle="1" w:styleId="st">
    <w:name w:val="st"/>
    <w:basedOn w:val="DefaultParagraphFont"/>
    <w:rsid w:val="008377FA"/>
  </w:style>
  <w:style w:type="character" w:styleId="Emphasis">
    <w:name w:val="Emphasis"/>
    <w:basedOn w:val="DefaultParagraphFont"/>
    <w:uiPriority w:val="20"/>
    <w:qFormat/>
    <w:rsid w:val="008377FA"/>
    <w:rPr>
      <w:i/>
      <w:iCs/>
    </w:rPr>
  </w:style>
  <w:style w:type="paragraph" w:styleId="NoSpacing">
    <w:name w:val="No Spacing"/>
    <w:aliases w:val="No Indent"/>
    <w:uiPriority w:val="3"/>
    <w:rsid w:val="008377FA"/>
    <w:pPr>
      <w:bidi/>
    </w:pPr>
    <w:rPr>
      <w:sz w:val="22"/>
      <w:szCs w:val="22"/>
    </w:rPr>
  </w:style>
  <w:style w:type="paragraph" w:styleId="TOCHeading">
    <w:name w:val="TOC Heading"/>
    <w:basedOn w:val="Heading1"/>
    <w:next w:val="Normal"/>
    <w:uiPriority w:val="39"/>
    <w:unhideWhenUsed/>
    <w:qFormat/>
    <w:rsid w:val="002F459A"/>
    <w:pPr>
      <w:spacing w:before="240" w:line="259" w:lineRule="auto"/>
      <w:outlineLvl w:val="9"/>
    </w:pPr>
    <w:rPr>
      <w:rFonts w:asciiTheme="majorHAnsi" w:hAnsiTheme="majorHAnsi"/>
      <w:b w:val="0"/>
      <w:bCs w:val="0"/>
      <w:color w:val="365F91" w:themeColor="accent1" w:themeShade="BF"/>
      <w:sz w:val="32"/>
      <w:szCs w:val="32"/>
      <w:lang w:bidi="ar-SA"/>
    </w:rPr>
  </w:style>
  <w:style w:type="paragraph" w:customStyle="1" w:styleId="Style1">
    <w:name w:val="Style1"/>
    <w:basedOn w:val="NormalWeb"/>
    <w:link w:val="Style1Char"/>
    <w:rsid w:val="00B05733"/>
    <w:pPr>
      <w:spacing w:after="120" w:afterAutospacing="0"/>
    </w:pPr>
    <w:rPr>
      <w:rFonts w:asciiTheme="majorBidi" w:hAnsiTheme="majorBidi" w:cstheme="majorBidi"/>
      <w:b/>
      <w:szCs w:val="24"/>
    </w:rPr>
  </w:style>
  <w:style w:type="paragraph" w:customStyle="1" w:styleId="Style2">
    <w:name w:val="Style2"/>
    <w:basedOn w:val="NormalWeb"/>
    <w:link w:val="Style2Char"/>
    <w:rsid w:val="00461CF2"/>
    <w:pPr>
      <w:spacing w:line="480" w:lineRule="auto"/>
    </w:pPr>
    <w:rPr>
      <w:rFonts w:asciiTheme="majorBidi" w:hAnsiTheme="majorBidi" w:cstheme="majorBidi"/>
      <w:b/>
      <w:szCs w:val="24"/>
      <w:lang w:bidi="ar-AE"/>
    </w:rPr>
  </w:style>
  <w:style w:type="character" w:customStyle="1" w:styleId="NormalWebChar">
    <w:name w:val="Normal (Web) Char"/>
    <w:basedOn w:val="DefaultParagraphFont"/>
    <w:link w:val="NormalWeb"/>
    <w:uiPriority w:val="99"/>
    <w:rsid w:val="00DD018D"/>
    <w:rPr>
      <w:rFonts w:ascii="Times" w:eastAsiaTheme="minorEastAsia" w:hAnsi="Times" w:cs="Times New Roman"/>
    </w:rPr>
  </w:style>
  <w:style w:type="character" w:customStyle="1" w:styleId="Style1Char">
    <w:name w:val="Style1 Char"/>
    <w:basedOn w:val="NormalWebChar"/>
    <w:link w:val="Style1"/>
    <w:rsid w:val="00B05733"/>
    <w:rPr>
      <w:rFonts w:asciiTheme="majorBidi" w:eastAsiaTheme="minorEastAsia" w:hAnsiTheme="majorBidi" w:cstheme="majorBidi"/>
      <w:b/>
      <w:szCs w:val="24"/>
    </w:rPr>
  </w:style>
  <w:style w:type="character" w:customStyle="1" w:styleId="fontstyle01">
    <w:name w:val="fontstyle01"/>
    <w:basedOn w:val="DefaultParagraphFont"/>
    <w:rsid w:val="0046177B"/>
    <w:rPr>
      <w:rFonts w:ascii="Arial" w:hAnsi="Arial" w:cs="Arial" w:hint="default"/>
      <w:b w:val="0"/>
      <w:bCs w:val="0"/>
      <w:i w:val="0"/>
      <w:iCs w:val="0"/>
      <w:color w:val="000000"/>
      <w:sz w:val="24"/>
      <w:szCs w:val="24"/>
    </w:rPr>
  </w:style>
  <w:style w:type="character" w:customStyle="1" w:styleId="Style2Char">
    <w:name w:val="Style2 Char"/>
    <w:basedOn w:val="NormalWebChar"/>
    <w:link w:val="Style2"/>
    <w:rsid w:val="00461CF2"/>
    <w:rPr>
      <w:rFonts w:asciiTheme="majorBidi" w:eastAsiaTheme="minorEastAsia" w:hAnsiTheme="majorBidi" w:cstheme="majorBidi"/>
      <w:b/>
      <w:szCs w:val="24"/>
      <w:lang w:bidi="ar-AE"/>
    </w:rPr>
  </w:style>
  <w:style w:type="character" w:customStyle="1" w:styleId="fontstyle21">
    <w:name w:val="fontstyle21"/>
    <w:basedOn w:val="DefaultParagraphFont"/>
    <w:rsid w:val="005F6C54"/>
    <w:rPr>
      <w:rFonts w:ascii="Arial" w:hAnsi="Arial" w:cs="Arial" w:hint="default"/>
      <w:b w:val="0"/>
      <w:bCs w:val="0"/>
      <w:i w:val="0"/>
      <w:iCs w:val="0"/>
      <w:color w:val="000000"/>
      <w:sz w:val="24"/>
      <w:szCs w:val="24"/>
    </w:rPr>
  </w:style>
  <w:style w:type="paragraph" w:customStyle="1" w:styleId="xmsonormal">
    <w:name w:val="x_msonormal"/>
    <w:basedOn w:val="Normal"/>
    <w:rsid w:val="0074167F"/>
    <w:pPr>
      <w:widowControl/>
      <w:autoSpaceDE/>
      <w:autoSpaceDN/>
      <w:adjustRightInd/>
      <w:spacing w:before="100" w:beforeAutospacing="1" w:after="100" w:afterAutospacing="1"/>
    </w:pPr>
    <w:rPr>
      <w:rFonts w:eastAsia="Times New Roman" w:cs="Times New Roman"/>
      <w:color w:val="auto"/>
      <w:szCs w:val="24"/>
    </w:rPr>
  </w:style>
  <w:style w:type="paragraph" w:customStyle="1" w:styleId="yiv1166812705msonormal">
    <w:name w:val="yiv1166812705msonormal"/>
    <w:basedOn w:val="Normal"/>
    <w:rsid w:val="00074359"/>
    <w:pPr>
      <w:widowControl/>
      <w:autoSpaceDE/>
      <w:autoSpaceDN/>
      <w:adjustRightInd/>
      <w:spacing w:before="100" w:beforeAutospacing="1" w:after="100" w:afterAutospacing="1"/>
    </w:pPr>
    <w:rPr>
      <w:rFonts w:eastAsia="Times New Roman" w:cs="Times New Roman"/>
      <w:color w:val="auto"/>
      <w:szCs w:val="24"/>
    </w:rPr>
  </w:style>
  <w:style w:type="paragraph" w:customStyle="1" w:styleId="yiv3887036453msonormal">
    <w:name w:val="yiv3887036453msonormal"/>
    <w:basedOn w:val="Normal"/>
    <w:rsid w:val="00074359"/>
    <w:pPr>
      <w:widowControl/>
      <w:autoSpaceDE/>
      <w:autoSpaceDN/>
      <w:adjustRightInd/>
      <w:spacing w:before="100" w:beforeAutospacing="1" w:after="100" w:afterAutospacing="1"/>
    </w:pPr>
    <w:rPr>
      <w:rFonts w:eastAsia="Times New Roman" w:cs="Times New Roman"/>
      <w:color w:val="auto"/>
      <w:szCs w:val="24"/>
    </w:rPr>
  </w:style>
  <w:style w:type="character" w:customStyle="1" w:styleId="fontstyle31">
    <w:name w:val="fontstyle31"/>
    <w:basedOn w:val="DefaultParagraphFont"/>
    <w:rsid w:val="00074359"/>
    <w:rPr>
      <w:rFonts w:ascii="Arial" w:hAnsi="Arial" w:cs="Arial" w:hint="default"/>
      <w:b w:val="0"/>
      <w:bCs w:val="0"/>
      <w:i/>
      <w:iCs/>
      <w:color w:val="000000"/>
      <w:sz w:val="24"/>
      <w:szCs w:val="24"/>
    </w:rPr>
  </w:style>
  <w:style w:type="paragraph" w:customStyle="1" w:styleId="Heading30">
    <w:name w:val="Heading3"/>
    <w:basedOn w:val="Heading1"/>
    <w:link w:val="Heading3Char0"/>
    <w:autoRedefine/>
    <w:qFormat/>
    <w:rsid w:val="00074359"/>
    <w:pPr>
      <w:spacing w:line="360" w:lineRule="auto"/>
      <w:ind w:left="432"/>
    </w:pPr>
    <w:rPr>
      <w:rFonts w:eastAsia="Yu Gothic Light"/>
    </w:rPr>
  </w:style>
  <w:style w:type="character" w:customStyle="1" w:styleId="Heading3Char0">
    <w:name w:val="Heading3 Char"/>
    <w:basedOn w:val="Heading1Char"/>
    <w:link w:val="Heading30"/>
    <w:rsid w:val="00074359"/>
    <w:rPr>
      <w:rFonts w:ascii="Times New Roman" w:eastAsia="Yu Gothic Light" w:hAnsi="Times New Roman" w:cstheme="majorBidi"/>
      <w:b/>
      <w:bCs/>
      <w:color w:val="000000" w:themeColor="text1"/>
      <w:sz w:val="24"/>
      <w:szCs w:val="28"/>
      <w:lang w:bidi="en-US"/>
    </w:rPr>
  </w:style>
  <w:style w:type="paragraph" w:styleId="FootnoteText">
    <w:name w:val="footnote text"/>
    <w:basedOn w:val="Normal"/>
    <w:link w:val="FootnoteTextChar"/>
    <w:uiPriority w:val="99"/>
    <w:semiHidden/>
    <w:unhideWhenUsed/>
    <w:rsid w:val="00432130"/>
    <w:rPr>
      <w:sz w:val="20"/>
      <w:szCs w:val="20"/>
    </w:rPr>
  </w:style>
  <w:style w:type="character" w:customStyle="1" w:styleId="FootnoteTextChar">
    <w:name w:val="Footnote Text Char"/>
    <w:basedOn w:val="DefaultParagraphFont"/>
    <w:link w:val="FootnoteText"/>
    <w:uiPriority w:val="99"/>
    <w:semiHidden/>
    <w:rsid w:val="00432130"/>
    <w:rPr>
      <w:rFonts w:ascii="Times New Roman" w:hAnsi="Times New Roman" w:cs="Courier New"/>
      <w:color w:val="000000"/>
    </w:rPr>
  </w:style>
  <w:style w:type="character" w:styleId="FootnoteReference">
    <w:name w:val="footnote reference"/>
    <w:basedOn w:val="DefaultParagraphFont"/>
    <w:uiPriority w:val="99"/>
    <w:semiHidden/>
    <w:unhideWhenUsed/>
    <w:rsid w:val="00432130"/>
    <w:rPr>
      <w:vertAlign w:val="superscript"/>
    </w:rPr>
  </w:style>
  <w:style w:type="character" w:customStyle="1" w:styleId="fontstyle41">
    <w:name w:val="fontstyle41"/>
    <w:basedOn w:val="DefaultParagraphFont"/>
    <w:rsid w:val="00EE53EB"/>
    <w:rPr>
      <w:rFonts w:ascii="AdvOT44ee9141.I" w:hAnsi="AdvOT44ee9141.I" w:hint="default"/>
      <w:b w:val="0"/>
      <w:bCs w:val="0"/>
      <w:i w:val="0"/>
      <w:iCs w:val="0"/>
      <w:color w:val="000000"/>
      <w:sz w:val="20"/>
      <w:szCs w:val="20"/>
    </w:rPr>
  </w:style>
  <w:style w:type="character" w:customStyle="1" w:styleId="fontstyle51">
    <w:name w:val="fontstyle51"/>
    <w:basedOn w:val="DefaultParagraphFont"/>
    <w:rsid w:val="00EE53EB"/>
    <w:rPr>
      <w:rFonts w:ascii="AdvP7DA6" w:hAnsi="AdvP7DA6" w:hint="default"/>
      <w:b w:val="0"/>
      <w:bCs w:val="0"/>
      <w:i w:val="0"/>
      <w:iCs w:val="0"/>
      <w:color w:val="242021"/>
      <w:sz w:val="20"/>
      <w:szCs w:val="20"/>
    </w:rPr>
  </w:style>
  <w:style w:type="character" w:customStyle="1" w:styleId="hlfld-abstract">
    <w:name w:val="hlfld-abstract"/>
    <w:basedOn w:val="DefaultParagraphFont"/>
    <w:rsid w:val="00D727A2"/>
  </w:style>
  <w:style w:type="paragraph" w:customStyle="1" w:styleId="last">
    <w:name w:val="last"/>
    <w:basedOn w:val="Normal"/>
    <w:rsid w:val="00D727A2"/>
    <w:pPr>
      <w:widowControl/>
      <w:autoSpaceDE/>
      <w:autoSpaceDN/>
      <w:adjustRightInd/>
      <w:spacing w:before="100" w:beforeAutospacing="1" w:after="100" w:afterAutospacing="1"/>
    </w:pPr>
    <w:rPr>
      <w:rFonts w:eastAsia="Times New Roman" w:cs="Times New Roman"/>
      <w:color w:val="auto"/>
      <w:szCs w:val="24"/>
    </w:rPr>
  </w:style>
  <w:style w:type="numbering" w:customStyle="1" w:styleId="NoList1">
    <w:name w:val="No List1"/>
    <w:next w:val="NoList"/>
    <w:uiPriority w:val="99"/>
    <w:semiHidden/>
    <w:unhideWhenUsed/>
    <w:rsid w:val="00EE00BF"/>
  </w:style>
  <w:style w:type="paragraph" w:styleId="BodyText">
    <w:name w:val="Body Text"/>
    <w:basedOn w:val="Normal"/>
    <w:link w:val="BodyTextChar"/>
    <w:uiPriority w:val="99"/>
    <w:unhideWhenUsed/>
    <w:rsid w:val="00EE00BF"/>
    <w:pPr>
      <w:widowControl/>
      <w:autoSpaceDE/>
      <w:autoSpaceDN/>
      <w:adjustRightInd/>
      <w:spacing w:before="100" w:beforeAutospacing="1" w:after="100" w:afterAutospacing="1"/>
    </w:pPr>
    <w:rPr>
      <w:rFonts w:eastAsia="Times New Roman" w:cs="Times New Roman"/>
      <w:color w:val="auto"/>
      <w:szCs w:val="24"/>
    </w:rPr>
  </w:style>
  <w:style w:type="character" w:customStyle="1" w:styleId="BodyTextChar">
    <w:name w:val="Body Text Char"/>
    <w:basedOn w:val="DefaultParagraphFont"/>
    <w:link w:val="BodyText"/>
    <w:uiPriority w:val="99"/>
    <w:rsid w:val="00EE00BF"/>
    <w:rPr>
      <w:rFonts w:ascii="Times New Roman" w:eastAsia="Times New Roman" w:hAnsi="Times New Roman" w:cs="Times New Roman"/>
      <w:sz w:val="24"/>
      <w:szCs w:val="24"/>
    </w:rPr>
  </w:style>
  <w:style w:type="character" w:customStyle="1" w:styleId="searchword">
    <w:name w:val="searchword"/>
    <w:basedOn w:val="DefaultParagraphFont"/>
    <w:rsid w:val="00EE00BF"/>
    <w:rPr>
      <w:shd w:val="clear" w:color="auto" w:fill="FFFF00"/>
    </w:rPr>
  </w:style>
  <w:style w:type="paragraph" w:customStyle="1" w:styleId="body-paragraph1">
    <w:name w:val="body-paragraph1"/>
    <w:basedOn w:val="Normal"/>
    <w:rsid w:val="00EE00BF"/>
    <w:pPr>
      <w:widowControl/>
      <w:autoSpaceDE/>
      <w:autoSpaceDN/>
      <w:adjustRightInd/>
      <w:spacing w:before="100" w:beforeAutospacing="1" w:after="100" w:afterAutospacing="1"/>
      <w:ind w:left="2220"/>
    </w:pPr>
    <w:rPr>
      <w:rFonts w:eastAsia="Times New Roman" w:cs="Times New Roman"/>
      <w:color w:val="auto"/>
      <w:szCs w:val="24"/>
    </w:rPr>
  </w:style>
  <w:style w:type="character" w:customStyle="1" w:styleId="searchnone">
    <w:name w:val="searchnone"/>
    <w:basedOn w:val="DefaultParagraphFont"/>
    <w:rsid w:val="00EE00BF"/>
  </w:style>
  <w:style w:type="character" w:customStyle="1" w:styleId="title2">
    <w:name w:val="title2"/>
    <w:basedOn w:val="DefaultParagraphFont"/>
    <w:rsid w:val="00EE00BF"/>
  </w:style>
  <w:style w:type="character" w:customStyle="1" w:styleId="nlmstring-name">
    <w:name w:val="nlm_string-name"/>
    <w:basedOn w:val="DefaultParagraphFont"/>
    <w:rsid w:val="00EE00BF"/>
  </w:style>
  <w:style w:type="character" w:customStyle="1" w:styleId="nlmpublisher-name">
    <w:name w:val="nlm_publisher-name"/>
    <w:basedOn w:val="DefaultParagraphFont"/>
    <w:rsid w:val="00EE00BF"/>
  </w:style>
  <w:style w:type="character" w:customStyle="1" w:styleId="nlmpublisher-loc">
    <w:name w:val="nlm_publisher-loc"/>
    <w:basedOn w:val="DefaultParagraphFont"/>
    <w:rsid w:val="00EE00BF"/>
  </w:style>
  <w:style w:type="character" w:customStyle="1" w:styleId="hlfld-title">
    <w:name w:val="hlfld-title"/>
    <w:basedOn w:val="DefaultParagraphFont"/>
    <w:rsid w:val="00EE00BF"/>
  </w:style>
  <w:style w:type="table" w:customStyle="1" w:styleId="TableGrid1">
    <w:name w:val="Table Grid1"/>
    <w:basedOn w:val="TableNormal"/>
    <w:next w:val="TableGrid"/>
    <w:uiPriority w:val="39"/>
    <w:rsid w:val="00EE00BF"/>
    <w:rPr>
      <w:rFonts w:eastAsiaTheme="minorEastAsia"/>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line">
    <w:name w:val="inline"/>
    <w:basedOn w:val="Normal"/>
    <w:rsid w:val="00EE00BF"/>
    <w:pPr>
      <w:widowControl/>
      <w:autoSpaceDE/>
      <w:autoSpaceDN/>
      <w:adjustRightInd/>
      <w:spacing w:before="100" w:beforeAutospacing="1" w:after="100" w:afterAutospacing="1"/>
    </w:pPr>
    <w:rPr>
      <w:rFonts w:eastAsia="Times New Roman" w:cs="Times New Roman"/>
      <w:color w:val="auto"/>
      <w:szCs w:val="24"/>
    </w:rPr>
  </w:style>
  <w:style w:type="character" w:customStyle="1" w:styleId="largetext">
    <w:name w:val="largetext"/>
    <w:basedOn w:val="DefaultParagraphFont"/>
    <w:rsid w:val="00EE00BF"/>
  </w:style>
  <w:style w:type="character" w:customStyle="1" w:styleId="hit">
    <w:name w:val="hit"/>
    <w:basedOn w:val="DefaultParagraphFont"/>
    <w:rsid w:val="00EE00BF"/>
  </w:style>
  <w:style w:type="paragraph" w:customStyle="1" w:styleId="yiv5359568090ydp1dfbdc00msolistparagraph">
    <w:name w:val="yiv5359568090ydp1dfbdc00msolistparagraph"/>
    <w:basedOn w:val="Normal"/>
    <w:rsid w:val="00EE00BF"/>
    <w:pPr>
      <w:widowControl/>
      <w:autoSpaceDE/>
      <w:autoSpaceDN/>
      <w:adjustRightInd/>
      <w:spacing w:before="100" w:beforeAutospacing="1" w:after="100" w:afterAutospacing="1"/>
    </w:pPr>
    <w:rPr>
      <w:rFonts w:eastAsia="Times New Roman" w:cs="Times New Roman"/>
      <w:color w:val="auto"/>
      <w:szCs w:val="24"/>
    </w:rPr>
  </w:style>
  <w:style w:type="paragraph" w:customStyle="1" w:styleId="EndNoteBibliography">
    <w:name w:val="EndNote Bibliography"/>
    <w:basedOn w:val="Normal"/>
    <w:link w:val="EndNoteBibliographyChar"/>
    <w:rsid w:val="00EE00BF"/>
    <w:pPr>
      <w:widowControl/>
      <w:autoSpaceDE/>
      <w:autoSpaceDN/>
      <w:adjustRightInd/>
      <w:spacing w:after="102"/>
      <w:ind w:left="10" w:right="1" w:hanging="10"/>
      <w:jc w:val="both"/>
    </w:pPr>
    <w:rPr>
      <w:rFonts w:ascii="Calibri" w:eastAsia="Calibri" w:hAnsi="Calibri" w:cs="Calibri"/>
      <w:noProof/>
      <w:color w:val="181717"/>
      <w:sz w:val="18"/>
      <w:szCs w:val="22"/>
    </w:rPr>
  </w:style>
  <w:style w:type="character" w:customStyle="1" w:styleId="EndNoteBibliographyChar">
    <w:name w:val="EndNote Bibliography Char"/>
    <w:basedOn w:val="DefaultParagraphFont"/>
    <w:link w:val="EndNoteBibliography"/>
    <w:rsid w:val="00EE00BF"/>
    <w:rPr>
      <w:rFonts w:ascii="Calibri" w:eastAsia="Calibri" w:hAnsi="Calibri" w:cs="Calibri"/>
      <w:noProof/>
      <w:color w:val="181717"/>
      <w:sz w:val="18"/>
      <w:szCs w:val="22"/>
    </w:rPr>
  </w:style>
  <w:style w:type="paragraph" w:styleId="Bibliography">
    <w:name w:val="Bibliography"/>
    <w:basedOn w:val="Normal"/>
    <w:next w:val="Normal"/>
    <w:uiPriority w:val="37"/>
    <w:semiHidden/>
    <w:unhideWhenUsed/>
    <w:rsid w:val="00EE00BF"/>
    <w:pPr>
      <w:widowControl/>
      <w:autoSpaceDE/>
      <w:autoSpaceDN/>
      <w:bidi/>
      <w:adjustRightInd/>
      <w:spacing w:after="160" w:line="259" w:lineRule="auto"/>
    </w:pPr>
    <w:rPr>
      <w:rFonts w:asciiTheme="minorHAnsi" w:eastAsiaTheme="minorEastAsia" w:hAnsiTheme="minorHAnsi" w:cstheme="minorBidi"/>
      <w:color w:val="auto"/>
      <w:sz w:val="22"/>
      <w:szCs w:val="22"/>
    </w:rPr>
  </w:style>
  <w:style w:type="paragraph" w:styleId="Subtitle">
    <w:name w:val="Subtitle"/>
    <w:basedOn w:val="Normal"/>
    <w:next w:val="Normal"/>
    <w:link w:val="SubtitleChar"/>
    <w:uiPriority w:val="11"/>
    <w:qFormat/>
    <w:rsid w:val="00EE00BF"/>
    <w:pPr>
      <w:widowControl/>
      <w:numPr>
        <w:ilvl w:val="1"/>
      </w:numPr>
      <w:autoSpaceDE/>
      <w:autoSpaceDN/>
      <w:adjustRightInd/>
      <w:spacing w:after="160" w:line="259" w:lineRule="auto"/>
    </w:pPr>
    <w:rPr>
      <w:rFonts w:asciiTheme="majorHAnsi" w:eastAsiaTheme="majorEastAsia" w:hAnsiTheme="majorHAnsi" w:cstheme="majorBidi"/>
      <w:smallCaps/>
      <w:color w:val="595959" w:themeColor="text1" w:themeTint="A6"/>
      <w:sz w:val="28"/>
    </w:rPr>
  </w:style>
  <w:style w:type="character" w:customStyle="1" w:styleId="SubtitleChar">
    <w:name w:val="Subtitle Char"/>
    <w:basedOn w:val="DefaultParagraphFont"/>
    <w:link w:val="Subtitle"/>
    <w:uiPriority w:val="11"/>
    <w:rsid w:val="00EE00BF"/>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EE00BF"/>
    <w:rPr>
      <w:b/>
      <w:bCs/>
    </w:rPr>
  </w:style>
  <w:style w:type="paragraph" w:styleId="Quote">
    <w:name w:val="Quote"/>
    <w:basedOn w:val="Normal"/>
    <w:next w:val="Normal"/>
    <w:link w:val="QuoteChar"/>
    <w:uiPriority w:val="29"/>
    <w:qFormat/>
    <w:rsid w:val="00EE00BF"/>
    <w:pPr>
      <w:widowControl/>
      <w:autoSpaceDE/>
      <w:autoSpaceDN/>
      <w:adjustRightInd/>
      <w:spacing w:before="160" w:after="160"/>
      <w:ind w:left="720" w:right="720"/>
    </w:pPr>
    <w:rPr>
      <w:rFonts w:asciiTheme="majorHAnsi" w:eastAsiaTheme="majorEastAsia" w:hAnsiTheme="majorHAnsi" w:cstheme="majorBidi"/>
      <w:color w:val="auto"/>
      <w:sz w:val="25"/>
      <w:szCs w:val="25"/>
    </w:rPr>
  </w:style>
  <w:style w:type="character" w:customStyle="1" w:styleId="QuoteChar">
    <w:name w:val="Quote Char"/>
    <w:basedOn w:val="DefaultParagraphFont"/>
    <w:link w:val="Quote"/>
    <w:uiPriority w:val="29"/>
    <w:rsid w:val="00EE00BF"/>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EE00BF"/>
    <w:pPr>
      <w:widowControl/>
      <w:autoSpaceDE/>
      <w:autoSpaceDN/>
      <w:adjustRightInd/>
      <w:spacing w:before="280" w:after="280"/>
      <w:ind w:left="1080" w:right="1080"/>
      <w:jc w:val="center"/>
    </w:pPr>
    <w:rPr>
      <w:rFonts w:asciiTheme="minorHAnsi" w:eastAsiaTheme="minorEastAsia" w:hAnsiTheme="minorHAnsi" w:cstheme="minorBidi"/>
      <w:color w:val="404040" w:themeColor="text1" w:themeTint="BF"/>
      <w:sz w:val="32"/>
      <w:szCs w:val="32"/>
    </w:rPr>
  </w:style>
  <w:style w:type="character" w:customStyle="1" w:styleId="IntenseQuoteChar">
    <w:name w:val="Intense Quote Char"/>
    <w:basedOn w:val="DefaultParagraphFont"/>
    <w:link w:val="IntenseQuote"/>
    <w:uiPriority w:val="30"/>
    <w:rsid w:val="00EE00BF"/>
    <w:rPr>
      <w:rFonts w:eastAsiaTheme="minorEastAsia"/>
      <w:color w:val="404040" w:themeColor="text1" w:themeTint="BF"/>
      <w:sz w:val="32"/>
      <w:szCs w:val="32"/>
    </w:rPr>
  </w:style>
  <w:style w:type="character" w:styleId="SubtleEmphasis">
    <w:name w:val="Subtle Emphasis"/>
    <w:basedOn w:val="DefaultParagraphFont"/>
    <w:uiPriority w:val="19"/>
    <w:qFormat/>
    <w:rsid w:val="00EE00BF"/>
    <w:rPr>
      <w:i/>
      <w:iCs/>
      <w:color w:val="595959" w:themeColor="text1" w:themeTint="A6"/>
    </w:rPr>
  </w:style>
  <w:style w:type="character" w:styleId="IntenseEmphasis">
    <w:name w:val="Intense Emphasis"/>
    <w:basedOn w:val="DefaultParagraphFont"/>
    <w:uiPriority w:val="21"/>
    <w:qFormat/>
    <w:rsid w:val="00EE00BF"/>
    <w:rPr>
      <w:b/>
      <w:bCs/>
      <w:i/>
      <w:iCs/>
    </w:rPr>
  </w:style>
  <w:style w:type="character" w:styleId="SubtleReference">
    <w:name w:val="Subtle Reference"/>
    <w:basedOn w:val="DefaultParagraphFont"/>
    <w:uiPriority w:val="31"/>
    <w:qFormat/>
    <w:rsid w:val="00EE00B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E00BF"/>
    <w:rPr>
      <w:b/>
      <w:bCs/>
      <w:caps w:val="0"/>
      <w:smallCaps/>
      <w:color w:val="auto"/>
      <w:spacing w:val="3"/>
      <w:u w:val="single"/>
    </w:rPr>
  </w:style>
  <w:style w:type="character" w:styleId="BookTitle">
    <w:name w:val="Book Title"/>
    <w:basedOn w:val="DefaultParagraphFont"/>
    <w:uiPriority w:val="33"/>
    <w:qFormat/>
    <w:rsid w:val="00EE00BF"/>
    <w:rPr>
      <w:b/>
      <w:bCs/>
      <w:smallCaps/>
      <w:spacing w:val="7"/>
    </w:rPr>
  </w:style>
  <w:style w:type="character" w:customStyle="1" w:styleId="text">
    <w:name w:val="text"/>
    <w:basedOn w:val="DefaultParagraphFont"/>
    <w:rsid w:val="00EE00BF"/>
  </w:style>
  <w:style w:type="character" w:customStyle="1" w:styleId="author-ref">
    <w:name w:val="author-ref"/>
    <w:basedOn w:val="DefaultParagraphFont"/>
    <w:rsid w:val="00EE00BF"/>
  </w:style>
  <w:style w:type="table" w:customStyle="1" w:styleId="APAReport">
    <w:name w:val="APA Report"/>
    <w:basedOn w:val="TableNormal"/>
    <w:uiPriority w:val="99"/>
    <w:rsid w:val="0035259C"/>
    <w:rPr>
      <w:rFonts w:eastAsiaTheme="minorEastAsia"/>
      <w:color w:val="000000" w:themeColor="text1"/>
      <w:sz w:val="24"/>
      <w:szCs w:val="24"/>
      <w:lang w:eastAsia="ja-JP"/>
    </w:rPr>
    <w:tblPr>
      <w:tblBorders>
        <w:top w:val="single" w:sz="4" w:space="0" w:color="auto"/>
        <w:bottom w:val="single" w:sz="4"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character" w:customStyle="1" w:styleId="nlmpub-id">
    <w:name w:val="nlm_pub-id"/>
    <w:basedOn w:val="DefaultParagraphFont"/>
    <w:rsid w:val="00EE00BF"/>
  </w:style>
  <w:style w:type="paragraph" w:customStyle="1" w:styleId="AAAAAAA">
    <w:name w:val="AAAAAAA"/>
    <w:basedOn w:val="Normal"/>
    <w:link w:val="AAAAAAAChar"/>
    <w:qFormat/>
    <w:rsid w:val="0017121F"/>
    <w:pPr>
      <w:spacing w:line="480" w:lineRule="auto"/>
      <w:ind w:firstLine="720"/>
      <w:jc w:val="lowKashida"/>
    </w:pPr>
    <w:rPr>
      <w:rFonts w:cs="Times New Roman"/>
      <w:szCs w:val="24"/>
    </w:rPr>
  </w:style>
  <w:style w:type="character" w:customStyle="1" w:styleId="UnresolvedMention1">
    <w:name w:val="Unresolved Mention1"/>
    <w:basedOn w:val="DefaultParagraphFont"/>
    <w:uiPriority w:val="99"/>
    <w:semiHidden/>
    <w:unhideWhenUsed/>
    <w:rsid w:val="0049269F"/>
    <w:rPr>
      <w:color w:val="605E5C"/>
      <w:shd w:val="clear" w:color="auto" w:fill="E1DFDD"/>
    </w:rPr>
  </w:style>
  <w:style w:type="character" w:customStyle="1" w:styleId="AAAAAAAChar">
    <w:name w:val="AAAAAAA Char"/>
    <w:basedOn w:val="DefaultParagraphFont"/>
    <w:link w:val="AAAAAAA"/>
    <w:rsid w:val="0017121F"/>
    <w:rPr>
      <w:rFonts w:ascii="Times New Roman" w:hAnsi="Times New Roman" w:cs="Times New Roman"/>
      <w:color w:val="000000"/>
      <w:sz w:val="24"/>
      <w:szCs w:val="24"/>
    </w:rPr>
  </w:style>
  <w:style w:type="character" w:customStyle="1" w:styleId="UnresolvedMention11">
    <w:name w:val="Unresolved Mention11"/>
    <w:basedOn w:val="DefaultParagraphFont"/>
    <w:uiPriority w:val="99"/>
    <w:semiHidden/>
    <w:unhideWhenUsed/>
    <w:rsid w:val="00A93414"/>
    <w:rPr>
      <w:color w:val="605E5C"/>
      <w:shd w:val="clear" w:color="auto" w:fill="E1DFDD"/>
    </w:rPr>
  </w:style>
  <w:style w:type="character" w:styleId="PlaceholderText">
    <w:name w:val="Placeholder Text"/>
    <w:basedOn w:val="DefaultParagraphFont"/>
    <w:uiPriority w:val="99"/>
    <w:semiHidden/>
    <w:rsid w:val="007C0420"/>
    <w:rPr>
      <w:color w:val="808080"/>
    </w:rPr>
  </w:style>
  <w:style w:type="character" w:customStyle="1" w:styleId="UnresolvedMention2">
    <w:name w:val="Unresolved Mention2"/>
    <w:basedOn w:val="DefaultParagraphFont"/>
    <w:uiPriority w:val="99"/>
    <w:semiHidden/>
    <w:unhideWhenUsed/>
    <w:rsid w:val="001A25B4"/>
    <w:rPr>
      <w:color w:val="605E5C"/>
      <w:shd w:val="clear" w:color="auto" w:fill="E1DFDD"/>
    </w:rPr>
  </w:style>
  <w:style w:type="character" w:customStyle="1" w:styleId="highlight">
    <w:name w:val="highlight"/>
    <w:basedOn w:val="DefaultParagraphFont"/>
    <w:rsid w:val="00606D42"/>
  </w:style>
  <w:style w:type="character" w:styleId="UnresolvedMention">
    <w:name w:val="Unresolved Mention"/>
    <w:basedOn w:val="DefaultParagraphFont"/>
    <w:uiPriority w:val="99"/>
    <w:semiHidden/>
    <w:unhideWhenUsed/>
    <w:rsid w:val="002A5132"/>
    <w:rPr>
      <w:color w:val="605E5C"/>
      <w:shd w:val="clear" w:color="auto" w:fill="E1DFDD"/>
    </w:rPr>
  </w:style>
  <w:style w:type="paragraph" w:styleId="EndnoteText">
    <w:name w:val="endnote text"/>
    <w:basedOn w:val="Normal"/>
    <w:link w:val="EndnoteTextChar"/>
    <w:uiPriority w:val="99"/>
    <w:semiHidden/>
    <w:unhideWhenUsed/>
    <w:rsid w:val="00EE462A"/>
    <w:rPr>
      <w:sz w:val="20"/>
      <w:szCs w:val="20"/>
    </w:rPr>
  </w:style>
  <w:style w:type="character" w:customStyle="1" w:styleId="EndnoteTextChar">
    <w:name w:val="Endnote Text Char"/>
    <w:basedOn w:val="DefaultParagraphFont"/>
    <w:link w:val="EndnoteText"/>
    <w:uiPriority w:val="99"/>
    <w:semiHidden/>
    <w:rsid w:val="00EE462A"/>
    <w:rPr>
      <w:rFonts w:ascii="Times New Roman" w:hAnsi="Times New Roman" w:cs="Courier New"/>
      <w:color w:val="000000"/>
    </w:rPr>
  </w:style>
  <w:style w:type="character" w:styleId="EndnoteReference">
    <w:name w:val="endnote reference"/>
    <w:basedOn w:val="DefaultParagraphFont"/>
    <w:uiPriority w:val="99"/>
    <w:semiHidden/>
    <w:unhideWhenUsed/>
    <w:rsid w:val="00EE46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201184">
      <w:bodyDiv w:val="1"/>
      <w:marLeft w:val="0"/>
      <w:marRight w:val="0"/>
      <w:marTop w:val="0"/>
      <w:marBottom w:val="0"/>
      <w:divBdr>
        <w:top w:val="none" w:sz="0" w:space="0" w:color="auto"/>
        <w:left w:val="none" w:sz="0" w:space="0" w:color="auto"/>
        <w:bottom w:val="none" w:sz="0" w:space="0" w:color="auto"/>
        <w:right w:val="none" w:sz="0" w:space="0" w:color="auto"/>
      </w:divBdr>
    </w:div>
    <w:div w:id="507251468">
      <w:bodyDiv w:val="1"/>
      <w:marLeft w:val="0"/>
      <w:marRight w:val="0"/>
      <w:marTop w:val="0"/>
      <w:marBottom w:val="0"/>
      <w:divBdr>
        <w:top w:val="none" w:sz="0" w:space="0" w:color="auto"/>
        <w:left w:val="none" w:sz="0" w:space="0" w:color="auto"/>
        <w:bottom w:val="none" w:sz="0" w:space="0" w:color="auto"/>
        <w:right w:val="none" w:sz="0" w:space="0" w:color="auto"/>
      </w:divBdr>
    </w:div>
    <w:div w:id="614992909">
      <w:bodyDiv w:val="1"/>
      <w:marLeft w:val="0"/>
      <w:marRight w:val="0"/>
      <w:marTop w:val="0"/>
      <w:marBottom w:val="0"/>
      <w:divBdr>
        <w:top w:val="none" w:sz="0" w:space="0" w:color="auto"/>
        <w:left w:val="none" w:sz="0" w:space="0" w:color="auto"/>
        <w:bottom w:val="none" w:sz="0" w:space="0" w:color="auto"/>
        <w:right w:val="none" w:sz="0" w:space="0" w:color="auto"/>
      </w:divBdr>
      <w:divsChild>
        <w:div w:id="2069301113">
          <w:marLeft w:val="0"/>
          <w:marRight w:val="0"/>
          <w:marTop w:val="0"/>
          <w:marBottom w:val="0"/>
          <w:divBdr>
            <w:top w:val="none" w:sz="0" w:space="0" w:color="auto"/>
            <w:left w:val="none" w:sz="0" w:space="0" w:color="auto"/>
            <w:bottom w:val="none" w:sz="0" w:space="0" w:color="auto"/>
            <w:right w:val="none" w:sz="0" w:space="0" w:color="auto"/>
          </w:divBdr>
        </w:div>
      </w:divsChild>
    </w:div>
    <w:div w:id="645547267">
      <w:bodyDiv w:val="1"/>
      <w:marLeft w:val="0"/>
      <w:marRight w:val="0"/>
      <w:marTop w:val="0"/>
      <w:marBottom w:val="0"/>
      <w:divBdr>
        <w:top w:val="none" w:sz="0" w:space="0" w:color="auto"/>
        <w:left w:val="none" w:sz="0" w:space="0" w:color="auto"/>
        <w:bottom w:val="none" w:sz="0" w:space="0" w:color="auto"/>
        <w:right w:val="none" w:sz="0" w:space="0" w:color="auto"/>
      </w:divBdr>
    </w:div>
    <w:div w:id="697705165">
      <w:bodyDiv w:val="1"/>
      <w:marLeft w:val="0"/>
      <w:marRight w:val="0"/>
      <w:marTop w:val="0"/>
      <w:marBottom w:val="0"/>
      <w:divBdr>
        <w:top w:val="none" w:sz="0" w:space="0" w:color="auto"/>
        <w:left w:val="none" w:sz="0" w:space="0" w:color="auto"/>
        <w:bottom w:val="none" w:sz="0" w:space="0" w:color="auto"/>
        <w:right w:val="none" w:sz="0" w:space="0" w:color="auto"/>
      </w:divBdr>
    </w:div>
    <w:div w:id="817650545">
      <w:bodyDiv w:val="1"/>
      <w:marLeft w:val="0"/>
      <w:marRight w:val="0"/>
      <w:marTop w:val="0"/>
      <w:marBottom w:val="0"/>
      <w:divBdr>
        <w:top w:val="none" w:sz="0" w:space="0" w:color="auto"/>
        <w:left w:val="none" w:sz="0" w:space="0" w:color="auto"/>
        <w:bottom w:val="none" w:sz="0" w:space="0" w:color="auto"/>
        <w:right w:val="none" w:sz="0" w:space="0" w:color="auto"/>
      </w:divBdr>
    </w:div>
    <w:div w:id="894631999">
      <w:bodyDiv w:val="1"/>
      <w:marLeft w:val="0"/>
      <w:marRight w:val="0"/>
      <w:marTop w:val="0"/>
      <w:marBottom w:val="0"/>
      <w:divBdr>
        <w:top w:val="none" w:sz="0" w:space="0" w:color="auto"/>
        <w:left w:val="none" w:sz="0" w:space="0" w:color="auto"/>
        <w:bottom w:val="none" w:sz="0" w:space="0" w:color="auto"/>
        <w:right w:val="none" w:sz="0" w:space="0" w:color="auto"/>
      </w:divBdr>
    </w:div>
    <w:div w:id="915751423">
      <w:bodyDiv w:val="1"/>
      <w:marLeft w:val="0"/>
      <w:marRight w:val="0"/>
      <w:marTop w:val="0"/>
      <w:marBottom w:val="0"/>
      <w:divBdr>
        <w:top w:val="none" w:sz="0" w:space="0" w:color="auto"/>
        <w:left w:val="none" w:sz="0" w:space="0" w:color="auto"/>
        <w:bottom w:val="none" w:sz="0" w:space="0" w:color="auto"/>
        <w:right w:val="none" w:sz="0" w:space="0" w:color="auto"/>
      </w:divBdr>
    </w:div>
    <w:div w:id="1066032642">
      <w:bodyDiv w:val="1"/>
      <w:marLeft w:val="0"/>
      <w:marRight w:val="0"/>
      <w:marTop w:val="0"/>
      <w:marBottom w:val="0"/>
      <w:divBdr>
        <w:top w:val="none" w:sz="0" w:space="0" w:color="auto"/>
        <w:left w:val="none" w:sz="0" w:space="0" w:color="auto"/>
        <w:bottom w:val="none" w:sz="0" w:space="0" w:color="auto"/>
        <w:right w:val="none" w:sz="0" w:space="0" w:color="auto"/>
      </w:divBdr>
    </w:div>
    <w:div w:id="1217862517">
      <w:bodyDiv w:val="1"/>
      <w:marLeft w:val="0"/>
      <w:marRight w:val="0"/>
      <w:marTop w:val="0"/>
      <w:marBottom w:val="0"/>
      <w:divBdr>
        <w:top w:val="none" w:sz="0" w:space="0" w:color="auto"/>
        <w:left w:val="none" w:sz="0" w:space="0" w:color="auto"/>
        <w:bottom w:val="none" w:sz="0" w:space="0" w:color="auto"/>
        <w:right w:val="none" w:sz="0" w:space="0" w:color="auto"/>
      </w:divBdr>
    </w:div>
    <w:div w:id="1379862965">
      <w:bodyDiv w:val="1"/>
      <w:marLeft w:val="0"/>
      <w:marRight w:val="0"/>
      <w:marTop w:val="0"/>
      <w:marBottom w:val="0"/>
      <w:divBdr>
        <w:top w:val="none" w:sz="0" w:space="0" w:color="auto"/>
        <w:left w:val="none" w:sz="0" w:space="0" w:color="auto"/>
        <w:bottom w:val="none" w:sz="0" w:space="0" w:color="auto"/>
        <w:right w:val="none" w:sz="0" w:space="0" w:color="auto"/>
      </w:divBdr>
    </w:div>
    <w:div w:id="1692608798">
      <w:bodyDiv w:val="1"/>
      <w:marLeft w:val="0"/>
      <w:marRight w:val="0"/>
      <w:marTop w:val="0"/>
      <w:marBottom w:val="0"/>
      <w:divBdr>
        <w:top w:val="none" w:sz="0" w:space="0" w:color="auto"/>
        <w:left w:val="none" w:sz="0" w:space="0" w:color="auto"/>
        <w:bottom w:val="none" w:sz="0" w:space="0" w:color="auto"/>
        <w:right w:val="none" w:sz="0" w:space="0" w:color="auto"/>
      </w:divBdr>
    </w:div>
    <w:div w:id="1760250615">
      <w:bodyDiv w:val="1"/>
      <w:marLeft w:val="0"/>
      <w:marRight w:val="0"/>
      <w:marTop w:val="0"/>
      <w:marBottom w:val="0"/>
      <w:divBdr>
        <w:top w:val="none" w:sz="0" w:space="0" w:color="auto"/>
        <w:left w:val="none" w:sz="0" w:space="0" w:color="auto"/>
        <w:bottom w:val="none" w:sz="0" w:space="0" w:color="auto"/>
        <w:right w:val="none" w:sz="0" w:space="0" w:color="auto"/>
      </w:divBdr>
    </w:div>
    <w:div w:id="1836191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footer" Target="footer7.xml"/><Relationship Id="rId39" Type="http://schemas.openxmlformats.org/officeDocument/2006/relationships/hyperlink" Target="https://doi.org/10.2307/25148669" TargetMode="External"/><Relationship Id="rId21" Type="http://schemas.openxmlformats.org/officeDocument/2006/relationships/hyperlink" Target="https://www-sciencedirect-com.ezproxy.uaeu.ac.ae/science/article/pii/S1473837618300601" TargetMode="External"/><Relationship Id="rId34" Type="http://schemas.openxmlformats.org/officeDocument/2006/relationships/footer" Target="footer8.xml"/><Relationship Id="rId42" Type="http://schemas.openxmlformats.org/officeDocument/2006/relationships/hyperlink" Target="https://doi.org/10.2307/2393553" TargetMode="External"/><Relationship Id="rId47" Type="http://schemas.openxmlformats.org/officeDocument/2006/relationships/hyperlink" Target="https://scholarspace.manoa.hawaii.edu/bitstream/10125/41691/paper0542.pdf" TargetMode="External"/><Relationship Id="rId50" Type="http://schemas.openxmlformats.org/officeDocument/2006/relationships/hyperlink" Target="https://doi.org/10.2307/1252283" TargetMode="External"/><Relationship Id="rId55" Type="http://schemas.openxmlformats.org/officeDocument/2006/relationships/hyperlink" Target="https://doi.org/10.1016/j.kjss.2016.07.001"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file:///C:\Users\HP\Desktop\Taghreed%20dissertation%20after%20V10%20final.docx" TargetMode="External"/><Relationship Id="rId29" Type="http://schemas.openxmlformats.org/officeDocument/2006/relationships/hyperlink" Target="https://scholar.google.com/scholar?hl=en&amp;as_sdt=0%2C5&amp;q=The+more+the+better+%E2%80%A6+or+is+it%3F+The+contradictory+effects+of+HR+practices+on+knowledge-sharing+motivation+and+behaviour&amp;btnG=" TargetMode="Externa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image" Target="media/image3.png"/><Relationship Id="rId37" Type="http://schemas.openxmlformats.org/officeDocument/2006/relationships/footer" Target="footer9.xml"/><Relationship Id="rId40" Type="http://schemas.openxmlformats.org/officeDocument/2006/relationships/hyperlink" Target="https://doi.org/10.1177/0049124192021002004" TargetMode="External"/><Relationship Id="rId45" Type="http://schemas.openxmlformats.org/officeDocument/2006/relationships/hyperlink" Target="https://doi.org/10.1016/j.jbusres.2014.06.022" TargetMode="External"/><Relationship Id="rId53" Type="http://schemas.openxmlformats.org/officeDocument/2006/relationships/hyperlink" Target="https://doi.org/10.1108/JOEPP-01-2014-0003" TargetMode="External"/><Relationship Id="rId58" Type="http://schemas.openxmlformats.org/officeDocument/2006/relationships/image" Target="media/image6.png"/><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footer" Target="footer5.xml"/><Relationship Id="rId14" Type="http://schemas.openxmlformats.org/officeDocument/2006/relationships/footer" Target="footer4.xml"/><Relationship Id="rId22" Type="http://schemas.openxmlformats.org/officeDocument/2006/relationships/hyperlink" Target="https://www-sciencedirect-com.ezproxy.uaeu.ac.ae/science/article/pii/S1473837618300601" TargetMode="External"/><Relationship Id="rId27" Type="http://schemas.openxmlformats.org/officeDocument/2006/relationships/hyperlink" Target="https://scholar.google.com/scholar?hl=en&amp;as_sdt=0%2C5&amp;q=The+more+the+better+%E2%80%A6+or+is+it%3F+The+contradictory+effects+of+HR+practices+on+knowledge-sharing+motivation+and+behaviour&amp;btnG=" TargetMode="External"/><Relationship Id="rId30" Type="http://schemas.openxmlformats.org/officeDocument/2006/relationships/hyperlink" Target="https://s3.amazonaws.com/academia.edu.documents/38321597/El_ro_del_personal_en_la_implementacion_de_la_estrategia.pdf?AWSAccessKeyId=AKIAIWOWYYGZ2Y53UL3A&amp;Expires=1550079981&amp;Signature=9EBD6vh01Eyd%2F0XNcvknx4%2BMvM4%3D&amp;response-content-disposition=inline%3B%20filename%3DThe_role_of_personnel_commitment_to_stra.pdf" TargetMode="External"/><Relationship Id="rId35" Type="http://schemas.openxmlformats.org/officeDocument/2006/relationships/image" Target="media/image4.jpeg"/><Relationship Id="rId43" Type="http://schemas.openxmlformats.org/officeDocument/2006/relationships/hyperlink" Target="https://centres.insead.edu/innovation-policy/publications/documents/" TargetMode="External"/><Relationship Id="rId48" Type="http://schemas.openxmlformats.org/officeDocument/2006/relationships/hyperlink" Target="https://doi.org/10.1108/13552551211204201" TargetMode="External"/><Relationship Id="rId56" Type="http://schemas.openxmlformats.org/officeDocument/2006/relationships/hyperlink" Target="mailto:nada.dba@gmail.com" TargetMode="External"/><Relationship Id="rId8" Type="http://schemas.openxmlformats.org/officeDocument/2006/relationships/endnotes" Target="endnotes.xml"/><Relationship Id="rId51" Type="http://schemas.openxmlformats.org/officeDocument/2006/relationships/hyperlink" Target="https://doi.org/10.1016/B978-0-12-812632-5.00017-3" TargetMode="Externa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image" Target="media/image2.png"/><Relationship Id="rId33" Type="http://schemas.openxmlformats.org/officeDocument/2006/relationships/header" Target="header5.xml"/><Relationship Id="rId38" Type="http://schemas.openxmlformats.org/officeDocument/2006/relationships/hyperlink" Target="https://doi.org/10.1111/1748-8583.12100" TargetMode="External"/><Relationship Id="rId46" Type="http://schemas.openxmlformats.org/officeDocument/2006/relationships/hyperlink" Target="https://doi.org/10.1108/JWL-05-2016-0041" TargetMode="External"/><Relationship Id="rId59" Type="http://schemas.openxmlformats.org/officeDocument/2006/relationships/image" Target="media/image7.jpeg"/><Relationship Id="rId20" Type="http://schemas.openxmlformats.org/officeDocument/2006/relationships/hyperlink" Target="https://www-emeraldinsight-com.adu-lib-database.idm.oclc.org/author/Theriou%2C+Georgios+N" TargetMode="External"/><Relationship Id="rId41" Type="http://schemas.openxmlformats.org/officeDocument/2006/relationships/hyperlink" Target="https://doi.org/10.1108/13673270110384365" TargetMode="External"/><Relationship Id="rId54" Type="http://schemas.openxmlformats.org/officeDocument/2006/relationships/hyperlink" Target="https://doi.org/10.2307/2514868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HP\Desktop\Taghreed%20dissertation%20after%20V10%20final.docx" TargetMode="External"/><Relationship Id="rId23" Type="http://schemas.openxmlformats.org/officeDocument/2006/relationships/header" Target="header4.xml"/><Relationship Id="rId28" Type="http://schemas.openxmlformats.org/officeDocument/2006/relationships/hyperlink" Target="https://scholar.google.com/scholar?hl=en&amp;as_sdt=0%2C5&amp;q=The+more+the+better+%E2%80%A6+or+is+it%3F+The+contradictory+effects+of+HR+practices+on+knowledge-sharing+motivation+and+behaviour&amp;btnG=" TargetMode="External"/><Relationship Id="rId36" Type="http://schemas.openxmlformats.org/officeDocument/2006/relationships/image" Target="media/image5.jpeg"/><Relationship Id="rId49" Type="http://schemas.openxmlformats.org/officeDocument/2006/relationships/hyperlink" Target="https://doi.org/10.1016/j.dss.2012.12.016" TargetMode="External"/><Relationship Id="rId57" Type="http://schemas.openxmlformats.org/officeDocument/2006/relationships/hyperlink" Target="mailto:1040266@students.adu.ac.ae" TargetMode="External"/><Relationship Id="rId10" Type="http://schemas.openxmlformats.org/officeDocument/2006/relationships/footer" Target="footer1.xml"/><Relationship Id="rId31" Type="http://schemas.openxmlformats.org/officeDocument/2006/relationships/hyperlink" Target="https://s3.amazonaws.com/academia.edu.documents/32137846/F0714754.pdf?AWSAccessKeyId=AKIAIWOWYYGZ2Y53UL3A&amp;Expires=1550081282&amp;Signature=x%2FxGnXl%2FFrQsE%2BmwOc5tHdkUWIM%3D&amp;response-content-disposition=inline%3B%20filename%3DThe_Role_of_Knowledge_Management_on_Indi.pdf" TargetMode="External"/><Relationship Id="rId44" Type="http://schemas.openxmlformats.org/officeDocument/2006/relationships/hyperlink" Target="https://doi.org/10.1057/kmrp.2013.36" TargetMode="External"/><Relationship Id="rId52" Type="http://schemas.openxmlformats.org/officeDocument/2006/relationships/hyperlink" Target="https://doi.org/10.1108/PR-11-2012-0199" TargetMode="Externa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b:Source>
    <b:Tag>Hog03</b:Tag>
    <b:SourceType>JournalArticle</b:SourceType>
    <b:Guid>{738F3CA8-AA40-394E-999D-DB6286B7D042}</b:Guid>
    <b:Author>
      <b:Author>
        <b:NameList>
          <b:Person>
            <b:Last>Hogel</b:Last>
            <b:First>M</b:First>
          </b:Person>
          <b:Person>
            <b:Last>Partboteeah</b:Last>
            <b:First>K.P</b:First>
          </b:Person>
          <b:Person>
            <b:Last>Munson</b:Last>
            <b:First>C.L</b:First>
          </b:Person>
        </b:NameList>
      </b:Author>
    </b:Author>
    <b:Title>Team level antecedents of individuals knowledge networks</b:Title>
    <b:JournalName>Decision sciences</b:JournalName>
    <b:Year>2003</b:Year>
    <b:Volume>21</b:Volume>
    <b:Issue>1</b:Issue>
    <b:Pages>40-51</b:Pages>
    <b:RefOrder>12</b:RefOrder>
  </b:Source>
  <b:Source>
    <b:Tag>Yeh06</b:Tag>
    <b:SourceType>JournalArticle</b:SourceType>
    <b:Guid>{7FC4BDB5-6383-1B45-BFC9-5039606287EF}</b:Guid>
    <b:Author>
      <b:Author>
        <b:NameList>
          <b:Person>
            <b:Last>Yeh</b:Last>
            <b:First>Y.J.</b:First>
          </b:Person>
          <b:Person>
            <b:Last>Lai</b:Last>
            <b:First>S.Q</b:First>
          </b:Person>
          <b:Person>
            <b:Last>Ho</b:Last>
            <b:First>C.T.</b:First>
          </b:Person>
        </b:NameList>
      </b:Author>
    </b:Author>
    <b:Title>Knowledge management enablers: a case study</b:Title>
    <b:JournalName>Industrial Management &amp; Data Systems,</b:JournalName>
    <b:Year>2006</b:Year>
    <b:Volume>106</b:Volume>
    <b:Issue>6</b:Issue>
    <b:Pages>793-810</b:Pages>
    <b:RefOrder>63</b:RefOrder>
  </b:Source>
  <b:Source>
    <b:Tag>Sye04</b:Tag>
    <b:SourceType>JournalArticle</b:SourceType>
    <b:Guid>{8D7C00C9-8E43-4649-B447-8D8553FA977A}</b:Guid>
    <b:Author>
      <b:Author>
        <b:NameList>
          <b:Person>
            <b:Last>Syed-Ikhsan</b:Last>
            <b:First>S.O.</b:First>
          </b:Person>
          <b:Person>
            <b:Last>Rowland</b:Last>
            <b:First>F</b:First>
          </b:Person>
        </b:NameList>
      </b:Author>
    </b:Author>
    <b:Title>Knowledge management in a public organization: a study on the relationship between organizational elements and the performance of knowledge transfer</b:Title>
    <b:JournalName>Journal of Knowledge Management</b:JournalName>
    <b:Year>2004</b:Year>
    <b:Volume>8</b:Volume>
    <b:Issue>2</b:Issue>
    <b:Pages>95-111</b:Pages>
    <b:RefOrder>24</b:RefOrder>
  </b:Source>
  <b:Source>
    <b:Tag>Was05</b:Tag>
    <b:SourceType>JournalArticle</b:SourceType>
    <b:Guid>{4F3803E2-A19C-7149-8785-6FD570019518}</b:Guid>
    <b:Author>
      <b:Author>
        <b:NameList>
          <b:Person>
            <b:Last>Wasko</b:Last>
            <b:First>M.M.</b:First>
          </b:Person>
          <b:Person>
            <b:Last>Faraj</b:Last>
            <b:First>S.</b:First>
          </b:Person>
        </b:NameList>
      </b:Author>
    </b:Author>
    <b:Title>Why should I share? Examining social capital and knowledge contribution in electronic networks of practices</b:Title>
    <b:JournalName>MIS Quarterly,</b:JournalName>
    <b:Year>2005</b:Year>
    <b:Volume>29</b:Volume>
    <b:Issue>1</b:Issue>
    <b:Pages>35-57</b:Pages>
    <b:RefOrder>64</b:RefOrder>
  </b:Source>
  <b:Source>
    <b:Tag>Dar02</b:Tag>
    <b:SourceType>JournalArticle</b:SourceType>
    <b:Guid>{8BEDF068-EC1C-3947-89EF-4D5290D82CAD}</b:Guid>
    <b:Author>
      <b:Author>
        <b:NameList>
          <b:Person>
            <b:Last>Darroch</b:Last>
            <b:First>J.</b:First>
          </b:Person>
          <b:Person>
            <b:Last>McNaughton</b:Last>
            <b:First>R</b:First>
          </b:Person>
        </b:NameList>
      </b:Author>
    </b:Author>
    <b:Title>Examining the link between knowledge management practices and type of innovation</b:Title>
    <b:JournalName>Journal of Intellectual Capital</b:JournalName>
    <b:Year>2002</b:Year>
    <b:Volume>3</b:Volume>
    <b:Issue>3</b:Issue>
    <b:Pages>210-22</b:Pages>
    <b:RefOrder>46</b:RefOrder>
  </b:Source>
  <b:Source>
    <b:Tag>Hsi07</b:Tag>
    <b:SourceType>JournalArticle</b:SourceType>
    <b:Guid>{A29892B4-F309-0740-8F7C-4A86BD91A1FE}</b:Guid>
    <b:Author>
      <b:Author>
        <b:NameList>
          <b:Person>
            <b:Last>Lin</b:Last>
            <b:First>H.F.</b:First>
          </b:Person>
        </b:NameList>
      </b:Author>
    </b:Author>
    <b:Title>Knowledge sharing and firm innovation capability: an empirical study</b:Title>
    <b:JournalName>International Journal of Manpower</b:JournalName>
    <b:Year>2007</b:Year>
    <b:Volume>28</b:Volume>
    <b:Issue>3/4</b:Issue>
    <b:Pages>315-332</b:Pages>
    <b:RefOrder>65</b:RefOrder>
  </b:Source>
  <b:Source>
    <b:Tag>Con03</b:Tag>
    <b:SourceType>JournalArticle</b:SourceType>
    <b:Guid>{2C454E7F-EC26-3B45-A707-D46079A51262}</b:Guid>
    <b:Author>
      <b:Author>
        <b:NameList>
          <b:Person>
            <b:Last>Connelly</b:Last>
            <b:First>C.E.</b:First>
          </b:Person>
          <b:Person>
            <b:Last>Kelloway</b:Last>
            <b:First>E.K.</b:First>
          </b:Person>
        </b:NameList>
      </b:Author>
    </b:Author>
    <b:Title>Predictors of employees’ perceptions of knowledge sharing culture</b:Title>
    <b:JournalName>Leadership &amp; Organization Development Journal</b:JournalName>
    <b:Year>2003</b:Year>
    <b:Volume>24</b:Volume>
    <b:Issue>5</b:Issue>
    <b:Pages>294-301</b:Pages>
    <b:RefOrder>39</b:RefOrder>
  </b:Source>
  <b:Source>
    <b:Tag>Sal93</b:Tag>
    <b:SourceType>JournalArticle</b:SourceType>
    <b:Guid>{644C19B0-2F4F-6945-B868-964B666761FF}</b:Guid>
    <b:Author>
      <b:Author>
        <b:NameList>
          <b:Person>
            <b:Last>Saleh</b:Last>
            <b:First>S.D.</b:First>
          </b:Person>
          <b:Person>
            <b:Last>Wang</b:Last>
            <b:First>C.K.</b:First>
          </b:Person>
        </b:NameList>
      </b:Author>
    </b:Author>
    <b:Title>The management of innovation: strategy, structure and organizational climate</b:Title>
    <b:JournalName>IEEE Transactions on Engineering Management</b:JournalName>
    <b:Year>1993</b:Year>
    <b:Volume>40</b:Volume>
    <b:Issue>1</b:Issue>
    <b:Pages>497-510</b:Pages>
    <b:RefOrder>34</b:RefOrder>
  </b:Source>
  <b:Source>
    <b:Tag>Son02</b:Tag>
    <b:SourceType>JournalArticle</b:SourceType>
    <b:Guid>{826F3ABA-E219-8348-B98B-6A3A9540DFE9}</b:Guid>
    <b:Author>
      <b:Author>
        <b:NameList>
          <b:Person>
            <b:Last>Song</b:Last>
            <b:First>S.</b:First>
          </b:Person>
        </b:NameList>
      </b:Author>
    </b:Author>
    <b:Title>An internet knowledge sharing system</b:Title>
    <b:JournalName>Journal of Computer Information Systems</b:JournalName>
    <b:Year>2002</b:Year>
    <b:Volume>42</b:Volume>
    <b:Issue>3</b:Issue>
    <b:Pages>25-30</b:Pages>
    <b:RefOrder>66</b:RefOrder>
  </b:Source>
  <b:Source>
    <b:Tag>Jan05</b:Tag>
    <b:SourceType>JournalArticle</b:SourceType>
    <b:Guid>{D8AEC880-AFDC-C149-8238-415555F72783}</b:Guid>
    <b:Author>
      <b:Author>
        <b:NameList>
          <b:Person>
            <b:Last>Jantunen</b:Last>
            <b:First>A.</b:First>
          </b:Person>
        </b:NameList>
      </b:Author>
    </b:Author>
    <b:Title>Knowledge-processing capabilities and innovative performance: an empirical study</b:Title>
    <b:JournalName>European Journal of Innovation Management</b:JournalName>
    <b:Year>2005</b:Year>
    <b:Volume>8</b:Volume>
    <b:Issue>3</b:Issue>
    <b:Pages>336-49</b:Pages>
    <b:RefOrder>15</b:RefOrder>
  </b:Source>
  <b:Source>
    <b:Tag>Con94</b:Tag>
    <b:SourceType>JournalArticle</b:SourceType>
    <b:Guid>{7BD6D604-9121-BF4E-A239-C8073A58FBEF}</b:Guid>
    <b:Author>
      <b:Author>
        <b:NameList>
          <b:Person>
            <b:Last>Constant</b:Last>
            <b:First>D.</b:First>
          </b:Person>
          <b:Person>
            <b:Last>Kiesler</b:Last>
            <b:First>S.</b:First>
          </b:Person>
          <b:Person>
            <b:Last>Sproull</b:Last>
            <b:First>L.</b:First>
          </b:Person>
        </b:NameList>
      </b:Author>
    </b:Author>
    <b:Title>What’s mine is ours or is it? A study of attitudes about information sharing</b:Title>
    <b:JournalName>Information Systems Research</b:JournalName>
    <b:Year>1994</b:Year>
    <b:Volume>5</b:Volume>
    <b:Issue>4</b:Issue>
    <b:Pages>400-21</b:Pages>
    <b:RefOrder>38</b:RefOrder>
  </b:Source>
  <b:Source>
    <b:Tag>Lin06</b:Tag>
    <b:SourceType>JournalArticle</b:SourceType>
    <b:Guid>{7671E27E-CFE1-414C-B0E5-8010EEB12DA8}</b:Guid>
    <b:Author>
      <b:Author>
        <b:NameList>
          <b:Person>
            <b:Last>Lin</b:Last>
            <b:First>H.F.</b:First>
          </b:Person>
          <b:Person>
            <b:Last>Lee</b:Last>
            <b:First>G.G.</b:First>
          </b:Person>
        </b:NameList>
      </b:Author>
    </b:Author>
    <b:Title>Effects of socio-technical factors on organizational intention to encourage knowledge sharing</b:Title>
    <b:JournalName>Management Decision</b:JournalName>
    <b:Year>2006</b:Year>
    <b:Volume>44</b:Volume>
    <b:Issue>1</b:Issue>
    <b:Pages>74-88</b:Pages>
    <b:RefOrder>67</b:RefOrder>
  </b:Source>
  <b:Source>
    <b:Tag>Lin061</b:Tag>
    <b:SourceType>JournalArticle</b:SourceType>
    <b:Guid>{D206608E-C753-1749-A7F9-502338DAF6E5}</b:Guid>
    <b:Author>
      <b:Author>
        <b:NameList>
          <b:Person>
            <b:Last>Lin</b:Last>
            <b:First>H.F.</b:First>
          </b:Person>
        </b:NameList>
      </b:Author>
    </b:Author>
    <b:Title>Impact of organizational support on organizational intention to facilitate knowledge sharing</b:Title>
    <b:JournalName>Knowledge Management Research and Practice</b:JournalName>
    <b:Year>2006</b:Year>
    <b:Volume>4</b:Volume>
    <b:Issue>1</b:Issue>
    <b:Pages>26-35</b:Pages>
    <b:RefOrder>68</b:RefOrder>
  </b:Source>
  <b:Source>
    <b:Tag>Huy06</b:Tag>
    <b:SourceType>JournalArticle</b:SourceType>
    <b:Guid>{B074A4DC-C649-6145-A73F-F33E045A8BEB}</b:Guid>
    <b:Author>
      <b:Author>
        <b:NameList>
          <b:Person>
            <b:Last>Huysman</b:Last>
            <b:First>M.</b:First>
          </b:Person>
          <b:Person>
            <b:Last>Wulf</b:Last>
            <b:First>V.</b:First>
          </b:Person>
        </b:NameList>
      </b:Author>
    </b:Author>
    <b:Title>IT to support knowledge sharing in communities: toward a social capital analysis</b:Title>
    <b:JournalName>Journal of Information Technology</b:JournalName>
    <b:Year>2006</b:Year>
    <b:Volume>21</b:Volume>
    <b:Issue>1</b:Issue>
    <b:Pages>40-51</b:Pages>
    <b:RefOrder>42</b:RefOrder>
  </b:Source>
  <b:Source>
    <b:Tag>Was00</b:Tag>
    <b:SourceType>JournalArticle</b:SourceType>
    <b:Guid>{D8E94175-23BE-444E-9D9C-518580E7229F}</b:Guid>
    <b:Author>
      <b:Author>
        <b:NameList>
          <b:Person>
            <b:Last>Wasko</b:Last>
            <b:First>M.M.</b:First>
          </b:Person>
          <b:Person>
            <b:Last>Faraj</b:Last>
            <b:First>S.</b:First>
          </b:Person>
        </b:NameList>
      </b:Author>
    </b:Author>
    <b:Title>It is what one does: why people participate and help others in electronic communities of practice</b:Title>
    <b:Year>2000</b:Year>
    <b:JournalName>Journal of Strategic Information Systems</b:JournalName>
    <b:Volume>9</b:Volume>
    <b:Issue>2</b:Issue>
    <b:Pages>155-73</b:Pages>
    <b:RefOrder>69</b:RefOrder>
  </b:Source>
  <b:Source>
    <b:Tag>And92</b:Tag>
    <b:SourceType>JournalArticle</b:SourceType>
    <b:Guid>{5865749D-5C08-094A-ACB3-AE6215B21D94}</b:Guid>
    <b:Author>
      <b:Author>
        <b:NameList>
          <b:Person>
            <b:Last>Anderson</b:Last>
            <b:First>J.C.</b:First>
          </b:Person>
          <b:Person>
            <b:Last>Gerbing</b:Last>
            <b:First>D.W.</b:First>
          </b:Person>
        </b:NameList>
      </b:Author>
    </b:Author>
    <b:Title>Assumptions of the two-step approach to latent variable modeling</b:Title>
    <b:JournalName>Sociological Methods and Research</b:JournalName>
    <b:Year>1992</b:Year>
    <b:Volume>20</b:Volume>
    <b:Issue>3</b:Issue>
    <b:Pages>321-33</b:Pages>
    <b:RefOrder>70</b:RefOrder>
  </b:Source>
  <b:Source>
    <b:Tag>Jor</b:Tag>
    <b:SourceType>Book</b:SourceType>
    <b:Guid>{D0C3D936-4996-9642-B62F-04C750740E54}</b:Guid>
    <b:Author>
      <b:Author>
        <b:NameList>
          <b:Person>
            <b:Last>Joreskog</b:Last>
            <b:First>K.G.</b:First>
          </b:Person>
          <b:Person>
            <b:Last>Sorbom</b:Last>
            <b:First>D.</b:First>
          </b:Person>
        </b:NameList>
      </b:Author>
    </b:Author>
    <b:Title>LISREL 8: Structural Equation Modeling</b:Title>
    <b:Publisher>Scientific Software International Corp</b:Publisher>
    <b:City>Chicago, IL</b:City>
    <b:Year>1996</b:Year>
    <b:RefOrder>71</b:RefOrder>
  </b:Source>
  <b:Source>
    <b:Tag>Cab99</b:Tag>
    <b:SourceType>JournalArticle</b:SourceType>
    <b:Guid>{946A518F-3FB2-7F4D-B4DD-69041BE93819}</b:Guid>
    <b:Author>
      <b:Author>
        <b:NameList>
          <b:Person>
            <b:Last>Cabrera</b:Last>
            <b:First>E.F.</b:First>
          </b:Person>
          <b:Person>
            <b:Last>Bonache</b:Last>
            <b:First>J</b:First>
          </b:Person>
        </b:NameList>
      </b:Author>
    </b:Author>
    <b:Title>An expert HR system for aligning organizational culture and strategy</b:Title>
    <b:Year>1999</b:Year>
    <b:Volume>22</b:Volume>
    <b:Pages>51-60</b:Pages>
    <b:JournalName>Human Resource Planning</b:JournalName>
    <b:Issue>1</b:Issue>
    <b:RefOrder>40</b:RefOrder>
  </b:Source>
  <b:Source>
    <b:Tag>Bar02</b:Tag>
    <b:SourceType>JournalArticle</b:SourceType>
    <b:Guid>{E6274E40-1304-AD42-9FC5-964777A0DC23}</b:Guid>
    <b:Author>
      <b:Author>
        <b:NameList>
          <b:Person>
            <b:Last>Bartol</b:Last>
            <b:First>K.</b:First>
          </b:Person>
          <b:Person>
            <b:Last>Srivastava</b:Last>
            <b:First>A.</b:First>
            <b:Middle>(2002)</b:Middle>
          </b:Person>
        </b:NameList>
      </b:Author>
    </b:Author>
    <b:Title>Encouraging knowledge sharing: the role of organizational reward systems</b:Title>
    <b:JournalName>Journal of Leadership and Organization Studies</b:JournalName>
    <b:Year>2002</b:Year>
    <b:Volume>19</b:Volume>
    <b:Issue>1</b:Issue>
    <b:Pages>64-76</b:Pages>
    <b:RefOrder>72</b:RefOrder>
  </b:Source>
  <b:Source>
    <b:Tag>Hub96</b:Tag>
    <b:SourceType>JournalArticle</b:SourceType>
    <b:Guid>{864E313E-715A-4C4C-92BA-970C660E8E49}</b:Guid>
    <b:Author>
      <b:Author>
        <b:NameList>
          <b:Person>
            <b:Last>Huber</b:Last>
            <b:First>G.P.</b:First>
          </b:Person>
        </b:NameList>
      </b:Author>
    </b:Author>
    <b:Title>Organizational learning: a guide for executives in technology-critical organizations”,</b:Title>
    <b:JournalName>International Journal of Technology Management</b:JournalName>
    <b:Year>1996</b:Year>
    <b:Volume>11</b:Volume>
    <b:Issue>7</b:Issue>
    <b:Pages>821-32</b:Pages>
    <b:RefOrder>13</b:RefOrder>
  </b:Source>
  <b:Source>
    <b:Tag>Non95</b:Tag>
    <b:SourceType>Book</b:SourceType>
    <b:Guid>{B26D7690-54FF-3F4C-BCE1-91B5A261DBAE}</b:Guid>
    <b:Author>
      <b:Author>
        <b:NameList>
          <b:Person>
            <b:Last>Nonaka</b:Last>
            <b:First>I.</b:First>
          </b:Person>
          <b:Person>
            <b:Last>Takeuchi</b:Last>
            <b:First>H.</b:First>
          </b:Person>
        </b:NameList>
      </b:Author>
    </b:Author>
    <b:Title>The Knowledge-Creating Company</b:Title>
    <b:Publisher>Oxford University Press</b:Publisher>
    <b:City>New York, NY</b:City>
    <b:Year>1995</b:Year>
    <b:RefOrder>73</b:RefOrder>
  </b:Source>
  <b:Source>
    <b:Tag>Fra05</b:Tag>
    <b:SourceType>JournalArticle</b:SourceType>
    <b:Guid>{6D0979F0-F5B5-A847-986D-0B63A5E4A6E4}</b:Guid>
    <b:Author>
      <b:Author>
        <b:NameList>
          <b:Person>
            <b:Last>Francis</b:Last>
            <b:First>D.</b:First>
          </b:Person>
          <b:Person>
            <b:Last>Bessant</b:Last>
            <b:First>J.</b:First>
          </b:Person>
        </b:NameList>
      </b:Author>
    </b:Author>
    <b:Title>Targeting innovation and implications for capability development</b:Title>
    <b:Year>2005</b:Year>
    <b:Volume>25</b:Volume>
    <b:Pages>171-83</b:Pages>
    <b:JournalName>Technovation</b:JournalName>
    <b:Issue>3</b:Issue>
    <b:RefOrder>45</b:RefOrder>
  </b:Source>
  <b:Source>
    <b:Tag>Hur98</b:Tag>
    <b:SourceType>JournalArticle</b:SourceType>
    <b:Guid>{2DFADA57-D6FB-634F-AA24-38AF3DA0E27F}</b:Guid>
    <b:Author>
      <b:Author>
        <b:NameList>
          <b:Person>
            <b:Last>Hurley</b:Last>
            <b:First>R.F.</b:First>
          </b:Person>
          <b:Person>
            <b:Last>Hult</b:Last>
            <b:First>G.T.M.</b:First>
          </b:Person>
        </b:NameList>
      </b:Author>
    </b:Author>
    <b:Title>Innovation, market orientation, and organizational learning: an integration and empirical examination</b:Title>
    <b:JournalName>Journal of Marketing</b:JournalName>
    <b:Year>1998</b:Year>
    <b:Volume>62</b:Volume>
    <b:Pages>42-54</b:Pages>
    <b:RefOrder>74</b:RefOrder>
  </b:Source>
  <b:Source>
    <b:Tag>Joh97</b:Tag>
    <b:SourceType>JournalArticle</b:SourceType>
    <b:Guid>{CB302DD5-1759-4A49-8570-636F35641D28}</b:Guid>
    <b:Author>
      <b:Author>
        <b:NameList>
          <b:Person>
            <b:Last>Johnson</b:Last>
            <b:First>J.D.</b:First>
          </b:Person>
          <b:Person>
            <b:Last>Meyer</b:Last>
            <b:First>M.E.</b:First>
          </b:Person>
          <b:Person>
            <b:Last>Berkowitz</b:Last>
            <b:First>J.M.</b:First>
          </b:Person>
          <b:Person>
            <b:Last>Ethington</b:Last>
            <b:First>C.T.</b:First>
          </b:Person>
          <b:Person>
            <b:Last>Miller</b:Last>
            <b:First>V.D.</b:First>
          </b:Person>
        </b:NameList>
      </b:Author>
    </b:Author>
    <b:Title>Testing two contrasting structural models of innovativeness in a contractual network</b:Title>
    <b:Year>1997</b:Year>
    <b:Volume>24</b:Volume>
    <b:Pages>320-48</b:Pages>
    <b:JournalName>Human Communication Research</b:JournalName>
    <b:Issue>2</b:Issue>
    <b:RefOrder>75</b:RefOrder>
  </b:Source>
  <b:Source>
    <b:Tag>Swi07</b:Tag>
    <b:SourceType>JournalArticle</b:SourceType>
    <b:Guid>{2AF4FAD1-2B2B-7F4A-BF3E-8C133C2FA65B}</b:Guid>
    <b:Author>
      <b:Author>
        <b:NameList>
          <b:Person>
            <b:Last>Swink</b:Last>
            <b:First>M.</b:First>
          </b:Person>
          <b:Person>
            <b:Last>Song</b:Last>
            <b:First>M.</b:First>
          </b:Person>
        </b:NameList>
      </b:Author>
    </b:Author>
    <b:Title>Effects of marketing-manufacturing integration on new product development time and competitive advantage</b:Title>
    <b:JournalName>Journal of Operations Management</b:JournalName>
    <b:Year>2007</b:Year>
    <b:Volume>25</b:Volume>
    <b:Pages>203-17</b:Pages>
    <b:RefOrder>47</b:RefOrder>
  </b:Source>
  <b:Source>
    <b:Tag>Cal88</b:Tag>
    <b:SourceType>JournalArticle</b:SourceType>
    <b:Guid>{FEF699A5-6F4D-5A48-832F-CA5ECBC4CAE8}</b:Guid>
    <b:Author>
      <b:Author>
        <b:NameList>
          <b:Person>
            <b:Last>Calantone</b:Last>
            <b:First>R.J.</b:First>
          </b:Person>
          <b:Person>
            <b:Last>Di Benedetto</b:Last>
            <b:First>C.A.</b:First>
          </b:Person>
        </b:NameList>
      </b:Author>
    </b:Author>
    <b:Title>An integration model of the new product development process: an empirical validation</b:Title>
    <b:JournalName>Journal of Product Innovation Management</b:JournalName>
    <b:Year>1988</b:Year>
    <b:Volume>5</b:Volume>
    <b:Pages>201-15</b:Pages>
    <b:RefOrder>76</b:RefOrder>
  </b:Source>
  <b:Source>
    <b:Tag>Cra97</b:Tag>
    <b:SourceType>Book</b:SourceType>
    <b:Guid>{C8811506-2FFE-D04D-AFEE-4C327C15DE21}</b:Guid>
    <b:Author>
      <b:Author>
        <b:NameList>
          <b:Person>
            <b:Last>Crawford</b:Last>
            <b:First>C.M.</b:First>
          </b:Person>
        </b:NameList>
      </b:Author>
    </b:Author>
    <b:Title>New Products Management</b:Title>
    <b:Publisher>Irwin</b:Publisher>
    <b:City>Homewood, IL</b:City>
    <b:Year>1997</b:Year>
    <b:Edition>5th ed.</b:Edition>
    <b:RefOrder>77</b:RefOrder>
  </b:Source>
  <b:Source>
    <b:Tag>Gri93</b:Tag>
    <b:SourceType>JournalArticle</b:SourceType>
    <b:Guid>{4AA52B3D-B211-DA4E-A7AD-3B47CC4249BD}</b:Guid>
    <b:Title>The voice of the customer</b:Title>
    <b:Year>1993</b:Year>
    <b:Volume>12</b:Volume>
    <b:Pages>1-27</b:Pages>
    <b:Author>
      <b:Author>
        <b:NameList>
          <b:Person>
            <b:Last>Griffin</b:Last>
            <b:First>A.</b:First>
          </b:Person>
          <b:Person>
            <b:Last>Hauser</b:Last>
            <b:First>J.R.</b:First>
          </b:Person>
        </b:NameList>
      </b:Author>
    </b:Author>
    <b:JournalName>Marketing Science</b:JournalName>
    <b:RefOrder>78</b:RefOrder>
  </b:Source>
  <b:Source>
    <b:Tag>ImS04</b:Tag>
    <b:SourceType>JournalArticle</b:SourceType>
    <b:Guid>{6A9C764B-9601-AA48-8418-839D024BBE9D}</b:Guid>
    <b:Author>
      <b:Author>
        <b:NameList>
          <b:Person>
            <b:Last>Im</b:Last>
            <b:First>S.</b:First>
          </b:Person>
          <b:Person>
            <b:Last>Workman</b:Last>
            <b:First>J.P.</b:First>
          </b:Person>
        </b:NameList>
      </b:Author>
    </b:Author>
    <b:Title>Market orientation, creativity, and new product performance in high-technology firms</b:Title>
    <b:JournalName>Journal of Marketing</b:JournalName>
    <b:Year>2004</b:Year>
    <b:Volume>86</b:Volume>
    <b:Issue>2</b:Issue>
    <b:Pages>114</b:Pages>
    <b:RefOrder>79</b:RefOrder>
  </b:Source>
  <b:Source>
    <b:Tag>LiT98</b:Tag>
    <b:SourceType>JournalArticle</b:SourceType>
    <b:Guid>{6A0B62A2-EC5F-A247-815D-F88225D52439}</b:Guid>
    <b:Author>
      <b:Author>
        <b:NameList>
          <b:Person>
            <b:Last>Li</b:Last>
            <b:First>T.</b:First>
          </b:Person>
          <b:Person>
            <b:Last>Calantone</b:Last>
            <b:First>R.</b:First>
          </b:Person>
        </b:NameList>
      </b:Author>
    </b:Author>
    <b:Title>The impact of market knowledge competence on new product advantage: conceptualization and empirical examination</b:Title>
    <b:JournalName>Journal of Marketing</b:JournalName>
    <b:Year>1998</b:Year>
    <b:Volume>62</b:Volume>
    <b:Issue>4</b:Issue>
    <b:Pages>13-29</b:Pages>
    <b:RefOrder>80</b:RefOrder>
  </b:Source>
  <b:Source>
    <b:Tag>Hai98</b:Tag>
    <b:SourceType>Book</b:SourceType>
    <b:Guid>{F2D9F834-8AE7-0145-B8F6-FD31CEF227F5}</b:Guid>
    <b:Author>
      <b:Author>
        <b:NameList>
          <b:Person>
            <b:Last>Hair</b:Last>
            <b:First>J.F.</b:First>
          </b:Person>
          <b:Person>
            <b:Last>Anderson</b:Last>
            <b:First>R.L.</b:First>
          </b:Person>
          <b:Person>
            <b:Last>Tatham</b:Last>
            <b:First>W.C.</b:First>
          </b:Person>
        </b:NameList>
      </b:Author>
    </b:Author>
    <b:Title>Multivariate Data Analysis with Reading</b:Title>
    <b:Publisher>Prentice-Hall</b:Publisher>
    <b:City>Upper Saddle River, NJ</b:City>
    <b:Year>1998</b:Year>
    <b:RefOrder>81</b:RefOrder>
  </b:Source>
  <b:Source>
    <b:Tag>Hai14</b:Tag>
    <b:SourceType>Book</b:SourceType>
    <b:Guid>{3DD65424-297D-8941-BA5B-0CC907C23DE8}</b:Guid>
    <b:Author>
      <b:Author>
        <b:NameList>
          <b:Person>
            <b:Last>Hair</b:Last>
            <b:First>J.F</b:First>
          </b:Person>
          <b:Person>
            <b:Last>Black</b:Last>
            <b:First>W.C</b:First>
          </b:Person>
          <b:Person>
            <b:Last>Babin</b:Last>
            <b:First>B.J.</b:First>
          </b:Person>
          <b:Person>
            <b:Last>R.E</b:Last>
            <b:First>Anderson</b:First>
          </b:Person>
        </b:NameList>
      </b:Author>
    </b:Author>
    <b:Title>Multivariate Data Analysis</b:Title>
    <b:City>Edinburgh Gate, Harlow</b:City>
    <b:Publisher>Pearson Education</b:Publisher>
    <b:Year>2014</b:Year>
    <b:Edition>7th Ed</b:Edition>
    <b:RefOrder>82</b:RefOrder>
  </b:Source>
  <b:Source>
    <b:Tag>Loe98</b:Tag>
    <b:SourceType>Book</b:SourceType>
    <b:Guid>{41093ED2-0F75-9449-8AC4-C7A752B84226}</b:Guid>
    <b:Author>
      <b:Author>
        <b:NameList>
          <b:Person>
            <b:Last>Loehlin</b:Last>
            <b:First>J.C.</b:First>
          </b:Person>
        </b:NameList>
      </b:Author>
    </b:Author>
    <b:Title>Latent Variable Models. An Introduction to Factor, Path, &amp; Structural Analysis</b:Title>
    <b:City>Hillsdale, NJ</b:City>
    <b:Publisher>Lawrence Erlbaum Associates</b:Publisher>
    <b:Year>1998</b:Year>
    <b:Edition>3rd ed</b:Edition>
    <b:RefOrder>83</b:RefOrder>
  </b:Source>
  <b:Source>
    <b:Tag>Ahm10</b:Tag>
    <b:SourceType>JournalArticle</b:SourceType>
    <b:Guid>{19271723-15AC-4245-8CB0-2D55FBB59F97}</b:Guid>
    <b:Author>
      <b:Author>
        <b:NameList>
          <b:Person>
            <b:Last>Ahmad</b:Last>
            <b:First>Norita</b:First>
          </b:Person>
          <b:Person>
            <b:Last>Daghfous</b:Last>
            <b:First>Abdelkader</b:First>
          </b:Person>
        </b:NameList>
      </b:Author>
    </b:Author>
    <b:Title>Knowledge sharing through inter-organizational knowledge networks - Challenges and opportunities in the United Arab Emirates</b:Title>
    <b:Year>2010</b:Year>
    <b:Volume>22</b:Volume>
    <b:Pages>153-174</b:Pages>
    <b:JournalName>European Business Review</b:JournalName>
    <b:Issue>2</b:Issue>
    <b:RefOrder>1</b:RefOrder>
  </b:Source>
  <b:Source>
    <b:Tag>Zac98</b:Tag>
    <b:SourceType>JournalArticle</b:SourceType>
    <b:Guid>{BC73BA92-6C74-E14F-A7F1-DEE634156C24}</b:Guid>
    <b:Author>
      <b:Author>
        <b:NameList>
          <b:Person>
            <b:Last>Zack</b:Last>
            <b:First>M.</b:First>
          </b:Person>
        </b:NameList>
      </b:Author>
    </b:Author>
    <b:Title>An architecture for managing explicated knowledge</b:Title>
    <b:JournalName>Sloan Management Review</b:JournalName>
    <b:Year>1998</b:Year>
    <b:Day>September</b:Day>
    <b:Pages>45-58</b:Pages>
    <b:RefOrder>84</b:RefOrder>
  </b:Source>
  <b:Source>
    <b:Tag>Sch98</b:Tag>
    <b:SourceType>ConferenceProceedings</b:SourceType>
    <b:Guid>{EE362A27-FE76-364A-A00C-AEC017775E57}</b:Guid>
    <b:Author>
      <b:Author>
        <b:NameList>
          <b:Person>
            <b:Last>Schubert</b:Last>
            <b:First>P.</b:First>
          </b:Person>
          <b:Person>
            <b:Last>Lincke</b:Last>
            <b:First>D.</b:First>
          </b:Person>
          <b:Person>
            <b:Last>Schmid</b:Last>
            <b:First>B.A.</b:First>
          </b:Person>
        </b:NameList>
      </b:Author>
    </b:Author>
    <b:Title>Global knowledge medium as a virtual community: the NetAcademy concept</b:Title>
    <b:Publisher>Baltimore, MD</b:Publisher>
    <b:City>618-20</b:City>
    <b:Year>1998</b:Year>
    <b:ConferenceName>Proceedings of the Fourth Americas Conference on Information Systems</b:ConferenceName>
    <b:RefOrder>4</b:RefOrder>
  </b:Source>
  <b:Source>
    <b:Tag>Koe04</b:Tag>
    <b:SourceType>ConferenceProceedings</b:SourceType>
    <b:Guid>{68748C0F-7BE5-9142-B865-A8950C3F4F59}</b:Guid>
    <b:Author>
      <b:Author>
        <b:NameList>
          <b:Person>
            <b:Last>Koenig</b:Last>
            <b:First>M.</b:First>
          </b:Person>
          <b:Person>
            <b:Last>Srikantaiah</b:Last>
            <b:First>T.</b:First>
          </b:Person>
        </b:NameList>
      </b:Author>
    </b:Author>
    <b:Title>Knowledge Management Lessons Learned: What Works and What doesn’t, information today</b:Title>
    <b:ConferenceName>Monograph Series, American Society for Information Science and Technology</b:ConferenceName>
    <b:City>Silver Spring, MD</b:City>
    <b:Year>2004</b:Year>
    <b:Pages>87-112</b:Pages>
    <b:RefOrder>5</b:RefOrder>
  </b:Source>
  <b:Source>
    <b:Tag>Kim061</b:Tag>
    <b:SourceType>JournalArticle</b:SourceType>
    <b:Guid>{F37C2D65-6D5F-1245-B5E2-3C3BFE2450C7}</b:Guid>
    <b:Author>
      <b:Author>
        <b:NameList>
          <b:Person>
            <b:Last>Kim</b:Last>
            <b:First>S.</b:First>
          </b:Person>
          <b:Person>
            <b:Last>Lee</b:Last>
            <b:First>H.</b:First>
          </b:Person>
        </b:NameList>
      </b:Author>
    </b:Author>
    <b:Title>The Impact of Organizational Context and Information Technology on Employee Knowledge-Sharing Capabilities</b:Title>
    <b:Year>2006</b:Year>
    <b:JournalName>Public Administration Review</b:JournalName>
    <b:Volume>66</b:Volume>
    <b:Pages>370–38</b:Pages>
    <b:RefOrder>85</b:RefOrder>
  </b:Source>
  <b:Source>
    <b:Tag>von12</b:Tag>
    <b:SourceType>JournalArticle</b:SourceType>
    <b:Guid>{BE7B0C22-4A2C-504A-B4F6-9D6541C835D9}</b:Guid>
    <b:Title>Leadership in organizational knowledge creation: A review and framework </b:Title>
    <b:Year>2012</b:Year>
    <b:Volume>49</b:Volume>
    <b:Pages>240‐277 </b:Pages>
    <b:Author>
      <b:Author>
        <b:NameList>
          <b:Person>
            <b:Last>von Krogh</b:Last>
            <b:First>G.</b:First>
          </b:Person>
          <b:Person>
            <b:Last>Nonaka</b:Last>
            <b:First>I.</b:First>
          </b:Person>
          <b:Person>
            <b:Last>Rechsteiner</b:Last>
            <b:First>L.</b:First>
          </b:Person>
        </b:NameList>
      </b:Author>
    </b:Author>
    <b:JournalName>Journal of Management Studies </b:JournalName>
    <b:Issue>1</b:Issue>
    <b:RefOrder>16</b:RefOrder>
  </b:Source>
  <b:Source>
    <b:Tag>Col06</b:Tag>
    <b:SourceType>ArticleInAPeriodical</b:SourceType>
    <b:Guid>{785C42EC-A19D-8F42-BA59-C4533F4B568D}</b:Guid>
    <b:Author>
      <b:Author>
        <b:NameList>
          <b:Person>
            <b:Last>Collier</b:Last>
            <b:First>P.</b:First>
            <b:Middle>M</b:Middle>
          </b:Person>
        </b:NameList>
      </b:Author>
    </b:Author>
    <b:Title>Policing and the intelligent application of knowledge</b:Title>
    <b:Year>2006</b:Year>
    <b:PeriodicalTitle>Public Money &amp; Management</b:PeriodicalTitle>
    <b:Volume>26</b:Volume>
    <b:Issue>2</b:Issue>
    <b:Pages>109-116</b:Pages>
    <b:RefOrder>2</b:RefOrder>
  </b:Source>
  <b:Source>
    <b:Tag>Non06</b:Tag>
    <b:SourceType>JournalArticle</b:SourceType>
    <b:Guid>{0F276903-D375-5242-8F35-DA3DA65016E4}</b:Guid>
    <b:Title>Organizational knowledge creation theory: Evolutionary paths and future advances </b:Title>
    <b:Year>2006</b:Year>
    <b:Volume>27</b:Volume>
    <b:Pages>1179‐1208</b:Pages>
    <b:Author>
      <b:Author>
        <b:NameList>
          <b:Person>
            <b:Last>Nonaka</b:Last>
            <b:First>I.</b:First>
          </b:Person>
          <b:Person>
            <b:Last>Krogh</b:Last>
            <b:First>G.</b:First>
            <b:Middle>V.</b:Middle>
          </b:Person>
          <b:Person>
            <b:Last>Voelpel</b:Last>
            <b:First>S.</b:First>
          </b:Person>
        </b:NameList>
      </b:Author>
    </b:Author>
    <b:JournalName>Organization Studies</b:JournalName>
    <b:Issue>8</b:Issue>
    <b:RefOrder>86</b:RefOrder>
  </b:Source>
  <b:Source>
    <b:Tag>How96</b:Tag>
    <b:SourceType>JournalArticle</b:SourceType>
    <b:Guid>{6307CF66-9C97-AE47-B7AE-5A8614A86D7F}</b:Guid>
    <b:Author>
      <b:Author>
        <b:NameList>
          <b:Person>
            <b:Last>Howells</b:Last>
            <b:First>J.</b:First>
          </b:Person>
        </b:NameList>
      </b:Author>
    </b:Author>
    <b:Title>Tacit knowledge</b:Title>
    <b:JournalName>Technology analysis &amp; strategic management </b:JournalName>
    <b:Year>1996</b:Year>
    <b:Volume>8</b:Volume>
    <b:Issue>2</b:Issue>
    <b:Pages>91-106</b:Pages>
    <b:RefOrder>8</b:RefOrder>
  </b:Source>
  <b:Source>
    <b:Tag>Org88</b:Tag>
    <b:SourceType>Book</b:SourceType>
    <b:Guid>{D7ACF048-1C1E-D747-8547-EE6F29DB6B7F}</b:Guid>
    <b:Author>
      <b:Author>
        <b:NameList>
          <b:Person>
            <b:Last>Organ</b:Last>
            <b:First>D.W.</b:First>
          </b:Person>
        </b:NameList>
      </b:Author>
    </b:Author>
    <b:Title>Organizational Citizenship Behavior: The Good Soldier Syndrome</b:Title>
    <b:Publisher>Lexington Books</b:Publisher>
    <b:City>Lexington, MA</b:City>
    <b:Year>1988</b:Year>
    <b:RefOrder>87</b:RefOrder>
  </b:Source>
  <b:Source>
    <b:Tag>Ban86</b:Tag>
    <b:SourceType>Book</b:SourceType>
    <b:Guid>{FDA74FE8-938D-EA4D-BA6F-50D6F63DDCE7}</b:Guid>
    <b:Author>
      <b:Author>
        <b:NameList>
          <b:Person>
            <b:Last>Bandura</b:Last>
            <b:First>A.</b:First>
          </b:Person>
        </b:NameList>
      </b:Author>
    </b:Author>
    <b:Title>Social Foundations of Thought and Action: A Social Cognitive Theory</b:Title>
    <b:City>Englewood Cliffs, NJ</b:City>
    <b:Publisher>Prentice-Hall</b:Publisher>
    <b:Year>1986</b:Year>
    <b:RefOrder>88</b:RefOrder>
  </b:Source>
  <b:Source>
    <b:Tag>Mac04</b:Tag>
    <b:SourceType>JournalArticle</b:SourceType>
    <b:Guid>{63432453-2357-9D40-8369-94C0DEA7155B}</b:Guid>
    <b:Title>Exploring the supervisor role as a facilitator of knowledge sharing in teams</b:Title>
    <b:Year>2004</b:Year>
    <b:Volume>28</b:Volume>
    <b:Pages>93-102</b:Pages>
    <b:Author>
      <b:Author>
        <b:NameList>
          <b:Person>
            <b:Last>MacNeil</b:Last>
            <b:First>C.M.</b:First>
          </b:Person>
        </b:NameList>
      </b:Author>
    </b:Author>
    <b:JournalName>Journal of European Industrial Training</b:JournalName>
    <b:Issue>1</b:Issue>
    <b:RefOrder>89</b:RefOrder>
  </b:Source>
  <b:Source>
    <b:Tag>Lin04</b:Tag>
    <b:SourceType>JournalArticle</b:SourceType>
    <b:Guid>{080E1663-058D-824D-ACB8-FDE585491C99}</b:Guid>
    <b:Author>
      <b:Author>
        <b:NameList>
          <b:Person>
            <b:Last>Lin</b:Last>
            <b:First>H.F.</b:First>
          </b:Person>
          <b:Person>
            <b:Last>Lee</b:Last>
            <b:First>G.G.</b:First>
          </b:Person>
        </b:NameList>
      </b:Author>
    </b:Author>
    <b:Title>Perceptions of senior managers toward knowledge-sharing behaviour</b:Title>
    <b:JournalName>Management Decision</b:JournalName>
    <b:Year>2004</b:Year>
    <b:Volume>42</b:Volume>
    <b:Issue>1</b:Issue>
    <b:Pages>108-25</b:Pages>
    <b:RefOrder>90</b:RefOrder>
  </b:Source>
  <b:Source>
    <b:Tag>Boc02</b:Tag>
    <b:SourceType>JournalArticle</b:SourceType>
    <b:Guid>{7C814428-3ADF-044D-916D-9FD6263C0409}</b:Guid>
    <b:Author>
      <b:Author>
        <b:NameList>
          <b:Person>
            <b:Last>Bock</b:Last>
            <b:First>G.W.</b:First>
          </b:Person>
          <b:Person>
            <b:Last>Kim</b:Last>
            <b:First>Y.G.</b:First>
          </b:Person>
        </b:NameList>
      </b:Author>
    </b:Author>
    <b:Title>Breaking the myths of rewards </b:Title>
    <b:JournalName>International Resources Management Journal </b:JournalName>
    <b:Year>2002</b:Year>
    <b:Volume>15</b:Volume>
    <b:Issue>2</b:Issue>
    <b:Pages>14-21</b:Pages>
    <b:RefOrder>91</b:RefOrder>
  </b:Source>
  <b:Source>
    <b:Tag>Ink00</b:Tag>
    <b:SourceType>JournalArticle</b:SourceType>
    <b:Guid>{AF2A316D-BADA-0347-A462-33FC21C48D6E}</b:Guid>
    <b:Author>
      <b:Author>
        <b:NameList>
          <b:Person>
            <b:Last>Inkpen</b:Last>
            <b:First>A.C.</b:First>
          </b:Person>
        </b:NameList>
      </b:Author>
    </b:Author>
    <b:Title>Learning through joint ventures: A framework of knowledge acquisition </b:Title>
    <b:JournalName>Journal of Management Studies </b:JournalName>
    <b:Year>2000</b:Year>
    <b:Volume>37</b:Volume>
    <b:Issue>7</b:Issue>
    <b:Pages>1019-1043</b:Pages>
    <b:RefOrder>92</b:RefOrder>
  </b:Source>
  <b:Source>
    <b:Tag>Sou10</b:Tag>
    <b:SourceType>JournalArticle</b:SourceType>
    <b:Guid>{9EDFB35E-DF99-4A44-9FD9-267BEF23D317}</b:Guid>
    <b:Author>
      <b:Author>
        <b:NameList>
          <b:Person>
            <b:Last>Almahamid</b:Last>
            <b:First>Soud</b:First>
          </b:Person>
          <b:Person>
            <b:Last>Awwad</b:Last>
            <b:First>Abdulkareem</b:First>
          </b:Person>
          <b:Person>
            <b:Last>McAdams</b:Last>
            <b:First>Arthur</b:First>
            <b:Middle>C.</b:Middle>
          </b:Person>
        </b:NameList>
      </b:Author>
    </b:Author>
    <b:Title>Effects of Organizational Agility and Knowledge Sharing on Competitive Advantage: An Empirical Study in Jordan</b:Title>
    <b:JournalName>International Journal of Management </b:JournalName>
    <b:Year>2010</b:Year>
    <b:Volume>27</b:Volume>
    <b:Issue>3</b:Issue>
    <b:Pages>387 - 404</b:Pages>
    <b:RefOrder>93</b:RefOrder>
  </b:Source>
  <b:Source>
    <b:Tag>Wit13</b:Tag>
    <b:SourceType>JournalArticle</b:SourceType>
    <b:Guid>{F12331C9-4BDB-264F-A0F0-5D1949D2E190}</b:Guid>
    <b:Author>
      <b:Author>
        <b:NameList>
          <b:Person>
            <b:Last>Witherspoon</b:Last>
            <b:First>C.L.</b:First>
          </b:Person>
          <b:Person>
            <b:Last>Bergner</b:Last>
            <b:First>J.</b:First>
          </b:Person>
          <b:Person>
            <b:Last>Cockrell</b:Last>
            <b:First>C.</b:First>
          </b:Person>
          <b:Person>
            <b:Last>Stone</b:Last>
            <b:First>D.N.</b:First>
          </b:Person>
        </b:NameList>
      </b:Author>
    </b:Author>
    <b:Title>Antecedents of organizational knowledge sharing: a meta-analysis and critique</b:Title>
    <b:JournalName>Journal of Knowledge Management</b:JournalName>
    <b:Year>2013</b:Year>
    <b:Volume>17</b:Volume>
    <b:Issue>2</b:Issue>
    <b:Pages>250-277</b:Pages>
    <b:RefOrder>94</b:RefOrder>
  </b:Source>
  <b:Source>
    <b:Tag>Yan07</b:Tag>
    <b:SourceType>JournalArticle</b:SourceType>
    <b:Guid>{884F809B-A17E-3D42-B2DA-8F41D27E6362}</b:Guid>
    <b:Author>
      <b:Author>
        <b:NameList>
          <b:Person>
            <b:Last>Yang</b:Last>
            <b:First>J.</b:First>
          </b:Person>
        </b:NameList>
      </b:Author>
    </b:Author>
    <b:Title>The impact of knowledge sharing on organizational learning and effectiveness”,</b:Title>
    <b:JournalName>Journal of Knowledge Management</b:JournalName>
    <b:Year>2007</b:Year>
    <b:Volume>11</b:Volume>
    <b:Issue>2</b:Issue>
    <b:Pages>83-90</b:Pages>
    <b:RefOrder>25</b:RefOrder>
  </b:Source>
  <b:Source>
    <b:Tag>Placeholder1</b:Tag>
    <b:SourceType>JournalArticle</b:SourceType>
    <b:Guid>{7A83238B-607D-D34B-A38D-0642CC922549}</b:Guid>
    <b:Author>
      <b:Author>
        <b:NameList>
          <b:Person>
            <b:Last>Lin</b:Last>
            <b:First>M.J</b:First>
          </b:Person>
          <b:Person>
            <b:Last>Chen</b:Last>
            <b:First>C.J.</b:First>
          </b:Person>
        </b:NameList>
      </b:Author>
    </b:Author>
    <b:Title>Intergration and knowledge sharing; tranforming to long-term competitive advantage</b:Title>
    <b:JournalName>International Journal of organizational analysis</b:JournalName>
    <b:Year>2008</b:Year>
    <b:Volume>16</b:Volume>
    <b:Issue>1/2</b:Issue>
    <b:Pages>83-108</b:Pages>
    <b:RefOrder>48</b:RefOrder>
  </b:Source>
  <b:Source>
    <b:Tag>Yes13</b:Tag>
    <b:SourceType>JournalArticle</b:SourceType>
    <b:Guid>{961D0E83-709A-5F41-8D8C-A1202B3A80F3}</b:Guid>
    <b:Author>
      <b:Author>
        <b:NameList>
          <b:Person>
            <b:Last>Yesil</b:Last>
            <b:First>S.</b:First>
          </b:Person>
          <b:Person>
            <b:Last>Dereli</b:Last>
            <b:First>S.F.</b:First>
          </b:Person>
        </b:NameList>
      </b:Author>
    </b:Author>
    <b:Title>An empirical investigation of the organisational justice, knowledge sharing and innovation capability</b:Title>
    <b:JournalName>Social and Behavioural Sciences</b:JournalName>
    <b:Year>2013</b:Year>
    <b:Volume>75</b:Volume>
    <b:Issue>1</b:Issue>
    <b:Pages>65-81</b:Pages>
    <b:RefOrder>26</b:RefOrder>
  </b:Source>
  <b:Source>
    <b:Tag>Noa14</b:Tag>
    <b:SourceType>JournalArticle</b:SourceType>
    <b:Guid>{E81AE123-4B4B-2446-B4E1-068981392B1B}</b:Guid>
    <b:Author>
      <b:Author>
        <b:NameList>
          <b:Person>
            <b:Last>Noaman</b:Last>
            <b:First>A.Y.</b:First>
          </b:Person>
          <b:Person>
            <b:Last>Fouad</b:Last>
            <b:First>F.</b:First>
          </b:Person>
        </b:NameList>
      </b:Author>
    </b:Author>
    <b:Title>Knowledge sharing in universal societies of some develop nations</b:Title>
    <b:JournalName>International Journal of Academic Research</b:JournalName>
    <b:Year>2014</b:Year>
    <b:Volume>6</b:Volume>
    <b:Issue>3</b:Issue>
    <b:Pages>205-212</b:Pages>
    <b:RefOrder>27</b:RefOrder>
  </b:Source>
  <b:Source>
    <b:Tag>Che11</b:Tag>
    <b:SourceType>Book</b:SourceType>
    <b:Guid>{80255958-8EC8-EC4B-B486-06664D4F3100}</b:Guid>
    <b:Author>
      <b:Author>
        <b:NameList>
          <b:Person>
            <b:Last>Cheng</b:Last>
            <b:First>Z.</b:First>
          </b:Person>
          <b:Person>
            <b:Last>Li</b:Last>
            <b:First>C.</b:First>
          </b:Person>
        </b:NameList>
      </b:Author>
    </b:Author>
    <b:Title>Research on relationship between knowledge sharing and team performance in R and D team</b:Title>
    <b:Publisher>CCIS 209, Part II</b:Publisher>
    <b:City>Springer-Verlag Berlin</b:City>
    <b:Year>2011</b:Year>
    <b:Pages>474-481</b:Pages>
    <b:RefOrder>28</b:RefOrder>
  </b:Source>
  <b:Source>
    <b:Tag>YiJ09</b:Tag>
    <b:SourceType>JournalArticle</b:SourceType>
    <b:Guid>{9CF66DF2-DC4A-E34E-8F93-0692843E43EB}</b:Guid>
    <b:Author>
      <b:Author>
        <b:NameList>
          <b:Person>
            <b:Last>Yi</b:Last>
            <b:First>J.</b:First>
            <b:Middle>(2009)</b:Middle>
          </b:Person>
        </b:NameList>
      </b:Author>
    </b:Author>
    <b:Title>A measure of knowledge sharing behavior: scale development and validation</b:Title>
    <b:JournalName>Knowledge Management Research and Practice</b:JournalName>
    <b:Year>2009</b:Year>
    <b:Volume>7</b:Volume>
    <b:Issue>1</b:Issue>
    <b:Pages>65-81</b:Pages>
    <b:RefOrder>14</b:RefOrder>
  </b:Source>
  <b:Source>
    <b:Tag>van04</b:Tag>
    <b:SourceType>JournalArticle</b:SourceType>
    <b:Guid>{30573C63-EC91-BD47-B95E-758FFC62898F}</b:Guid>
    <b:Author>
      <b:Author>
        <b:NameList>
          <b:Person>
            <b:Last>van den Hooff</b:Last>
            <b:First>B.</b:First>
          </b:Person>
          <b:Person>
            <b:Last>de Ridder</b:Last>
            <b:First>J.A.</b:First>
          </b:Person>
        </b:NameList>
      </b:Author>
    </b:Author>
    <b:Title>Knowledge sharing in context: the influence of organizational commitment, communication climate and CMC use on knowledge sharing</b:Title>
    <b:JournalName>Journal of Knowledge Management</b:JournalName>
    <b:Year>2004</b:Year>
    <b:Volume>8</b:Volume>
    <b:Issue>6</b:Issue>
    <b:Pages>117-130</b:Pages>
    <b:RefOrder>3</b:RefOrder>
  </b:Source>
  <b:Source>
    <b:Tag>Kar10</b:Tag>
    <b:SourceType>JournalArticle</b:SourceType>
    <b:Guid>{6A7D8BB9-FDBA-E045-B111-5A18574EE427}</b:Guid>
    <b:Author>
      <b:Author>
        <b:NameList>
          <b:Person>
            <b:Last>Karkoulian</b:Last>
            <b:First>S.</b:First>
          </b:Person>
          <b:Person>
            <b:Last>Harake</b:Last>
            <b:First>N.</b:First>
            <b:Middle>Al.</b:Middle>
          </b:Person>
          <b:Person>
            <b:Last>Messarra</b:Last>
            <b:First>L.C.</b:First>
          </b:Person>
        </b:NameList>
      </b:Author>
    </b:Author>
    <b:Title>Correlates of organizational commitment and knowledge sharing via emotional intelligence: an empirical investigation</b:Title>
    <b:JournalName>The Business Review, Cambridge</b:JournalName>
    <b:Year>2010</b:Year>
    <b:Volume>15</b:Volume>
    <b:Issue>1</b:Issue>
    <b:Pages>89-96</b:Pages>
    <b:RefOrder>95</b:RefOrder>
  </b:Source>
  <b:Source>
    <b:Tag>Toh10</b:Tag>
    <b:SourceType>JournalArticle</b:SourceType>
    <b:Guid>{862A3CD6-345A-324D-99FA-8C083A246ECF}</b:Guid>
    <b:Author>
      <b:Author>
        <b:NameList>
          <b:Person>
            <b:Last>Tohidinia</b:Last>
            <b:First>Z.</b:First>
          </b:Person>
          <b:Person>
            <b:Last>Mosakhani</b:Last>
            <b:First>M</b:First>
          </b:Person>
        </b:NameList>
      </b:Author>
    </b:Author>
    <b:Title>Knowledge sharing behaviour and its predictors</b:Title>
    <b:JournalName>Industrial Management and Data Systems</b:JournalName>
    <b:Year>2010</b:Year>
    <b:Volume>110</b:Volume>
    <b:Issue>4</b:Issue>
    <b:Pages>611-631</b:Pages>
    <b:RefOrder>19</b:RefOrder>
  </b:Source>
  <b:Source>
    <b:Tag>Fis75</b:Tag>
    <b:SourceType>Book</b:SourceType>
    <b:Guid>{DBE637F5-D715-0947-9D64-3BEBEBDCF904}</b:Guid>
    <b:Author>
      <b:Author>
        <b:NameList>
          <b:Person>
            <b:Last>Fishbein</b:Last>
            <b:First>M.</b:First>
          </b:Person>
          <b:Person>
            <b:Last>Ajzen</b:Last>
            <b:First>I.</b:First>
          </b:Person>
        </b:NameList>
      </b:Author>
    </b:Author>
    <b:Title>Beliefs, Attitude, Intention and Behaviour: An Introduction to Theory and Research</b:Title>
    <b:Publisher>Addison-Wesley Publishing Company</b:Publisher>
    <b:City>Philippines</b:City>
    <b:Year>1975</b:Year>
    <b:RefOrder>17</b:RefOrder>
  </b:Source>
  <b:Source>
    <b:Tag>Ajz91</b:Tag>
    <b:SourceType>JournalArticle</b:SourceType>
    <b:Guid>{DDED4C81-EC03-0549-A952-C5352540C928}</b:Guid>
    <b:Author>
      <b:Author>
        <b:NameList>
          <b:Person>
            <b:Last>Ajzen</b:Last>
            <b:First>I.</b:First>
          </b:Person>
        </b:NameList>
      </b:Author>
    </b:Author>
    <b:Title>The theory of planned behavior</b:Title>
    <b:Year>1991</b:Year>
    <b:Volume>50</b:Volume>
    <b:Pages>179-211</b:Pages>
    <b:JournalName>Organizational Behaviour and Human Decision Processes</b:JournalName>
    <b:Issue>2</b:Issue>
    <b:RefOrder>18</b:RefOrder>
  </b:Source>
  <b:Source>
    <b:Tag>FDa89</b:Tag>
    <b:SourceType>Book</b:SourceType>
    <b:Guid>{C4D49364-F518-CB4F-A450-BE8FA9342ABC}</b:Guid>
    <b:Author>
      <b:Author>
        <b:NameList>
          <b:Person>
            <b:Last>Davis</b:Last>
            <b:First>F</b:First>
          </b:Person>
          <b:Person>
            <b:Last>Bagozzi</b:Last>
            <b:First>R</b:First>
          </b:Person>
          <b:Person>
            <b:Last>Warshaw</b:Last>
            <b:First>P</b:First>
          </b:Person>
        </b:NameList>
      </b:Author>
    </b:Author>
    <b:Title>User acceptance of computer technology: A comparison of two theoretical models Management science</b:Title>
    <b:Year>1989</b:Year>
    <b:RefOrder>96</b:RefOrder>
  </b:Source>
  <b:Source>
    <b:Tag>Kur95</b:Tag>
    <b:SourceType>JournalArticle</b:SourceType>
    <b:Guid>{BBB8D83C-5494-B048-A5D6-FD2D1DBBE6A9}</b:Guid>
    <b:Author>
      <b:Author>
        <b:NameList>
          <b:Person>
            <b:Last>Kurland</b:Last>
            <b:First>NB</b:First>
          </b:Person>
        </b:NameList>
      </b:Author>
    </b:Author>
    <b:Title>Ethical intentions and the theories of reasoned action and planned behavior</b:Title>
    <b:Year>1995</b:Year>
    <b:Volume>25</b:Volume>
    <b:Pages>297-313</b:Pages>
    <b:JournalName>J. Appl. Soc. Psychol. </b:JournalName>
    <b:RefOrder>97</b:RefOrder>
  </b:Source>
  <b:Source>
    <b:Tag>Bou84</b:Tag>
    <b:SourceType>Book</b:SourceType>
    <b:Guid>{26A22951-84C0-E24F-8F4A-E4C62878186F}</b:Guid>
    <b:Author>
      <b:Author>
        <b:NameList>
          <b:Person>
            <b:Last>Bourdieu</b:Last>
            <b:First>P</b:First>
          </b:Person>
        </b:NameList>
      </b:Author>
    </b:Author>
    <b:Title>Distinction: A Social Critique of the Judgment of Taste</b:Title>
    <b:Publisher>Harvard Univ. Press </b:Publisher>
    <b:City>Cambridge, MA </b:City>
    <b:Year>1984</b:Year>
    <b:RefOrder>98</b:RefOrder>
  </b:Source>
  <b:Source>
    <b:Tag>Bou86</b:Tag>
    <b:SourceType>Book</b:SourceType>
    <b:Guid>{70FDBEE4-ECED-784C-93BA-7FF960BE7BDF}</b:Guid>
    <b:Author>
      <b:Author>
        <b:NameList>
          <b:Person>
            <b:Last>Bourdieu</b:Last>
            <b:First>P</b:First>
          </b:Person>
        </b:NameList>
      </b:Author>
    </b:Author>
    <b:Title>The forms of capital In JG Richardson (Ed.) Handbook of theory and research for the sociology of education </b:Title>
    <b:City>New York: Greenwood</b:City>
    <b:Year>1986</b:Year>
    <b:RefOrder>99</b:RefOrder>
  </b:Source>
  <b:Source>
    <b:Tag>Col88</b:Tag>
    <b:SourceType>JournalArticle</b:SourceType>
    <b:Guid>{E4A60778-A40F-0B4F-B008-358E5778FE35}</b:Guid>
    <b:Author>
      <b:Author>
        <b:NameList>
          <b:Person>
            <b:Last>Coleman</b:Last>
            <b:First>JS</b:First>
          </b:Person>
        </b:NameList>
      </b:Author>
    </b:Author>
    <b:Title>Social Capital in the Creation of Human Capital </b:Title>
    <b:Year>1988</b:Year>
    <b:Volume>94</b:Volume>
    <b:Pages>95-120 </b:Pages>
    <b:JournalName>Am. J. Sociol </b:JournalName>
    <b:RefOrder>100</b:RefOrder>
  </b:Source>
  <b:Source>
    <b:Tag>Nar12</b:Tag>
    <b:SourceType>JournalArticle</b:SourceType>
    <b:Guid>{9C66D6C4-732E-774B-AA7A-243A3907E52E}</b:Guid>
    <b:Author>
      <b:Author>
        <b:NameList>
          <b:Person>
            <b:Last>Kumar</b:Last>
            <b:First>Naresh</b:First>
          </b:Person>
          <b:Person>
            <b:Last>Rose</b:Last>
            <b:First>Raduan</b:First>
            <b:Middle>Che</b:Middle>
          </b:Person>
        </b:NameList>
      </b:Author>
    </b:Author>
    <b:Title>The impact of knowledge sharing and Islamic work ethic on innovation capability</b:Title>
    <b:JournalName>Cross Cultural Management</b:JournalName>
    <b:Year>2012</b:Year>
    <b:Volume>19</b:Volume>
    <b:Issue>2</b:Issue>
    <b:Pages>142-165</b:Pages>
    <b:RefOrder>101</b:RefOrder>
  </b:Source>
  <b:Source>
    <b:Tag>Pai01</b:Tag>
    <b:SourceType>JournalArticle</b:SourceType>
    <b:Guid>{D1185421-0C1D-4A46-AE24-99D89EDBB156}</b:Guid>
    <b:Author>
      <b:Author>
        <b:NameList>
          <b:Person>
            <b:Last>Painter</b:Last>
            <b:First>J</b:First>
          </b:Person>
        </b:NameList>
      </b:Author>
    </b:Author>
    <b:Title>Autonomy, competence and intrinsic motivations in science education: a self-determination theory perspective</b:Title>
    <b:JournalName>Unpublished doctoral dissertation</b:JournalName>
    <b:Publisher>University of North Carolina</b:Publisher>
    <b:Year>2001</b:Year>
    <b:RefOrder>102</b:RefOrder>
  </b:Source>
  <b:Source>
    <b:Tag>Par12</b:Tag>
    <b:SourceType>JournalArticle</b:SourceType>
    <b:Guid>{7DAA46A8-692D-5A4D-89BB-B7F9A3E96652}</b:Guid>
    <b:Author>
      <b:Author>
        <b:NameList>
          <b:Person>
            <b:Last>Park</b:Last>
            <b:First>S.M.</b:First>
          </b:Person>
          <b:Person>
            <b:Last>Word</b:Last>
            <b:First>J.</b:First>
          </b:Person>
        </b:NameList>
      </b:Author>
    </b:Author>
    <b:Title>Driven to service: intrinsic and extrinsic motivation for public and Nonprofit Managers</b:Title>
    <b:JournalName>Public Personnel Management</b:JournalName>
    <b:Year>2012</b:Year>
    <b:Volume>41</b:Volume>
    <b:Issue>4</b:Issue>
    <b:Pages>705-734</b:Pages>
    <b:RefOrder>103</b:RefOrder>
  </b:Source>
  <b:Source>
    <b:Tag>Ola12</b:Tag>
    <b:SourceType>JournalArticle</b:SourceType>
    <b:Guid>{33BBAC28-26BD-E548-A893-54A808F49A51}</b:Guid>
    <b:Author>
      <b:Author>
        <b:NameList>
          <b:Person>
            <b:Last>Olatokun</b:Last>
            <b:First>W.</b:First>
          </b:Person>
          <b:Person>
            <b:Last>Nwafor</b:Last>
            <b:First>C.I.</b:First>
          </b:Person>
        </b:NameList>
      </b:Author>
    </b:Author>
    <b:Title>The effect of extrinsic and intrinsic motivation on knowledge sharing intentions of civil servants in Ebonyi State, Nigeria</b:Title>
    <b:JournalName>Information Development</b:JournalName>
    <b:Year>2012</b:Year>
    <b:Volume>28</b:Volume>
    <b:Issue>3</b:Issue>
    <b:Pages>216-234</b:Pages>
    <b:RefOrder>29</b:RefOrder>
  </b:Source>
  <b:Source>
    <b:Tag>Nah98</b:Tag>
    <b:SourceType>JournalArticle</b:SourceType>
    <b:Guid>{328A4165-3A03-FB46-AF8D-027F6C1B8C1D}</b:Guid>
    <b:Author>
      <b:Author>
        <b:NameList>
          <b:Person>
            <b:Last>Nahapiet</b:Last>
            <b:First>J.</b:First>
          </b:Person>
          <b:Person>
            <b:Last>Ghoshal</b:Last>
            <b:First>S.</b:First>
          </b:Person>
        </b:NameList>
      </b:Author>
    </b:Author>
    <b:Title>Social capital, intellectual capital, and the organizational advantage</b:Title>
    <b:JournalName>The Academy of Management Review</b:JournalName>
    <b:Year>1998</b:Year>
    <b:Volume>23</b:Volume>
    <b:Issue>2</b:Issue>
    <b:Pages>242-266</b:Pages>
    <b:RefOrder>104</b:RefOrder>
  </b:Source>
  <b:Source>
    <b:Tag>Kim13</b:Tag>
    <b:SourceType>JournalArticle</b:SourceType>
    <b:Guid>{035F0613-C2D4-3D48-9DA3-5A990C382C74}</b:Guid>
    <b:Author>
      <b:Author>
        <b:NameList>
          <b:Person>
            <b:Last>Kim</b:Last>
            <b:First>T.T.</b:First>
          </b:Person>
          <b:Person>
            <b:Last>Lee</b:Last>
            <b:First>G.</b:First>
          </b:Person>
          <b:Person>
            <b:Last>Paek</b:Last>
            <b:First>S.</b:First>
          </b:Person>
          <b:Person>
            <b:Last>Lee</b:Last>
            <b:First>S</b:First>
          </b:Person>
        </b:NameList>
      </b:Author>
    </b:Author>
    <b:Title>Social capital, knowledge sharing and organizational performance: what structural relationship do they have in hotels?</b:Title>
    <b:JournalName>International Journal of Contemporary Hospitality Management</b:JournalName>
    <b:Year>2013</b:Year>
    <b:Volume>25</b:Volume>
    <b:Issue>5</b:Issue>
    <b:Pages>683-704</b:Pages>
    <b:RefOrder>105</b:RefOrder>
  </b:Source>
  <b:Source>
    <b:Tag>Hai11</b:Tag>
    <b:SourceType>JournalArticle</b:SourceType>
    <b:Guid>{F5A7F8AC-4C3F-F64D-9B3B-AE0977E6A20A}</b:Guid>
    <b:Author>
      <b:Author>
        <b:NameList>
          <b:Person>
            <b:Last>Hai</b:Last>
            <b:First>N.</b:First>
            <b:Middle>N.</b:Middle>
          </b:Person>
          <b:Person>
            <b:Last>Sherif</b:Last>
            <b:First>M.</b:First>
          </b:Person>
        </b:NameList>
      </b:Author>
    </b:Author>
    <b:Title>Leadership behaviors, organizational culture and knowledge management practices</b:Title>
    <b:JournalName>The Journal of Management Development</b:JournalName>
    <b:Year>2011</b:Year>
    <b:Volume>30</b:Volume>
    <b:Issue>2</b:Issue>
    <b:Pages>206-221</b:Pages>
    <b:RefOrder>106</b:RefOrder>
  </b:Source>
  <b:Source>
    <b:Tag>Hai01</b:Tag>
    <b:SourceType>JournalArticle</b:SourceType>
    <b:Guid>{9985C92F-9BA7-CA44-BE4B-55BA20D0B884}</b:Guid>
    <b:Author>
      <b:Author>
        <b:NameList>
          <b:Person>
            <b:Last>Nguyen</b:Last>
            <b:First>Hai</b:First>
            <b:Middle>Nam</b:Middle>
          </b:Person>
          <b:Person>
            <b:Last>Mohamed</b:Last>
            <b:First>Sherif</b:First>
          </b:Person>
        </b:NameList>
      </b:Author>
    </b:Author>
    <b:Title>Leadership behaviors, organizational culture and knowledge management practices An empirical investigation</b:Title>
    <b:JournalName>Journal of Management Development</b:JournalName>
    <b:Year>2001</b:Year>
    <b:Volume>30</b:Volume>
    <b:Issue>2</b:Issue>
    <b:Pages>206-221</b:Pages>
    <b:RefOrder>35</b:RefOrder>
  </b:Source>
  <b:Source>
    <b:Tag>Gru00</b:Tag>
    <b:SourceType>JournalArticle</b:SourceType>
    <b:Guid>{1B404356-EFAE-EB48-B0F1-6F196687D74D}</b:Guid>
    <b:Author>
      <b:Author>
        <b:NameList>
          <b:Person>
            <b:Last>Gruenfeld</b:Last>
            <b:First>D</b:First>
          </b:Person>
          <b:Person>
            <b:Last>Martorana</b:Last>
            <b:First>P</b:First>
          </b:Person>
          <b:Person>
            <b:Last>Fan</b:Last>
            <b:First>E</b:First>
          </b:Person>
        </b:NameList>
      </b:Author>
    </b:Author>
    <b:Title>What do groups learn from their worldliest members? Direct and indirect influence in dynamic  teams</b:Title>
    <b:Year>2000</b:Year>
    <b:Volume>82</b:Volume>
    <b:Pages>45-59</b:Pages>
    <b:JournalName>Organizational Behavior and Human Decision Processes </b:JournalName>
    <b:Issue>1</b:Issue>
    <b:RefOrder>107</b:RefOrder>
  </b:Source>
  <b:Source>
    <b:Tag>Hun</b:Tag>
    <b:SourceType>JournalArticle</b:SourceType>
    <b:Guid>{DDCBD6C0-1A94-AF4F-A683-C0EF756347BF}</b:Guid>
    <b:Author>
      <b:Author>
        <b:NameList>
          <b:Person>
            <b:Last>Hung</b:Last>
            <b:First>Y.-C.</b:First>
          </b:Person>
          <b:Person>
            <b:Last>Chuang</b:Last>
            <b:First>Y.-H.</b:First>
          </b:Person>
        </b:NameList>
      </b:Author>
    </b:Author>
    <b:Title>Factors affecting knowledge sharing behavior: A content analysis of empirical findings</b:Title>
    <b:JournalName>nternational Conference of Pacific Rim Management.</b:JournalName>
    <b:Year>2009</b:Year>
    <b:RefOrder>108</b:RefOrder>
  </b:Source>
  <b:Source>
    <b:Tag>Inv15</b:Tag>
    <b:SourceType>InternetSite</b:SourceType>
    <b:Guid>{2E908839-B62F-8742-A123-0237917F6C00}</b:Guid>
    <b:Title>Financial performance </b:Title>
    <b:Year>2015</b:Year>
    <b:Month>October</b:Month>
    <b:Author>
      <b:Author>
        <b:Corporate>Investopedia LLC</b:Corporate>
      </b:Author>
    </b:Author>
    <b:InternetSiteTitle>Investopedia</b:InternetSiteTitle>
    <b:URL>Investopedia.com</b:URL>
    <b:RefOrder>49</b:RefOrder>
  </b:Source>
  <b:Source>
    <b:Tag>Law09</b:Tag>
    <b:SourceType>JournalArticle</b:SourceType>
    <b:Guid>{F5D40FB8-B35F-0441-AF45-C2896514E4A3}</b:Guid>
    <b:Author>
      <b:Author>
        <b:NameList>
          <b:Person>
            <b:Last>Lawson</b:Last>
            <b:First>B.</b:First>
          </b:Person>
          <b:Person>
            <b:Last>Petersen</b:Last>
            <b:First>K.J.</b:First>
          </b:Person>
          <b:Person>
            <b:Last>Cousins</b:Last>
            <b:First>P.D.</b:First>
          </b:Person>
          <b:Person>
            <b:Last>Handfield</b:Last>
            <b:First>R.B.</b:First>
          </b:Person>
        </b:NameList>
      </b:Author>
    </b:Author>
    <b:Title>Knowledge sharing in interorganizational product development teams: the effect of formal and informal socialization mechanisms</b:Title>
    <b:Year>2009</b:Year>
    <b:JournalName>Journal of Product Innovation Management</b:JournalName>
    <b:Volume>26</b:Volume>
    <b:Issue>2</b:Issue>
    <b:Pages>156-172</b:Pages>
    <b:RefOrder>109</b:RefOrder>
  </b:Source>
  <b:Source>
    <b:Tag>Lee01</b:Tag>
    <b:SourceType>JournalArticle</b:SourceType>
    <b:Guid>{E6EA069A-95F1-8D44-9D72-ED8BF0D099BE}</b:Guid>
    <b:Author>
      <b:Author>
        <b:NameList>
          <b:Person>
            <b:Last>Lee</b:Last>
            <b:First>J.N.</b:First>
          </b:Person>
        </b:NameList>
      </b:Author>
    </b:Author>
    <b:Title>The impact of knowledge sharing, organizational capability and partnership quality on IS outsourcing success</b:Title>
    <b:JournalName>Information &amp; management</b:JournalName>
    <b:Year>2001</b:Year>
    <b:Volume>38</b:Volume>
    <b:Issue>5</b:Issue>
    <b:Pages>323-335</b:Pages>
    <b:RefOrder>110</b:RefOrder>
  </b:Source>
  <b:Source>
    <b:Tag>Car07</b:Tag>
    <b:SourceType>JournalArticle</b:SourceType>
    <b:Guid>{D064CEC4-F82C-F140-8527-A45DEA8A9B14}</b:Guid>
    <b:Author>
      <b:Author>
        <b:NameList>
          <b:Person>
            <b:Last>Carr</b:Last>
            <b:First>A.S.</b:First>
          </b:Person>
          <b:Person>
            <b:Last>Kaynak</b:Last>
            <b:First>H.</b:First>
          </b:Person>
        </b:NameList>
      </b:Author>
    </b:Author>
    <b:Title>Communication methods, information sharing, supplier development and performance – an empirical study of their relationships</b:Title>
    <b:JournalName>International Journal of Operations &amp; Production Management</b:JournalName>
    <b:Year>2007</b:Year>
    <b:Volume>27</b:Volume>
    <b:Issue>3-4</b:Issue>
    <b:Pages>346-370</b:Pages>
    <b:RefOrder>111</b:RefOrder>
  </b:Source>
  <b:Source>
    <b:Tag>Wan12</b:Tag>
    <b:SourceType>JournalArticle</b:SourceType>
    <b:Guid>{86A40C7A-310F-CD4D-A57D-7DFA4092CEF9}</b:Guid>
    <b:Author>
      <b:Author>
        <b:NameList>
          <b:Person>
            <b:Last>Wang</b:Last>
            <b:First>Z.N.</b:First>
          </b:Person>
          <b:Person>
            <b:Last>Wang</b:Last>
            <b:First>N.X.</b:First>
          </b:Person>
        </b:NameList>
      </b:Author>
    </b:Author>
    <b:Title>Knowledge sharing, innovation and firm performance</b:Title>
    <b:JournalName>Expert Systems with Applications</b:JournalName>
    <b:Year>2012</b:Year>
    <b:Volume>39</b:Volume>
    <b:Issue>10</b:Issue>
    <b:Pages>8899-8908</b:Pages>
    <b:RefOrder>112</b:RefOrder>
  </b:Source>
  <b:Source>
    <b:Tag>Har08</b:Tag>
    <b:SourceType>JournalArticle</b:SourceType>
    <b:Guid>{C7E568FA-0EE2-AC44-84A1-180FE0F03CB0}</b:Guid>
    <b:Author>
      <b:Author>
        <b:NameList>
          <b:Person>
            <b:Last>Harold</b:Last>
            <b:First>H.</b:First>
          </b:Person>
        </b:NameList>
      </b:Author>
    </b:Author>
    <b:Title>The effect of tacit knowledge on firm performance</b:Title>
    <b:JournalName>Journal of Knowledge Management</b:JournalName>
    <b:Year>2008</b:Year>
    <b:Volume>12</b:Volume>
    <b:Issue>1</b:Issue>
    <b:Pages>148</b:Pages>
    <b:RefOrder>50</b:RefOrder>
  </b:Source>
  <b:Source>
    <b:Tag>Rig94</b:Tag>
    <b:SourceType>JournalArticle</b:SourceType>
    <b:Guid>{AB7FC168-119B-C74D-83DF-90F3EF6C1A01}</b:Guid>
    <b:Author>
      <b:Author>
        <b:NameList>
          <b:Person>
            <b:Last>Riggs</b:Last>
            <b:First>Matt</b:First>
            <b:Middle>L.</b:Middle>
          </b:Person>
          <b:Person>
            <b:Last>Warka</b:Last>
            <b:First>Jette</b:First>
          </b:Person>
          <b:Person>
            <b:Last>Babasa</b:Last>
            <b:First>Bernadette</b:First>
          </b:Person>
          <b:Person>
            <b:Last>Betancourt</b:Last>
            <b:First>Renee</b:First>
          </b:Person>
        </b:NameList>
      </b:Author>
    </b:Author>
    <b:Title>Development and validation of self-efficacy and outcome expectancy scales for job-related application</b:Title>
    <b:Year>1994</b:Year>
    <b:Volume>54</b:Volume>
    <b:Pages>793-802</b:Pages>
    <b:JournalName>Educational and Psychology Measurement</b:JournalName>
    <b:Issue>3</b:Issue>
    <b:RefOrder>113</b:RefOrder>
  </b:Source>
  <b:Source>
    <b:Tag>Lee15</b:Tag>
    <b:SourceType>JournalArticle</b:SourceType>
    <b:Guid>{5BAFBCDF-1F90-7244-8717-827D69DE77E8}</b:Guid>
    <b:Author>
      <b:Author>
        <b:NameList>
          <b:Person>
            <b:Last>Lee</b:Last>
            <b:First>Cheng</b:First>
            <b:Middle>Sheng</b:Middle>
          </b:Person>
          <b:Person>
            <b:Last>Wong</b:Last>
            <b:First>Kuan</b:First>
            <b:Middle>Yew</b:Middle>
          </b:Person>
        </b:NameList>
      </b:Author>
    </b:Author>
    <b:Title>Development and validation of knowledge management performance measurement constructs for small and medium enterprises</b:Title>
    <b:JournalName>Journal of Knowledge Management</b:JournalName>
    <b:Year>2015</b:Year>
    <b:Volume>19</b:Volume>
    <b:Issue>4</b:Issue>
    <b:Pages>711-734</b:Pages>
    <b:RefOrder>114</b:RefOrder>
  </b:Source>
  <b:Source>
    <b:Tag>Law03</b:Tag>
    <b:SourceType>Report</b:SourceType>
    <b:Guid>{BD89E637-050B-934E-8A06-27ED8F26C57F}</b:Guid>
    <b:Author>
      <b:Author>
        <b:NameList>
          <b:Person>
            <b:Last>Lawson</b:Last>
            <b:First>Sheron</b:First>
          </b:Person>
        </b:NameList>
      </b:Author>
    </b:Author>
    <b:Title>Examining the relationship between organizational culture and knowledge management</b:Title>
    <b:Publisher>Dissertation</b:Publisher>
    <b:Year>2003</b:Year>
    <b:Institution>Nova Southeastern Univeristy</b:Institution>
    <b:RefOrder>115</b:RefOrder>
  </b:Source>
  <b:Source>
    <b:Tag>Bar95</b:Tag>
    <b:SourceType>JournalArticle</b:SourceType>
    <b:Guid>{7E20B66C-4A8C-FC4D-884D-4F48359B5E23}</b:Guid>
    <b:Author>
      <b:Author>
        <b:NameList>
          <b:Person>
            <b:Last>Barney</b:Last>
            <b:First>Jay</b:First>
            <b:Middle>B.</b:Middle>
          </b:Person>
        </b:NameList>
      </b:Author>
    </b:Author>
    <b:Title>Looking insice for competitive advantage</b:Title>
    <b:Year>1995</b:Year>
    <b:Pages>49-61</b:Pages>
    <b:JournalName>Academy of Management Executive</b:JournalName>
    <b:Volume>9</b:Volume>
    <b:Issue>4</b:Issue>
    <b:RefOrder>116</b:RefOrder>
  </b:Source>
  <b:Source>
    <b:Tag>Ant10</b:Tag>
    <b:SourceType>JournalArticle</b:SourceType>
    <b:Guid>{85A53EA1-F44C-F640-8BD5-84A092F241DC}</b:Guid>
    <b:Author>
      <b:Author>
        <b:NameList>
          <b:Person>
            <b:Last>Vaccaro</b:Last>
            <b:First>Antonino</b:First>
          </b:Person>
          <b:Person>
            <b:Last>Parente</b:Last>
            <b:First>Ronaldo</b:First>
          </b:Person>
          <b:Person>
            <b:Last>Veloso</b:Last>
            <b:First>Francisco</b:First>
            <b:Middle>M.</b:Middle>
          </b:Person>
        </b:NameList>
      </b:Author>
    </b:Author>
    <b:Title>Knowledge Management Tools, Inter-Organizational Relationships, Innovation and Firm Performance</b:Title>
    <b:JournalName>Technological Forecasting &amp; Social Change</b:JournalName>
    <b:Year>2010</b:Year>
    <b:Volume>77</b:Volume>
    <b:Pages>1076-1089</b:Pages>
    <b:RefOrder>117</b:RefOrder>
  </b:Source>
  <b:Source>
    <b:Tag>Zhi14</b:Tag>
    <b:SourceType>JournalArticle</b:SourceType>
    <b:Guid>{5C92CC85-E0EA-9D4B-AC7C-1C555A8E772D}</b:Guid>
    <b:Author>
      <b:Author>
        <b:NameList>
          <b:Person>
            <b:Last>Wang</b:Last>
            <b:First>Zhining</b:First>
          </b:Person>
          <b:Person>
            <b:Last>Wang</b:Last>
            <b:First>Nianxin</b:First>
          </b:Person>
          <b:Person>
            <b:Last>Liang</b:Last>
            <b:First>Huigang</b:First>
          </b:Person>
        </b:NameList>
      </b:Author>
    </b:Author>
    <b:Title>Knowledge sharing, intellectual capital and firm performance</b:Title>
    <b:JournalName>Management Decision</b:JournalName>
    <b:Year>2014</b:Year>
    <b:Volume>52</b:Volume>
    <b:Issue>2</b:Issue>
    <b:Pages>230-258</b:Pages>
    <b:RefOrder>118</b:RefOrder>
  </b:Source>
  <b:Source>
    <b:Tag>Cal02</b:Tag>
    <b:SourceType>JournalArticle</b:SourceType>
    <b:Guid>{10A7DEBC-93DF-1340-A27E-0CF4215116B3}</b:Guid>
    <b:Author>
      <b:Author>
        <b:NameList>
          <b:Person>
            <b:Last>Calantone</b:Last>
            <b:First>R.J.</b:First>
          </b:Person>
          <b:Person>
            <b:Last>Cavusgil</b:Last>
            <b:First>S.T.</b:First>
          </b:Person>
          <b:Person>
            <b:Last>Zhao</b:Last>
            <b:First>Y.</b:First>
          </b:Person>
        </b:NameList>
      </b:Author>
    </b:Author>
    <b:Title>Learning orientation, firm innovation, and firm performance</b:Title>
    <b:JournalName>Industrial Marketing Management</b:JournalName>
    <b:Year>2002</b:Year>
    <b:Volume>31</b:Volume>
    <b:Issue>6</b:Issue>
    <b:Pages>515-24</b:Pages>
    <b:RefOrder>119</b:RefOrder>
  </b:Source>
  <b:Source>
    <b:Tag>Lee03</b:Tag>
    <b:SourceType>JournalArticle</b:SourceType>
    <b:Guid>{CE5F36B5-DBD6-FC47-8561-ACC7CC34DD8B}</b:Guid>
    <b:Author>
      <b:Author>
        <b:NameList>
          <b:Person>
            <b:Last>Lee</b:Last>
            <b:First>H.</b:First>
          </b:Person>
          <b:Person>
            <b:Last>Choi</b:Last>
            <b:First>B.</b:First>
          </b:Person>
        </b:NameList>
      </b:Author>
    </b:Author>
    <b:Title>“Knowledge management enablers, processes, and organizational performance: an integrative view and empirical examination</b:Title>
    <b:JournalName>Journal of Management Information System</b:JournalName>
    <b:Year>2003</b:Year>
    <b:Volume>20</b:Volume>
    <b:Issue>1</b:Issue>
    <b:Pages>179-228</b:Pages>
    <b:RefOrder>120</b:RefOrder>
  </b:Source>
  <b:Source>
    <b:Tag>Rei03</b:Tag>
    <b:SourceType>JournalArticle</b:SourceType>
    <b:Guid>{E19AF092-4F3A-3B4F-B235-9FE11AA74548}</b:Guid>
    <b:Author>
      <b:Author>
        <b:NameList>
          <b:Person>
            <b:Last>Reid</b:Last>
            <b:First>F.</b:First>
          </b:Person>
        </b:NameList>
      </b:Author>
    </b:Author>
    <b:Title>Creating a knowledge sharing culture among diverse business units</b:Title>
    <b:JournalName>Employments Relations Today</b:JournalName>
    <b:Year>2003</b:Year>
    <b:Volume>30</b:Volume>
    <b:Issue>3</b:Issue>
    <b:Pages>43-9</b:Pages>
    <b:RefOrder>121</b:RefOrder>
  </b:Source>
  <b:Source>
    <b:Tag>Lei07</b:Tag>
    <b:SourceType>JournalArticle</b:SourceType>
    <b:Guid>{315412FA-B76D-7240-B90F-773719B2F8D5}</b:Guid>
    <b:Author>
      <b:Author>
        <b:NameList>
          <b:Person>
            <b:Last>Lei</b:Last>
            <b:First>P.W.</b:First>
          </b:Person>
          <b:Person>
            <b:Last>Wu</b:Last>
            <b:First>Q.</b:First>
          </b:Person>
        </b:NameList>
      </b:Author>
    </b:Author>
    <b:Title>Introduction to structural equation modeling: Issues and practical considerations</b:Title>
    <b:Year>2007</b:Year>
    <b:Volume>26</b:Volume>
    <b:Pages>33-43</b:Pages>
    <b:JournalName>Educational Measurement: Issues and Practice</b:JournalName>
    <b:Issue>3</b:Issue>
    <b:RefOrder>122</b:RefOrder>
  </b:Source>
  <b:Source>
    <b:Tag>Van02</b:Tag>
    <b:SourceType>JournalArticle</b:SourceType>
    <b:Guid>{7001CB6F-83FF-1544-B7B9-401201EECD56}</b:Guid>
    <b:Author>
      <b:Author>
        <b:NameList>
          <b:Person>
            <b:Last>Van der Rijt</b:Last>
            <b:First>PGA</b:First>
          </b:Person>
        </b:NameList>
      </b:Author>
    </b:Author>
    <b:Title>Precious Knowledge</b:Title>
    <b:JournalName>Amstrdam: The Amestrdam school for Communications Research</b:JournalName>
    <b:Year>2002</b:Year>
    <b:RefOrder>123</b:RefOrder>
  </b:Source>
  <b:Source>
    <b:Tag>Che09</b:Tag>
    <b:SourceType>JournalArticle</b:SourceType>
    <b:Guid>{AD652949-93B4-5443-B384-938249DA5470}</b:Guid>
    <b:Author>
      <b:Author>
        <b:NameList>
          <b:Person>
            <b:Last>Chee</b:Last>
            <b:First>W.H</b:First>
          </b:Person>
        </b:NameList>
      </b:Author>
    </b:Author>
    <b:Title>The predictability of individual, organizational, and technology factors on knowledge sharing processes in the construction industry of Hong Kong</b:Title>
    <b:JournalName>Dissertation</b:JournalName>
    <b:Publisher>The University of Newcastle</b:Publisher>
    <b:Year>2009</b:Year>
    <b:RefOrder>36</b:RefOrder>
  </b:Source>
  <b:Source>
    <b:Tag>For09</b:Tag>
    <b:SourceType>JournalArticle</b:SourceType>
    <b:Guid>{A68E503C-1577-4348-A167-934F5B0F87F7}</b:Guid>
    <b:Author>
      <b:Author>
        <b:NameList>
          <b:Person>
            <b:Last>Fortier</b:Last>
            <b:First>M.S.</b:First>
          </b:Person>
          <b:Person>
            <b:Last>Farrell</b:Last>
            <b:First>R.J.</b:First>
          </b:Person>
        </b:NameList>
      </b:Author>
    </b:Author>
    <b:Title>Comparing self-determination and body image between excessive and healthy exercisers”,</b:Title>
    <b:JournalName>Hellenic Journal of Psychology</b:JournalName>
    <b:Year>2009</b:Year>
    <b:Volume>6</b:Volume>
    <b:Pages>223-243</b:Pages>
    <b:RefOrder>41</b:RefOrder>
  </b:Source>
  <b:Source>
    <b:Tag>Pan03</b:Tag>
    <b:SourceType>JournalArticle</b:SourceType>
    <b:Guid>{DBE12F20-CFA7-8844-97DA-2675BC44C476}</b:Guid>
    <b:Author>
      <b:Author>
        <b:NameList>
          <b:Person>
            <b:Last>Pan</b:Last>
            <b:First>S.L.</b:First>
          </b:Person>
          <b:Person>
            <b:Last>Leidner</b:Last>
            <b:First>D.E.</b:First>
          </b:Person>
        </b:NameList>
      </b:Author>
    </b:Author>
    <b:Title>Bridging communities of practice with information technology in pursuit of global knowledge sharing</b:Title>
    <b:JournalName>Journal of Strategic Information Systems</b:JournalName>
    <b:Year>2003</b:Year>
    <b:Volume>12</b:Volume>
    <b:Issue>1</b:Issue>
    <b:Pages>71-88</b:Pages>
    <b:RefOrder>43</b:RefOrder>
  </b:Source>
  <b:Source>
    <b:Tag>Placeholder2</b:Tag>
    <b:SourceType>JournalArticle</b:SourceType>
    <b:Guid>{2E3E26B5-0873-C547-AB24-53CBE4449457}</b:Guid>
    <b:Author>
      <b:Author>
        <b:NameList>
          <b:Person>
            <b:Last>Luthans</b:Last>
            <b:First>F.</b:First>
          </b:Person>
        </b:NameList>
      </b:Author>
    </b:Author>
    <b:Title>Positive organizational behavior: developing and managing psychological strengths</b:Title>
    <b:JournalName>Academy of Management Executive</b:JournalName>
    <b:Year>2003</b:Year>
    <b:Volume>16</b:Volume>
    <b:Issue>1</b:Issue>
    <b:Pages>57-75</b:Pages>
    <b:RefOrder>124</b:RefOrder>
  </b:Source>
  <b:Source>
    <b:Tag>Noo11</b:Tag>
    <b:SourceType>JournalArticle</b:SourceType>
    <b:Guid>{1B4B9749-F028-8E42-A325-79CF070FE56B}</b:Guid>
    <b:Author>
      <b:Author>
        <b:NameList>
          <b:Person>
            <b:Last>Noor</b:Last>
            <b:First>Noorazah.</b:First>
          </b:Person>
          <b:Person>
            <b:Last>Salim</b:Last>
            <b:First>Juhana</b:First>
          </b:Person>
        </b:NameList>
      </b:Author>
    </b:Author>
    <b:Title>Factors Influencing Employee Knowledge Sharing Capabilities in Electronic Government Agencies in Malaysia</b:Title>
    <b:Volume>8</b:Volume>
    <b:Year>2011</b:Year>
    <b:Pages>106-114</b:Pages>
    <b:JournalName>International Journal of Computer Science Issues</b:JournalName>
    <b:Issue>4</b:Issue>
    <b:RefOrder>125</b:RefOrder>
  </b:Source>
  <b:Source>
    <b:Tag>Kin99</b:Tag>
    <b:SourceType>JournalArticle</b:SourceType>
    <b:Guid>{3C808457-BE14-FB48-99A4-BB5A876AA5BE}</b:Guid>
    <b:Author>
      <b:Author>
        <b:NameList>
          <b:Person>
            <b:Last>King</b:Last>
            <b:First>Cheryl</b:First>
            <b:Middle>Duvall</b:Middle>
          </b:Person>
        </b:NameList>
      </b:Author>
    </b:Author>
    <b:Title>Developing individual freedom to act: Empowerment in the knowledge organization</b:Title>
    <b:JournalName>Participation and Empowerment: An International Journal</b:JournalName>
    <b:Year>1999</b:Year>
    <b:Volume>7</b:Volume>
    <b:Issue>8</b:Issue>
    <b:Pages>204-212</b:Pages>
    <b:RefOrder>44</b:RefOrder>
  </b:Source>
  <b:Source>
    <b:Tag>His04</b:Tag>
    <b:SourceType>ConferenceProceedings</b:SourceType>
    <b:Guid>{46616647-7D19-8B4B-8EF4-A755EFA7EC3C}</b:Guid>
    <b:Author>
      <b:Author>
        <b:NameList>
          <b:Person>
            <b:Last>Hishamuddin</b:Last>
            <b:First>M.</b:First>
            <b:Middle>S.</b:Middle>
          </b:Person>
          <b:Person>
            <b:Last>Norliza</b:Last>
            <b:First>M.</b:First>
            <b:Middle>S.</b:Middle>
          </b:Person>
          <b:Person>
            <b:Last>Azlah</b:Last>
            <b:First>M.</b:First>
            <b:Middle>A.</b:Middle>
          </b:Person>
          <b:Person>
            <b:Last>SitiZaleha</b:Last>
            <b:First>O.</b:First>
          </b:Person>
          <b:Person>
            <b:Last>Thuaibah</b:Last>
            <b:First>A.</b:First>
            <b:Middle>B.</b:Middle>
          </b:Person>
        </b:NameList>
      </b:Author>
    </b:Author>
    <b:Title>Knowledge management practices amongst top 1000 Malaysian organizations: An insight</b:Title>
    <b:City>Malaysia</b:City>
    <b:Year>2004</b:Year>
    <b:ConferenceName>Universiti Tenaga Nasional International Management Conference</b:ConferenceName>
    <b:RefOrder>126</b:RefOrder>
  </b:Source>
  <b:Source>
    <b:Tag>Kum16</b:Tag>
    <b:SourceType>JournalArticle</b:SourceType>
    <b:Guid>{7846A46A-EC28-7F4D-8100-083BC40B7577}</b:Guid>
    <b:Author>
      <b:Author>
        <b:NameList>
          <b:Person>
            <b:Last>Kumar</b:Last>
            <b:First>M.</b:First>
          </b:Person>
          <b:Person>
            <b:Last>Jaurhari</b:Last>
            <b:First>H.</b:First>
          </b:Person>
        </b:NameList>
      </b:Author>
    </b:Author>
    <b:Title>Satisfaction of learning, performance, and relatedness needs at work and employees' organizational identification</b:Title>
    <b:ConferenceName>Internationa</b:ConferenceName>
    <b:Volume>65</b:Volume>
    <b:Year>2016</b:Year>
    <b:Pages>760-772</b:Pages>
    <b:JournalName>International Journal of Productivity and Performance Management</b:JournalName>
    <b:Issue>6</b:Issue>
    <b:RefOrder>37</b:RefOrder>
  </b:Source>
  <b:Source>
    <b:Tag>Ala01</b:Tag>
    <b:SourceType>ArticleInAPeriodical</b:SourceType>
    <b:Guid>{78E7417D-44B0-144D-BB7E-24A631F98C9A}</b:Guid>
    <b:Author>
      <b:Author>
        <b:NameList>
          <b:Person>
            <b:Last>Alavi</b:Last>
            <b:First>Maryam</b:First>
          </b:Person>
          <b:Person>
            <b:Last>Leidner</b:Last>
            <b:First>Dorothy</b:First>
            <b:Middle>E.</b:Middle>
          </b:Person>
        </b:NameList>
      </b:Author>
    </b:Author>
    <b:Title>Review: Knowledge management and knowledge management systems: Conceptual foundations and research issues.</b:Title>
    <b:Year>2001</b:Year>
    <b:Pages>107-136</b:Pages>
    <b:PeriodicalTitle>MIS quarterly</b:PeriodicalTitle>
    <b:RefOrder>9</b:RefOrder>
  </b:Source>
  <b:Source>
    <b:Tag>Von98</b:Tag>
    <b:SourceType>JournalArticle</b:SourceType>
    <b:Guid>{B6FD0868-2ACB-4B47-9AC5-8797460B7C33}</b:Guid>
    <b:Author>
      <b:Author>
        <b:NameList>
          <b:Person>
            <b:Last>Von Krogh</b:Last>
            <b:First>G.</b:First>
          </b:Person>
        </b:NameList>
      </b:Author>
    </b:Author>
    <b:Title>Care in Knowledge Creation</b:Title>
    <b:Year>1998</b:Year>
    <b:Volume>40</b:Volume>
    <b:Issue>3</b:Issue>
    <b:Pages>133-153</b:Pages>
    <b:JournalName>California Management Review</b:JournalName>
    <b:RefOrder>10</b:RefOrder>
  </b:Source>
  <b:Source>
    <b:Tag>KPM98</b:Tag>
    <b:SourceType>ArticleInAPeriodical</b:SourceType>
    <b:Guid>{A32D4A25-D1E5-2C4D-8676-64E8C22174D7}</b:Guid>
    <b:Author>
      <b:Author>
        <b:Corporate>KPMG</b:Corporate>
      </b:Author>
    </b:Author>
    <b:Title>Case Study: Building a Platform for Corporate Knowledge</b:Title>
    <b:Publisher>KPMG Management Consulting</b:Publisher>
    <b:Year>1998</b:Year>
    <b:RefOrder>127</b:RefOrder>
  </b:Source>
  <b:Source>
    <b:Tag>Tee98</b:Tag>
    <b:SourceType>JournalArticle</b:SourceType>
    <b:Guid>{351FBBD4-BA38-FC45-A7E1-D6366AB82B88}</b:Guid>
    <b:Author>
      <b:Author>
        <b:NameList>
          <b:Person>
            <b:Last>Teece</b:Last>
            <b:First>D.</b:First>
          </b:Person>
        </b:NameList>
      </b:Author>
    </b:Author>
    <b:Title>Capturing Value from Knowledge Assets: The New Economy, Markets for Know-How, and Intangible Assets</b:Title>
    <b:Year>1998</b:Year>
    <b:Volume>40</b:Volume>
    <b:Issue>3</b:Issue>
    <b:Pages>55-79</b:Pages>
    <b:JournalName>California Management Review</b:JournalName>
    <b:RefOrder>128</b:RefOrder>
  </b:Source>
  <b:Source>
    <b:Tag>Cra98</b:Tag>
    <b:SourceType>ArticleInAPeriodical</b:SourceType>
    <b:Guid>{E9CD310B-0756-E246-8E2E-7B8425417998}</b:Guid>
    <b:Author>
      <b:Author>
        <b:Corporate>Cranfield University</b:Corporate>
      </b:Author>
    </b:Author>
    <b:Title>The Cranfield/Information Strategy Knowledge Survey: Europe's State of the Art in Knowledge Management</b:Title>
    <b:Year>1998</b:Year>
    <b:PeriodicalTitle>The Economist Group</b:PeriodicalTitle>
    <b:RefOrder>129</b:RefOrder>
  </b:Source>
  <b:Source>
    <b:Tag>Sch90</b:Tag>
    <b:SourceType>ArticleInAPeriodical</b:SourceType>
    <b:Guid>{7F580DFE-2ADC-874C-96C0-3DF9A32B69CC}</b:Guid>
    <b:Author>
      <b:Author>
        <b:NameList>
          <b:Person>
            <b:Last>Schoonhoven</b:Last>
            <b:First>C.</b:First>
          </b:Person>
          <b:Person>
            <b:Last>Eisenhardt</b:Last>
            <b:First>K.</b:First>
          </b:Person>
          <b:Person>
            <b:Last>Lyman</b:Last>
            <b:First>K.</b:First>
          </b:Person>
        </b:NameList>
      </b:Author>
    </b:Author>
    <b:Title>Speeding products to market: waiting time to first product introduction in new firms</b:Title>
    <b:PeriodicalTitle>Administrative Science Quarterly</b:PeriodicalTitle>
    <b:Year>1990</b:Year>
    <b:Volume>35</b:Volume>
    <b:Pages>177-207</b:Pages>
    <b:RefOrder>51</b:RefOrder>
  </b:Source>
  <b:Source>
    <b:Tag>JBa</b:Tag>
    <b:SourceType>JournalArticle</b:SourceType>
    <b:Guid>{DA0BD22D-C9BB-4243-B5E4-A9C9DF0EF192}</b:Guid>
    <b:Author>
      <b:Author>
        <b:NameList>
          <b:Person>
            <b:Last>Barney</b:Last>
            <b:First>J.</b:First>
          </b:Person>
        </b:NameList>
      </b:Author>
    </b:Author>
    <b:Title>Firm resources and sustained competitive advantage</b:Title>
    <b:Year>1991</b:Year>
    <b:Volume>17</b:Volume>
    <b:Issue>1</b:Issue>
    <b:Pages>99-120</b:Pages>
    <b:JournalName>Jornal of Management</b:JournalName>
    <b:RefOrder>130</b:RefOrder>
  </b:Source>
  <b:Source>
    <b:Tag>Lea69</b:Tag>
    <b:SourceType>Book</b:SourceType>
    <b:Guid>{FCDBD429-478A-F440-B927-DE613FF7D4DA}</b:Guid>
    <b:Author>
      <b:Author>
        <b:NameList>
          <b:Person>
            <b:Last>Learned</b:Last>
            <b:First>E.P.</b:First>
          </b:Person>
        </b:NameList>
      </b:Author>
    </b:Author>
    <b:Title>Business policy: Text and cases</b:Title>
    <b:Publisher>RD Irwin</b:Publisher>
    <b:City>Homewood, IL </b:City>
    <b:Year>1969</b:Year>
    <b:RefOrder>131</b:RefOrder>
  </b:Source>
  <b:Source>
    <b:Tag>Por85</b:Tag>
    <b:SourceType>Book</b:SourceType>
    <b:Guid>{392D087A-9305-9945-A396-D24006D66785}</b:Guid>
    <b:Author>
      <b:Author>
        <b:NameList>
          <b:Person>
            <b:Last>Porter</b:Last>
            <b:First>M.E.</b:First>
          </b:Person>
        </b:NameList>
      </b:Author>
    </b:Author>
    <b:Title>Competitive advantage</b:Title>
    <b:City>New York</b:City>
    <b:Publisher>Free Press</b:Publisher>
    <b:Year>1985</b:Year>
    <b:RefOrder>132</b:RefOrder>
  </b:Source>
  <b:Source>
    <b:Tag>ADa04</b:Tag>
    <b:SourceType>JournalArticle</b:SourceType>
    <b:Guid>{CE7F85BF-A1E3-B44A-BD93-B1158E51B3C9}</b:Guid>
    <b:Title>Absorptive capacity and the implementation of knowledge-intensive best practices</b:Title>
    <b:Year>2004</b:Year>
    <b:Volume>69</b:Volume>
    <b:Pages>21-27</b:Pages>
    <b:Author>
      <b:Author>
        <b:NameList>
          <b:Person>
            <b:Last>Daghfous</b:Last>
            <b:First>A.</b:First>
          </b:Person>
        </b:NameList>
      </b:Author>
    </b:Author>
    <b:JournalName>S.A.M. Advanced Management Journal</b:JournalName>
    <b:Issue>2</b:Issue>
    <b:RefOrder>133</b:RefOrder>
  </b:Source>
  <b:Source>
    <b:Tag>DIP06</b:Tag>
    <b:SourceType>JournalArticle</b:SourceType>
    <b:Guid>{84AF1549-81F0-7E47-BB56-40B34924989E}</b:Guid>
    <b:Author>
      <b:Author>
        <b:NameList>
          <b:Person>
            <b:Last>Prajogo</b:Last>
            <b:First>D.I.</b:First>
          </b:Person>
          <b:Person>
            <b:Last>Ahmed</b:Last>
            <b:First>P.K.</b:First>
          </b:Person>
        </b:NameList>
      </b:Author>
    </b:Author>
    <b:Title>Relationships between innovation stimulus, innovation capacity, and innovation performance</b:Title>
    <b:JournalName>R &amp; D Management</b:JournalName>
    <b:Year>2006</b:Year>
    <b:Volume>26</b:Volume>
    <b:Issue>5</b:Issue>
    <b:Pages>499–515</b:Pages>
    <b:RefOrder>134</b:RefOrder>
  </b:Source>
  <b:Source>
    <b:Tag>DLa06</b:Tag>
    <b:SourceType>JournalArticle</b:SourceType>
    <b:Guid>{9A9362F5-A3AD-6C47-A9DB-60E30A4B79D9}</b:Guid>
    <b:Author>
      <b:Author>
        <b:NameList>
          <b:Person>
            <b:Last>Lavie</b:Last>
            <b:First>D.</b:First>
          </b:Person>
        </b:NameList>
      </b:Author>
    </b:Author>
    <b:Title>The competitive advantage of interconnected firms: An extension of the resource-based view</b:Title>
    <b:JournalName>Academy of Management Review</b:JournalName>
    <b:Year>2006</b:Year>
    <b:Volume>31</b:Volume>
    <b:Issue>3</b:Issue>
    <b:Pages>638–658</b:Pages>
    <b:RefOrder>135</b:RefOrder>
  </b:Source>
  <b:Source>
    <b:Tag>Tee07</b:Tag>
    <b:SourceType>JournalArticle</b:SourceType>
    <b:Guid>{FA53A997-1BCA-1C4B-923D-98BC46C9B41E}</b:Guid>
    <b:Author>
      <b:Author>
        <b:NameList>
          <b:Person>
            <b:Last>Teece</b:Last>
            <b:First>D.J.</b:First>
          </b:Person>
        </b:NameList>
      </b:Author>
    </b:Author>
    <b:Title>Explicating dynamic capabilities: The nature and microfoundations of (sustainable) enterprise performance</b:Title>
    <b:JournalName>Strategic Management Journal</b:JournalName>
    <b:Year>2007</b:Year>
    <b:Volume>28</b:Volume>
    <b:Issue>13</b:Issue>
    <b:Pages>1319–1350</b:Pages>
    <b:RefOrder>136</b:RefOrder>
  </b:Source>
  <b:Source>
    <b:Tag>YuS</b:Tag>
    <b:SourceType>JournalArticle</b:SourceType>
    <b:Guid>{9014D4CF-E3B3-4D4F-A679-56DD108DD69D}</b:Guid>
    <b:Author>
      <b:Author>
        <b:NameList>
          <b:Person>
            <b:Last>Chen</b:Last>
            <b:First>Yu-Shan</b:First>
          </b:Person>
          <b:Person>
            <b:Last>Linb</b:Last>
            <b:First>Ming-Ji</b:First>
            <b:Middle>James</b:Middle>
          </b:Person>
          <b:Person>
            <b:Last>Chang</b:Last>
            <b:First>Ching-Hsun</b:First>
          </b:Person>
        </b:NameList>
      </b:Author>
    </b:Author>
    <b:Title>The positive effects of relationship learning and absorptive capacity on innovation performance and competitive advantage in industrial markets</b:Title>
    <b:JournalName>Industrial Marketing Management</b:JournalName>
    <b:Year>2009</b:Year>
    <b:Volume>38</b:Volume>
    <b:Issue>2</b:Issue>
    <b:Pages>152–158</b:Pages>
    <b:RefOrder>137</b:RefOrder>
  </b:Source>
  <b:Source>
    <b:Tag>VJG07</b:Tag>
    <b:SourceType>JournalArticle</b:SourceType>
    <b:Guid>{FF8CE6A4-9250-2546-9A0E-034DD3357D88}</b:Guid>
    <b:Author>
      <b:Author>
        <b:NameList>
          <b:Person>
            <b:Last>García-Morales</b:Last>
            <b:First>V.J.</b:First>
          </b:Person>
          <b:Person>
            <b:Last>Ruiz-Moreno</b:Last>
            <b:First>A.</b:First>
          </b:Person>
          <b:Person>
            <b:Last>Llorens-Montes</b:Last>
            <b:First>F.J.</b:First>
          </b:Person>
        </b:NameList>
      </b:Author>
    </b:Author>
    <b:Title>Effects of technology absorptive capacity and technology proactivity on organizational learning, innovation and performance: An empirical examination</b:Title>
    <b:JournalName>Technology Analysis &amp; Strategic Management</b:JournalName>
    <b:Year>2007</b:Year>
    <b:Volume>19</b:Volume>
    <b:Issue>4</b:Issue>
    <b:Pages>527–558</b:Pages>
    <b:RefOrder>52</b:RefOrder>
  </b:Source>
  <b:Source>
    <b:Tag>Nix11</b:Tag>
    <b:SourceType>JournalArticle</b:SourceType>
    <b:Guid>{5FD7165B-E1B7-0649-A54A-84AC9D139672}</b:Guid>
    <b:Author>
      <b:Author>
        <b:NameList>
          <b:Person>
            <b:Last>Kamukama</b:Last>
            <b:First>Nixon</b:First>
          </b:Person>
          <b:Person>
            <b:Last>Ahiauzu</b:Last>
            <b:First>Augustine</b:First>
          </b:Person>
          <b:Person>
            <b:Last>Ntayi</b:Last>
            <b:First>Joseph</b:First>
            <b:Middle>M.</b:Middle>
          </b:Person>
        </b:NameList>
      </b:Author>
    </b:Author>
    <b:Title>Competitive advantage: mediator of intellectual capital and performance</b:Title>
    <b:JournalName>Journal of Intellectual Capital</b:JournalName>
    <b:Year>2011</b:Year>
    <b:Volume>12</b:Volume>
    <b:Issue>1</b:Issue>
    <b:Pages>152-164</b:Pages>
    <b:RefOrder>138</b:RefOrder>
  </b:Source>
  <b:Source>
    <b:Tag>Mar10</b:Tag>
    <b:SourceType>JournalArticle</b:SourceType>
    <b:Guid>{643F280D-444E-C248-8E1D-AD30EB60E7FE}</b:Guid>
    <b:Author>
      <b:Author>
        <b:NameList>
          <b:Person>
            <b:Last>Minoja</b:Last>
            <b:First>Mario</b:First>
          </b:Person>
          <b:Person>
            <b:Last>Zollo</b:Last>
            <b:First>Maurizio</b:First>
          </b:Person>
          <b:Person>
            <b:Last>Coda</b:Last>
            <b:First>Vittorio</b:First>
          </b:Person>
        </b:NameList>
      </b:Author>
    </b:Author>
    <b:Title>Stakeholder cohesion, innovation, and competitive advantage</b:Title>
    <b:JournalName>Corporate Governance</b:JournalName>
    <b:Year>2010</b:Year>
    <b:Volume>10</b:Volume>
    <b:Issue>4</b:Issue>
    <b:Pages>395-405</b:Pages>
    <b:RefOrder>53</b:RefOrder>
  </b:Source>
  <b:Source>
    <b:Tag>Mur11</b:Tag>
    <b:SourceType>JournalArticle</b:SourceType>
    <b:Guid>{5792365B-313A-7341-83B1-98A4894100B9}</b:Guid>
    <b:Author>
      <b:Author>
        <b:NameList>
          <b:Person>
            <b:Last>Murray</b:Last>
            <b:First>J.</b:First>
          </b:Person>
          <b:Person>
            <b:Last>Gao</b:Last>
            <b:First>G.</b:First>
          </b:Person>
          <b:Person>
            <b:Last>Kotabe</b:Last>
            <b:First>M.</b:First>
          </b:Person>
        </b:NameList>
      </b:Author>
    </b:Author>
    <b:Title>Market orientation and performance of export ventures: the process through marketing capabilities and competitive advantages</b:Title>
    <b:JournalName>Journal of the Academy of Marketing Science</b:JournalName>
    <b:Year>2011</b:Year>
    <b:Volume>39</b:Volume>
    <b:Issue>2</b:Issue>
    <b:Pages>252-269</b:Pages>
    <b:RefOrder>139</b:RefOrder>
  </b:Source>
  <b:Source>
    <b:Tag>Spy11</b:Tag>
    <b:SourceType>JournalArticle</b:SourceType>
    <b:Guid>{E21B8AFF-BA44-FB47-B21C-AD143BEE5729}</b:Guid>
    <b:Author>
      <b:Author>
        <b:NameList>
          <b:Person>
            <b:Last>Spyropoulou</b:Last>
            <b:First>S.</b:First>
          </b:Person>
          <b:Person>
            <b:Last>Skarmeas</b:Last>
            <b:First>D.</b:First>
          </b:Person>
          <b:Person>
            <b:Last>Katsikeas</b:Last>
            <b:First>C.S.</b:First>
          </b:Person>
        </b:NameList>
      </b:Author>
    </b:Author>
    <b:Title>An examination of branding advantage in export ventures</b:Title>
    <b:JournalName>European Journal of Marketing</b:JournalName>
    <b:Year>2011</b:Year>
    <b:Volume>45</b:Volume>
    <b:Issue>6</b:Issue>
    <b:Pages>910-935</b:Pages>
    <b:RefOrder>140</b:RefOrder>
  </b:Source>
  <b:Source>
    <b:Tag>Day88</b:Tag>
    <b:SourceType>JournalArticle</b:SourceType>
    <b:Guid>{435525A2-0507-0643-84DD-C11631DE6036}</b:Guid>
    <b:Author>
      <b:Author>
        <b:NameList>
          <b:Person>
            <b:Last>Day</b:Last>
            <b:First>G.S.</b:First>
          </b:Person>
          <b:Person>
            <b:Last>Wensley</b:Last>
            <b:First>R.</b:First>
          </b:Person>
        </b:NameList>
      </b:Author>
    </b:Author>
    <b:Title>Assessing advantage: a framework for diagnosing competitive superiority</b:Title>
    <b:JournalName>Journal of Marketing</b:JournalName>
    <b:Year>1988</b:Year>
    <b:Volume>52</b:Volume>
    <b:Issue>2</b:Issue>
    <b:Pages>1-20</b:Pages>
    <b:RefOrder>141</b:RefOrder>
  </b:Source>
  <b:Source>
    <b:Tag>Por80</b:Tag>
    <b:SourceType>Book</b:SourceType>
    <b:Guid>{B1A1B696-7F70-3B4F-BDD1-91DEE271B46C}</b:Guid>
    <b:Author>
      <b:Author>
        <b:NameList>
          <b:Person>
            <b:Last>Porter</b:Last>
            <b:First>M.E.</b:First>
          </b:Person>
        </b:NameList>
      </b:Author>
    </b:Author>
    <b:Title>Competitive Strategy: Techniques for Analyzing Industries and Competitors</b:Title>
    <b:Publisher>Free Press</b:Publisher>
    <b:City>New York</b:City>
    <b:Year>1980</b:Year>
    <b:RefOrder>142</b:RefOrder>
  </b:Source>
  <b:Source>
    <b:Tag>Ard03</b:Tag>
    <b:SourceType>JournalArticle</b:SourceType>
    <b:Guid>{86B82DC1-F5B7-EC48-992C-036E2C2184A7}</b:Guid>
    <b:Title>Motivation and barriers to participation in virtual knowledge-sharing communities of practice</b:Title>
    <b:Year>2003</b:Year>
    <b:Volume>7</b:Volume>
    <b:Pages>64-77</b:Pages>
    <b:Author>
      <b:Author>
        <b:NameList>
          <b:Person>
            <b:Last>Ardichvill</b:Last>
            <b:First>A.</b:First>
          </b:Person>
          <b:Person>
            <b:Last>Page</b:Last>
            <b:First>V.</b:First>
          </b:Person>
          <b:Person>
            <b:Last>Wentling</b:Last>
            <b:First>T.</b:First>
          </b:Person>
        </b:NameList>
      </b:Author>
    </b:Author>
    <b:JournalName>Journal of Knowledge Management</b:JournalName>
    <b:Issue>1</b:Issue>
    <b:RefOrder>143</b:RefOrder>
  </b:Source>
  <b:Source>
    <b:Tag>Lie02</b:Tag>
    <b:SourceType>JournalArticle</b:SourceType>
    <b:Guid>{B0A03EB5-A3EB-6B49-AB81-ED3C3225CEF5}</b:Guid>
    <b:Author>
      <b:Author>
        <b:NameList>
          <b:Person>
            <b:Last>Liebowitz</b:Last>
            <b:First>J.</b:First>
          </b:Person>
        </b:NameList>
      </b:Author>
    </b:Author>
    <b:Title>Facilitating innovation through knowledge sharing: a look at the US Naval Surface Warfare Center-Carderock Division</b:Title>
    <b:JournalName>Journal of Computer Information Systems</b:JournalName>
    <b:Year>2002</b:Year>
    <b:Volume>42</b:Volume>
    <b:Issue>5</b:Issue>
    <b:Pages>1-6</b:Pages>
    <b:RefOrder>144</b:RefOrder>
  </b:Source>
  <b:Source>
    <b:Tag>Igb95</b:Tag>
    <b:SourceType>JournalArticle</b:SourceType>
    <b:Guid>{715E096F-40A6-D642-9BD5-30E84B6D71FE}</b:Guid>
    <b:Author>
      <b:Author>
        <b:NameList>
          <b:Person>
            <b:Last>Igbaria</b:Last>
            <b:First>M</b:First>
          </b:Person>
          <b:Person>
            <b:Last>Iivari</b:Last>
            <b:First>J</b:First>
          </b:Person>
        </b:NameList>
      </b:Author>
    </b:Author>
    <b:Title>The Effects of Self-Efficacy on Computer Usage</b:Title>
    <b:JournalName>Omega</b:JournalName>
    <b:Year>1995</b:Year>
    <b:Volume>23</b:Volume>
    <b:Issue>6</b:Issue>
    <b:Pages>587-605</b:Pages>
    <b:RefOrder>145</b:RefOrder>
  </b:Source>
  <b:Source>
    <b:Tag>WP202</b:Tag>
    <b:SourceType>InternetSite</b:SourceType>
    <b:Guid>{1B17B8AC-7381-674B-A97F-181E9A046F08}</b:Guid>
    <b:Author>
      <b:Author>
        <b:Corporate>WP2 Partners</b:Corporate>
      </b:Author>
    </b:Author>
    <b:Title>Analysis of the State of TheArt, Deliverable D 2.1. “State-Of-The-Art ofKnowledge Management”</b:Title>
    <b:Year>2002</b:Year>
    <b:PeriodicalTitle>Information SocietyTechnologies</b:PeriodicalTitle>
    <b:InternetSiteTitle>Information SocietyTechnologies</b:InternetSiteTitle>
    <b:URL>http://rocket.vub.ac.be/public_drafts/rocket-d2. 1-final-v 1 .pdf</b:URL>
    <b:YearAccessed>16thAgust2007</b:YearAccessed>
    <b:RefOrder>146</b:RefOrder>
  </b:Source>
  <b:Source>
    <b:Tag>Lia07</b:Tag>
    <b:SourceType>JournalArticle</b:SourceType>
    <b:Guid>{C78180F4-AAB7-FA4E-B25F-144A03C48F88}</b:Guid>
    <b:Author>
      <b:Author>
        <b:NameList>
          <b:Person>
            <b:Last>Liao</b:Last>
            <b:First>SH</b:First>
          </b:Person>
          <b:Person>
            <b:Last>Fei</b:Last>
            <b:First>WC</b:First>
          </b:Person>
          <b:Person>
            <b:Last>Chen</b:Last>
            <b:First>CC</b:First>
          </b:Person>
        </b:NameList>
      </b:Author>
    </b:Author>
    <b:Title>Knowledge Sharing, Absorptive Capacity andInnovation Capability: An Empirical Study of Taiwans Knowledge-Intensive Industries</b:Title>
    <b:Year>2007</b:Year>
    <b:JournalName>J. Inform. Sci</b:JournalName>
    <b:Volume>20</b:Volume>
    <b:Issue>10</b:Issue>
    <b:Pages>1-20</b:Pages>
    <b:RefOrder>147</b:RefOrder>
  </b:Source>
  <b:Source xmlns:b="http://schemas.openxmlformats.org/officeDocument/2006/bibliography">
    <b:Tag>LiZ08</b:Tag>
    <b:SourceType>JournalArticle</b:SourceType>
    <b:Guid>{424B0AC8-B564-354E-BE5C-F742F824D3AE}</b:Guid>
    <b:Author>
      <b:Author>
        <b:NameList>
          <b:Person>
            <b:Last>Li</b:Last>
            <b:First>Z</b:First>
          </b:Person>
          <b:Person>
            <b:Last>Li</b:Last>
            <b:First>M</b:First>
          </b:Person>
          <b:Person>
            <b:Last>Li</b:Last>
            <b:First>J</b:First>
          </b:Person>
        </b:NameList>
      </b:Author>
    </b:Author>
    <b:Title>An Empirical Research on the Influencing Factors of Knowledge Sharing Willingness among VirtualCommunity Members.Conference proceedings of 4th International Conference on Wireless Communications, Networking and Mobile Computing</b:Title>
    <b:JournalName>IEEE</b:JournalName>
    <b:Year>2008</b:Year>
    <b:Pages>1-4</b:Pages>
    <b:RefOrder>148</b:RefOrder>
  </b:Source>
  <b:Source>
    <b:Tag>Placeholder4</b:Tag>
    <b:SourceType>JournalArticle</b:SourceType>
    <b:Guid>{196FDA88-88E8-7449-BE09-4B0A506133E4}</b:Guid>
    <b:Author>
      <b:Author>
        <b:NameList>
          <b:Person>
            <b:Last>Durmusoglu</b:Last>
            <b:First>Serdar</b:First>
          </b:Person>
          <b:Person>
            <b:Last>Jacobs</b:Last>
            <b:First>Mark</b:First>
          </b:Person>
          <b:Person>
            <b:Last>Nayir</b:Last>
            <b:First>Dilek</b:First>
            <b:Middle>Zamantili</b:Middle>
          </b:Person>
          <b:Person>
            <b:Last>Khilji</b:Last>
            <b:First>Shaista</b:First>
          </b:Person>
          <b:Person>
            <b:Last>Wang</b:Last>
            <b:First>Xiaoyun</b:First>
          </b:Person>
        </b:NameList>
      </b:Author>
    </b:Author>
    <b:Title>The quasi-moderating role of organizational culture in the relationship between rewards and knowledge shared and gained</b:Title>
    <b:JournalName>Journal of Knolwedge Management</b:JournalName>
    <b:Year>2013</b:Year>
    <b:Volume>18</b:Volume>
    <b:Issue>1</b:Issue>
    <b:Pages>19-37</b:Pages>
    <b:RefOrder>149</b:RefOrder>
  </b:Source>
  <b:Source>
    <b:Tag>Kan05</b:Tag>
    <b:SourceType>JournalArticle</b:SourceType>
    <b:Guid>{11E3A745-7167-CA49-B188-F5B9BF2B3A34}</b:Guid>
    <b:Author>
      <b:Author>
        <b:NameList>
          <b:Person>
            <b:Last>Kankanhalli</b:Last>
            <b:First>A.</b:First>
          </b:Person>
          <b:Person>
            <b:Last>Tan</b:Last>
            <b:First>B.C.Y.</b:First>
          </b:Person>
          <b:Person>
            <b:Last>Wei</b:Last>
            <b:First>K.K.</b:First>
          </b:Person>
        </b:NameList>
      </b:Author>
    </b:Author>
    <b:Title>Contributing knowledge to electronic knowledge repositories: an empirical investigation</b:Title>
    <b:JournalName>MIS Quarterly</b:JournalName>
    <b:Year>2005</b:Year>
    <b:Volume>29</b:Volume>
    <b:Issue>1</b:Issue>
    <b:Pages>113-4</b:Pages>
    <b:RefOrder>150</b:RefOrder>
  </b:Source>
  <b:Source>
    <b:Tag>Lin09</b:Tag>
    <b:SourceType>JournalArticle</b:SourceType>
    <b:Guid>{394B0759-8AA1-5C49-A044-6975C9AA9DCA}</b:Guid>
    <b:Author>
      <b:Author>
        <b:NameList>
          <b:Person>
            <b:Last>Ling</b:Last>
            <b:First>C.W.</b:First>
          </b:Person>
          <b:Person>
            <b:Last>Sandhu</b:Last>
            <b:First>M.S.</b:First>
          </b:Person>
          <b:Person>
            <b:Last>Jain</b:Last>
            <b:First>K.K.</b:First>
          </b:Person>
        </b:NameList>
      </b:Author>
    </b:Author>
    <b:Title>Knowledge sharing in an American multinational company based in Malaysia”</b:Title>
    <b:JournalName>Journal of workplace learning</b:JournalName>
    <b:Year>2009</b:Year>
    <b:Volume>21</b:Volume>
    <b:Issue>2</b:Issue>
    <b:Pages>125-142</b:Pages>
    <b:RefOrder>151</b:RefOrder>
  </b:Source>
  <b:Source>
    <b:Tag>Dar03</b:Tag>
    <b:SourceType>JournalArticle</b:SourceType>
    <b:Guid>{80349071-9F81-8A40-829D-1E7312EACC77}</b:Guid>
    <b:Author>
      <b:Author>
        <b:NameList>
          <b:Person>
            <b:Last>Darroch</b:Last>
            <b:First>J.</b:First>
          </b:Person>
        </b:NameList>
      </b:Author>
    </b:Author>
    <b:Title>Developing a measure of knowledge management behaviours and practices’’,</b:Title>
    <b:JournalName>Journal of knowledge management</b:JournalName>
    <b:Year>2003</b:Year>
    <b:Volume>7</b:Volume>
    <b:Issue>5</b:Issue>
    <b:Pages>41-54</b:Pages>
    <b:RefOrder>152</b:RefOrder>
  </b:Source>
  <b:Source>
    <b:Tag>Kas09</b:Tag>
    <b:SourceType>JournalArticle</b:SourceType>
    <b:Guid>{51C80542-8699-4746-BD73-3357C38CC15E}</b:Guid>
    <b:Author>
      <b:Author>
        <b:NameList>
          <b:Person>
            <b:Last>Kasper</b:Last>
            <b:First>H</b:First>
          </b:Person>
          <b:Person>
            <b:Last>Lehrer</b:Last>
            <b:First>M</b:First>
          </b:Person>
          <b:Person>
            <b:Last>Muhlbacher</b:Last>
            <b:First>J</b:First>
          </b:Person>
          <b:Person>
            <b:Last>Muller</b:Last>
            <b:First>B</b:First>
          </b:Person>
        </b:NameList>
      </b:Author>
    </b:Author>
    <b:Title>Integration-responsiveness and knowledge-management perspectives on the MNC</b:Title>
    <b:JournalName>J. Leadersh. Org. Stud</b:JournalName>
    <b:Year>2009</b:Year>
    <b:Volume>15</b:Volume>
    <b:Issue>3</b:Issue>
    <b:Pages>287-303</b:Pages>
    <b:RefOrder>153</b:RefOrder>
  </b:Source>
  <b:Source>
    <b:Tag>Ber06</b:Tag>
    <b:SourceType>JournalArticle</b:SourceType>
    <b:Guid>{4CA05CB4-44A0-4649-8197-1D15F55C0525}</b:Guid>
    <b:Author>
      <b:Author>
        <b:NameList>
          <b:Person>
            <b:Last>Bernus</b:Last>
            <b:First>P</b:First>
          </b:Person>
          <b:Person>
            <b:Last>Kalpric</b:Last>
            <b:First>B</b:First>
          </b:Person>
        </b:NameList>
      </b:Author>
    </b:Author>
    <b:Title>Business process modeling through the knowledge management perspective</b:Title>
    <b:JournalName>Journal of knowledge management</b:JournalName>
    <b:Year>2006</b:Year>
    <b:Volume>10</b:Volume>
    <b:Issue>3</b:Issue>
    <b:Pages>40-56</b:Pages>
    <b:RefOrder>154</b:RefOrder>
  </b:Source>
  <b:Source>
    <b:Tag>Kea03</b:Tag>
    <b:SourceType>JournalArticle</b:SourceType>
    <b:Guid>{3556F557-976A-A94B-BB95-5E9EE8E1A6F9}</b:Guid>
    <b:Author>
      <b:Author>
        <b:NameList>
          <b:Person>
            <b:Last>Kearns</b:Last>
            <b:First>GS</b:First>
          </b:Person>
          <b:Person>
            <b:Last>Lederer</b:Last>
            <b:First>AL</b:First>
          </b:Person>
        </b:NameList>
      </b:Author>
    </b:Author>
    <b:Title>A resource-based view of strategic IT alignment: How knowledge sharing creates competitive advantage</b:Title>
    <b:JournalName>J. Decis. Sci.</b:JournalName>
    <b:Year>2003</b:Year>
    <b:Volume>34</b:Volume>
    <b:Issue>1</b:Issue>
    <b:Pages>1-29</b:Pages>
    <b:RefOrder>155</b:RefOrder>
  </b:Source>
  <b:Source>
    <b:Tag>Cra05</b:Tag>
    <b:SourceType>JournalArticle</b:SourceType>
    <b:Guid>{2B5C180E-6277-DA40-ABC0-2378317F8C57}</b:Guid>
    <b:Author>
      <b:Author>
        <b:NameList>
          <b:Person>
            <b:Last>Crawford</b:Last>
            <b:First>C.B.</b:First>
          </b:Person>
        </b:NameList>
      </b:Author>
    </b:Author>
    <b:Title>Effects of transformational leadership and organizational position on knowledge management</b:Title>
    <b:JournalName>Journal of Knowledge Management</b:JournalName>
    <b:Year>2005</b:Year>
    <b:Volume>9</b:Volume>
    <b:Pages>6-16</b:Pages>
    <b:RefOrder>156</b:RefOrder>
  </b:Source>
  <b:Source>
    <b:Tag>Placeholder6</b:Tag>
    <b:SourceType>JournalArticle</b:SourceType>
    <b:Guid>{DB00EDAA-DDCE-3B4C-ACA1-A5B34EDC4384}</b:Guid>
    <b:Author>
      <b:Author>
        <b:NameList>
          <b:Person>
            <b:Last>Politis</b:Last>
            <b:First>J.D.</b:First>
          </b:Person>
        </b:NameList>
      </b:Author>
    </b:Author>
    <b:Title>Transformational and transactional leadership enabling (disabling), knowledge acquisition of self-managed teams: the consequences for performance</b:Title>
    <b:JournalName>Leadership &amp; Organization Development Journal</b:JournalName>
    <b:Year>2002</b:Year>
    <b:Volume>23</b:Volume>
    <b:Pages>186-97</b:Pages>
    <b:RefOrder>157</b:RefOrder>
  </b:Source>
  <b:Source>
    <b:Tag>Ban82</b:Tag>
    <b:SourceType>JournalArticle</b:SourceType>
    <b:Guid>{00ED739F-C8F4-5046-AD13-0F542FD69106}</b:Guid>
    <b:Author>
      <b:Author>
        <b:NameList>
          <b:Person>
            <b:Last>Bandura</b:Last>
            <b:First>A.</b:First>
          </b:Person>
        </b:NameList>
      </b:Author>
    </b:Author>
    <b:Title>The assessment and predictive generality of self-percepts of efficacy</b:Title>
    <b:JournalName>J. Behav. Therapy Exp. Psychiatry</b:JournalName>
    <b:Year>1982</b:Year>
    <b:Volume>13</b:Volume>
    <b:Pages>195-199</b:Pages>
    <b:RefOrder>158</b:RefOrder>
  </b:Source>
  <b:Source>
    <b:Tag>Placeholder7</b:Tag>
    <b:SourceType>Report</b:SourceType>
    <b:Guid>{2D7DC9B6-45BF-9146-93EC-64AF435BA20E}</b:Guid>
    <b:Author>
      <b:Author>
        <b:NameList>
          <b:Person>
            <b:Last>Zheng</b:Last>
            <b:First>Changda</b:First>
          </b:Person>
        </b:NameList>
      </b:Author>
    </b:Author>
    <b:Title>A correlational study of organizationa innovation capability and two factors: innovation drivers and organizational culture</b:Title>
    <b:Institution>UNIVERSITY OF PHOENIX</b:Institution>
    <b:Publisher>Dissertation</b:Publisher>
    <b:Year>2009</b:Year>
    <b:RefOrder>159</b:RefOrder>
  </b:Source>
  <b:Source>
    <b:Tag>Placeholder8</b:Tag>
    <b:SourceType>JournalArticle</b:SourceType>
    <b:Guid>{3C4D50EF-A52F-A849-BEEE-2F6F0B86DE7F}</b:Guid>
    <b:Author>
      <b:Author>
        <b:NameList>
          <b:Person>
            <b:Last>Tangaraja</b:Last>
            <b:First>Gangeswari</b:First>
          </b:Person>
          <b:Person>
            <b:Last>Rasdi</b:Last>
            <b:First>Roziah</b:First>
            <b:Middle>Mohd</b:Middle>
          </b:Person>
          <b:Person>
            <b:Last>Ismail</b:Last>
            <b:First>Maimunah</b:First>
          </b:Person>
          <b:Person>
            <b:Last>Abu-Samah</b:Last>
            <b:First>Bahaman</b:First>
          </b:Person>
        </b:NameList>
      </b:Author>
    </b:Author>
    <b:Title>Fostering knowledge sharing behaviour among public sector managers: a proposed model for the Malaysian public service</b:Title>
    <b:Year>2015</b:Year>
    <b:Volume>19</b:Volume>
    <b:Pages>121-140</b:Pages>
    <b:JournalName>Journal of Knolwedge Management</b:JournalName>
    <b:Issue>1</b:Issue>
    <b:RefOrder>160</b:RefOrder>
  </b:Source>
  <b:Source>
    <b:Tag>Placeholder9</b:Tag>
    <b:SourceType>JournalArticle</b:SourceType>
    <b:Guid>{FB64B45F-C210-6A4C-B8D9-DBEE76615A5E}</b:Guid>
    <b:Author>
      <b:Author>
        <b:NameList>
          <b:Person>
            <b:Last>Al-Alawi</b:Last>
            <b:First>A.</b:First>
            <b:Middle>I.</b:Middle>
          </b:Person>
          <b:Person>
            <b:Last>Al-Marzooqi</b:Last>
            <b:First>N.</b:First>
            <b:Middle>Y.</b:Middle>
          </b:Person>
          <b:Person>
            <b:Last>Mohammed</b:Last>
            <b:First>Y.</b:First>
            <b:Middle>F.</b:Middle>
          </b:Person>
        </b:NameList>
      </b:Author>
    </b:Author>
    <b:Title>Organizational culture and knowledge sharing: critical success factors</b:Title>
    <b:JournalName>Journal of Knowledge Management</b:JournalName>
    <b:Year>2007</b:Year>
    <b:Volume>11</b:Volume>
    <b:Issue>2</b:Issue>
    <b:Pages>22-42</b:Pages>
    <b:RefOrder>161</b:RefOrder>
  </b:Source>
  <b:Source>
    <b:Tag>Han16</b:Tag>
    <b:SourceType>JournalArticle</b:SourceType>
    <b:Guid>{8C16CB34-39D3-C74B-9B50-6EBCDA0323CA}</b:Guid>
    <b:Author>
      <b:Author>
        <b:NameList>
          <b:Person>
            <b:Last>Han</b:Last>
            <b:First>S.H.</b:First>
          </b:Person>
          <b:Person>
            <b:Last>Seo</b:Last>
            <b:First>G.</b:First>
          </b:Person>
          <b:Person>
            <b:Last>Yoon</b:Last>
            <b:First>S.W.</b:First>
          </b:Person>
          <b:Person>
            <b:Last>Yoon</b:Last>
            <b:First>D.</b:First>
          </b:Person>
        </b:NameList>
      </b:Author>
    </b:Author>
    <b:Title>Transformational leadership and knowledge sharing Mediating roles of employee’s empowerment, commitment, and citizenship behaviors</b:Title>
    <b:JournalName>Journal of Workplace Learning</b:JournalName>
    <b:Year>2016</b:Year>
    <b:Volume>28</b:Volume>
    <b:Issue>3</b:Issue>
    <b:Pages>130-149</b:Pages>
    <b:RefOrder>162</b:RefOrder>
  </b:Source>
  <b:Source>
    <b:Tag>Placeholder14</b:Tag>
    <b:SourceType>JournalArticle</b:SourceType>
    <b:Guid>{765D1A8A-F925-274B-892A-9C2EA4E65830}</b:Guid>
    <b:Author>
      <b:Author>
        <b:NameList>
          <b:Person>
            <b:Last>Ness</b:Last>
            <b:First>J.</b:First>
          </b:Person>
          <b:Person>
            <b:Last>Søreide</b:Last>
            <b:First>G.E.</b:First>
          </b:Person>
        </b:NameList>
      </b:Author>
    </b:Author>
    <b:Title>The Room of Opportunity: understanding phases of creative knowledge processes in innovation</b:Title>
    <b:JournalName>Journal of Workplace Learning</b:JournalName>
    <b:Year>2014</b:Year>
    <b:Volume>26</b:Volume>
    <b:Issue>8</b:Issue>
    <b:Pages>545-560</b:Pages>
    <b:RefOrder>163</b:RefOrder>
  </b:Source>
  <b:Source>
    <b:Tag>Placeholder15</b:Tag>
    <b:SourceType>JournalArticle</b:SourceType>
    <b:Guid>{099E6525-BDD8-E949-AABB-A4AE4EA69EEB}</b:Guid>
    <b:Author>
      <b:Author>
        <b:NameList>
          <b:Person>
            <b:Last>Prince</b:Last>
            <b:First>M.</b:First>
          </b:Person>
          <b:Person>
            <b:Last>Burns</b:Last>
            <b:First>D.</b:First>
          </b:Person>
          <b:Person>
            <b:Last>Lu</b:Last>
            <b:First>X.</b:First>
          </b:Person>
          <b:Person>
            <b:Last>Winsor</b:Last>
            <b:First>R.</b:First>
          </b:Person>
        </b:NameList>
      </b:Author>
    </b:Author>
    <b:Title>Knowledge and skills transfer between MBA and workplace</b:Title>
    <b:JournalName>Journal of Workplace Learning</b:JournalName>
    <b:Year>2015</b:Year>
    <b:Volume>27</b:Volume>
    <b:Issue>3</b:Issue>
    <b:Pages>207-225</b:Pages>
    <b:RefOrder>164</b:RefOrder>
  </b:Source>
  <b:Source>
    <b:Tag>Han991</b:Tag>
    <b:SourceType>ArticleInAPeriodical</b:SourceType>
    <b:Guid>{0E452191-0642-EE40-88E6-DB9D794D731B}</b:Guid>
    <b:Author>
      <b:Author>
        <b:NameList>
          <b:Person>
            <b:Last>Hansen</b:Last>
            <b:First>M.T.</b:First>
          </b:Person>
        </b:NameList>
      </b:Author>
    </b:Author>
    <b:Title>The search-transfer problem: the role of weak ties in sharing knowledge across organizational subunits</b:Title>
    <b:Year>1999</b:Year>
    <b:Volume>44</b:Volume>
    <b:Pages>82-111</b:Pages>
    <b:PeriodicalTitle>Administrative Science Quarterly</b:PeriodicalTitle>
    <b:Issue>1</b:Issue>
    <b:RefOrder>165</b:RefOrder>
  </b:Source>
  <b:Source>
    <b:Tag>Tsa02</b:Tag>
    <b:SourceType>JournalArticle</b:SourceType>
    <b:Guid>{1B832ED8-F858-2D49-9DD0-D192F9E4287C}</b:Guid>
    <b:Author>
      <b:Author>
        <b:NameList>
          <b:Person>
            <b:Last>Tsai</b:Last>
            <b:First>W.</b:First>
          </b:Person>
        </b:NameList>
      </b:Author>
    </b:Author>
    <b:Title>Social structure of ‘coopetition’ within a multiunit organization: coordination, competition, and intraorganizational knowledge sharing</b:Title>
    <b:Year>2002</b:Year>
    <b:Volume>13</b:Volume>
    <b:Issue>2</b:Issue>
    <b:Pages>179-90</b:Pages>
    <b:JournalName>Organization Science</b:JournalName>
    <b:RefOrder>166</b:RefOrder>
  </b:Source>
  <b:Source>
    <b:Tag>Mow96</b:Tag>
    <b:SourceType>JournalArticle</b:SourceType>
    <b:Guid>{1CA31C15-DED1-3B4A-B56F-0D43B6B2F838}</b:Guid>
    <b:Author>
      <b:Author>
        <b:NameList>
          <b:Person>
            <b:Last>Mowery</b:Last>
            <b:First>D.</b:First>
          </b:Person>
          <b:Person>
            <b:Last>Oxley</b:Last>
            <b:First>J.</b:First>
          </b:Person>
          <b:Person>
            <b:Last>Silverman</b:Last>
            <b:First>B.</b:First>
          </b:Person>
        </b:NameList>
      </b:Author>
    </b:Author>
    <b:Title>Strategic alliances and interfirm knowledge transfer</b:Title>
    <b:JournalName>Strategic Management Journal,</b:JournalName>
    <b:Year>1996</b:Year>
    <b:Volume>17</b:Volume>
    <b:Pages>77-91</b:Pages>
    <b:RefOrder>167</b:RefOrder>
  </b:Source>
  <b:Source>
    <b:Tag>Wij08</b:Tag>
    <b:SourceType>JournalArticle</b:SourceType>
    <b:Guid>{626FC133-32E3-4741-B922-657C62F9A172}</b:Guid>
    <b:Author>
      <b:Author>
        <b:NameList>
          <b:Person>
            <b:Last>Wijk van</b:Last>
            <b:First>R.</b:First>
          </b:Person>
          <b:Person>
            <b:Last>Jansen</b:Last>
            <b:First>J.J.</b:First>
          </b:Person>
          <b:Person>
            <b:Last>Lyles</b:Last>
            <b:First>M.A.</b:First>
          </b:Person>
        </b:NameList>
      </b:Author>
    </b:Author>
    <b:Title>Inter- and intra-organizational knowledge transfer: a meta-analytic review and assessment of its antecedents and consequences</b:Title>
    <b:JournalName>Journal of Management Studies</b:JournalName>
    <b:Year>2008</b:Year>
    <b:Volume>45</b:Volume>
    <b:Issue>4</b:Issue>
    <b:Pages>830-53</b:Pages>
    <b:RefOrder>168</b:RefOrder>
  </b:Source>
  <b:Source>
    <b:Tag>Gup00</b:Tag>
    <b:SourceType>JournalArticle</b:SourceType>
    <b:Guid>{D21A3838-3F49-C34F-AB22-58AA09F24E1F}</b:Guid>
    <b:Author>
      <b:Author>
        <b:NameList>
          <b:Person>
            <b:Last>Gupta</b:Last>
            <b:First>A.K.</b:First>
          </b:Person>
          <b:Person>
            <b:Last>Govindarajan</b:Last>
            <b:First>V.</b:First>
          </b:Person>
        </b:NameList>
      </b:Author>
    </b:Author>
    <b:Title>Knowledge flows within multinational corporations</b:Title>
    <b:JournalName>Strategic Management Journal</b:JournalName>
    <b:Year>2000</b:Year>
    <b:Volume>21</b:Volume>
    <b:Issue>4</b:Issue>
    <b:Pages>473-96</b:Pages>
    <b:RefOrder>169</b:RefOrder>
  </b:Source>
  <b:Source>
    <b:Tag>Sch01</b:Tag>
    <b:SourceType>JournalArticle</b:SourceType>
    <b:Guid>{1845C1C5-34BF-3F4A-9833-021935A5DAB5}</b:Guid>
    <b:Author>
      <b:Author>
        <b:NameList>
          <b:Person>
            <b:Last>Schulz</b:Last>
            <b:First>M.</b:First>
          </b:Person>
        </b:NameList>
      </b:Author>
    </b:Author>
    <b:Title>The uncertain relevance of newness: organizational learning and knowledge flows</b:Title>
    <b:JournalName>Academy of Management Journal</b:JournalName>
    <b:Year>2001</b:Year>
    <b:Volume>44</b:Volume>
    <b:Issue>4</b:Issue>
    <b:Pages>661-81</b:Pages>
    <b:RefOrder>170</b:RefOrder>
  </b:Source>
  <b:Source>
    <b:Tag>Hir13</b:Tag>
    <b:SourceType>JournalArticle</b:SourceType>
    <b:Guid>{5C3385EE-07E4-A64F-9C51-C6635347FB23}</b:Guid>
    <b:Author>
      <b:Author>
        <b:NameList>
          <b:Person>
            <b:Last>Waheed</b:Last>
            <b:First>Hira</b:First>
          </b:Person>
          <b:Person>
            <b:Last>Qureshi</b:Last>
            <b:First>Tahir</b:First>
            <b:Middle>Masood</b:Middle>
          </b:Person>
          <b:Person>
            <b:Last>Khan</b:Last>
            <b:First>M.</b:First>
            <b:Middle>Aslam</b:Middle>
          </b:Person>
          <b:Person>
            <b:Last>Hijazi</b:Last>
            <b:First>Syed</b:First>
            <b:Middle>Tahir</b:Middle>
          </b:Person>
        </b:NameList>
      </b:Author>
    </b:Author>
    <b:Title>Mediating role of knowledge sharing: Organizational performance for competitive advantage and innovation</b:Title>
    <b:JournalName>African Journal of Business Management</b:JournalName>
    <b:Year>2013</b:Year>
    <b:Volume>7</b:Volume>
    <b:Issue>7</b:Issue>
    <b:RefOrder>171</b:RefOrder>
  </b:Source>
  <b:Source>
    <b:Tag>Bri86</b:Tag>
    <b:SourceType>JournalArticle</b:SourceType>
    <b:Guid>{28B52392-78E6-0044-A2AC-4BAA61F1CBA6}</b:Guid>
    <b:Author>
      <b:Author>
        <b:NameList>
          <b:Person>
            <b:Last>Brief</b:Last>
            <b:First>A.P.</b:First>
          </b:Person>
          <b:Person>
            <b:Last>Motowildo</b:Last>
            <b:First>S.J.</b:First>
          </b:Person>
        </b:NameList>
      </b:Author>
    </b:Author>
    <b:Title>Proscial organizational behaviors</b:Title>
    <b:JournalName>Academy of Manegement Review</b:JournalName>
    <b:Year>1986</b:Year>
    <b:Volume>11</b:Volume>
    <b:Pages>710-25</b:Pages>
    <b:RefOrder>172</b:RefOrder>
  </b:Source>
  <b:Source>
    <b:Tag>Kel00</b:Tag>
    <b:SourceType>JournalArticle</b:SourceType>
    <b:Guid>{11E01168-3EE0-544D-AD2C-E51510A323BC}</b:Guid>
    <b:Author>
      <b:Author>
        <b:NameList>
          <b:Person>
            <b:Last>Kelloway</b:Last>
            <b:First>E.K.</b:First>
          </b:Person>
          <b:Person>
            <b:Last>Barling</b:Last>
            <b:First>J.</b:First>
          </b:Person>
        </b:NameList>
      </b:Author>
    </b:Author>
    <b:Title>Knowledge work as organizational behavior</b:Title>
    <b:JournalName>International Journal of Manegement Reviews</b:JournalName>
    <b:Year>2000</b:Year>
    <b:Volume>2</b:Volume>
    <b:Pages>287-304</b:Pages>
    <b:RefOrder>20</b:RefOrder>
  </b:Source>
  <b:Source>
    <b:Tag>LiX06</b:Tag>
    <b:SourceType>JournalArticle</b:SourceType>
    <b:Guid>{DEE60F7D-B8A0-D648-821D-34E2EF75DC32}</b:Guid>
    <b:Author>
      <b:Author>
        <b:NameList>
          <b:Person>
            <b:Last>Li</b:Last>
            <b:First>X.</b:First>
          </b:Person>
          <b:Person>
            <b:Last>Montazemi</b:Last>
            <b:First>A.R.</b:First>
          </b:Person>
          <b:Person>
            <b:Last>Yuan</b:Last>
            <b:First>Y.</b:First>
          </b:Person>
        </b:NameList>
      </b:Author>
    </b:Author>
    <b:Title>Agent-based buddy-finding methodology for knowledge sharing</b:Title>
    <b:JournalName>Infomration Management</b:JournalName>
    <b:Year>2006</b:Year>
    <b:Volume>43</b:Volume>
    <b:Pages>283-296</b:Pages>
    <b:RefOrder>173</b:RefOrder>
  </b:Source>
  <b:Source>
    <b:Tag>Muh111</b:Tag>
    <b:SourceType>JournalArticle</b:SourceType>
    <b:Guid>{E0C6931F-9CE6-EB40-8A9B-B4D76330A100}</b:Guid>
    <b:Author>
      <b:Author>
        <b:NameList>
          <b:Person>
            <b:Last>Iqbal</b:Last>
            <b:First>Muhammad</b:First>
            <b:Middle>Jawad</b:Middle>
          </b:Person>
          <b:Person>
            <b:Last>Rasli</b:Last>
            <b:First>Amran</b:First>
          </b:Person>
          <b:Person>
            <b:Last>Heng</b:Last>
            <b:First>Low</b:First>
            <b:Middle>Hock</b:Middle>
          </b:Person>
          <b:Person>
            <b:Last>Mohamad Bin Bilal Ali</b:Last>
            <b:First>Ibne</b:First>
            <b:Middle>Hassan and Ali Jolaee</b:Middle>
          </b:Person>
        </b:NameList>
      </b:Author>
    </b:Author>
    <b:Title>Academic staff knowledge sharing intentions and university innovation capability</b:Title>
    <b:JournalName>African Journal of Business Management</b:JournalName>
    <b:Year>2011</b:Year>
    <b:Volume>5</b:Volume>
    <b:Issue>27</b:Issue>
    <b:Pages>11051-11059</b:Pages>
    <b:RefOrder>11</b:RefOrder>
  </b:Source>
  <b:Source>
    <b:Tag>Fah98</b:Tag>
    <b:SourceType>JournalArticle</b:SourceType>
    <b:Guid>{DE8B22B9-4F1E-F74F-85A9-444C45F68C6C}</b:Guid>
    <b:Author>
      <b:Author>
        <b:NameList>
          <b:Person>
            <b:Last>Fahey</b:Last>
            <b:First>L.</b:First>
          </b:Person>
          <b:Person>
            <b:Last>Prusak</b:Last>
            <b:First>L.</b:First>
          </b:Person>
        </b:NameList>
      </b:Author>
    </b:Author>
    <b:Title>The Eleven Deadliest Sins of Knowledge Management</b:Title>
    <b:JournalName>California Management Review</b:JournalName>
    <b:Year>1998</b:Year>
    <b:Volume>40</b:Volume>
    <b:Issue>3</b:Issue>
    <b:Pages>265-276</b:Pages>
    <b:RefOrder>6</b:RefOrder>
  </b:Source>
  <b:Source>
    <b:Tag>Van97</b:Tag>
    <b:SourceType>ConferenceProceedings</b:SourceType>
    <b:Guid>{00FD9E26-8AF3-3640-B264-909697A51D7B}</b:Guid>
    <b:Title>Information, Knowledge and Wisdom: The Epistemic Hierarchy and Computer-Based Information System</b:Title>
    <b:Year>1997</b:Year>
    <b:Author>
      <b:Author>
        <b:NameList>
          <b:Person>
            <b:Last>Vance</b:Last>
            <b:First>D.</b:First>
            <b:Middle>M.</b:Middle>
          </b:Person>
        </b:NameList>
      </b:Author>
    </b:Author>
    <b:ConferenceName>Proceedings of the 1997 America’s Conference on Information Systems</b:ConferenceName>
    <b:RefOrder>174</b:RefOrder>
  </b:Source>
  <b:Source>
    <b:Tag>Mag96</b:Tag>
    <b:SourceType>JournalArticle</b:SourceType>
    <b:Guid>{940D9FC3-11EA-E744-B4BB-966670EA6A52}</b:Guid>
    <b:Author>
      <b:Author>
        <b:NameList>
          <b:Person>
            <b:Last>Maglitta</b:Last>
            <b:First>J.</b:First>
          </b:Person>
        </b:NameList>
      </b:Author>
    </b:Author>
    <b:Title>Know-How, Inc.</b:Title>
    <b:Volume>30</b:Volume>
    <b:Year>1996</b:Year>
    <b:JournalName>Computerworld</b:JournalName>
    <b:Issue>1</b:Issue>
    <b:RefOrder>175</b:RefOrder>
  </b:Source>
  <b:Source>
    <b:Tag>Dre81</b:Tag>
    <b:SourceType>Book</b:SourceType>
    <b:Guid>{85E04FFA-EC4A-6645-A8CE-05542C27EE9E}</b:Guid>
    <b:Author>
      <b:Author>
        <b:NameList>
          <b:Person>
            <b:Last>Dretske</b:Last>
            <b:First>F.</b:First>
          </b:Person>
        </b:NameList>
      </b:Author>
    </b:Author>
    <b:Title>Knowledge and the Flow of Information</b:Title>
    <b:Publisher>MIT Press</b:Publisher>
    <b:City>Cambridge</b:City>
    <b:Year>1981</b:Year>
    <b:RefOrder>176</b:RefOrder>
  </b:Source>
  <b:Source>
    <b:Tag>Ala011</b:Tag>
    <b:SourceType>ArticleInAPeriodical</b:SourceType>
    <b:Guid>{F576D69F-8B0D-F64B-A988-9823D37F2887}</b:Guid>
    <b:Title>Review: Knowledge management and knowledge management systems: Conceptual foundations and research issues</b:Title>
    <b:Year>2001</b:Year>
    <b:Pages>107-136</b:Pages>
    <b:Author>
      <b:Author>
        <b:NameList>
          <b:Person>
            <b:Last>Alavi</b:Last>
            <b:First>M.</b:First>
          </b:Person>
          <b:Person>
            <b:Last>Leidner</b:Last>
            <b:First>D.</b:First>
            <b:Middle>E.</b:Middle>
          </b:Person>
        </b:NameList>
      </b:Author>
    </b:Author>
    <b:PeriodicalTitle>MIS quarterly</b:PeriodicalTitle>
    <b:RefOrder>7</b:RefOrder>
  </b:Source>
  <b:Source>
    <b:Tag>Non94</b:Tag>
    <b:SourceType>JournalArticle</b:SourceType>
    <b:Guid>{13517EB9-2FA9-4242-9958-FCF8D13A7F18}</b:Guid>
    <b:Author>
      <b:Author>
        <b:NameList>
          <b:Person>
            <b:Last>Nonaka</b:Last>
            <b:First>I.</b:First>
          </b:Person>
        </b:NameList>
      </b:Author>
    </b:Author>
    <b:Title>ADynamicTheoryofOrganizationalKnowledgeCreation,</b:Title>
    <b:Year>1994</b:Year>
    <b:Volume>5</b:Volume>
    <b:Issue>1</b:Issue>
    <b:Pages>14-37</b:Pages>
    <b:JournalName>Organization Science</b:JournalName>
    <b:RefOrder>177</b:RefOrder>
  </b:Source>
  <b:Source>
    <b:Tag>Wig77</b:Tag>
    <b:SourceType>Book</b:SourceType>
    <b:Guid>{A3FB6C62-1DA4-2C45-85E7-354B419C6677}</b:Guid>
    <b:Author>
      <b:Author>
        <b:NameList>
          <b:Person>
            <b:Last>Wigg</b:Last>
            <b:First>Karl</b:First>
          </b:Person>
        </b:NameList>
      </b:Author>
    </b:Author>
    <b:Title>Knowledge Management: Where Did It Come From and Where Will It Go? </b:Title>
    <b:Publisher>Expert Systems With Applications – Pergamon Press/Elsevier 14 </b:Publisher>
    <b:Year>1977</b:Year>
    <b:RefOrder>178</b:RefOrder>
  </b:Source>
  <b:Source>
    <b:Tag>Sta05</b:Tag>
    <b:SourceType>Book</b:SourceType>
    <b:Guid>{8A604033-8996-4541-AD91-ED7826B5F295}</b:Guid>
    <b:Author>
      <b:Author>
        <b:NameList>
          <b:Person>
            <b:Last>Stankosky</b:Last>
            <b:First>Michael</b:First>
            <b:Middle>A.</b:Middle>
          </b:Person>
        </b:NameList>
      </b:Author>
    </b:Author>
    <b:Title>Creating the Discipline of Knowledge Management, The Latest in University Research </b:Title>
    <b:Publisher>Elsevier Inc. </b:Publisher>
    <b:Year>2005</b:Year>
    <b:Pages>5-6</b:Pages>
    <b:RefOrder>179</b:RefOrder>
  </b:Source>
  <b:Source>
    <b:Tag>Bro99</b:Tag>
    <b:SourceType>JournalArticle</b:SourceType>
    <b:Guid>{879464E9-3945-984D-B1AB-9FFF7D54A087}</b:Guid>
    <b:Author>
      <b:Author>
        <b:NameList>
          <b:Person>
            <b:Last>Brown</b:Last>
            <b:First>R.B.</b:First>
          </b:Person>
          <b:Person>
            <b:Last>Wood</b:Last>
            <b:First>M.J.</b:First>
          </b:Person>
        </b:NameList>
      </b:Author>
    </b:Author>
    <b:Title>Managing knowledge wisely: A case study in organizational behavior</b:Title>
    <b:JournalName>Applied Manage</b:JournalName>
    <b:Year>1999</b:Year>
    <b:Volume>8</b:Volume>
    <b:Pages>175-198</b:Pages>
    <b:RefOrder>180</b:RefOrder>
  </b:Source>
  <b:Source>
    <b:Tag>His13</b:Tag>
    <b:SourceType>Book</b:SourceType>
    <b:Guid>{80F88246-41D4-B940-91D4-9993C38B901C}</b:Guid>
    <b:Title>Knowledge management in organisations </b:Title>
    <b:Publisher>Oxford University Press </b:Publisher>
    <b:Year>2013</b:Year>
    <b:Author>
      <b:Author>
        <b:NameList>
          <b:Person>
            <b:Last>Hislop</b:Last>
            <b:First>D.</b:First>
          </b:Person>
        </b:NameList>
      </b:Author>
    </b:Author>
    <b:CountryRegion>UK</b:CountryRegion>
    <b:Edition>3rd ed.</b:Edition>
    <b:RefOrder>181</b:RefOrder>
  </b:Source>
  <b:Source>
    <b:Tag>KMW01</b:Tag>
    <b:SourceType>Report</b:SourceType>
    <b:Guid>{C8D0CD24-7801-634E-8C3D-F9E22B0473E4}</b:Guid>
    <b:Title>Managing Knowledge at Work: An Overview of Knowledge Management</b:Title>
    <b:Year>2001</b:Year>
    <b:Pages>9-12</b:Pages>
    <b:Author>
      <b:Author>
        <b:Corporate>KMWG</b:Corporate>
      </b:Author>
    </b:Author>
    <b:Institution>Federal CIO Council Knowledge Management Working Group </b:Institution>
    <b:RefOrder>182</b:RefOrder>
  </b:Source>
  <b:Source>
    <b:Tag>Hen99</b:Tag>
    <b:SourceType>JournalArticle</b:SourceType>
    <b:Guid>{95CCC232-E094-204A-8D88-FB95FB92AD15}</b:Guid>
    <b:Author>
      <b:Author>
        <b:NameList>
          <b:Person>
            <b:Last>Hendriks</b:Last>
            <b:First>P.</b:First>
          </b:Person>
        </b:NameList>
      </b:Author>
    </b:Author>
    <b:Title>Why share knowledge? The influence of ICT on the motivation for knowledge sharing</b:Title>
    <b:JournalName>Process Manage</b:JournalName>
    <b:Year>1999</b:Year>
    <b:Volume>6</b:Volume>
    <b:Pages>91-100</b:Pages>
    <b:RefOrder>183</b:RefOrder>
  </b:Source>
  <b:Source>
    <b:Tag>YaF09</b:Tag>
    <b:SourceType>JournalArticle</b:SourceType>
    <b:Guid>{97ACB81B-358B-0D47-A70C-289E1D081B9A}</b:Guid>
    <b:Title>Comparing appropriate decision support of human resource practices on organizational performance with DEA/AHP model</b:Title>
    <b:Year>2009</b:Year>
    <b:Volume>36</b:Volume>
    <b:Pages>6548–6558</b:Pages>
    <b:Author>
      <b:Author>
        <b:NameList>
          <b:Person>
            <b:Last>Tseng</b:Last>
            <b:First>Ya-Fen</b:First>
          </b:Person>
          <b:Person>
            <b:Last>Lee</b:Last>
            <b:First>Tzai-Zang</b:First>
          </b:Person>
        </b:NameList>
      </b:Author>
    </b:Author>
    <b:JournalName>Expert Systems with Applications</b:JournalName>
    <b:RefOrder>56</b:RefOrder>
  </b:Source>
  <b:Source>
    <b:Tag>Mar15</b:Tag>
    <b:SourceType>ArticleInAPeriodical</b:SourceType>
    <b:Guid>{AA4DF515-6280-7C48-9C6C-D101C35F11BA}</b:Guid>
    <b:Title>Managing mission-critical knowledge</b:Title>
    <b:Year>2015</b:Year>
    <b:Month>January–February</b:Month>
    <b:Author>
      <b:Author>
        <b:NameList>
          <b:Person>
            <b:Last>Ihrig</b:Last>
            <b:First>Martin</b:First>
          </b:Person>
          <b:Person>
            <b:Last>MacMillan</b:Last>
            <b:First>Ian</b:First>
          </b:Person>
        </b:NameList>
      </b:Author>
    </b:Author>
    <b:PeriodicalTitle>Harvard Business Review</b:PeriodicalTitle>
    <b:RefOrder>60</b:RefOrder>
  </b:Source>
  <b:Source>
    <b:Tag>Wil92</b:Tag>
    <b:SourceType>JournalArticle</b:SourceType>
    <b:Guid>{E183245A-67F6-2647-95A2-5BE356BDC5E3}</b:Guid>
    <b:Title>Learning by knowledge-intensive firms</b:Title>
    <b:Year>1992</b:Year>
    <b:Volume>29</b:Volume>
    <b:Issue>6</b:Issue>
    <b:Pages>713-740</b:Pages>
    <b:Author>
      <b:Author>
        <b:NameList>
          <b:Person>
            <b:Last>Starbuck</b:Last>
            <b:First>William</b:First>
          </b:Person>
        </b:NameList>
      </b:Author>
    </b:Author>
    <b:JournalName>Joumal of Management Studies</b:JournalName>
    <b:RefOrder>54</b:RefOrder>
  </b:Source>
  <b:Source>
    <b:Tag>Win87</b:Tag>
    <b:SourceType>Book</b:SourceType>
    <b:Guid>{7A410521-8D2B-9640-8A01-069BBF1DCB72}</b:Guid>
    <b:Author>
      <b:Author>
        <b:NameList>
          <b:Person>
            <b:Last>Winters</b:Last>
            <b:First>G.</b:First>
          </b:Person>
          <b:Person>
            <b:Last>Teece</b:Last>
            <b:First>D.</b:First>
          </b:Person>
        </b:NameList>
      </b:Author>
    </b:Author>
    <b:Title>The Competitive Challenge: Strategies for Industrial Innovation and Renewal</b:Title>
    <b:City>Cambridge</b:City>
    <b:Year>1987</b:Year>
    <b:Pages>159-84</b:Pages>
    <b:RefOrder>55</b:RefOrder>
  </b:Source>
  <b:Source>
    <b:Tag>Mac62</b:Tag>
    <b:SourceType>Book</b:SourceType>
    <b:Guid>{95EDA66B-EC5B-2543-8645-00F231546752}</b:Guid>
    <b:Author>
      <b:Author>
        <b:NameList>
          <b:Person>
            <b:Last>Machlup</b:Last>
            <b:First>F.</b:First>
          </b:Person>
        </b:NameList>
      </b:Author>
    </b:Author>
    <b:Title>The Production and Distribution of Knowledge in the United States</b:Title>
    <b:Publisher>Princeton University Press</b:Publisher>
    <b:Year>1962</b:Year>
    <b:RefOrder>184</b:RefOrder>
  </b:Source>
  <b:Source>
    <b:Tag>Eks88</b:Tag>
    <b:SourceType>Book</b:SourceType>
    <b:Guid>{82756BC4-B0F9-8E40-8E51-11666BB8E6F8}</b:Guid>
    <b:Author>
      <b:Author>
        <b:NameList>
          <b:Person>
            <b:Last>Ekstedt</b:Last>
            <b:First>E.</b:First>
          </b:Person>
        </b:NameList>
      </b:Author>
    </b:Author>
    <b:Title>Human Capital in an Age of Transition: Knowledge Dcvelopmmt and Co@orate Renewal</b:Title>
    <b:Publisher>Allmanna Forlaget</b:Publisher>
    <b:Year>1988</b:Year>
    <b:RefOrder>185</b:RefOrder>
  </b:Source>
  <b:Source>
    <b:Tag>Eks89</b:Tag>
    <b:SourceType>Report</b:SourceType>
    <b:Guid>{C5456030-778A-E447-8B72-4994C0BCF251}</b:Guid>
    <b:Title>Knowledge renewal and knowledge companies</b:Title>
    <b:Publisher>Uppsala Papers in Economic</b:Publisher>
    <b:Year>1989</b:Year>
    <b:Institution>University of Uppsala</b:Institution>
    <b:Department>Department of Economic History </b:Department>
    <b:Author>
      <b:Author>
        <b:NameList>
          <b:Person>
            <b:Last>Ekstedt</b:Last>
            <b:First>E.</b:First>
          </b:Person>
        </b:NameList>
      </b:Author>
    </b:Author>
    <b:RefOrder>186</b:RefOrder>
  </b:Source>
  <b:Source>
    <b:Tag>Col061</b:Tag>
    <b:SourceType>JournalArticle</b:SourceType>
    <b:Guid>{C82D28B8-406A-B443-B3B5-B4C7483ACA45}</b:Guid>
    <b:Author>
      <b:Author>
        <b:NameList>
          <b:Person>
            <b:Last>Collins</b:Last>
            <b:First>C.J.</b:First>
          </b:Person>
          <b:Person>
            <b:Last>Smith</b:Last>
            <b:First>K.G.</b:First>
          </b:Person>
        </b:NameList>
      </b:Author>
    </b:Author>
    <b:Title>Knowledge Exchange and Combination: The Role of Human Resource Management Practices in the Performance of High-Technology Firms</b:Title>
    <b:Year>2006</b:Year>
    <b:Pages>544–560</b:Pages>
    <b:JournalName>Academy of Management Journal</b:JournalName>
    <b:Volume>49</b:Volume>
    <b:Issue>3</b:Issue>
    <b:RefOrder>57</b:RefOrder>
  </b:Source>
  <b:Source>
    <b:Tag>Kog92</b:Tag>
    <b:SourceType>JournalArticle</b:SourceType>
    <b:Guid>{AB697709-8F63-0347-8DF3-48B4DD99E410}</b:Guid>
    <b:Author>
      <b:Author>
        <b:NameList>
          <b:Person>
            <b:Last>Kogut</b:Last>
            <b:First>B.</b:First>
          </b:Person>
          <b:Person>
            <b:Last>Zander</b:Last>
            <b:First>U.</b:First>
          </b:Person>
        </b:NameList>
      </b:Author>
    </b:Author>
    <b:Title>Knowledge of the Firm, Combinative Capabilities, and the Replication of Technology</b:Title>
    <b:JournalName>Organization Science</b:JournalName>
    <b:Year>1992</b:Year>
    <b:Volume>3</b:Volume>
    <b:Issue>3</b:Issue>
    <b:Pages>383–397</b:Pages>
    <b:RefOrder>58</b:RefOrder>
  </b:Source>
  <b:Source>
    <b:Tag>Cla91</b:Tag>
    <b:SourceType>Book</b:SourceType>
    <b:Guid>{9FD6F0E2-8017-B14A-B829-E07BE4179C9D}</b:Guid>
    <b:Author>
      <b:Author>
        <b:NameList>
          <b:Person>
            <b:Last>Clark</b:Last>
            <b:First>K.B.</b:First>
          </b:Person>
          <b:Person>
            <b:Last>Fujimoto</b:Last>
            <b:First>T.</b:First>
          </b:Person>
        </b:NameList>
      </b:Author>
    </b:Author>
    <b:Title>Product Development Performance</b:Title>
    <b:Publisher>Harvard Business School Press</b:Publisher>
    <b:City>Boston</b:City>
    <b:Year>1991</b:Year>
    <b:RefOrder>59</b:RefOrder>
  </b:Source>
  <b:Source>
    <b:Tag>Ann11</b:Tag>
    <b:SourceType>JournalArticle</b:SourceType>
    <b:Guid>{FB782CA5-D90B-4043-8BD0-1A4E1CCE2CCD}</b:Guid>
    <b:Title>Knowledge-sharing enablers and barriers in pharmaceutical research and development</b:Title>
    <b:Year>2011</b:Year>
    <b:Volume>15</b:Volume>
    <b:Pages>53-70</b:Pages>
    <b:Author>
      <b:Author>
        <b:NameList>
          <b:Person>
            <b:Last>Lilleoere</b:Last>
            <b:First>Anne-Mette</b:First>
          </b:Person>
          <b:Person>
            <b:Last>Hansen</b:Last>
            <b:First>Ebba</b:First>
            <b:Middle>Holme</b:Middle>
          </b:Person>
        </b:NameList>
      </b:Author>
    </b:Author>
    <b:JournalName>Journal of knowledge management</b:JournalName>
    <b:Issue>1</b:Issue>
    <b:RefOrder>22</b:RefOrder>
  </b:Source>
  <b:Source>
    <b:Tag>ODe98</b:Tag>
    <b:SourceType>JournalArticle</b:SourceType>
    <b:Guid>{C065FE9F-9069-EB4E-836E-215B448F8B77}</b:Guid>
    <b:Author>
      <b:Author>
        <b:NameList>
          <b:Person>
            <b:Last>O’Dell</b:Last>
            <b:First>C.</b:First>
          </b:Person>
          <b:Person>
            <b:Last>Grayson</b:Last>
            <b:First>J.</b:First>
          </b:Person>
        </b:NameList>
      </b:Author>
    </b:Author>
    <b:Title>If only we knew what we know: identification and transfer of internal best practice</b:Title>
    <b:JournalName>California Management Review</b:JournalName>
    <b:Year>1998</b:Year>
    <b:Volume>40</b:Volume>
    <b:Pages>154-74</b:Pages>
    <b:RefOrder>187</b:RefOrder>
  </b:Source>
  <b:Source>
    <b:Tag>Han99</b:Tag>
    <b:SourceType>JournalArticle</b:SourceType>
    <b:Guid>{E0CEB812-7FB8-7144-88A5-E11A4C2E5486}</b:Guid>
    <b:Author>
      <b:Author>
        <b:NameList>
          <b:Person>
            <b:Last>Hansen</b:Last>
            <b:First>M.T.</b:First>
          </b:Person>
          <b:Person>
            <b:Last>Nohria</b:Last>
            <b:First>N.</b:First>
          </b:Person>
          <b:Person>
            <b:Last>Tierney</b:Last>
            <b:First>T.</b:First>
          </b:Person>
        </b:NameList>
      </b:Author>
    </b:Author>
    <b:Title>What is your strategy for managing knowledge?</b:Title>
    <b:JournalName>Harvard Business Review</b:JournalName>
    <b:Year>1999</b:Year>
    <b:Volume>77</b:Volume>
    <b:Issue>2</b:Issue>
    <b:Pages>106-16</b:Pages>
    <b:RefOrder>188</b:RefOrder>
  </b:Source>
  <b:Source>
    <b:Tag>Szu03</b:Tag>
    <b:SourceType>Book</b:SourceType>
    <b:Guid>{97BB635B-F2AF-9B43-8B87-AC832D7A924A}</b:Guid>
    <b:Author>
      <b:Author>
        <b:NameList>
          <b:Person>
            <b:Last>Szulanski</b:Last>
            <b:First>G.</b:First>
          </b:Person>
        </b:NameList>
      </b:Author>
    </b:Author>
    <b:Title>Sticky Knowledge Barriers to Knowing in the Firm</b:Title>
    <b:Publisher>Sage Publications</b:Publisher>
    <b:City>London</b:City>
    <b:Year>2003</b:Year>
    <b:RefOrder>189</b:RefOrder>
  </b:Source>
  <b:Source>
    <b:Tag>McL08</b:Tag>
    <b:SourceType>JournalArticle</b:SourceType>
    <b:Guid>{0407DC89-3ED6-9A4D-90A1-DCA1A54C9B5C}</b:Guid>
    <b:Title>Barrier impact on organizational learning within complex organizations</b:Title>
    <b:Year>2008</b:Year>
    <b:Volume>12</b:Volume>
    <b:Pages>107-23</b:Pages>
    <b:Author>
      <b:Author>
        <b:NameList>
          <b:Person>
            <b:Last>McLaughlin</b:Last>
            <b:First>S.</b:First>
          </b:Person>
          <b:Person>
            <b:Last>Paton</b:Last>
            <b:First>R.A.</b:First>
          </b:Person>
          <b:Person>
            <b:Last>Macbeth</b:Last>
            <b:First>D.K.</b:First>
          </b:Person>
        </b:NameList>
      </b:Author>
    </b:Author>
    <b:JournalName>Journal of Knowledge Management</b:JournalName>
    <b:Issue>2</b:Issue>
    <b:RefOrder>190</b:RefOrder>
  </b:Source>
  <b:Source>
    <b:Tag>Cab02</b:Tag>
    <b:SourceType>JournalArticle</b:SourceType>
    <b:Guid>{2B230537-5533-084A-9ABC-55786C8C1283}</b:Guid>
    <b:Author>
      <b:Author>
        <b:NameList>
          <b:Person>
            <b:Last>Cabrera</b:Last>
            <b:First>A</b:First>
            <b:Middle>́.</b:Middle>
          </b:Person>
          <b:Person>
            <b:Last>Cabrera</b:Last>
            <b:First>E.F.</b:First>
          </b:Person>
        </b:NameList>
      </b:Author>
    </b:Author>
    <b:Title>Knowledge sharing dilemmas</b:Title>
    <b:JournalName>Organization Studies</b:JournalName>
    <b:Year>2002</b:Year>
    <b:Volume>23</b:Volume>
    <b:Pages>687-710</b:Pages>
    <b:RefOrder>191</b:RefOrder>
  </b:Source>
  <b:Source>
    <b:Tag>Szu96</b:Tag>
    <b:SourceType>JournalArticle</b:SourceType>
    <b:Guid>{A0541223-13B7-314A-8009-55A8006044DF}</b:Guid>
    <b:Author>
      <b:Author>
        <b:NameList>
          <b:Person>
            <b:Last>Szulanski</b:Last>
            <b:First>G.</b:First>
          </b:Person>
        </b:NameList>
      </b:Author>
    </b:Author>
    <b:Title>Exploring internal stickiness: impediments to the transfer of the best practice within the firm</b:Title>
    <b:JournalName>Strategic Management Journal</b:JournalName>
    <b:Year>1996</b:Year>
    <b:Volume>17</b:Volume>
    <b:Pages>27-43</b:Pages>
    <b:RefOrder>192</b:RefOrder>
  </b:Source>
  <b:Source>
    <b:Tag>Nap93</b:Tag>
    <b:SourceType>JournalArticle</b:SourceType>
    <b:Guid>{8A988FFA-4220-AE49-9994-BE62BA7F2A6A}</b:Guid>
    <b:Author>
      <b:Author>
        <b:NameList>
          <b:Person>
            <b:Last>Napier</b:Last>
            <b:First>B.J.</b:First>
          </b:Person>
          <b:Person>
            <b:Last>Ferris</b:Last>
            <b:First>G.R.</b:First>
          </b:Person>
        </b:NameList>
      </b:Author>
    </b:Author>
    <b:Title>Distance in organizations</b:Title>
    <b:JournalName>Human Resource Management View</b:JournalName>
    <b:Year>1993</b:Year>
    <b:Volume>3</b:Volume>
    <b:Issue>4</b:Issue>
    <b:Pages>321-57</b:Pages>
    <b:RefOrder>193</b:RefOrder>
  </b:Source>
  <b:Source>
    <b:Tag>Car00</b:Tag>
    <b:SourceType>JournalArticle</b:SourceType>
    <b:Guid>{F7CF5BF5-67CF-D44F-B4EB-D1F87B9EB94C}</b:Guid>
    <b:Author>
      <b:Author>
        <b:NameList>
          <b:Person>
            <b:Last>Cardinal</b:Last>
            <b:First>L.B.</b:First>
          </b:Person>
          <b:Person>
            <b:Last>Hatfield</b:Last>
            <b:First>D.E.</b:First>
          </b:Person>
        </b:NameList>
      </b:Author>
    </b:Author>
    <b:Title>Internal knowledge generation: the research laboratory and innovative productivity in the pharmaceutical industry</b:Title>
    <b:JournalName>Journal of Engineering and Technology Management</b:JournalName>
    <b:Year>2000</b:Year>
    <b:Volume>17</b:Volume>
    <b:Pages>247-71</b:Pages>
    <b:RefOrder>23</b:RefOrder>
  </b:Source>
  <b:Source>
    <b:Tag>Cho</b:Tag>
    <b:SourceType>JournalArticle</b:SourceType>
    <b:Guid>{3C5FAE17-C6A5-4D4B-9A88-D56AF99D4D7A}</b:Guid>
    <b:Author>
      <b:Author>
        <b:NameList>
          <b:Person>
            <b:Last>Chou</b:Last>
            <b:First>S-W.</b:First>
            <b:Middle>(2005)</b:Middle>
          </b:Person>
        </b:NameList>
      </b:Author>
    </b:Author>
    <b:Title>Knowledge creation: absorptive capacity, organizational mechanisms, and knowledge storage/retrieval capacities</b:Title>
    <b:JournalName>Journal of Information Science</b:JournalName>
    <b:Volume>31</b:Volume>
    <b:Issue>6</b:Issue>
    <b:Pages>453-65</b:Pages>
    <b:RefOrder>194</b:RefOrder>
  </b:Source>
  <b:Source>
    <b:Tag>Gri03</b:Tag>
    <b:SourceType>JournalArticle</b:SourceType>
    <b:Guid>{F1709F68-189F-A549-A339-982F8BA39BDD}</b:Guid>
    <b:Author>
      <b:Author>
        <b:NameList>
          <b:Person>
            <b:Last>Griffith</b:Last>
            <b:First>T.L.</b:First>
          </b:Person>
          <b:Person>
            <b:Last>Sawyer</b:Last>
            <b:First>J.E.</b:First>
          </b:Person>
          <b:Person>
            <b:Last>Neale</b:Last>
            <b:First>M.A.</b:First>
          </b:Person>
        </b:NameList>
      </b:Author>
    </b:Author>
    <b:Title>Virtualness and knowledge in teams: managing the love triangle of organizations, individuals, and information technology</b:Title>
    <b:JournalName>MIS Quarterly</b:JournalName>
    <b:Year>2003</b:Year>
    <b:Volume>27</b:Volume>
    <b:Issue>2</b:Issue>
    <b:Pages>265-87</b:Pages>
    <b:RefOrder>195</b:RefOrder>
  </b:Source>
  <b:Source>
    <b:Tag>Coh90</b:Tag>
    <b:SourceType>JournalArticle</b:SourceType>
    <b:Guid>{F91D3BEE-A6C3-1A48-B5C4-F8E4C275591C}</b:Guid>
    <b:Author>
      <b:Author>
        <b:NameList>
          <b:Person>
            <b:Last>Cohen</b:Last>
            <b:First>W.M.</b:First>
          </b:Person>
          <b:Person>
            <b:Last>Levinthal</b:Last>
            <b:First>D.A.</b:First>
          </b:Person>
        </b:NameList>
      </b:Author>
    </b:Author>
    <b:Title>Absorptive capacity: a new perspective on learning and innovation</b:Title>
    <b:JournalName>Administrative Science Quarterly</b:JournalName>
    <b:Year>1990</b:Year>
    <b:Volume>35</b:Volume>
    <b:Issue>1</b:Issue>
    <b:Pages>128-52</b:Pages>
    <b:RefOrder>196</b:RefOrder>
  </b:Source>
  <b:Source>
    <b:Tag>Nie06</b:Tag>
    <b:SourceType>JournalArticle</b:SourceType>
    <b:Guid>{E75DF9F1-58F8-C640-86DC-355F323CA7BB}</b:Guid>
    <b:Author>
      <b:Author>
        <b:NameList>
          <b:Person>
            <b:Last>Nielsen</b:Last>
            <b:First>A.P.</b:First>
          </b:Person>
        </b:NameList>
      </b:Author>
    </b:Author>
    <b:Title>Understanding dynamic capabilities through knowledge management</b:Title>
    <b:JournalName>Journal of Knowledge Management</b:JournalName>
    <b:Year>2006</b:Year>
    <b:Volume>10</b:Volume>
    <b:Issue>4</b:Issue>
    <b:Pages>59-71</b:Pages>
    <b:RefOrder>197</b:RefOrder>
  </b:Source>
  <b:Source>
    <b:Tag>Che02</b:Tag>
    <b:SourceType>JournalArticle</b:SourceType>
    <b:Guid>{F12AF108-53B3-5949-A1C1-56BBCAA5ED6C}</b:Guid>
    <b:Author>
      <b:Author>
        <b:NameList>
          <b:Person>
            <b:Last>Chen</b:Last>
            <b:First>Hsinchun</b:First>
          </b:Person>
          <b:Person>
            <b:Last>Schroeder</b:Last>
            <b:First>Jennifer</b:First>
          </b:Person>
          <b:Person>
            <b:Last>Hauck</b:Last>
            <b:First>Roslin</b:First>
            <b:Middle>V.</b:Middle>
          </b:Person>
          <b:Person>
            <b:Last>Ridgeway</b:Last>
            <b:First>Linda</b:First>
          </b:Person>
          <b:Person>
            <b:Last>Atabakhsh</b:Last>
            <b:First>Homa</b:First>
          </b:Person>
          <b:Person>
            <b:Last>Gupta</b:Last>
            <b:First>Harsh</b:First>
          </b:Person>
          <b:Person>
            <b:Last>Boarman</b:Last>
            <b:First>Chris</b:First>
          </b:Person>
          <b:Person>
            <b:Last>Rasmussen</b:Last>
            <b:First>Kevin</b:First>
          </b:Person>
          <b:Person>
            <b:Last>Clements</b:Last>
            <b:First>Andy</b:First>
            <b:Middle>W.</b:Middle>
          </b:Person>
        </b:NameList>
      </b:Author>
    </b:Author>
    <b:Title>COPLINK Connect: information and knowledge management for law enforcement</b:Title>
    <b:JournalName>Decision Support Systems</b:JournalName>
    <b:Year>2002</b:Year>
    <b:Volume>34</b:Volume>
    <b:Pages>271-285</b:Pages>
    <b:RefOrder>61</b:RefOrder>
  </b:Source>
  <b:Source>
    <b:Tag>Hsu07</b:Tag>
    <b:SourceType>JournalArticle</b:SourceType>
    <b:Guid>{40BC6EEF-3DA2-E545-BE83-5E1862679125}</b:Guid>
    <b:Author>
      <b:Author>
        <b:NameList>
          <b:Person>
            <b:Last>Hsu</b:Last>
            <b:First>M.H.</b:First>
          </b:Person>
          <b:Person>
            <b:Last>Ju</b:Last>
            <b:First>T.L.</b:First>
          </b:Person>
          <b:Person>
            <b:Last>Yen</b:Last>
            <b:First>C.H.</b:First>
          </b:Person>
          <b:Person>
            <b:Last>Chang</b:Last>
            <b:First>C.M.</b:First>
          </b:Person>
        </b:NameList>
      </b:Author>
    </b:Author>
    <b:Title>Knowledge sharing behavior in virtual communities: the relationship between trust, self-efficacy, and outcome expectations</b:Title>
    <b:JournalName>International Journal of Human-Computer Studies</b:JournalName>
    <b:Year>2007</b:Year>
    <b:Volume>65</b:Volume>
    <b:Issue>153-169</b:Issue>
    <b:Pages>153-169</b:Pages>
    <b:RefOrder>198</b:RefOrder>
  </b:Source>
  <b:Source>
    <b:Tag>McA95</b:Tag>
    <b:SourceType>JournalArticle</b:SourceType>
    <b:Guid>{0CD8C7FE-B622-E548-BB36-C3A16AF78708}</b:Guid>
    <b:Author>
      <b:Author>
        <b:NameList>
          <b:Person>
            <b:Last>McAllister</b:Last>
            <b:First>D.J.</b:First>
          </b:Person>
        </b:NameList>
      </b:Author>
    </b:Author>
    <b:Title>Affect - and cognition-based trust as foundations for interpersonal cooperation in organizations</b:Title>
    <b:JournalName>Academy of Management Journal</b:JournalName>
    <b:Year>1995</b:Year>
    <b:Volume>38</b:Volume>
    <b:Issue>1</b:Issue>
    <b:Pages>4-59</b:Pages>
    <b:RefOrder>199</b:RefOrder>
  </b:Source>
  <b:Source>
    <b:Tag>Cas12</b:Tag>
    <b:SourceType>JournalArticle</b:SourceType>
    <b:Guid>{E6878E31-F62E-1648-97A9-FBDD7442279F}</b:Guid>
    <b:Author>
      <b:Author>
        <b:NameList>
          <b:Person>
            <b:Last>Casimir</b:Last>
            <b:First>G.</b:First>
          </b:Person>
          <b:Person>
            <b:Last>Lee</b:Last>
            <b:First>K.</b:First>
          </b:Person>
          <b:Person>
            <b:Last>Loon</b:Last>
            <b:First>M.</b:First>
          </b:Person>
        </b:NameList>
      </b:Author>
    </b:Author>
    <b:Title>Knowledge sharing: influences of trust, commitment and cost</b:Title>
    <b:JournalName>Journal of Knowledge Management,</b:JournalName>
    <b:Year>2012</b:Year>
    <b:Volume>16</b:Volume>
    <b:Issue>5</b:Issue>
    <b:Pages>740-753</b:Pages>
    <b:RefOrder>200</b:RefOrder>
  </b:Source>
  <b:Source>
    <b:Tag>Chi06</b:Tag>
    <b:SourceType>JournalArticle</b:SourceType>
    <b:Guid>{E09AD9C1-1D4A-8547-A5C8-A85955BDFE4A}</b:Guid>
    <b:Author>
      <b:Author>
        <b:NameList>
          <b:Person>
            <b:Last>Chiu</b:Last>
            <b:First>C.M.</b:First>
          </b:Person>
          <b:Person>
            <b:Last>Hsu</b:Last>
            <b:First>M.H.</b:First>
          </b:Person>
          <b:Person>
            <b:Last>Wang</b:Last>
            <b:First>E.T.G.</b:First>
          </b:Person>
        </b:NameList>
      </b:Author>
    </b:Author>
    <b:Title>Understanding knowledge sharing in virtual communities: an integration of social capital and social cognitive theories</b:Title>
    <b:JournalName>Decision Support Systems</b:JournalName>
    <b:Year>2006</b:Year>
    <b:Volume>42</b:Volume>
    <b:Issue>3</b:Issue>
    <b:Pages>1872-1888</b:Pages>
    <b:RefOrder>30</b:RefOrder>
  </b:Source>
  <b:Source>
    <b:Tag>Cha12</b:Tag>
    <b:SourceType>JournalArticle</b:SourceType>
    <b:Guid>{BBCE1142-8E32-2248-8B68-73A9635E6744}</b:Guid>
    <b:Author>
      <b:Author>
        <b:NameList>
          <b:Person>
            <b:Last>Chai</b:Last>
            <b:First>S.</b:First>
          </b:Person>
          <b:Person>
            <b:Last>Das</b:Last>
            <b:First>S.</b:First>
          </b:Person>
          <b:Person>
            <b:Last>Rao</b:Last>
            <b:First>H.R.</b:First>
          </b:Person>
        </b:NameList>
      </b:Author>
    </b:Author>
    <b:Title>Factors affecting bloggers’ knowledge sharing: an investigation across gender</b:Title>
    <b:JournalName>Journal of Management Information Sytems</b:JournalName>
    <b:Year>2012</b:Year>
    <b:Volume>28</b:Volume>
    <b:Issue>3</b:Issue>
    <b:Pages>309-342</b:Pages>
    <b:RefOrder>31</b:RefOrder>
  </b:Source>
  <b:Source>
    <b:Tag>Cho10</b:Tag>
    <b:SourceType>JournalArticle</b:SourceType>
    <b:Guid>{E6F96801-A838-CD49-8B0A-147AE4423EBD}</b:Guid>
    <b:Author>
      <b:Author>
        <b:NameList>
          <b:Person>
            <b:Last>Cho</b:Last>
            <b:First>H.</b:First>
          </b:Person>
          <b:Person>
            <b:Last>Chen</b:Last>
            <b:First>M.</b:First>
          </b:Person>
          <b:Person>
            <b:Last>Chung</b:Last>
            <b:First>S.</b:First>
          </b:Person>
        </b:NameList>
      </b:Author>
    </b:Author>
    <b:Title>Testing an integrative theoretical model of knowledge-sharing behavior in the context of Wikipedia</b:Title>
    <b:JournalName>Journal of the American Society for Information Science and Technology</b:JournalName>
    <b:Year>2010</b:Year>
    <b:Volume>61</b:Volume>
    <b:Issue>6</b:Issue>
    <b:Pages>1198-1212</b:Pages>
    <b:RefOrder>32</b:RefOrder>
  </b:Source>
  <b:Source>
    <b:Tag>Wan10</b:Tag>
    <b:SourceType>JournalArticle</b:SourceType>
    <b:Guid>{BC3C9D18-983E-B243-A8B9-18E1320F015A}</b:Guid>
    <b:Author>
      <b:Author>
        <b:NameList>
          <b:Person>
            <b:Last>Wang</b:Last>
            <b:First>S.</b:First>
          </b:Person>
          <b:Person>
            <b:Last>Noe</b:Last>
            <b:First>R.A.</b:First>
          </b:Person>
        </b:NameList>
      </b:Author>
    </b:Author>
    <b:Title>Knowledge sharing: a review and directions for future research</b:Title>
    <b:JournalName>Human Resource Management Review</b:JournalName>
    <b:Year>2010</b:Year>
    <b:Volume>20</b:Volume>
    <b:Issue>2</b:Issue>
    <b:Pages>115-131</b:Pages>
    <b:RefOrder>33</b:RefOrder>
  </b:Source>
  <b:Source>
    <b:Tag>Mey91</b:Tag>
    <b:SourceType>JournalArticle</b:SourceType>
    <b:Guid>{55D72819-7050-754E-8C69-F3E79159EF7F}</b:Guid>
    <b:Author>
      <b:Author>
        <b:NameList>
          <b:Person>
            <b:Last>Meyer</b:Last>
            <b:First>J.P.</b:First>
          </b:Person>
          <b:Person>
            <b:Last>Allen</b:Last>
            <b:First>N.J.</b:First>
          </b:Person>
        </b:NameList>
      </b:Author>
    </b:Author>
    <b:Title>A three-component conceptualisation of organisational commitment</b:Title>
    <b:JournalName>Human Resource Management Review</b:JournalName>
    <b:Year>1991</b:Year>
    <b:Volume>1</b:Volume>
    <b:Issue>1</b:Issue>
    <b:Pages>61-89</b:Pages>
    <b:RefOrder>21</b:RefOrder>
  </b:Source>
  <b:Source>
    <b:Tag>Mey01</b:Tag>
    <b:SourceType>JournalArticle</b:SourceType>
    <b:Guid>{D4C35389-94B5-014C-8E9F-99C246821286}</b:Guid>
    <b:Author>
      <b:Author>
        <b:NameList>
          <b:Person>
            <b:Last>Meyer</b:Last>
            <b:First>J.P.</b:First>
          </b:Person>
          <b:Person>
            <b:Last>Herscovitch</b:Last>
            <b:First>L.</b:First>
          </b:Person>
        </b:NameList>
      </b:Author>
    </b:Author>
    <b:Title>Commitment in the workplace: toward a general model</b:Title>
    <b:JournalName>Human Resource Management Review</b:JournalName>
    <b:Year>2001</b:Year>
    <b:Volume>11</b:Volume>
    <b:Issue>3</b:Issue>
    <b:Pages>299-326</b:Pages>
    <b:RefOrder>201</b:RefOrder>
  </b:Source>
  <b:Source>
    <b:Tag>Ism11</b:Tag>
    <b:SourceType>Book</b:SourceType>
    <b:Guid>{E769A3CE-D069-F64A-B8DB-346FA197D242}</b:Guid>
    <b:Author>
      <b:Author>
        <b:NameList>
          <b:Person>
            <b:Last>Ismail</b:Last>
            <b:First>M.</b:First>
          </b:Person>
          <b:Person>
            <b:Last>Osman-Gani</b:Last>
            <b:First>A.M.</b:First>
          </b:Person>
        </b:NameList>
      </b:Author>
    </b:Author>
    <b:Title>Human Resource Development in Malaysia</b:Title>
    <b:Publisher>Pearson Malaysia Sdn</b:Publisher>
    <b:City>Kuala Lumpur</b:City>
    <b:Year>2011</b:Year>
    <b:RefOrder>62</b:RefOrder>
  </b:Source>
  <b:Source>
    <b:Tag>Akh13</b:Tag>
    <b:SourceType>JournalArticle</b:SourceType>
    <b:Guid>{464D7A27-13C8-0746-A9C8-1105759AB990}</b:Guid>
    <b:Author>
      <b:Author>
        <b:NameList>
          <b:Person>
            <b:Last>Akhavan</b:Last>
            <b:First>P.</b:First>
          </b:Person>
          <b:Person>
            <b:Last>Rahimi</b:Last>
            <b:First>A.</b:First>
          </b:Person>
          <b:Person>
            <b:Last>Mehralian</b:Last>
            <b:First>G.</b:First>
          </b:Person>
        </b:NameList>
      </b:Author>
    </b:Author>
    <b:Title>Developing a model for knowledge sharing in research centers</b:Title>
    <b:Year>2013</b:Year>
    <b:Volume>43</b:Volume>
    <b:Pages>357-393</b:Pages>
    <b:JournalName>The Journal of Information and Knowledge Management Systems</b:JournalName>
    <b:Issue>3</b:Issue>
    <b:RefOrder>202</b:RefOrder>
  </b:Source>
  <b:Source>
    <b:Tag>Sta00</b:Tag>
    <b:SourceType>ConferenceProceedings</b:SourceType>
    <b:Guid>{5DD83F4D-5540-4B46-AA62-D46CFAE5BFC7}</b:Guid>
    <b:Author>
      <b:Author>
        <b:NameList>
          <b:Person>
            <b:Last>Jarvenpaa</b:Last>
            <b:First>S.</b:First>
            <b:Middle>L.</b:Middle>
          </b:Person>
          <b:Person>
            <b:Last>Staples</b:Last>
            <b:First>D.</b:First>
            <b:Middle>S.</b:Middle>
          </b:Person>
        </b:NameList>
      </b:Author>
    </b:Author>
    <b:Title>Using electronic media for information sharing activities: a replication and extension</b:Title>
    <b:Publisher>Association for Information Systems</b:Publisher>
    <b:Year>2000</b:Year>
    <b:Pages>117-133</b:Pages>
    <b:ConferenceName>In Proceedings of the twenty first international conference on Information systems</b:ConferenceName>
    <b:RefOrder>203</b:RefOrder>
  </b:Source>
  <b:Source>
    <b:Tag>Jar01</b:Tag>
    <b:SourceType>JournalArticle</b:SourceType>
    <b:Guid>{D7B0DBA1-CD9B-914A-8DFC-C7FEB1889ADB}</b:Guid>
    <b:Author>
      <b:Author>
        <b:NameList>
          <b:Person>
            <b:Last>Jarvenpaa</b:Last>
            <b:First>S.L.</b:First>
          </b:Person>
          <b:Person>
            <b:Last>Staples</b:Last>
            <b:First>D.S.</b:First>
          </b:Person>
        </b:NameList>
      </b:Author>
    </b:Author>
    <b:Title>Exploring perceptions of organizationalownership of information and expertise</b:Title>
    <b:JournalName>Journal of management information systems</b:JournalName>
    <b:Year>2001</b:Year>
    <b:Volume>18</b:Volume>
    <b:Pages>151-183</b:Pages>
    <b:RefOrder>204</b:RefOrder>
  </b:Source>
  <b:Source>
    <b:Tag>Jar98</b:Tag>
    <b:SourceType>ArticleInAPeriodical</b:SourceType>
    <b:Guid>{4E9DAE9F-AE10-E240-A4B0-090037126B2E}</b:Guid>
    <b:Author>
      <b:Author>
        <b:NameList>
          <b:Person>
            <b:Last>Jarvenpaa</b:Last>
            <b:First>S.L.</b:First>
          </b:Person>
          <b:Person>
            <b:Last>Leidner</b:Last>
            <b:First>D.</b:First>
          </b:Person>
        </b:NameList>
      </b:Author>
    </b:Author>
    <b:Title>Communication and Trust in Global Virtual Team</b:Title>
    <b:Year>1998</b:Year>
    <b:PeriodicalTitle>Organization Science</b:PeriodicalTitle>
    <b:RefOrder>205</b:RefOrder>
  </b:Source>
  <b:Source>
    <b:Tag>Hoo09</b:Tag>
    <b:SourceType>JournalArticle</b:SourceType>
    <b:Guid>{08B01979-5B9F-8342-8A42-5D9EA0002BC4}</b:Guid>
    <b:Author>
      <b:Author>
        <b:NameList>
          <b:Person>
            <b:Last>Hooff</b:Last>
            <b:First>B.</b:First>
            <b:Middle>V.</b:Middle>
          </b:Person>
          <b:Person>
            <b:Last>Huysman</b:Last>
            <b:First>M.</b:First>
          </b:Person>
        </b:NameList>
      </b:Author>
    </b:Author>
    <b:Title>Managing knowledge sharing: Emergent and engineering approaches</b:Title>
    <b:JournalName>Information &amp; Management</b:JournalName>
    <b:Year>2009</b:Year>
    <b:Volume>46</b:Volume>
    <b:Issue>1</b:Issue>
    <b:Pages>1-8</b:Pages>
    <b:RefOrder>206</b:RefOrder>
  </b:Source>
  <b:Source>
    <b:Tag>Dav97</b:Tag>
    <b:SourceType>Book</b:SourceType>
    <b:Guid>{EA925451-F26B-D941-BBAF-B1F137802BDF}</b:Guid>
    <b:Author>
      <b:Author>
        <b:NameList>
          <b:Person>
            <b:Last>Davenport</b:Last>
            <b:First>T.H.</b:First>
          </b:Person>
          <b:Person>
            <b:Last>Prusak</b:Last>
            <b:First>L.</b:First>
          </b:Person>
        </b:NameList>
      </b:Author>
    </b:Author>
    <b:Title>Working knowledge: How organizations manage what they know</b:Title>
    <b:Publisher>Harvard Business School Press Books</b:Publisher>
    <b:Year>1997</b:Year>
    <b:RefOrder>207</b:RefOrder>
  </b:Source>
  <b:Source>
    <b:Tag>Dav98</b:Tag>
    <b:SourceType>JournalArticle</b:SourceType>
    <b:Guid>{CED66787-85EB-2848-84B5-1A70DDEA373C}</b:Guid>
    <b:Author>
      <b:Author>
        <b:NameList>
          <b:Person>
            <b:Last>Davenport</b:Last>
            <b:First>T.H.</b:First>
          </b:Person>
          <b:Person>
            <b:Last>Prusak</b:Last>
            <b:First>L.</b:First>
          </b:Person>
        </b:NameList>
      </b:Author>
    </b:Author>
    <b:Title>Learn how valuable knowledge is acquired, created, bought and bartered</b:Title>
    <b:JournalName>Aust. Lib. J.</b:JournalName>
    <b:Year>1998</b:Year>
    <b:Volume>47</b:Volume>
    <b:Pages>268</b:Pages>
    <b:RefOrder>208</b:RefOrder>
  </b:Source>
  <b:Source>
    <b:Tag>Boc05</b:Tag>
    <b:SourceType>JournalArticle</b:SourceType>
    <b:Guid>{10619B93-5CA0-8147-B580-890428B67969}</b:Guid>
    <b:Author>
      <b:Author>
        <b:NameList>
          <b:Person>
            <b:Last>Bock</b:Last>
            <b:First>G.W.</b:First>
          </b:Person>
          <b:Person>
            <b:Last>Zmud</b:Last>
            <b:First>R.W.</b:First>
          </b:Person>
          <b:Person>
            <b:Last>Kim</b:Last>
            <b:First>Y.G.</b:First>
          </b:Person>
          <b:Person>
            <b:Last>Lee</b:Last>
            <b:First>J.N.</b:First>
          </b:Person>
        </b:NameList>
      </b:Author>
    </b:Author>
    <b:Title>Behavioral intention formation in knowledge sharing: examining the roles of extrinsic motivators, social-psychological forces, and organizational climate</b:Title>
    <b:JournalName>MIS Quarterly</b:JournalName>
    <b:Year>2005</b:Year>
    <b:Volume>29</b:Volume>
    <b:Issue>1</b:Issue>
    <b:Pages>87-111</b:Pages>
    <b:RefOrder>209</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FDF14C-2FC5-445F-88F1-D9F983776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221717</Words>
  <Characters>1263791</Characters>
  <Application>Microsoft Office Word</Application>
  <DocSecurity>0</DocSecurity>
  <Lines>10531</Lines>
  <Paragraphs>2965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1482543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Hossam Elanain</dc:creator>
  <cp:lastModifiedBy>Sana Sayeed</cp:lastModifiedBy>
  <cp:revision>2</cp:revision>
  <cp:lastPrinted>2019-12-14T14:06:00Z</cp:lastPrinted>
  <dcterms:created xsi:type="dcterms:W3CDTF">2024-02-19T05:54:00Z</dcterms:created>
  <dcterms:modified xsi:type="dcterms:W3CDTF">2024-02-19T05:54:00Z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1033-10.1.0.5785</vt:lpwstr>
  </property>
  <property fmtid="{D5CDD505-2E9C-101B-9397-08002B2CF9AE}" pid="3" name="Mendeley Recent Style Id 0_1">
    <vt:lpwstr>http://www.zotero.org/styles/american-fisheries-society</vt:lpwstr>
  </property>
  <property fmtid="{D5CDD505-2E9C-101B-9397-08002B2CF9AE}" pid="4" name="Mendeley Recent Style Name 0_1">
    <vt:lpwstr>American Fisheries Society</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https://csl.mendeley.com/styles/463543631/apa</vt:lpwstr>
  </property>
  <property fmtid="{D5CDD505-2E9C-101B-9397-08002B2CF9AE}" pid="8" name="Mendeley Recent Style Name 2_1">
    <vt:lpwstr>American Psychological Association 6th edition - Sarmad Mehrbod - hamada salem</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http://www.zotero.org/styles/emerald-harvard</vt:lpwstr>
  </property>
  <property fmtid="{D5CDD505-2E9C-101B-9397-08002B2CF9AE}" pid="16" name="Mendeley Recent Style Name 6_1">
    <vt:lpwstr>Emerald - Harvard</vt:lpwstr>
  </property>
  <property fmtid="{D5CDD505-2E9C-101B-9397-08002B2CF9AE}" pid="17" name="Mendeley Recent Style Id 7_1">
    <vt:lpwstr>http://www.zotero.org/styles/international-journal-of-human-computer-studies</vt:lpwstr>
  </property>
  <property fmtid="{D5CDD505-2E9C-101B-9397-08002B2CF9AE}" pid="18" name="Mendeley Recent Style Name 7_1">
    <vt:lpwstr>International Journal of Human - Computer Studies</vt:lpwstr>
  </property>
  <property fmtid="{D5CDD505-2E9C-101B-9397-08002B2CF9AE}" pid="19" name="Mendeley Recent Style Id 8_1">
    <vt:lpwstr>http://csl.mendeley.com/styles/479449561/monash-university-harvard</vt:lpwstr>
  </property>
  <property fmtid="{D5CDD505-2E9C-101B-9397-08002B2CF9AE}" pid="20" name="Mendeley Recent Style Name 8_1">
    <vt:lpwstr>Monash University - Harvard - Regina Bash-Taqi</vt:lpwstr>
  </property>
  <property fmtid="{D5CDD505-2E9C-101B-9397-08002B2CF9AE}" pid="21" name="Mendeley Recent Style Id 9_1">
    <vt:lpwstr>http://www.zotero.org/styles/transactions-of-the-american-fisheries-society</vt:lpwstr>
  </property>
  <property fmtid="{D5CDD505-2E9C-101B-9397-08002B2CF9AE}" pid="22" name="Mendeley Recent Style Name 9_1">
    <vt:lpwstr>Transactions of the American Fisheries Society</vt:lpwstr>
  </property>
  <property fmtid="{D5CDD505-2E9C-101B-9397-08002B2CF9AE}" pid="23" name="Mendeley Document_1">
    <vt:lpwstr>True</vt:lpwstr>
  </property>
  <property fmtid="{D5CDD505-2E9C-101B-9397-08002B2CF9AE}" pid="24" name="Mendeley Unique User Id_1">
    <vt:lpwstr>91b1c7a4-5496-396d-a74f-f2d6f764aa3f</vt:lpwstr>
  </property>
  <property fmtid="{D5CDD505-2E9C-101B-9397-08002B2CF9AE}" pid="25" name="Mendeley Citation Style_1">
    <vt:lpwstr>http://www.zotero.org/styles/apa</vt:lpwstr>
  </property>
</Properties>
</file>