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EE394" w14:textId="77777777" w:rsidR="005976AB" w:rsidRPr="005635E7" w:rsidRDefault="005976AB" w:rsidP="005976AB">
      <w:pPr>
        <w:pStyle w:val="Heading1"/>
        <w:spacing w:before="0" w:after="240" w:line="480" w:lineRule="auto"/>
        <w:jc w:val="center"/>
        <w:rPr>
          <w:rFonts w:asciiTheme="majorBidi" w:hAnsiTheme="majorBidi"/>
          <w:b/>
          <w:bCs/>
          <w:color w:val="auto"/>
          <w:sz w:val="28"/>
          <w:szCs w:val="28"/>
        </w:rPr>
      </w:pPr>
      <w:bookmarkStart w:id="0" w:name="_Toc115310348"/>
      <w:bookmarkStart w:id="1" w:name="_GoBack"/>
      <w:bookmarkEnd w:id="1"/>
      <w:r w:rsidRPr="005635E7">
        <w:rPr>
          <w:rFonts w:asciiTheme="majorBidi" w:hAnsiTheme="majorBidi"/>
          <w:noProof/>
          <w:color w:val="auto"/>
        </w:rPr>
        <w:drawing>
          <wp:inline distT="0" distB="0" distL="0" distR="0" wp14:anchorId="68559CDA" wp14:editId="376F453A">
            <wp:extent cx="3970869" cy="962893"/>
            <wp:effectExtent l="0" t="0" r="0" b="8890"/>
            <wp:docPr id="18" name="Picture 18" descr="Abu Dhabi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Abu Dhabi University"/>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986234" cy="966619"/>
                    </a:xfrm>
                    <a:prstGeom prst="rect">
                      <a:avLst/>
                    </a:prstGeom>
                    <a:noFill/>
                    <a:ln>
                      <a:noFill/>
                    </a:ln>
                  </pic:spPr>
                </pic:pic>
              </a:graphicData>
            </a:graphic>
          </wp:inline>
        </w:drawing>
      </w:r>
      <w:bookmarkEnd w:id="0"/>
    </w:p>
    <w:p w14:paraId="594D8858" w14:textId="77777777" w:rsidR="005976AB" w:rsidRPr="005635E7" w:rsidRDefault="005976AB" w:rsidP="005976AB">
      <w:pPr>
        <w:spacing w:line="480" w:lineRule="auto"/>
        <w:jc w:val="center"/>
        <w:rPr>
          <w:rFonts w:asciiTheme="majorBidi" w:hAnsiTheme="majorBidi" w:cstheme="majorBidi"/>
          <w:b/>
          <w:bCs/>
          <w:sz w:val="32"/>
          <w:szCs w:val="32"/>
        </w:rPr>
      </w:pPr>
      <w:r w:rsidRPr="005635E7">
        <w:rPr>
          <w:rFonts w:asciiTheme="majorBidi" w:hAnsiTheme="majorBidi" w:cstheme="majorBidi"/>
          <w:b/>
          <w:bCs/>
          <w:sz w:val="32"/>
          <w:szCs w:val="32"/>
        </w:rPr>
        <w:t>Organizational Learning Capabilities and Firm Performance of SMEs in the United Arab Emirates: Mediating Role of Open Innovation</w:t>
      </w:r>
    </w:p>
    <w:p w14:paraId="0E74812C" w14:textId="77777777" w:rsidR="005976AB" w:rsidRPr="005635E7" w:rsidRDefault="005976AB" w:rsidP="005976AB">
      <w:pPr>
        <w:shd w:val="clear" w:color="auto" w:fill="FFFFFF"/>
        <w:spacing w:line="480" w:lineRule="auto"/>
        <w:jc w:val="center"/>
        <w:rPr>
          <w:rFonts w:asciiTheme="majorBidi" w:hAnsiTheme="majorBidi" w:cstheme="majorBidi"/>
        </w:rPr>
      </w:pPr>
      <w:r w:rsidRPr="005635E7">
        <w:rPr>
          <w:rFonts w:asciiTheme="majorBidi" w:hAnsiTheme="majorBidi" w:cstheme="majorBidi"/>
        </w:rPr>
        <w:t>Dissertation</w:t>
      </w:r>
    </w:p>
    <w:p w14:paraId="268C295C"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Presented To</w:t>
      </w:r>
    </w:p>
    <w:p w14:paraId="6A1B86FC"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The Academic Faculty</w:t>
      </w:r>
    </w:p>
    <w:p w14:paraId="3D166636"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By</w:t>
      </w:r>
    </w:p>
    <w:p w14:paraId="1F5BF857"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Fatima Mohamed Al Nuaimi</w:t>
      </w:r>
    </w:p>
    <w:p w14:paraId="2652E977"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1002757</w:t>
      </w:r>
    </w:p>
    <w:p w14:paraId="55D33520"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In Partial Fulfil</w:t>
      </w:r>
      <w:r>
        <w:rPr>
          <w:rFonts w:asciiTheme="majorBidi" w:hAnsiTheme="majorBidi" w:cstheme="majorBidi"/>
        </w:rPr>
        <w:t>l</w:t>
      </w:r>
      <w:r w:rsidRPr="005635E7">
        <w:rPr>
          <w:rFonts w:asciiTheme="majorBidi" w:hAnsiTheme="majorBidi" w:cstheme="majorBidi"/>
        </w:rPr>
        <w:t>ment</w:t>
      </w:r>
    </w:p>
    <w:p w14:paraId="22A9DDA0"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Of the Requirements for the Degree</w:t>
      </w:r>
    </w:p>
    <w:p w14:paraId="69A80429"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Of Doctor of Business Administration</w:t>
      </w:r>
    </w:p>
    <w:p w14:paraId="6DB48C35"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Abu Dhabi University</w:t>
      </w:r>
    </w:p>
    <w:p w14:paraId="4273BC00"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College of Business Administration</w:t>
      </w:r>
    </w:p>
    <w:p w14:paraId="6D001175" w14:textId="77777777" w:rsidR="005976AB" w:rsidRPr="005635E7" w:rsidRDefault="005976AB" w:rsidP="005976AB">
      <w:pPr>
        <w:spacing w:line="480" w:lineRule="auto"/>
        <w:jc w:val="center"/>
        <w:rPr>
          <w:rFonts w:asciiTheme="majorBidi" w:hAnsiTheme="majorBidi" w:cstheme="majorBidi"/>
        </w:rPr>
      </w:pPr>
      <w:r w:rsidRPr="005635E7">
        <w:rPr>
          <w:rFonts w:asciiTheme="majorBidi" w:hAnsiTheme="majorBidi" w:cstheme="majorBidi"/>
        </w:rPr>
        <w:t>Abu Dhabi, United Arab Emirates</w:t>
      </w:r>
    </w:p>
    <w:p w14:paraId="36AA9DF4" w14:textId="77777777" w:rsidR="005976AB" w:rsidRPr="005635E7" w:rsidRDefault="005976AB" w:rsidP="005976AB">
      <w:pPr>
        <w:spacing w:after="160" w:line="480" w:lineRule="auto"/>
        <w:jc w:val="center"/>
        <w:rPr>
          <w:rFonts w:asciiTheme="majorBidi" w:hAnsiTheme="majorBidi" w:cstheme="majorBidi"/>
          <w:bCs/>
        </w:rPr>
      </w:pPr>
      <w:r w:rsidRPr="005635E7">
        <w:rPr>
          <w:rFonts w:asciiTheme="majorBidi" w:hAnsiTheme="majorBidi" w:cstheme="majorBidi"/>
          <w:bCs/>
        </w:rPr>
        <w:t>2023</w:t>
      </w:r>
    </w:p>
    <w:p w14:paraId="4A7A7B92" w14:textId="77777777" w:rsidR="005976AB" w:rsidRPr="005635E7" w:rsidRDefault="005976AB" w:rsidP="005976AB">
      <w:pPr>
        <w:rPr>
          <w:rFonts w:asciiTheme="majorBidi" w:hAnsiTheme="majorBidi" w:cstheme="majorBidi"/>
          <w:bCs/>
        </w:rPr>
      </w:pPr>
      <w:r w:rsidRPr="005635E7">
        <w:rPr>
          <w:rFonts w:asciiTheme="majorBidi" w:hAnsiTheme="majorBidi" w:cstheme="majorBidi"/>
          <w:bCs/>
        </w:rPr>
        <w:br w:type="page"/>
      </w:r>
    </w:p>
    <w:p w14:paraId="57E37963" w14:textId="77777777" w:rsidR="005976AB" w:rsidRPr="005635E7" w:rsidRDefault="005976AB" w:rsidP="005976AB">
      <w:pPr>
        <w:pStyle w:val="Heading1"/>
        <w:spacing w:before="0" w:after="240" w:line="480" w:lineRule="auto"/>
        <w:jc w:val="center"/>
        <w:rPr>
          <w:rFonts w:asciiTheme="majorBidi" w:eastAsia="Times New Roman" w:hAnsiTheme="majorBidi"/>
          <w:b/>
          <w:bCs/>
          <w:color w:val="auto"/>
          <w:sz w:val="28"/>
          <w:szCs w:val="28"/>
        </w:rPr>
      </w:pPr>
      <w:bookmarkStart w:id="2" w:name="_Toc115310349"/>
      <w:r w:rsidRPr="005635E7">
        <w:rPr>
          <w:rFonts w:asciiTheme="majorBidi" w:eastAsia="Times New Roman" w:hAnsiTheme="majorBidi"/>
          <w:b/>
          <w:bCs/>
          <w:color w:val="auto"/>
          <w:sz w:val="28"/>
          <w:szCs w:val="28"/>
        </w:rPr>
        <w:lastRenderedPageBreak/>
        <w:t>SIGNATORY PAGE</w:t>
      </w:r>
      <w:bookmarkEnd w:id="2"/>
    </w:p>
    <w:p w14:paraId="4CB4B3A4" w14:textId="77777777" w:rsidR="005976AB" w:rsidRPr="005635E7" w:rsidRDefault="005976AB" w:rsidP="005976AB">
      <w:pPr>
        <w:spacing w:line="480" w:lineRule="auto"/>
        <w:jc w:val="center"/>
        <w:rPr>
          <w:rFonts w:asciiTheme="majorBidi" w:hAnsiTheme="majorBidi" w:cstheme="majorBidi"/>
          <w:b/>
          <w:bCs/>
          <w:sz w:val="32"/>
          <w:szCs w:val="32"/>
        </w:rPr>
      </w:pPr>
      <w:r w:rsidRPr="005635E7">
        <w:rPr>
          <w:rFonts w:asciiTheme="majorBidi" w:hAnsiTheme="majorBidi" w:cstheme="majorBidi"/>
          <w:b/>
          <w:bCs/>
          <w:sz w:val="32"/>
          <w:szCs w:val="32"/>
        </w:rPr>
        <w:t>Organizational Learning Capabilities and Firm Performance of SMEs in the United Arab Emirates: Mediating Role of Open Innovation</w:t>
      </w:r>
    </w:p>
    <w:p w14:paraId="4B5C6AE7" w14:textId="77777777" w:rsidR="005976AB" w:rsidRPr="005635E7" w:rsidRDefault="005976AB" w:rsidP="005976AB">
      <w:pPr>
        <w:spacing w:line="480" w:lineRule="auto"/>
        <w:jc w:val="both"/>
        <w:rPr>
          <w:rFonts w:asciiTheme="majorBidi" w:eastAsia="Times New Roman" w:hAnsiTheme="majorBidi" w:cstheme="majorBidi"/>
          <w:b/>
        </w:rPr>
      </w:pPr>
    </w:p>
    <w:p w14:paraId="337DEEF8" w14:textId="77777777" w:rsidR="005976AB" w:rsidRPr="005635E7" w:rsidRDefault="005976AB" w:rsidP="005976AB">
      <w:pPr>
        <w:spacing w:line="480" w:lineRule="auto"/>
        <w:jc w:val="both"/>
        <w:rPr>
          <w:rFonts w:asciiTheme="majorBidi" w:eastAsia="Times New Roman" w:hAnsiTheme="majorBidi" w:cstheme="majorBidi"/>
        </w:rPr>
      </w:pPr>
    </w:p>
    <w:p w14:paraId="01456BC7" w14:textId="77777777" w:rsidR="005976AB" w:rsidRPr="005635E7" w:rsidRDefault="005976AB" w:rsidP="005976AB">
      <w:pPr>
        <w:widowControl w:val="0"/>
        <w:tabs>
          <w:tab w:val="right" w:pos="9720"/>
        </w:tabs>
        <w:autoSpaceDE w:val="0"/>
        <w:autoSpaceDN w:val="0"/>
        <w:adjustRightInd w:val="0"/>
        <w:jc w:val="both"/>
        <w:rPr>
          <w:rFonts w:asciiTheme="majorBidi" w:eastAsia="Times New Roman" w:hAnsiTheme="majorBidi" w:cstheme="majorBidi"/>
        </w:rPr>
      </w:pPr>
    </w:p>
    <w:p w14:paraId="5F444FF0" w14:textId="77777777" w:rsidR="005976AB" w:rsidRPr="005635E7" w:rsidRDefault="005976AB" w:rsidP="005976AB">
      <w:pPr>
        <w:widowControl w:val="0"/>
        <w:tabs>
          <w:tab w:val="right" w:pos="9720"/>
        </w:tabs>
        <w:autoSpaceDE w:val="0"/>
        <w:autoSpaceDN w:val="0"/>
        <w:adjustRightInd w:val="0"/>
        <w:jc w:val="right"/>
        <w:rPr>
          <w:rFonts w:asciiTheme="majorBidi" w:eastAsia="Times New Roman" w:hAnsiTheme="majorBidi" w:cstheme="majorBidi"/>
        </w:rPr>
      </w:pPr>
      <w:r w:rsidRPr="005635E7">
        <w:rPr>
          <w:rFonts w:asciiTheme="majorBidi" w:eastAsia="Times New Roman" w:hAnsiTheme="majorBidi" w:cstheme="majorBidi"/>
        </w:rPr>
        <w:t>_________________________</w:t>
      </w:r>
    </w:p>
    <w:p w14:paraId="5ABB8F31" w14:textId="77777777" w:rsidR="005976AB" w:rsidRPr="005635E7" w:rsidRDefault="005976AB" w:rsidP="005976AB">
      <w:pPr>
        <w:widowControl w:val="0"/>
        <w:tabs>
          <w:tab w:val="right" w:pos="9720"/>
        </w:tabs>
        <w:autoSpaceDE w:val="0"/>
        <w:autoSpaceDN w:val="0"/>
        <w:adjustRightInd w:val="0"/>
        <w:jc w:val="right"/>
        <w:rPr>
          <w:rFonts w:asciiTheme="majorBidi" w:eastAsia="Times New Roman" w:hAnsiTheme="majorBidi" w:cstheme="majorBidi"/>
          <w:i/>
          <w:iCs/>
        </w:rPr>
      </w:pPr>
      <w:r w:rsidRPr="005635E7">
        <w:rPr>
          <w:rFonts w:asciiTheme="majorBidi" w:eastAsia="Times New Roman" w:hAnsiTheme="majorBidi" w:cstheme="majorBidi"/>
        </w:rPr>
        <w:t>FATIMA MOHAMED AL NUAIMI 1002757</w:t>
      </w:r>
    </w:p>
    <w:p w14:paraId="68712A68" w14:textId="77777777" w:rsidR="005976AB" w:rsidRPr="005635E7" w:rsidRDefault="005976AB" w:rsidP="005976AB">
      <w:pPr>
        <w:widowControl w:val="0"/>
        <w:tabs>
          <w:tab w:val="right" w:pos="9720"/>
        </w:tabs>
        <w:autoSpaceDE w:val="0"/>
        <w:autoSpaceDN w:val="0"/>
        <w:adjustRightInd w:val="0"/>
        <w:jc w:val="right"/>
        <w:rPr>
          <w:rFonts w:asciiTheme="majorBidi" w:eastAsia="Times New Roman" w:hAnsiTheme="majorBidi" w:cstheme="majorBidi"/>
          <w:i/>
          <w:iCs/>
        </w:rPr>
      </w:pPr>
    </w:p>
    <w:p w14:paraId="5874CF4A" w14:textId="77777777" w:rsidR="005976AB" w:rsidRPr="005635E7" w:rsidRDefault="005976AB" w:rsidP="005976AB">
      <w:pPr>
        <w:widowControl w:val="0"/>
        <w:tabs>
          <w:tab w:val="right" w:pos="9720"/>
        </w:tabs>
        <w:autoSpaceDE w:val="0"/>
        <w:autoSpaceDN w:val="0"/>
        <w:adjustRightInd w:val="0"/>
        <w:jc w:val="right"/>
        <w:rPr>
          <w:rFonts w:asciiTheme="majorBidi" w:eastAsia="Times New Roman" w:hAnsiTheme="majorBidi" w:cstheme="majorBidi"/>
          <w:i/>
          <w:iCs/>
        </w:rPr>
      </w:pPr>
    </w:p>
    <w:p w14:paraId="14413F39" w14:textId="77777777" w:rsidR="005976AB" w:rsidRPr="005635E7" w:rsidRDefault="005976AB" w:rsidP="005976AB">
      <w:pPr>
        <w:widowControl w:val="0"/>
        <w:tabs>
          <w:tab w:val="right" w:pos="9720"/>
        </w:tabs>
        <w:autoSpaceDE w:val="0"/>
        <w:autoSpaceDN w:val="0"/>
        <w:adjustRightInd w:val="0"/>
        <w:jc w:val="right"/>
        <w:rPr>
          <w:rFonts w:asciiTheme="majorBidi" w:eastAsia="Times New Roman" w:hAnsiTheme="majorBidi" w:cstheme="majorBidi"/>
        </w:rPr>
      </w:pPr>
    </w:p>
    <w:p w14:paraId="2623326B" w14:textId="77777777" w:rsidR="005976AB" w:rsidRPr="005635E7" w:rsidRDefault="005976AB" w:rsidP="005976AB">
      <w:pPr>
        <w:widowControl w:val="0"/>
        <w:tabs>
          <w:tab w:val="right" w:pos="9720"/>
        </w:tabs>
        <w:autoSpaceDE w:val="0"/>
        <w:autoSpaceDN w:val="0"/>
        <w:adjustRightInd w:val="0"/>
        <w:jc w:val="right"/>
        <w:rPr>
          <w:rFonts w:asciiTheme="majorBidi" w:eastAsia="Times New Roman" w:hAnsiTheme="majorBidi" w:cstheme="majorBidi"/>
          <w:b/>
          <w:bCs/>
        </w:rPr>
      </w:pPr>
      <w:r w:rsidRPr="005635E7">
        <w:rPr>
          <w:rFonts w:asciiTheme="majorBidi" w:eastAsia="Times New Roman" w:hAnsiTheme="majorBidi" w:cstheme="majorBidi"/>
          <w:b/>
          <w:bCs/>
        </w:rPr>
        <w:t>Approved:</w:t>
      </w:r>
    </w:p>
    <w:p w14:paraId="2F51FC01" w14:textId="77777777" w:rsidR="005976AB" w:rsidRPr="005635E7" w:rsidRDefault="005976AB" w:rsidP="005976AB">
      <w:pPr>
        <w:widowControl w:val="0"/>
        <w:autoSpaceDE w:val="0"/>
        <w:autoSpaceDN w:val="0"/>
        <w:adjustRightInd w:val="0"/>
        <w:jc w:val="right"/>
        <w:rPr>
          <w:rFonts w:asciiTheme="majorBidi" w:eastAsia="Times New Roman" w:hAnsiTheme="majorBidi" w:cstheme="majorBidi"/>
          <w:b/>
          <w:bCs/>
        </w:rPr>
      </w:pPr>
    </w:p>
    <w:p w14:paraId="773D70A0" w14:textId="77777777" w:rsidR="005976AB" w:rsidRPr="005635E7" w:rsidRDefault="005976AB" w:rsidP="005976AB">
      <w:pPr>
        <w:widowControl w:val="0"/>
        <w:tabs>
          <w:tab w:val="right" w:pos="9720"/>
        </w:tabs>
        <w:autoSpaceDE w:val="0"/>
        <w:autoSpaceDN w:val="0"/>
        <w:adjustRightInd w:val="0"/>
        <w:jc w:val="right"/>
        <w:rPr>
          <w:rFonts w:asciiTheme="majorBidi" w:eastAsia="Times New Roman" w:hAnsiTheme="majorBidi" w:cstheme="majorBidi"/>
          <w:b/>
          <w:bCs/>
        </w:rPr>
      </w:pPr>
    </w:p>
    <w:p w14:paraId="0B16A828" w14:textId="77777777" w:rsidR="005976AB" w:rsidRPr="005635E7" w:rsidRDefault="005976AB" w:rsidP="005976AB">
      <w:pPr>
        <w:widowControl w:val="0"/>
        <w:tabs>
          <w:tab w:val="right" w:pos="9720"/>
        </w:tabs>
        <w:jc w:val="right"/>
        <w:rPr>
          <w:rFonts w:asciiTheme="majorBidi" w:eastAsia="Times New Roman" w:hAnsiTheme="majorBidi" w:cstheme="majorBidi"/>
        </w:rPr>
      </w:pPr>
    </w:p>
    <w:p w14:paraId="7F3DCE16" w14:textId="77777777" w:rsidR="005976AB" w:rsidRPr="005635E7" w:rsidRDefault="005976AB" w:rsidP="005976AB">
      <w:pPr>
        <w:widowControl w:val="0"/>
        <w:tabs>
          <w:tab w:val="right" w:pos="9720"/>
        </w:tabs>
        <w:jc w:val="right"/>
        <w:rPr>
          <w:rFonts w:asciiTheme="majorBidi" w:eastAsia="Times New Roman" w:hAnsiTheme="majorBidi" w:cstheme="majorBidi"/>
        </w:rPr>
      </w:pPr>
      <w:r w:rsidRPr="005635E7">
        <w:rPr>
          <w:rFonts w:asciiTheme="majorBidi" w:eastAsia="Times New Roman" w:hAnsiTheme="majorBidi" w:cstheme="majorBidi"/>
        </w:rPr>
        <w:t>_________________________</w:t>
      </w:r>
    </w:p>
    <w:p w14:paraId="01180DBE" w14:textId="77777777" w:rsidR="005976AB" w:rsidRPr="005635E7" w:rsidRDefault="005976AB" w:rsidP="005976AB">
      <w:pPr>
        <w:widowControl w:val="0"/>
        <w:tabs>
          <w:tab w:val="right" w:pos="9720"/>
        </w:tabs>
        <w:bidi/>
        <w:jc w:val="right"/>
        <w:rPr>
          <w:rFonts w:asciiTheme="majorBidi" w:eastAsia="Times New Roman" w:hAnsiTheme="majorBidi" w:cstheme="majorBidi"/>
          <w:b/>
          <w:bCs/>
        </w:rPr>
      </w:pPr>
      <w:r w:rsidRPr="005635E7">
        <w:rPr>
          <w:rFonts w:asciiTheme="majorBidi" w:eastAsia="Times New Roman" w:hAnsiTheme="majorBidi" w:cstheme="majorBidi"/>
          <w:b/>
          <w:bCs/>
        </w:rPr>
        <w:t>DR. SANJAY KUMAR SINGH</w:t>
      </w:r>
      <w:r w:rsidRPr="005635E7">
        <w:rPr>
          <w:rFonts w:asciiTheme="majorBidi" w:eastAsia="Times New Roman" w:hAnsiTheme="majorBidi" w:cstheme="majorBidi"/>
          <w:b/>
          <w:bCs/>
        </w:rPr>
        <w:tab/>
      </w:r>
    </w:p>
    <w:p w14:paraId="12D3ED4B" w14:textId="77777777" w:rsidR="005976AB" w:rsidRPr="005635E7" w:rsidRDefault="005976AB" w:rsidP="005976AB">
      <w:pPr>
        <w:widowControl w:val="0"/>
        <w:tabs>
          <w:tab w:val="right" w:pos="8640"/>
        </w:tabs>
        <w:jc w:val="right"/>
        <w:rPr>
          <w:rFonts w:asciiTheme="majorBidi" w:eastAsia="Times New Roman" w:hAnsiTheme="majorBidi" w:cstheme="majorBidi"/>
        </w:rPr>
      </w:pPr>
      <w:r w:rsidRPr="005635E7">
        <w:rPr>
          <w:rFonts w:asciiTheme="majorBidi" w:eastAsia="Times New Roman" w:hAnsiTheme="majorBidi" w:cstheme="majorBidi"/>
        </w:rPr>
        <w:t>Chair Professor of Human Resource Management</w:t>
      </w:r>
    </w:p>
    <w:p w14:paraId="674323B9" w14:textId="77777777" w:rsidR="005976AB" w:rsidRPr="005635E7" w:rsidRDefault="005976AB" w:rsidP="005976AB">
      <w:pPr>
        <w:widowControl w:val="0"/>
        <w:tabs>
          <w:tab w:val="right" w:pos="8640"/>
        </w:tabs>
        <w:jc w:val="right"/>
        <w:rPr>
          <w:rFonts w:asciiTheme="majorBidi" w:eastAsia="Times New Roman" w:hAnsiTheme="majorBidi" w:cstheme="majorBidi"/>
        </w:rPr>
      </w:pPr>
      <w:r w:rsidRPr="005635E7">
        <w:rPr>
          <w:rFonts w:asciiTheme="majorBidi" w:eastAsia="Times New Roman" w:hAnsiTheme="majorBidi" w:cstheme="majorBidi"/>
        </w:rPr>
        <w:t>University of Dundee School of Business, UK</w:t>
      </w:r>
    </w:p>
    <w:p w14:paraId="15BE4E82" w14:textId="77777777" w:rsidR="005976AB" w:rsidRPr="005635E7" w:rsidRDefault="005976AB" w:rsidP="005976AB">
      <w:pPr>
        <w:widowControl w:val="0"/>
        <w:tabs>
          <w:tab w:val="right" w:pos="8640"/>
        </w:tabs>
        <w:jc w:val="right"/>
        <w:rPr>
          <w:rFonts w:asciiTheme="majorBidi" w:eastAsia="Times New Roman" w:hAnsiTheme="majorBidi" w:cstheme="majorBidi"/>
        </w:rPr>
      </w:pPr>
      <w:r w:rsidRPr="005635E7">
        <w:rPr>
          <w:rFonts w:asciiTheme="majorBidi" w:eastAsia="Times New Roman" w:hAnsiTheme="majorBidi" w:cstheme="majorBidi"/>
        </w:rPr>
        <w:t>Committee Chair</w:t>
      </w:r>
    </w:p>
    <w:p w14:paraId="40D68860" w14:textId="77777777" w:rsidR="005976AB" w:rsidRPr="005635E7" w:rsidRDefault="005976AB" w:rsidP="005976AB">
      <w:pPr>
        <w:widowControl w:val="0"/>
        <w:tabs>
          <w:tab w:val="right" w:pos="9720"/>
        </w:tabs>
        <w:jc w:val="right"/>
        <w:rPr>
          <w:rFonts w:asciiTheme="majorBidi" w:eastAsia="Times New Roman" w:hAnsiTheme="majorBidi" w:cstheme="majorBidi"/>
        </w:rPr>
      </w:pPr>
    </w:p>
    <w:p w14:paraId="013A98BB" w14:textId="77777777" w:rsidR="005976AB" w:rsidRPr="005635E7" w:rsidRDefault="005976AB" w:rsidP="005976AB">
      <w:pPr>
        <w:widowControl w:val="0"/>
        <w:tabs>
          <w:tab w:val="right" w:pos="9720"/>
        </w:tabs>
        <w:jc w:val="right"/>
        <w:rPr>
          <w:rFonts w:asciiTheme="majorBidi" w:eastAsia="Times New Roman" w:hAnsiTheme="majorBidi" w:cstheme="majorBidi"/>
        </w:rPr>
      </w:pPr>
    </w:p>
    <w:p w14:paraId="4001E6D8" w14:textId="77777777" w:rsidR="005976AB" w:rsidRPr="005635E7" w:rsidRDefault="005976AB" w:rsidP="005976AB">
      <w:pPr>
        <w:widowControl w:val="0"/>
        <w:tabs>
          <w:tab w:val="left" w:pos="5673"/>
          <w:tab w:val="right" w:pos="9720"/>
        </w:tabs>
        <w:jc w:val="right"/>
        <w:rPr>
          <w:rFonts w:asciiTheme="majorBidi" w:eastAsia="Times New Roman" w:hAnsiTheme="majorBidi" w:cstheme="majorBidi"/>
        </w:rPr>
      </w:pPr>
      <w:r w:rsidRPr="005635E7">
        <w:rPr>
          <w:rFonts w:asciiTheme="majorBidi" w:eastAsia="Times New Roman" w:hAnsiTheme="majorBidi" w:cstheme="majorBidi"/>
        </w:rPr>
        <w:tab/>
      </w:r>
    </w:p>
    <w:p w14:paraId="2401CD0E" w14:textId="77777777" w:rsidR="005976AB" w:rsidRPr="005635E7" w:rsidRDefault="005976AB" w:rsidP="005976AB">
      <w:pPr>
        <w:widowControl w:val="0"/>
        <w:tabs>
          <w:tab w:val="right" w:pos="9720"/>
        </w:tabs>
        <w:jc w:val="right"/>
        <w:rPr>
          <w:rFonts w:asciiTheme="majorBidi" w:eastAsia="Times New Roman" w:hAnsiTheme="majorBidi" w:cstheme="majorBidi"/>
        </w:rPr>
      </w:pPr>
    </w:p>
    <w:p w14:paraId="74245631" w14:textId="77777777" w:rsidR="005976AB" w:rsidRPr="005635E7" w:rsidRDefault="005976AB" w:rsidP="005976AB">
      <w:pPr>
        <w:widowControl w:val="0"/>
        <w:tabs>
          <w:tab w:val="right" w:pos="9720"/>
        </w:tabs>
        <w:jc w:val="right"/>
        <w:rPr>
          <w:rFonts w:asciiTheme="majorBidi" w:eastAsia="Times New Roman" w:hAnsiTheme="majorBidi" w:cstheme="majorBidi"/>
        </w:rPr>
      </w:pPr>
      <w:r w:rsidRPr="005635E7">
        <w:rPr>
          <w:rFonts w:asciiTheme="majorBidi" w:eastAsia="Times New Roman" w:hAnsiTheme="majorBidi" w:cstheme="majorBidi"/>
        </w:rPr>
        <w:t>_________________________</w:t>
      </w:r>
    </w:p>
    <w:p w14:paraId="310B9A46" w14:textId="77777777" w:rsidR="005976AB" w:rsidRPr="005635E7" w:rsidRDefault="005976AB" w:rsidP="005976AB">
      <w:pPr>
        <w:widowControl w:val="0"/>
        <w:tabs>
          <w:tab w:val="right" w:pos="8640"/>
        </w:tabs>
        <w:jc w:val="right"/>
        <w:rPr>
          <w:rFonts w:asciiTheme="majorBidi" w:eastAsia="Times New Roman" w:hAnsiTheme="majorBidi" w:cstheme="majorBidi"/>
          <w:b/>
          <w:bCs/>
        </w:rPr>
      </w:pPr>
      <w:r w:rsidRPr="005635E7">
        <w:rPr>
          <w:rFonts w:asciiTheme="majorBidi" w:eastAsia="Times New Roman" w:hAnsiTheme="majorBidi" w:cstheme="majorBidi"/>
          <w:b/>
          <w:bCs/>
        </w:rPr>
        <w:t>DR. SYED ZAMBERI AHMAD</w:t>
      </w:r>
    </w:p>
    <w:p w14:paraId="252A4EAA" w14:textId="77777777" w:rsidR="005976AB" w:rsidRPr="005635E7" w:rsidRDefault="005976AB" w:rsidP="005976AB">
      <w:pPr>
        <w:widowControl w:val="0"/>
        <w:tabs>
          <w:tab w:val="right" w:pos="8640"/>
        </w:tabs>
        <w:jc w:val="right"/>
        <w:rPr>
          <w:rFonts w:asciiTheme="majorBidi" w:eastAsia="Times New Roman" w:hAnsiTheme="majorBidi" w:cstheme="majorBidi"/>
        </w:rPr>
      </w:pPr>
      <w:r w:rsidRPr="005635E7">
        <w:rPr>
          <w:rFonts w:asciiTheme="majorBidi" w:eastAsia="Times New Roman" w:hAnsiTheme="majorBidi" w:cstheme="majorBidi"/>
        </w:rPr>
        <w:t>Chair of Research Development and Doctoral Studies and Professor of Management, College of Business</w:t>
      </w:r>
    </w:p>
    <w:p w14:paraId="6318A46D" w14:textId="77777777" w:rsidR="005976AB" w:rsidRPr="005635E7" w:rsidRDefault="005976AB" w:rsidP="005976AB">
      <w:pPr>
        <w:widowControl w:val="0"/>
        <w:tabs>
          <w:tab w:val="right" w:pos="8640"/>
        </w:tabs>
        <w:jc w:val="right"/>
        <w:rPr>
          <w:rFonts w:asciiTheme="majorBidi" w:eastAsia="Times New Roman" w:hAnsiTheme="majorBidi" w:cstheme="majorBidi"/>
        </w:rPr>
      </w:pPr>
      <w:r w:rsidRPr="005635E7">
        <w:rPr>
          <w:rFonts w:asciiTheme="majorBidi" w:eastAsia="Times New Roman" w:hAnsiTheme="majorBidi" w:cstheme="majorBidi"/>
        </w:rPr>
        <w:t>Abu Dhabi University</w:t>
      </w:r>
    </w:p>
    <w:p w14:paraId="4368CD2D" w14:textId="77777777" w:rsidR="005976AB" w:rsidRPr="005635E7" w:rsidRDefault="005976AB" w:rsidP="005976AB">
      <w:pPr>
        <w:widowControl w:val="0"/>
        <w:tabs>
          <w:tab w:val="right" w:pos="8640"/>
        </w:tabs>
        <w:jc w:val="right"/>
        <w:rPr>
          <w:rFonts w:asciiTheme="majorBidi" w:eastAsia="Times New Roman" w:hAnsiTheme="majorBidi" w:cstheme="majorBidi"/>
        </w:rPr>
      </w:pPr>
      <w:r w:rsidRPr="005635E7">
        <w:rPr>
          <w:rFonts w:asciiTheme="majorBidi" w:eastAsia="Times New Roman" w:hAnsiTheme="majorBidi" w:cstheme="majorBidi"/>
        </w:rPr>
        <w:t>Committee Member</w:t>
      </w:r>
    </w:p>
    <w:p w14:paraId="2694208D" w14:textId="77777777" w:rsidR="005976AB" w:rsidRPr="005635E7" w:rsidRDefault="005976AB" w:rsidP="005976AB">
      <w:pPr>
        <w:widowControl w:val="0"/>
        <w:tabs>
          <w:tab w:val="right" w:pos="8640"/>
        </w:tabs>
        <w:jc w:val="right"/>
        <w:rPr>
          <w:rFonts w:asciiTheme="majorBidi" w:eastAsia="Times New Roman" w:hAnsiTheme="majorBidi" w:cstheme="majorBidi"/>
        </w:rPr>
      </w:pPr>
    </w:p>
    <w:p w14:paraId="1BB1759A" w14:textId="77777777" w:rsidR="005976AB" w:rsidRPr="005635E7" w:rsidRDefault="005976AB" w:rsidP="005976AB">
      <w:pPr>
        <w:widowControl w:val="0"/>
        <w:tabs>
          <w:tab w:val="right" w:pos="8640"/>
        </w:tabs>
        <w:autoSpaceDE w:val="0"/>
        <w:autoSpaceDN w:val="0"/>
        <w:adjustRightInd w:val="0"/>
        <w:jc w:val="right"/>
        <w:rPr>
          <w:rFonts w:asciiTheme="majorBidi" w:eastAsia="Times New Roman" w:hAnsiTheme="majorBidi" w:cstheme="majorBidi"/>
        </w:rPr>
      </w:pPr>
    </w:p>
    <w:p w14:paraId="01F94727" w14:textId="77777777" w:rsidR="005976AB" w:rsidRPr="005635E7" w:rsidRDefault="005976AB" w:rsidP="005976AB">
      <w:pPr>
        <w:widowControl w:val="0"/>
        <w:tabs>
          <w:tab w:val="right" w:pos="8640"/>
        </w:tabs>
        <w:autoSpaceDE w:val="0"/>
        <w:autoSpaceDN w:val="0"/>
        <w:adjustRightInd w:val="0"/>
        <w:jc w:val="right"/>
        <w:rPr>
          <w:rFonts w:asciiTheme="majorBidi" w:eastAsia="Times New Roman" w:hAnsiTheme="majorBidi" w:cstheme="majorBidi"/>
        </w:rPr>
      </w:pPr>
    </w:p>
    <w:p w14:paraId="532B4B1B" w14:textId="77777777" w:rsidR="005976AB" w:rsidRPr="005635E7" w:rsidRDefault="005976AB" w:rsidP="005976AB">
      <w:pPr>
        <w:widowControl w:val="0"/>
        <w:autoSpaceDE w:val="0"/>
        <w:autoSpaceDN w:val="0"/>
        <w:adjustRightInd w:val="0"/>
        <w:jc w:val="both"/>
        <w:rPr>
          <w:rFonts w:asciiTheme="majorBidi" w:eastAsia="Times New Roman" w:hAnsiTheme="majorBidi" w:cstheme="majorBidi"/>
        </w:rPr>
      </w:pPr>
    </w:p>
    <w:p w14:paraId="3EED1D88" w14:textId="77777777" w:rsidR="005976AB" w:rsidRPr="005635E7" w:rsidRDefault="005976AB" w:rsidP="005976AB">
      <w:pPr>
        <w:widowControl w:val="0"/>
        <w:autoSpaceDE w:val="0"/>
        <w:autoSpaceDN w:val="0"/>
        <w:adjustRightInd w:val="0"/>
        <w:jc w:val="both"/>
        <w:rPr>
          <w:rFonts w:asciiTheme="majorBidi" w:eastAsia="Times New Roman" w:hAnsiTheme="majorBidi" w:cstheme="majorBidi"/>
        </w:rPr>
      </w:pPr>
      <w:r w:rsidRPr="005635E7">
        <w:rPr>
          <w:rFonts w:asciiTheme="majorBidi" w:eastAsia="Times New Roman" w:hAnsiTheme="majorBidi" w:cstheme="majorBidi"/>
        </w:rPr>
        <w:t>_________________________</w:t>
      </w:r>
    </w:p>
    <w:p w14:paraId="2992C944" w14:textId="77777777" w:rsidR="005976AB" w:rsidRPr="005635E7" w:rsidRDefault="005976AB" w:rsidP="005976AB">
      <w:pPr>
        <w:widowControl w:val="0"/>
        <w:tabs>
          <w:tab w:val="center" w:pos="4606"/>
        </w:tabs>
        <w:autoSpaceDE w:val="0"/>
        <w:autoSpaceDN w:val="0"/>
        <w:adjustRightInd w:val="0"/>
        <w:rPr>
          <w:rFonts w:asciiTheme="majorBidi" w:eastAsia="Times New Roman" w:hAnsiTheme="majorBidi" w:cstheme="majorBidi"/>
          <w:b/>
        </w:rPr>
      </w:pPr>
      <w:r w:rsidRPr="005635E7">
        <w:rPr>
          <w:rFonts w:asciiTheme="majorBidi" w:eastAsia="Times New Roman" w:hAnsiTheme="majorBidi" w:cstheme="majorBidi"/>
          <w:b/>
        </w:rPr>
        <w:t>Professor Barry O’Mahony</w:t>
      </w:r>
    </w:p>
    <w:p w14:paraId="7F400DE4" w14:textId="77777777" w:rsidR="005976AB" w:rsidRPr="005635E7" w:rsidRDefault="005976AB" w:rsidP="005976AB">
      <w:pPr>
        <w:widowControl w:val="0"/>
        <w:tabs>
          <w:tab w:val="center" w:pos="4606"/>
        </w:tabs>
        <w:autoSpaceDE w:val="0"/>
        <w:autoSpaceDN w:val="0"/>
        <w:adjustRightInd w:val="0"/>
        <w:jc w:val="both"/>
        <w:rPr>
          <w:rFonts w:asciiTheme="majorBidi" w:eastAsia="Times New Roman" w:hAnsiTheme="majorBidi" w:cstheme="majorBidi"/>
        </w:rPr>
      </w:pPr>
      <w:r w:rsidRPr="005635E7">
        <w:rPr>
          <w:rFonts w:asciiTheme="majorBidi" w:eastAsia="Times New Roman" w:hAnsiTheme="majorBidi" w:cstheme="majorBidi"/>
        </w:rPr>
        <w:t>Dean, College of Business</w:t>
      </w:r>
    </w:p>
    <w:p w14:paraId="5761DC03" w14:textId="77777777" w:rsidR="005976AB" w:rsidRPr="005635E7" w:rsidRDefault="005976AB" w:rsidP="005976AB">
      <w:pPr>
        <w:widowControl w:val="0"/>
        <w:tabs>
          <w:tab w:val="center" w:pos="4606"/>
        </w:tabs>
        <w:autoSpaceDE w:val="0"/>
        <w:autoSpaceDN w:val="0"/>
        <w:adjustRightInd w:val="0"/>
        <w:jc w:val="both"/>
        <w:rPr>
          <w:rFonts w:asciiTheme="majorBidi" w:eastAsia="Times New Roman" w:hAnsiTheme="majorBidi" w:cstheme="majorBidi"/>
        </w:rPr>
      </w:pPr>
      <w:r w:rsidRPr="005635E7">
        <w:rPr>
          <w:rFonts w:asciiTheme="majorBidi" w:eastAsia="Times New Roman" w:hAnsiTheme="majorBidi" w:cstheme="majorBidi"/>
        </w:rPr>
        <w:t>Abu Dhabi University</w:t>
      </w:r>
      <w:r w:rsidRPr="005635E7">
        <w:rPr>
          <w:rFonts w:asciiTheme="majorBidi" w:eastAsia="Times New Roman" w:hAnsiTheme="majorBidi" w:cstheme="majorBidi"/>
        </w:rPr>
        <w:tab/>
      </w:r>
    </w:p>
    <w:p w14:paraId="6042466A" w14:textId="77777777" w:rsidR="005976AB" w:rsidRPr="005635E7" w:rsidRDefault="005976AB" w:rsidP="005976AB">
      <w:pPr>
        <w:rPr>
          <w:rFonts w:asciiTheme="majorBidi" w:hAnsiTheme="majorBidi" w:cstheme="majorBidi"/>
        </w:rPr>
      </w:pPr>
    </w:p>
    <w:p w14:paraId="69943CDA" w14:textId="77777777" w:rsidR="005976AB" w:rsidRPr="005635E7" w:rsidRDefault="005976AB" w:rsidP="005976AB">
      <w:pPr>
        <w:pStyle w:val="Heading1"/>
        <w:spacing w:before="0" w:after="240" w:line="480" w:lineRule="auto"/>
        <w:rPr>
          <w:rFonts w:asciiTheme="majorBidi" w:hAnsiTheme="majorBidi"/>
          <w:b/>
          <w:bCs/>
          <w:color w:val="auto"/>
          <w:sz w:val="28"/>
          <w:szCs w:val="28"/>
        </w:rPr>
      </w:pPr>
      <w:bookmarkStart w:id="3" w:name="_Toc68355907"/>
      <w:bookmarkStart w:id="4" w:name="_Toc115310350"/>
      <w:r w:rsidRPr="005635E7">
        <w:rPr>
          <w:rFonts w:asciiTheme="majorBidi" w:hAnsiTheme="majorBidi"/>
          <w:b/>
          <w:bCs/>
          <w:color w:val="auto"/>
          <w:sz w:val="28"/>
          <w:szCs w:val="28"/>
        </w:rPr>
        <w:lastRenderedPageBreak/>
        <w:t>COPYRIGHT INFORMATION</w:t>
      </w:r>
      <w:bookmarkEnd w:id="3"/>
      <w:bookmarkEnd w:id="4"/>
    </w:p>
    <w:p w14:paraId="76EF6A0F" w14:textId="77777777" w:rsidR="005976AB" w:rsidRPr="005635E7" w:rsidRDefault="005976AB" w:rsidP="005976AB">
      <w:pPr>
        <w:pStyle w:val="Default"/>
        <w:spacing w:after="240" w:line="480" w:lineRule="auto"/>
        <w:jc w:val="both"/>
        <w:rPr>
          <w:rFonts w:asciiTheme="majorBidi" w:hAnsiTheme="majorBidi" w:cstheme="majorBidi"/>
          <w:color w:val="auto"/>
          <w:lang w:val="en-US"/>
        </w:rPr>
      </w:pPr>
      <w:r w:rsidRPr="005635E7">
        <w:rPr>
          <w:rFonts w:asciiTheme="majorBidi" w:hAnsiTheme="majorBidi" w:cstheme="majorBidi"/>
          <w:color w:val="auto"/>
          <w:lang w:val="en-US"/>
        </w:rPr>
        <w:t>Permission was requested and granted by the authors for all material</w:t>
      </w:r>
      <w:r w:rsidRPr="005635E7">
        <w:rPr>
          <w:rFonts w:eastAsia="Calibri"/>
          <w:color w:val="auto"/>
          <w:lang w:val="en-US"/>
        </w:rPr>
        <w:t xml:space="preserve">s used in </w:t>
      </w:r>
      <w:r w:rsidRPr="005635E7">
        <w:rPr>
          <w:rFonts w:asciiTheme="majorBidi" w:hAnsiTheme="majorBidi" w:cstheme="majorBidi"/>
          <w:color w:val="auto"/>
          <w:lang w:val="en-US"/>
        </w:rPr>
        <w:t>data collection and analysis. To my knowledge, I have referred to all the articles used in this dissertation and have taken all the precautions to observe the copyrights of others.</w:t>
      </w:r>
    </w:p>
    <w:p w14:paraId="59C4ACBF" w14:textId="77777777" w:rsidR="005976AB" w:rsidRPr="005635E7" w:rsidRDefault="005976AB" w:rsidP="005976AB">
      <w:pPr>
        <w:pStyle w:val="Default"/>
        <w:spacing w:after="240" w:line="480" w:lineRule="auto"/>
        <w:jc w:val="center"/>
        <w:rPr>
          <w:rFonts w:asciiTheme="majorBidi" w:hAnsiTheme="majorBidi" w:cstheme="majorBidi"/>
          <w:color w:val="auto"/>
          <w:lang w:val="en-US"/>
        </w:rPr>
      </w:pPr>
      <w:r w:rsidRPr="005635E7">
        <w:rPr>
          <w:rFonts w:asciiTheme="majorBidi" w:hAnsiTheme="majorBidi" w:cstheme="majorBidi"/>
          <w:color w:val="auto"/>
          <w:lang w:val="en-US"/>
        </w:rPr>
        <w:t>© Copyright 2023 by</w:t>
      </w:r>
    </w:p>
    <w:p w14:paraId="6923F96B" w14:textId="77777777" w:rsidR="005976AB" w:rsidRPr="005635E7" w:rsidRDefault="005976AB" w:rsidP="005976AB">
      <w:pPr>
        <w:spacing w:after="240" w:line="480" w:lineRule="auto"/>
        <w:jc w:val="center"/>
        <w:rPr>
          <w:rFonts w:asciiTheme="majorBidi" w:hAnsiTheme="majorBidi" w:cstheme="majorBidi"/>
          <w:b/>
          <w:bCs/>
        </w:rPr>
      </w:pPr>
      <w:r w:rsidRPr="005635E7">
        <w:rPr>
          <w:rFonts w:asciiTheme="majorBidi" w:hAnsiTheme="majorBidi" w:cstheme="majorBidi"/>
        </w:rPr>
        <w:t>All rights reserved.</w:t>
      </w:r>
    </w:p>
    <w:p w14:paraId="24247C80" w14:textId="77777777" w:rsidR="005976AB" w:rsidRPr="005635E7" w:rsidRDefault="005976AB" w:rsidP="005976AB">
      <w:pPr>
        <w:rPr>
          <w:rFonts w:asciiTheme="majorBidi" w:hAnsiTheme="majorBidi" w:cstheme="majorBidi"/>
        </w:rPr>
      </w:pPr>
    </w:p>
    <w:p w14:paraId="26C9134B" w14:textId="77777777" w:rsidR="005976AB" w:rsidRPr="005635E7" w:rsidRDefault="005976AB" w:rsidP="005976AB">
      <w:pPr>
        <w:spacing w:after="240" w:line="480" w:lineRule="auto"/>
        <w:jc w:val="both"/>
        <w:rPr>
          <w:rFonts w:asciiTheme="majorBidi" w:hAnsiTheme="majorBidi" w:cstheme="majorBidi"/>
          <w:b/>
          <w:bCs/>
        </w:rPr>
      </w:pPr>
    </w:p>
    <w:p w14:paraId="0AF5E117" w14:textId="77777777" w:rsidR="005976AB" w:rsidRPr="005635E7" w:rsidRDefault="005976AB" w:rsidP="005976AB">
      <w:pPr>
        <w:spacing w:after="240" w:line="480" w:lineRule="auto"/>
        <w:jc w:val="both"/>
        <w:rPr>
          <w:rFonts w:asciiTheme="majorBidi" w:hAnsiTheme="majorBidi" w:cstheme="majorBidi"/>
          <w:b/>
          <w:bCs/>
        </w:rPr>
      </w:pPr>
      <w:r w:rsidRPr="005635E7">
        <w:rPr>
          <w:rFonts w:asciiTheme="majorBidi" w:hAnsiTheme="majorBidi" w:cstheme="majorBidi"/>
          <w:b/>
          <w:bCs/>
        </w:rPr>
        <w:br w:type="page"/>
      </w:r>
    </w:p>
    <w:p w14:paraId="15C8F5B7" w14:textId="77777777" w:rsidR="005976AB" w:rsidRPr="005635E7" w:rsidRDefault="005976AB" w:rsidP="005976AB">
      <w:pPr>
        <w:jc w:val="center"/>
        <w:rPr>
          <w:rFonts w:asciiTheme="majorBidi" w:hAnsiTheme="majorBidi" w:cstheme="majorBidi"/>
          <w:b/>
          <w:bCs/>
        </w:rPr>
      </w:pPr>
      <w:r w:rsidRPr="005635E7">
        <w:rPr>
          <w:rFonts w:asciiTheme="majorBidi" w:hAnsiTheme="majorBidi" w:cstheme="majorBidi"/>
          <w:noProof/>
        </w:rPr>
        <w:drawing>
          <wp:inline distT="0" distB="0" distL="0" distR="0" wp14:anchorId="42BFA520" wp14:editId="10BE99E5">
            <wp:extent cx="2924207" cy="710344"/>
            <wp:effectExtent l="0" t="0" r="0" b="0"/>
            <wp:docPr id="4" name="Picture 4" descr="Abu Dhabi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Abu Dhabi University"/>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924207" cy="710344"/>
                    </a:xfrm>
                    <a:prstGeom prst="rect">
                      <a:avLst/>
                    </a:prstGeom>
                    <a:noFill/>
                    <a:ln>
                      <a:noFill/>
                    </a:ln>
                  </pic:spPr>
                </pic:pic>
              </a:graphicData>
            </a:graphic>
          </wp:inline>
        </w:drawing>
      </w:r>
    </w:p>
    <w:p w14:paraId="59873676" w14:textId="77777777" w:rsidR="005976AB" w:rsidRPr="005635E7" w:rsidRDefault="005976AB" w:rsidP="005976AB">
      <w:pPr>
        <w:jc w:val="center"/>
        <w:rPr>
          <w:rFonts w:asciiTheme="majorBidi" w:hAnsiTheme="majorBidi" w:cstheme="majorBidi"/>
          <w:b/>
          <w:bCs/>
        </w:rPr>
      </w:pPr>
      <w:r w:rsidRPr="005635E7">
        <w:rPr>
          <w:rFonts w:asciiTheme="majorBidi" w:hAnsiTheme="majorBidi" w:cstheme="majorBidi"/>
          <w:b/>
          <w:bCs/>
        </w:rPr>
        <w:t>LIBRARY COPYRIGHT PERMISSION AGREEMENT</w:t>
      </w:r>
    </w:p>
    <w:p w14:paraId="3341238F" w14:textId="77777777" w:rsidR="005976AB" w:rsidRPr="005635E7" w:rsidRDefault="005976AB" w:rsidP="005976AB">
      <w:pPr>
        <w:jc w:val="center"/>
        <w:rPr>
          <w:rFonts w:asciiTheme="majorBidi" w:hAnsiTheme="majorBidi" w:cstheme="majorBidi"/>
        </w:rPr>
      </w:pPr>
      <w:r w:rsidRPr="005635E7">
        <w:rPr>
          <w:rFonts w:asciiTheme="majorBidi" w:hAnsiTheme="majorBidi" w:cstheme="majorBidi"/>
        </w:rPr>
        <w:t>Abu Dhabi University</w:t>
      </w:r>
    </w:p>
    <w:p w14:paraId="64FE04DB" w14:textId="77777777" w:rsidR="005976AB" w:rsidRPr="005635E7" w:rsidRDefault="005976AB" w:rsidP="005976AB">
      <w:pPr>
        <w:jc w:val="center"/>
        <w:rPr>
          <w:rFonts w:asciiTheme="majorBidi" w:hAnsiTheme="majorBidi" w:cstheme="majorBidi"/>
        </w:rPr>
      </w:pPr>
      <w:r w:rsidRPr="005635E7">
        <w:rPr>
          <w:rFonts w:asciiTheme="majorBidi" w:hAnsiTheme="majorBidi" w:cstheme="majorBidi"/>
        </w:rPr>
        <w:t>United Arab Emirates</w:t>
      </w:r>
    </w:p>
    <w:p w14:paraId="000D3295" w14:textId="77777777" w:rsidR="005976AB" w:rsidRPr="005635E7" w:rsidRDefault="007B4460" w:rsidP="005976AB">
      <w:pPr>
        <w:jc w:val="center"/>
        <w:rPr>
          <w:rFonts w:asciiTheme="majorBidi" w:hAnsiTheme="majorBidi" w:cstheme="majorBidi"/>
        </w:rPr>
      </w:pPr>
      <w:hyperlink r:id="rId8" w:history="1">
        <w:r w:rsidR="005976AB" w:rsidRPr="005635E7">
          <w:rPr>
            <w:rStyle w:val="Hyperlink"/>
            <w:rFonts w:asciiTheme="majorBidi" w:hAnsiTheme="majorBidi"/>
            <w:color w:val="auto"/>
          </w:rPr>
          <w:t>http://library.adu.ac.ae</w:t>
        </w:r>
      </w:hyperlink>
    </w:p>
    <w:p w14:paraId="155A3C9F" w14:textId="77777777" w:rsidR="005976AB" w:rsidRPr="005635E7" w:rsidRDefault="007B4460" w:rsidP="005976AB">
      <w:pPr>
        <w:jc w:val="center"/>
        <w:rPr>
          <w:rFonts w:asciiTheme="majorBidi" w:hAnsiTheme="majorBidi" w:cstheme="majorBidi"/>
        </w:rPr>
      </w:pPr>
      <w:hyperlink r:id="rId9" w:history="1">
        <w:r w:rsidR="005976AB" w:rsidRPr="005635E7">
          <w:rPr>
            <w:rStyle w:val="Hyperlink"/>
            <w:rFonts w:asciiTheme="majorBidi" w:hAnsiTheme="majorBidi"/>
            <w:color w:val="auto"/>
          </w:rPr>
          <w:t>adulibrary@adu.ac.ae</w:t>
        </w:r>
      </w:hyperlink>
    </w:p>
    <w:p w14:paraId="41D465F9" w14:textId="77777777" w:rsidR="005976AB" w:rsidRPr="005635E7" w:rsidRDefault="005976AB" w:rsidP="005976AB">
      <w:pPr>
        <w:jc w:val="center"/>
        <w:rPr>
          <w:rFonts w:asciiTheme="majorBidi" w:hAnsiTheme="majorBidi" w:cstheme="majorBidi"/>
        </w:rPr>
      </w:pPr>
    </w:p>
    <w:p w14:paraId="0C58CA29"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 xml:space="preserve">I, Fatima Al Nuaimi, warrant that I have the authority to act on any matters for the work, </w:t>
      </w:r>
      <w:bookmarkStart w:id="5" w:name="_Hlk135067036"/>
      <w:r w:rsidRPr="005635E7">
        <w:rPr>
          <w:rFonts w:asciiTheme="majorBidi" w:hAnsiTheme="majorBidi" w:cstheme="majorBidi"/>
        </w:rPr>
        <w:t xml:space="preserve">“Organizational Learning Capabilities and Firm Performance of SMEs in the United Arab Emirates: Mediating Role of Open Innovation”, </w:t>
      </w:r>
      <w:bookmarkEnd w:id="5"/>
      <w:r w:rsidRPr="005635E7">
        <w:rPr>
          <w:rFonts w:asciiTheme="majorBidi" w:hAnsiTheme="majorBidi" w:cstheme="majorBidi"/>
        </w:rPr>
        <w:t>dated ____2023, to be included in the Abu Dhabi University Library Repository, and as such have the right to grant permission to digitize, republish and use the said work in all media now known or hereafter devised.</w:t>
      </w:r>
    </w:p>
    <w:p w14:paraId="455039D9" w14:textId="77777777" w:rsidR="005976AB" w:rsidRPr="005635E7" w:rsidRDefault="005976AB" w:rsidP="005976AB">
      <w:pPr>
        <w:jc w:val="both"/>
        <w:rPr>
          <w:rFonts w:asciiTheme="majorBidi" w:hAnsiTheme="majorBidi" w:cstheme="majorBidi"/>
        </w:rPr>
      </w:pPr>
    </w:p>
    <w:p w14:paraId="31C80117"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I grant the Abu Dhabi University Library non</w:t>
      </w:r>
      <w:r w:rsidRPr="005635E7">
        <w:rPr>
          <w:rFonts w:ascii="Times New Roman" w:eastAsia="Calibri" w:hAnsi="Times New Roman" w:cs="Times New Roman"/>
        </w:rPr>
        <w:t xml:space="preserve">-exclusive worldwide rights to digitize, publish, exhibit, preserve, and use the work in any way that furthers the educational, research, and public service purposes of </w:t>
      </w:r>
      <w:r w:rsidRPr="005635E7">
        <w:rPr>
          <w:rFonts w:asciiTheme="majorBidi" w:hAnsiTheme="majorBidi" w:cstheme="majorBidi"/>
        </w:rPr>
        <w:t>Abu Dhabi University. I further give permission for the library to catalog and make available the images of my dissertation</w:t>
      </w:r>
      <w:r w:rsidRPr="005635E7">
        <w:rPr>
          <w:rFonts w:ascii="Times New Roman" w:eastAsia="Calibri" w:hAnsi="Times New Roman" w:cs="Times New Roman"/>
        </w:rPr>
        <w:t xml:space="preserve"> to researchers, with the following access restrictions:</w:t>
      </w:r>
    </w:p>
    <w:p w14:paraId="60DE9F3A" w14:textId="77777777" w:rsidR="005976AB" w:rsidRPr="005635E7" w:rsidRDefault="005976AB" w:rsidP="005976AB">
      <w:pPr>
        <w:jc w:val="both"/>
        <w:rPr>
          <w:rFonts w:asciiTheme="majorBidi" w:hAnsiTheme="majorBidi" w:cstheme="majorBidi"/>
        </w:rPr>
      </w:pPr>
    </w:p>
    <w:p w14:paraId="578F6609" w14:textId="77777777" w:rsidR="005976AB" w:rsidRPr="005635E7" w:rsidRDefault="005976AB" w:rsidP="005976AB">
      <w:pPr>
        <w:jc w:val="both"/>
        <w:rPr>
          <w:rFonts w:asciiTheme="majorBidi" w:hAnsiTheme="majorBidi" w:cstheme="majorBidi"/>
          <w:b/>
          <w:bCs/>
        </w:rPr>
      </w:pPr>
      <w:r w:rsidRPr="005635E7">
        <w:rPr>
          <w:rFonts w:asciiTheme="majorBidi" w:hAnsiTheme="majorBidi" w:cstheme="majorBidi"/>
          <w:b/>
          <w:bCs/>
        </w:rPr>
        <w:t>ACCESS RESTRICTIONS</w:t>
      </w:r>
    </w:p>
    <w:p w14:paraId="334A4BAD" w14:textId="77777777" w:rsidR="005976AB" w:rsidRPr="005635E7" w:rsidRDefault="005976AB" w:rsidP="005976AB">
      <w:pPr>
        <w:jc w:val="both"/>
        <w:rPr>
          <w:rFonts w:asciiTheme="majorBidi" w:hAnsiTheme="majorBidi" w:cstheme="majorBidi"/>
        </w:rPr>
      </w:pPr>
    </w:p>
    <w:p w14:paraId="4445EE9C"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My electronic dissertation can be made accessible through the Abu Dhabi University repository with the following status (select one):</w:t>
      </w:r>
    </w:p>
    <w:p w14:paraId="49DFAA71"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fldChar w:fldCharType="begin">
          <w:ffData>
            <w:name w:val="Check1"/>
            <w:enabled/>
            <w:calcOnExit w:val="0"/>
            <w:checkBox>
              <w:sizeAuto/>
              <w:default w:val="0"/>
            </w:checkBox>
          </w:ffData>
        </w:fldChar>
      </w:r>
      <w:bookmarkStart w:id="6" w:name="Check1"/>
      <w:r w:rsidRPr="005635E7">
        <w:rPr>
          <w:rFonts w:asciiTheme="majorBidi" w:hAnsiTheme="majorBidi" w:cstheme="majorBidi"/>
        </w:rPr>
        <w:instrText xml:space="preserve"> FORMCHECKBOX </w:instrText>
      </w:r>
      <w:r w:rsidR="007B4460">
        <w:rPr>
          <w:rFonts w:asciiTheme="majorBidi" w:hAnsiTheme="majorBidi" w:cstheme="majorBidi"/>
        </w:rPr>
      </w:r>
      <w:r w:rsidR="007B4460">
        <w:rPr>
          <w:rFonts w:asciiTheme="majorBidi" w:hAnsiTheme="majorBidi" w:cstheme="majorBidi"/>
        </w:rPr>
        <w:fldChar w:fldCharType="separate"/>
      </w:r>
      <w:r w:rsidRPr="005635E7">
        <w:rPr>
          <w:rFonts w:asciiTheme="majorBidi" w:hAnsiTheme="majorBidi" w:cstheme="majorBidi"/>
        </w:rPr>
        <w:fldChar w:fldCharType="end"/>
      </w:r>
      <w:bookmarkEnd w:id="6"/>
      <w:r w:rsidRPr="005635E7">
        <w:rPr>
          <w:rFonts w:asciiTheme="majorBidi" w:hAnsiTheme="majorBidi" w:cstheme="majorBidi"/>
        </w:rPr>
        <w:t xml:space="preserve"> OPTION 1: Providing open access to my electronic dissertation in an institutional repository.</w:t>
      </w:r>
    </w:p>
    <w:p w14:paraId="249A8DBD"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fldChar w:fldCharType="begin">
          <w:ffData>
            <w:name w:val="Check2"/>
            <w:enabled/>
            <w:calcOnExit w:val="0"/>
            <w:checkBox>
              <w:sizeAuto/>
              <w:default w:val="1"/>
            </w:checkBox>
          </w:ffData>
        </w:fldChar>
      </w:r>
      <w:bookmarkStart w:id="7" w:name="Check2"/>
      <w:r w:rsidRPr="005635E7">
        <w:rPr>
          <w:rFonts w:asciiTheme="majorBidi" w:hAnsiTheme="majorBidi" w:cstheme="majorBidi"/>
        </w:rPr>
        <w:instrText xml:space="preserve"> FORMCHECKBOX </w:instrText>
      </w:r>
      <w:r w:rsidR="007B4460">
        <w:rPr>
          <w:rFonts w:asciiTheme="majorBidi" w:hAnsiTheme="majorBidi" w:cstheme="majorBidi"/>
        </w:rPr>
      </w:r>
      <w:r w:rsidR="007B4460">
        <w:rPr>
          <w:rFonts w:asciiTheme="majorBidi" w:hAnsiTheme="majorBidi" w:cstheme="majorBidi"/>
        </w:rPr>
        <w:fldChar w:fldCharType="separate"/>
      </w:r>
      <w:r w:rsidRPr="005635E7">
        <w:rPr>
          <w:rFonts w:asciiTheme="majorBidi" w:hAnsiTheme="majorBidi" w:cstheme="majorBidi"/>
        </w:rPr>
        <w:fldChar w:fldCharType="end"/>
      </w:r>
      <w:bookmarkEnd w:id="7"/>
      <w:r w:rsidRPr="005635E7">
        <w:rPr>
          <w:rFonts w:asciiTheme="majorBidi" w:hAnsiTheme="majorBidi" w:cstheme="majorBidi"/>
        </w:rPr>
        <w:t xml:space="preserve"> OPTION 2: Place an embargo on accessing my electronic dissertation for a given period from the date of submission (select one).</w:t>
      </w:r>
    </w:p>
    <w:p w14:paraId="583C5996" w14:textId="77777777" w:rsidR="005976AB" w:rsidRPr="005635E7" w:rsidRDefault="005976AB" w:rsidP="005976AB">
      <w:pPr>
        <w:rPr>
          <w:rFonts w:asciiTheme="majorBidi" w:hAnsiTheme="majorBidi" w:cstheme="majorBidi"/>
        </w:rPr>
      </w:pPr>
      <w:r w:rsidRPr="005635E7">
        <w:rPr>
          <w:rFonts w:asciiTheme="majorBidi" w:hAnsiTheme="majorBidi" w:cstheme="majorBidi"/>
        </w:rPr>
        <w:tab/>
      </w:r>
      <w:r w:rsidRPr="005635E7">
        <w:rPr>
          <w:rFonts w:asciiTheme="majorBidi" w:hAnsiTheme="majorBidi" w:cstheme="majorBidi"/>
        </w:rPr>
        <w:tab/>
      </w:r>
      <w:r w:rsidRPr="005635E7">
        <w:rPr>
          <w:rFonts w:asciiTheme="majorBidi" w:hAnsiTheme="majorBidi" w:cstheme="majorBidi"/>
        </w:rPr>
        <w:tab/>
      </w:r>
      <w:r w:rsidRPr="005635E7">
        <w:rPr>
          <w:rFonts w:asciiTheme="majorBidi" w:hAnsiTheme="majorBidi" w:cstheme="majorBidi"/>
        </w:rPr>
        <w:tab/>
      </w:r>
      <w:r w:rsidRPr="005635E7">
        <w:rPr>
          <w:rFonts w:asciiTheme="majorBidi" w:hAnsiTheme="majorBidi" w:cstheme="majorBidi"/>
        </w:rPr>
        <w:fldChar w:fldCharType="begin">
          <w:ffData>
            <w:name w:val="Check2"/>
            <w:enabled/>
            <w:calcOnExit w:val="0"/>
            <w:checkBox>
              <w:sizeAuto/>
              <w:default w:val="0"/>
            </w:checkBox>
          </w:ffData>
        </w:fldChar>
      </w:r>
      <w:r w:rsidRPr="005635E7">
        <w:rPr>
          <w:rFonts w:asciiTheme="majorBidi" w:hAnsiTheme="majorBidi" w:cstheme="majorBidi"/>
        </w:rPr>
        <w:instrText xml:space="preserve"> FORMCHECKBOX </w:instrText>
      </w:r>
      <w:r w:rsidR="007B4460">
        <w:rPr>
          <w:rFonts w:asciiTheme="majorBidi" w:hAnsiTheme="majorBidi" w:cstheme="majorBidi"/>
        </w:rPr>
      </w:r>
      <w:r w:rsidR="007B4460">
        <w:rPr>
          <w:rFonts w:asciiTheme="majorBidi" w:hAnsiTheme="majorBidi" w:cstheme="majorBidi"/>
        </w:rPr>
        <w:fldChar w:fldCharType="separate"/>
      </w:r>
      <w:r w:rsidRPr="005635E7">
        <w:rPr>
          <w:rFonts w:asciiTheme="majorBidi" w:hAnsiTheme="majorBidi" w:cstheme="majorBidi"/>
        </w:rPr>
        <w:fldChar w:fldCharType="end"/>
      </w:r>
      <w:r w:rsidRPr="005635E7">
        <w:rPr>
          <w:rFonts w:asciiTheme="majorBidi" w:hAnsiTheme="majorBidi" w:cstheme="majorBidi"/>
        </w:rPr>
        <w:t xml:space="preserve"> 6 Months </w:t>
      </w:r>
      <w:r w:rsidRPr="005635E7">
        <w:rPr>
          <w:rFonts w:asciiTheme="majorBidi" w:hAnsiTheme="majorBidi" w:cstheme="majorBidi"/>
        </w:rPr>
        <w:fldChar w:fldCharType="begin">
          <w:ffData>
            <w:name w:val=""/>
            <w:enabled/>
            <w:calcOnExit w:val="0"/>
            <w:checkBox>
              <w:sizeAuto/>
              <w:default w:val="1"/>
            </w:checkBox>
          </w:ffData>
        </w:fldChar>
      </w:r>
      <w:r w:rsidRPr="005635E7">
        <w:rPr>
          <w:rFonts w:asciiTheme="majorBidi" w:hAnsiTheme="majorBidi" w:cstheme="majorBidi"/>
        </w:rPr>
        <w:instrText xml:space="preserve"> FORMCHECKBOX </w:instrText>
      </w:r>
      <w:r w:rsidR="007B4460">
        <w:rPr>
          <w:rFonts w:asciiTheme="majorBidi" w:hAnsiTheme="majorBidi" w:cstheme="majorBidi"/>
        </w:rPr>
      </w:r>
      <w:r w:rsidR="007B4460">
        <w:rPr>
          <w:rFonts w:asciiTheme="majorBidi" w:hAnsiTheme="majorBidi" w:cstheme="majorBidi"/>
        </w:rPr>
        <w:fldChar w:fldCharType="separate"/>
      </w:r>
      <w:r w:rsidRPr="005635E7">
        <w:rPr>
          <w:rFonts w:asciiTheme="majorBidi" w:hAnsiTheme="majorBidi" w:cstheme="majorBidi"/>
        </w:rPr>
        <w:fldChar w:fldCharType="end"/>
      </w:r>
      <w:r w:rsidRPr="005635E7">
        <w:rPr>
          <w:rFonts w:asciiTheme="majorBidi" w:hAnsiTheme="majorBidi" w:cstheme="majorBidi"/>
        </w:rPr>
        <w:t xml:space="preserve"> 1 year </w:t>
      </w:r>
      <w:r w:rsidRPr="005635E7">
        <w:rPr>
          <w:rFonts w:asciiTheme="majorBidi" w:hAnsiTheme="majorBidi" w:cstheme="majorBidi"/>
        </w:rPr>
        <w:fldChar w:fldCharType="begin">
          <w:ffData>
            <w:name w:val="Check2"/>
            <w:enabled/>
            <w:calcOnExit w:val="0"/>
            <w:checkBox>
              <w:sizeAuto/>
              <w:default w:val="0"/>
            </w:checkBox>
          </w:ffData>
        </w:fldChar>
      </w:r>
      <w:r w:rsidRPr="005635E7">
        <w:rPr>
          <w:rFonts w:asciiTheme="majorBidi" w:hAnsiTheme="majorBidi" w:cstheme="majorBidi"/>
        </w:rPr>
        <w:instrText xml:space="preserve"> FORMCHECKBOX </w:instrText>
      </w:r>
      <w:r w:rsidR="007B4460">
        <w:rPr>
          <w:rFonts w:asciiTheme="majorBidi" w:hAnsiTheme="majorBidi" w:cstheme="majorBidi"/>
        </w:rPr>
      </w:r>
      <w:r w:rsidR="007B4460">
        <w:rPr>
          <w:rFonts w:asciiTheme="majorBidi" w:hAnsiTheme="majorBidi" w:cstheme="majorBidi"/>
        </w:rPr>
        <w:fldChar w:fldCharType="separate"/>
      </w:r>
      <w:r w:rsidRPr="005635E7">
        <w:rPr>
          <w:rFonts w:asciiTheme="majorBidi" w:hAnsiTheme="majorBidi" w:cstheme="majorBidi"/>
        </w:rPr>
        <w:fldChar w:fldCharType="end"/>
      </w:r>
      <w:r w:rsidRPr="005635E7">
        <w:rPr>
          <w:rFonts w:asciiTheme="majorBidi" w:hAnsiTheme="majorBidi" w:cstheme="majorBidi"/>
        </w:rPr>
        <w:t xml:space="preserve"> 2 years</w:t>
      </w:r>
    </w:p>
    <w:p w14:paraId="1E45A5BD" w14:textId="77777777" w:rsidR="005976AB" w:rsidRPr="005635E7" w:rsidRDefault="005976AB" w:rsidP="005976AB">
      <w:pPr>
        <w:rPr>
          <w:rFonts w:asciiTheme="majorBidi" w:hAnsiTheme="majorBidi" w:cstheme="majorBidi"/>
        </w:rPr>
      </w:pPr>
      <w:r w:rsidRPr="005635E7">
        <w:rPr>
          <w:rFonts w:asciiTheme="majorBidi" w:hAnsiTheme="majorBidi" w:cstheme="majorBidi"/>
          <w:b/>
          <w:bCs/>
        </w:rPr>
        <w:t>Permission Granted By</w:t>
      </w:r>
      <w:r w:rsidRPr="005635E7">
        <w:rPr>
          <w:rFonts w:asciiTheme="majorBidi" w:hAnsiTheme="majorBidi" w:cstheme="majorBidi"/>
        </w:rPr>
        <w:t>:</w:t>
      </w:r>
    </w:p>
    <w:p w14:paraId="70F3F9C1" w14:textId="77777777" w:rsidR="005976AB" w:rsidRPr="005635E7" w:rsidRDefault="005976AB" w:rsidP="005976AB">
      <w:pPr>
        <w:rPr>
          <w:rFonts w:asciiTheme="majorBidi" w:hAnsiTheme="majorBidi" w:cstheme="majorBidi"/>
        </w:rPr>
      </w:pPr>
    </w:p>
    <w:p w14:paraId="5AC166DC" w14:textId="77777777" w:rsidR="005976AB" w:rsidRPr="005635E7" w:rsidRDefault="005976AB" w:rsidP="005976AB">
      <w:pPr>
        <w:rPr>
          <w:rFonts w:asciiTheme="majorBidi" w:hAnsiTheme="majorBidi" w:cstheme="majorBidi"/>
        </w:rPr>
      </w:pPr>
      <w:r w:rsidRPr="005635E7">
        <w:rPr>
          <w:rFonts w:asciiTheme="majorBidi" w:hAnsiTheme="majorBidi" w:cstheme="majorBidi"/>
        </w:rPr>
        <w:t>Name and Signature: Fatima Al Nuaimi</w:t>
      </w:r>
    </w:p>
    <w:p w14:paraId="4893E89A" w14:textId="77777777" w:rsidR="005976AB" w:rsidRPr="005635E7" w:rsidRDefault="005976AB" w:rsidP="005976AB">
      <w:pPr>
        <w:rPr>
          <w:rFonts w:asciiTheme="majorBidi" w:hAnsiTheme="majorBidi" w:cstheme="majorBidi"/>
        </w:rPr>
      </w:pPr>
      <w:r w:rsidRPr="005635E7">
        <w:rPr>
          <w:rFonts w:asciiTheme="majorBidi" w:hAnsiTheme="majorBidi" w:cstheme="majorBidi"/>
        </w:rPr>
        <w:t>Date:</w:t>
      </w:r>
      <w:r w:rsidRPr="005635E7">
        <w:rPr>
          <w:rFonts w:asciiTheme="majorBidi" w:hAnsiTheme="majorBidi" w:cstheme="majorBidi"/>
        </w:rPr>
        <w:tab/>
      </w:r>
      <w:r w:rsidRPr="005635E7">
        <w:rPr>
          <w:rFonts w:asciiTheme="majorBidi" w:hAnsiTheme="majorBidi" w:cstheme="majorBidi"/>
        </w:rPr>
        <w:tab/>
        <w:t xml:space="preserve"> __________________________________</w:t>
      </w:r>
    </w:p>
    <w:p w14:paraId="6D4F3E40" w14:textId="77777777" w:rsidR="005976AB" w:rsidRPr="005635E7" w:rsidRDefault="005976AB" w:rsidP="005976AB">
      <w:pPr>
        <w:rPr>
          <w:rFonts w:asciiTheme="majorBidi" w:hAnsiTheme="majorBidi" w:cstheme="majorBidi"/>
          <w:vertAlign w:val="subscript"/>
        </w:rPr>
      </w:pPr>
      <w:r w:rsidRPr="005635E7">
        <w:rPr>
          <w:rFonts w:asciiTheme="majorBidi" w:hAnsiTheme="majorBidi" w:cstheme="majorBidi"/>
        </w:rPr>
        <w:t xml:space="preserve">Email: </w:t>
      </w:r>
      <w:r w:rsidRPr="005635E7">
        <w:rPr>
          <w:rFonts w:asciiTheme="majorBidi" w:hAnsiTheme="majorBidi" w:cstheme="majorBidi"/>
        </w:rPr>
        <w:tab/>
      </w:r>
      <w:r w:rsidRPr="005635E7">
        <w:rPr>
          <w:rFonts w:asciiTheme="majorBidi" w:hAnsiTheme="majorBidi" w:cstheme="majorBidi"/>
        </w:rPr>
        <w:tab/>
        <w:t xml:space="preserve"> </w:t>
      </w:r>
      <w:hyperlink r:id="rId10" w:history="1">
        <w:r w:rsidRPr="005635E7">
          <w:rPr>
            <w:rStyle w:val="Hyperlink"/>
            <w:rFonts w:asciiTheme="majorBidi" w:hAnsiTheme="majorBidi"/>
          </w:rPr>
          <w:t>1002757@students.adu.ac.ae</w:t>
        </w:r>
      </w:hyperlink>
    </w:p>
    <w:p w14:paraId="14140315" w14:textId="77777777" w:rsidR="005976AB" w:rsidRPr="005635E7" w:rsidRDefault="005976AB" w:rsidP="005976AB">
      <w:pPr>
        <w:pStyle w:val="Heading1"/>
        <w:spacing w:before="0" w:after="240" w:line="480" w:lineRule="auto"/>
        <w:rPr>
          <w:rFonts w:asciiTheme="majorBidi" w:hAnsiTheme="majorBidi"/>
          <w:b/>
          <w:bCs/>
          <w:color w:val="auto"/>
          <w:sz w:val="28"/>
          <w:szCs w:val="28"/>
        </w:rPr>
      </w:pPr>
    </w:p>
    <w:p w14:paraId="5EC6EA69" w14:textId="77777777" w:rsidR="005976AB" w:rsidRPr="005635E7" w:rsidRDefault="005976AB" w:rsidP="005976AB">
      <w:pPr>
        <w:rPr>
          <w:rFonts w:asciiTheme="majorBidi" w:eastAsiaTheme="majorEastAsia" w:hAnsiTheme="majorBidi" w:cstheme="majorBidi"/>
          <w:b/>
          <w:bCs/>
          <w:sz w:val="28"/>
          <w:szCs w:val="28"/>
        </w:rPr>
      </w:pPr>
      <w:r w:rsidRPr="005635E7">
        <w:rPr>
          <w:rFonts w:asciiTheme="majorBidi" w:hAnsiTheme="majorBidi" w:cstheme="majorBidi"/>
          <w:b/>
          <w:bCs/>
          <w:sz w:val="28"/>
          <w:szCs w:val="28"/>
        </w:rPr>
        <w:br w:type="page"/>
      </w:r>
    </w:p>
    <w:p w14:paraId="101B9750" w14:textId="77777777" w:rsidR="005976AB" w:rsidRPr="005635E7" w:rsidRDefault="005976AB" w:rsidP="005976AB">
      <w:pPr>
        <w:pStyle w:val="Heading1"/>
        <w:spacing w:before="0" w:after="240" w:line="480" w:lineRule="auto"/>
        <w:rPr>
          <w:rFonts w:asciiTheme="majorBidi" w:hAnsiTheme="majorBidi"/>
          <w:b/>
          <w:bCs/>
          <w:color w:val="auto"/>
          <w:sz w:val="28"/>
          <w:szCs w:val="28"/>
        </w:rPr>
      </w:pPr>
      <w:bookmarkStart w:id="8" w:name="_Toc115310351"/>
      <w:r w:rsidRPr="005635E7">
        <w:rPr>
          <w:rFonts w:asciiTheme="majorBidi" w:hAnsiTheme="majorBidi"/>
          <w:b/>
          <w:bCs/>
          <w:color w:val="auto"/>
          <w:sz w:val="28"/>
          <w:szCs w:val="28"/>
        </w:rPr>
        <w:t>ABSTRACT</w:t>
      </w:r>
      <w:bookmarkEnd w:id="8"/>
    </w:p>
    <w:p w14:paraId="0D889163" w14:textId="77589C9C"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 goal of this research is to examine the linkages between Organizational Learning Capabilities (OLC), Open Innovation (OI), and Firm Performance (FP) in the context of Small and Medium Enterprises (SMEs) in emerging economies such as the U</w:t>
      </w:r>
      <w:r>
        <w:rPr>
          <w:rFonts w:asciiTheme="majorBidi" w:hAnsiTheme="majorBidi" w:cstheme="majorBidi"/>
        </w:rPr>
        <w:t xml:space="preserve">nited </w:t>
      </w:r>
      <w:r w:rsidRPr="005635E7">
        <w:rPr>
          <w:rFonts w:asciiTheme="majorBidi" w:hAnsiTheme="majorBidi" w:cstheme="majorBidi"/>
        </w:rPr>
        <w:t>A</w:t>
      </w:r>
      <w:r>
        <w:rPr>
          <w:rFonts w:asciiTheme="majorBidi" w:hAnsiTheme="majorBidi" w:cstheme="majorBidi"/>
        </w:rPr>
        <w:t xml:space="preserve">rab </w:t>
      </w:r>
      <w:r w:rsidRPr="005635E7">
        <w:rPr>
          <w:rFonts w:asciiTheme="majorBidi" w:hAnsiTheme="majorBidi" w:cstheme="majorBidi"/>
        </w:rPr>
        <w:t>E</w:t>
      </w:r>
      <w:r>
        <w:rPr>
          <w:rFonts w:asciiTheme="majorBidi" w:hAnsiTheme="majorBidi" w:cstheme="majorBidi"/>
        </w:rPr>
        <w:t>mirates (UAE)</w:t>
      </w:r>
      <w:r w:rsidRPr="005635E7">
        <w:rPr>
          <w:rFonts w:asciiTheme="majorBidi" w:hAnsiTheme="majorBidi" w:cstheme="majorBidi"/>
        </w:rPr>
        <w:t>. Four first-order components are used to assess the OLC construct: managerial commitment</w:t>
      </w:r>
      <w:r>
        <w:rPr>
          <w:rFonts w:asciiTheme="majorBidi" w:hAnsiTheme="majorBidi" w:cstheme="majorBidi"/>
        </w:rPr>
        <w:t xml:space="preserve"> (MC)</w:t>
      </w:r>
      <w:r w:rsidRPr="005635E7">
        <w:rPr>
          <w:rFonts w:asciiTheme="majorBidi" w:hAnsiTheme="majorBidi" w:cstheme="majorBidi"/>
        </w:rPr>
        <w:t>, systems perspective</w:t>
      </w:r>
      <w:r>
        <w:rPr>
          <w:rFonts w:asciiTheme="majorBidi" w:hAnsiTheme="majorBidi" w:cstheme="majorBidi"/>
        </w:rPr>
        <w:t xml:space="preserve"> (SP)</w:t>
      </w:r>
      <w:r w:rsidRPr="005635E7">
        <w:rPr>
          <w:rFonts w:asciiTheme="majorBidi" w:hAnsiTheme="majorBidi" w:cstheme="majorBidi"/>
        </w:rPr>
        <w:t>, openness and experimentation</w:t>
      </w:r>
      <w:r>
        <w:rPr>
          <w:rFonts w:asciiTheme="majorBidi" w:hAnsiTheme="majorBidi" w:cstheme="majorBidi"/>
        </w:rPr>
        <w:t xml:space="preserve"> (EX)</w:t>
      </w:r>
      <w:r w:rsidRPr="005635E7">
        <w:rPr>
          <w:rFonts w:asciiTheme="majorBidi" w:hAnsiTheme="majorBidi" w:cstheme="majorBidi"/>
        </w:rPr>
        <w:t xml:space="preserve">, </w:t>
      </w:r>
      <w:r w:rsidRPr="005635E7">
        <w:rPr>
          <w:rFonts w:ascii="Times New Roman" w:eastAsia="Calibri" w:hAnsi="Times New Roman" w:cs="Times New Roman"/>
        </w:rPr>
        <w:t>and knowledge transfer and integration</w:t>
      </w:r>
      <w:r>
        <w:rPr>
          <w:rFonts w:ascii="Times New Roman" w:eastAsia="Calibri" w:hAnsi="Times New Roman" w:cs="Times New Roman"/>
        </w:rPr>
        <w:t xml:space="preserve"> (TR)</w:t>
      </w:r>
      <w:r w:rsidRPr="005635E7">
        <w:rPr>
          <w:rFonts w:ascii="Times New Roman" w:eastAsia="Calibri" w:hAnsi="Times New Roman" w:cs="Times New Roman"/>
        </w:rPr>
        <w:t xml:space="preserve">. Inbound </w:t>
      </w:r>
      <w:r w:rsidRPr="005635E7">
        <w:rPr>
          <w:rFonts w:asciiTheme="majorBidi" w:hAnsiTheme="majorBidi" w:cstheme="majorBidi"/>
        </w:rPr>
        <w:t>open innovation practice</w:t>
      </w:r>
      <w:r w:rsidRPr="005635E7">
        <w:rPr>
          <w:rFonts w:ascii="Times New Roman" w:eastAsia="Calibri" w:hAnsi="Times New Roman" w:cs="Times New Roman"/>
        </w:rPr>
        <w:t>s</w:t>
      </w:r>
      <w:r w:rsidRPr="005635E7">
        <w:rPr>
          <w:rFonts w:asciiTheme="majorBidi" w:hAnsiTheme="majorBidi" w:cstheme="majorBidi"/>
        </w:rPr>
        <w:t xml:space="preserve"> (IP) and outbound open innovation practice</w:t>
      </w:r>
      <w:r w:rsidRPr="005635E7">
        <w:rPr>
          <w:rFonts w:ascii="Times New Roman" w:eastAsia="Calibri" w:hAnsi="Times New Roman" w:cs="Times New Roman"/>
        </w:rPr>
        <w:t>s</w:t>
      </w:r>
      <w:r w:rsidRPr="005635E7">
        <w:rPr>
          <w:rFonts w:asciiTheme="majorBidi" w:hAnsiTheme="majorBidi" w:cstheme="majorBidi"/>
        </w:rPr>
        <w:t xml:space="preserve"> (O</w:t>
      </w:r>
      <w:r>
        <w:rPr>
          <w:rFonts w:asciiTheme="majorBidi" w:hAnsiTheme="majorBidi" w:cstheme="majorBidi"/>
        </w:rPr>
        <w:t>P</w:t>
      </w:r>
      <w:r w:rsidRPr="005635E7">
        <w:rPr>
          <w:rFonts w:asciiTheme="majorBidi" w:hAnsiTheme="majorBidi" w:cstheme="majorBidi"/>
        </w:rPr>
        <w:t>) are used to assess O</w:t>
      </w:r>
      <w:r>
        <w:rPr>
          <w:rFonts w:asciiTheme="majorBidi" w:hAnsiTheme="majorBidi" w:cstheme="majorBidi"/>
        </w:rPr>
        <w:t>I</w:t>
      </w:r>
      <w:r w:rsidRPr="005635E7">
        <w:rPr>
          <w:rFonts w:asciiTheme="majorBidi" w:hAnsiTheme="majorBidi" w:cstheme="majorBidi"/>
        </w:rPr>
        <w:t>. To reflect both financial and non</w:t>
      </w:r>
      <w:r>
        <w:rPr>
          <w:rFonts w:asciiTheme="majorBidi" w:hAnsiTheme="majorBidi" w:cstheme="majorBidi"/>
        </w:rPr>
        <w:t>-</w:t>
      </w:r>
      <w:r w:rsidRPr="005635E7">
        <w:rPr>
          <w:rFonts w:asciiTheme="majorBidi" w:hAnsiTheme="majorBidi" w:cstheme="majorBidi"/>
        </w:rPr>
        <w:t>financial indicators, FP was measured using Market Effectiveness (ME) and profitability (P).</w:t>
      </w:r>
    </w:p>
    <w:p w14:paraId="4B3E34B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Self-administered questionnaires were emailed to the owners/managers of randomly chosen manufacturing SMEs in the UAE. The sample size comprised 384 manufacturing SMEs operating in the seven emirates</w:t>
      </w:r>
      <w:r w:rsidRPr="005635E7">
        <w:rPr>
          <w:rFonts w:ascii="Times New Roman" w:eastAsia="Calibri" w:hAnsi="Times New Roman" w:cs="Times New Roman"/>
        </w:rPr>
        <w:t xml:space="preserve"> of the UAE. Th</w:t>
      </w:r>
      <w:r w:rsidRPr="005635E7">
        <w:rPr>
          <w:rFonts w:asciiTheme="majorBidi" w:hAnsiTheme="majorBidi" w:cstheme="majorBidi"/>
        </w:rPr>
        <w:t xml:space="preserve">is study used SmartPLS 3 and </w:t>
      </w:r>
      <w:r>
        <w:rPr>
          <w:rFonts w:asciiTheme="majorBidi" w:hAnsiTheme="majorBidi" w:cstheme="majorBidi"/>
        </w:rPr>
        <w:t>S</w:t>
      </w:r>
      <w:r w:rsidRPr="005635E7">
        <w:rPr>
          <w:rFonts w:asciiTheme="majorBidi" w:hAnsiTheme="majorBidi" w:cstheme="majorBidi"/>
        </w:rPr>
        <w:t xml:space="preserve">tructural </w:t>
      </w:r>
      <w:r>
        <w:rPr>
          <w:rFonts w:asciiTheme="majorBidi" w:hAnsiTheme="majorBidi" w:cstheme="majorBidi"/>
        </w:rPr>
        <w:t>E</w:t>
      </w:r>
      <w:r w:rsidRPr="005635E7">
        <w:rPr>
          <w:rFonts w:asciiTheme="majorBidi" w:hAnsiTheme="majorBidi" w:cstheme="majorBidi"/>
        </w:rPr>
        <w:t xml:space="preserve">quation Modeling (SEM) to investigate the structural links between </w:t>
      </w:r>
      <w:r w:rsidRPr="00D73F8E">
        <w:rPr>
          <w:rFonts w:asciiTheme="majorBidi" w:hAnsiTheme="majorBidi" w:cstheme="majorBidi"/>
        </w:rPr>
        <w:t>OLC, IP, OP, ME, and P. The findings revealed that OLC had a beneficial influence on both dimensions of OI (IP</w:t>
      </w:r>
      <w:r w:rsidRPr="005635E7">
        <w:rPr>
          <w:rFonts w:asciiTheme="majorBidi" w:hAnsiTheme="majorBidi" w:cstheme="majorBidi"/>
        </w:rPr>
        <w:t xml:space="preserve"> and OP). </w:t>
      </w:r>
      <w:r w:rsidRPr="005635E7">
        <w:rPr>
          <w:rFonts w:ascii="Times New Roman" w:eastAsia="Calibri" w:hAnsi="Times New Roman" w:cs="Times New Roman"/>
        </w:rPr>
        <w:t xml:space="preserve">The IP had a beneficial </w:t>
      </w:r>
      <w:r w:rsidRPr="005635E7">
        <w:rPr>
          <w:rFonts w:asciiTheme="majorBidi" w:hAnsiTheme="majorBidi" w:cstheme="majorBidi"/>
        </w:rPr>
        <w:t xml:space="preserve">effect on both ME and P, whereas </w:t>
      </w:r>
      <w:r w:rsidRPr="005635E7">
        <w:rPr>
          <w:rFonts w:ascii="Times New Roman" w:eastAsia="Calibri" w:hAnsi="Times New Roman" w:cs="Times New Roman"/>
        </w:rPr>
        <w:t xml:space="preserve">the OP </w:t>
      </w:r>
      <w:r w:rsidRPr="005635E7">
        <w:rPr>
          <w:rFonts w:asciiTheme="majorBidi" w:hAnsiTheme="majorBidi" w:cstheme="majorBidi"/>
        </w:rPr>
        <w:t>had a positive effect</w:t>
      </w:r>
      <w:r w:rsidRPr="005635E7">
        <w:rPr>
          <w:rFonts w:ascii="Times New Roman" w:eastAsia="Calibri" w:hAnsi="Times New Roman" w:cs="Times New Roman"/>
        </w:rPr>
        <w:t xml:space="preserve"> only on P. These findings verif</w:t>
      </w:r>
      <w:r w:rsidRPr="005635E7">
        <w:rPr>
          <w:rFonts w:asciiTheme="majorBidi" w:hAnsiTheme="majorBidi" w:cstheme="majorBidi"/>
        </w:rPr>
        <w:t xml:space="preserve">y IP's mediating role </w:t>
      </w:r>
      <w:r w:rsidRPr="005635E7">
        <w:rPr>
          <w:rFonts w:ascii="Times New Roman" w:eastAsia="Calibri" w:hAnsi="Times New Roman" w:cs="Times New Roman"/>
        </w:rPr>
        <w:t xml:space="preserve">in the interactions between OLC and ME and between OLC and P, whereas OP </w:t>
      </w:r>
      <w:r w:rsidRPr="005635E7">
        <w:rPr>
          <w:rFonts w:asciiTheme="majorBidi" w:hAnsiTheme="majorBidi" w:cstheme="majorBidi"/>
        </w:rPr>
        <w:t>does not mediate the links between OLC and ME or between OLC and P.</w:t>
      </w:r>
    </w:p>
    <w:p w14:paraId="2C7941B3"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This is one of the first studies to contribute to the existing literature on innovation by investigating the substantial and complicated interrelationships among OLC, OI, and FP in </w:t>
      </w:r>
      <w:r>
        <w:rPr>
          <w:rFonts w:asciiTheme="majorBidi" w:hAnsiTheme="majorBidi" w:cstheme="majorBidi"/>
        </w:rPr>
        <w:t>single research</w:t>
      </w:r>
      <w:r w:rsidRPr="005635E7">
        <w:rPr>
          <w:rFonts w:asciiTheme="majorBidi" w:hAnsiTheme="majorBidi" w:cstheme="majorBidi"/>
        </w:rPr>
        <w:t xml:space="preserve">, exhibiting numerous theoretical implications in the context of manufacturing SMEs in emerging countries. Overall, the study's findings confirm that owners/managers of UAE manufacturing SMEs must be aware of the importance of creating a working environment that fosters organizational learning processes and capabilities to improve inbound and outbound </w:t>
      </w:r>
      <w:r>
        <w:rPr>
          <w:rFonts w:asciiTheme="majorBidi" w:hAnsiTheme="majorBidi" w:cstheme="majorBidi"/>
        </w:rPr>
        <w:t>OI</w:t>
      </w:r>
      <w:r w:rsidRPr="005635E7">
        <w:rPr>
          <w:rFonts w:asciiTheme="majorBidi" w:hAnsiTheme="majorBidi" w:cstheme="majorBidi"/>
        </w:rPr>
        <w:t xml:space="preserve"> activities, thereby improving </w:t>
      </w:r>
      <w:r>
        <w:rPr>
          <w:rFonts w:asciiTheme="majorBidi" w:hAnsiTheme="majorBidi" w:cstheme="majorBidi"/>
        </w:rPr>
        <w:t>ME</w:t>
      </w:r>
      <w:r w:rsidRPr="005635E7">
        <w:rPr>
          <w:rFonts w:asciiTheme="majorBidi" w:hAnsiTheme="majorBidi" w:cstheme="majorBidi"/>
        </w:rPr>
        <w:t xml:space="preserve"> and profitability.</w:t>
      </w:r>
    </w:p>
    <w:p w14:paraId="42DA351D" w14:textId="77777777" w:rsidR="005976AB" w:rsidRPr="005635E7" w:rsidRDefault="005976AB" w:rsidP="005976AB">
      <w:pPr>
        <w:spacing w:after="240" w:line="480" w:lineRule="auto"/>
        <w:jc w:val="both"/>
        <w:rPr>
          <w:rFonts w:asciiTheme="majorBidi" w:hAnsiTheme="majorBidi" w:cstheme="majorBidi"/>
        </w:rPr>
      </w:pPr>
    </w:p>
    <w:p w14:paraId="48345F25" w14:textId="77777777" w:rsidR="005976AB" w:rsidRPr="005635E7" w:rsidRDefault="005976AB" w:rsidP="005976AB">
      <w:pPr>
        <w:rPr>
          <w:rFonts w:asciiTheme="majorBidi" w:hAnsiTheme="majorBidi" w:cstheme="majorBidi"/>
        </w:rPr>
      </w:pPr>
      <w:r w:rsidRPr="005635E7">
        <w:rPr>
          <w:rFonts w:asciiTheme="majorBidi" w:hAnsiTheme="majorBidi" w:cstheme="majorBidi"/>
        </w:rPr>
        <w:br w:type="page"/>
      </w:r>
    </w:p>
    <w:p w14:paraId="1C32DE78" w14:textId="77777777" w:rsidR="005976AB" w:rsidRPr="005635E7" w:rsidRDefault="005976AB" w:rsidP="005976AB">
      <w:pPr>
        <w:pStyle w:val="Heading1"/>
        <w:spacing w:before="0" w:after="240" w:line="480" w:lineRule="auto"/>
        <w:rPr>
          <w:rFonts w:asciiTheme="majorBidi" w:hAnsiTheme="majorBidi"/>
          <w:b/>
          <w:bCs/>
          <w:color w:val="auto"/>
          <w:sz w:val="28"/>
          <w:szCs w:val="28"/>
        </w:rPr>
      </w:pPr>
      <w:bookmarkStart w:id="9" w:name="_Toc115310352"/>
      <w:r w:rsidRPr="005635E7">
        <w:rPr>
          <w:rFonts w:asciiTheme="majorBidi" w:hAnsiTheme="majorBidi"/>
          <w:b/>
          <w:bCs/>
          <w:color w:val="auto"/>
          <w:sz w:val="28"/>
          <w:szCs w:val="28"/>
        </w:rPr>
        <w:t>LIST OF ABBREVIATIONS</w:t>
      </w:r>
      <w:bookmarkEnd w:id="9"/>
    </w:p>
    <w:p w14:paraId="668D54C5"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EFA = Exploratory factor analysis</w:t>
      </w:r>
    </w:p>
    <w:p w14:paraId="56F9E5BA"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CFA = Confirmatory factor analysis</w:t>
      </w:r>
    </w:p>
    <w:p w14:paraId="4BEEFA72"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EX =Openness and experimentation</w:t>
      </w:r>
    </w:p>
    <w:p w14:paraId="2A0AB424"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FP = Firm performance</w:t>
      </w:r>
    </w:p>
    <w:p w14:paraId="77ADA2EA"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HR = Human resources</w:t>
      </w:r>
    </w:p>
    <w:p w14:paraId="5B4FE30B"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MC = Managerial commitment</w:t>
      </w:r>
    </w:p>
    <w:p w14:paraId="22C5F68A"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ME = Market effectiveness</w:t>
      </w:r>
    </w:p>
    <w:p w14:paraId="1F8FC1EF"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IP = Inbound open innovation practices</w:t>
      </w:r>
    </w:p>
    <w:p w14:paraId="690FB155"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OLC = Organizational learning capability</w:t>
      </w:r>
    </w:p>
    <w:p w14:paraId="1A12FCF9"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OI = Open innovation</w:t>
      </w:r>
    </w:p>
    <w:p w14:paraId="657F8FEE"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OP = Outbound open innovation practices</w:t>
      </w:r>
    </w:p>
    <w:p w14:paraId="69C1957E"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P= Profitability</w:t>
      </w:r>
    </w:p>
    <w:p w14:paraId="42910287"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R&amp;D = Research and development</w:t>
      </w:r>
    </w:p>
    <w:p w14:paraId="501AC344"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SEM = Structural equation modeling</w:t>
      </w:r>
    </w:p>
    <w:p w14:paraId="2DC1F9D2"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SME = Small and medium enterprises</w:t>
      </w:r>
    </w:p>
    <w:p w14:paraId="0599B945"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SP = Systems perspective</w:t>
      </w:r>
    </w:p>
    <w:p w14:paraId="75654695"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TR = Knowledge transfer and integration</w:t>
      </w:r>
    </w:p>
    <w:p w14:paraId="4951BD03" w14:textId="77777777" w:rsidR="005976AB" w:rsidRPr="005635E7" w:rsidRDefault="005976AB" w:rsidP="005976AB">
      <w:pPr>
        <w:spacing w:line="360" w:lineRule="auto"/>
        <w:jc w:val="both"/>
        <w:rPr>
          <w:rFonts w:asciiTheme="majorBidi" w:hAnsiTheme="majorBidi" w:cstheme="majorBidi"/>
        </w:rPr>
      </w:pPr>
      <w:r w:rsidRPr="005635E7">
        <w:rPr>
          <w:rFonts w:asciiTheme="majorBidi" w:hAnsiTheme="majorBidi" w:cstheme="majorBidi"/>
        </w:rPr>
        <w:t>UAE = United Arab of Emirates</w:t>
      </w:r>
    </w:p>
    <w:p w14:paraId="5FCCF1BB" w14:textId="77777777" w:rsidR="005976AB" w:rsidRPr="005635E7" w:rsidRDefault="005976AB" w:rsidP="005976AB">
      <w:pPr>
        <w:spacing w:line="360" w:lineRule="auto"/>
        <w:jc w:val="both"/>
        <w:rPr>
          <w:rFonts w:asciiTheme="majorBidi" w:hAnsiTheme="majorBidi" w:cstheme="majorBidi"/>
        </w:rPr>
      </w:pPr>
    </w:p>
    <w:p w14:paraId="54628460" w14:textId="77777777" w:rsidR="005976AB" w:rsidRPr="005635E7" w:rsidRDefault="005976AB" w:rsidP="005976AB">
      <w:pPr>
        <w:spacing w:line="360" w:lineRule="auto"/>
        <w:jc w:val="both"/>
        <w:rPr>
          <w:rFonts w:asciiTheme="majorBidi" w:hAnsiTheme="majorBidi" w:cstheme="majorBidi"/>
        </w:rPr>
      </w:pPr>
    </w:p>
    <w:p w14:paraId="627D30DD" w14:textId="77777777" w:rsidR="005976AB" w:rsidRPr="005635E7" w:rsidRDefault="005976AB" w:rsidP="005976AB">
      <w:pPr>
        <w:spacing w:line="360" w:lineRule="auto"/>
        <w:jc w:val="both"/>
        <w:rPr>
          <w:rFonts w:asciiTheme="majorBidi" w:hAnsiTheme="majorBidi" w:cstheme="majorBidi"/>
        </w:rPr>
      </w:pPr>
    </w:p>
    <w:p w14:paraId="77C86DE4" w14:textId="77777777" w:rsidR="005976AB" w:rsidRPr="005635E7" w:rsidRDefault="005976AB" w:rsidP="005976AB">
      <w:pPr>
        <w:rPr>
          <w:rFonts w:asciiTheme="majorBidi" w:hAnsiTheme="majorBidi" w:cstheme="majorBidi"/>
        </w:rPr>
      </w:pPr>
      <w:r w:rsidRPr="005635E7">
        <w:rPr>
          <w:rFonts w:asciiTheme="majorBidi" w:hAnsiTheme="majorBidi" w:cstheme="majorBidi"/>
        </w:rPr>
        <w:br w:type="page"/>
      </w:r>
    </w:p>
    <w:p w14:paraId="5F2CBB56" w14:textId="77777777" w:rsidR="005976AB" w:rsidRPr="005635E7" w:rsidRDefault="005976AB" w:rsidP="005976AB">
      <w:pPr>
        <w:pStyle w:val="Heading1"/>
        <w:spacing w:before="0" w:after="240" w:line="480" w:lineRule="auto"/>
        <w:rPr>
          <w:rFonts w:asciiTheme="majorBidi" w:hAnsiTheme="majorBidi"/>
          <w:b/>
          <w:bCs/>
          <w:color w:val="auto"/>
          <w:sz w:val="28"/>
          <w:szCs w:val="28"/>
        </w:rPr>
      </w:pPr>
      <w:bookmarkStart w:id="10" w:name="_Toc68355909"/>
      <w:bookmarkStart w:id="11" w:name="_Toc115310353"/>
      <w:r w:rsidRPr="005635E7">
        <w:rPr>
          <w:rFonts w:asciiTheme="majorBidi" w:hAnsiTheme="majorBidi"/>
          <w:b/>
          <w:bCs/>
          <w:color w:val="auto"/>
          <w:sz w:val="28"/>
          <w:szCs w:val="28"/>
        </w:rPr>
        <w:t>DECLARATION</w:t>
      </w:r>
      <w:bookmarkEnd w:id="10"/>
      <w:bookmarkEnd w:id="11"/>
    </w:p>
    <w:p w14:paraId="521BC7A7"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I hereby declare that:</w:t>
      </w:r>
    </w:p>
    <w:p w14:paraId="0EC743B6"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The dissertation was conducted, composed, and produced </w:t>
      </w:r>
      <w:r w:rsidRPr="005635E7">
        <w:rPr>
          <w:rFonts w:ascii="Times New Roman" w:eastAsia="Calibri" w:hAnsi="Times New Roman" w:cs="Times New Roman"/>
        </w:rPr>
        <w:t xml:space="preserve">solely by the candidate. No other </w:t>
      </w:r>
      <w:r w:rsidRPr="005635E7">
        <w:rPr>
          <w:rFonts w:asciiTheme="majorBidi" w:hAnsiTheme="majorBidi" w:cstheme="majorBidi"/>
        </w:rPr>
        <w:t xml:space="preserve">person’s work has been used without due </w:t>
      </w:r>
      <w:r>
        <w:rPr>
          <w:rFonts w:asciiTheme="majorBidi" w:hAnsiTheme="majorBidi" w:cstheme="majorBidi"/>
        </w:rPr>
        <w:t>acknowledgment</w:t>
      </w:r>
      <w:r w:rsidRPr="005635E7">
        <w:rPr>
          <w:rFonts w:asciiTheme="majorBidi" w:hAnsiTheme="majorBidi" w:cstheme="majorBidi"/>
        </w:rPr>
        <w:t xml:space="preserve"> or in-text reference in the main text of the dissertation.</w:t>
      </w:r>
    </w:p>
    <w:p w14:paraId="0D7D6221"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This dissertation has not been submitted for the award of any academic or professional degree or diploma at any other institute or university.</w:t>
      </w:r>
    </w:p>
    <w:p w14:paraId="1E2A4AA1" w14:textId="4437B7FF"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All research procedures reported in the dissertation were approved by A</w:t>
      </w:r>
      <w:r>
        <w:rPr>
          <w:rFonts w:asciiTheme="majorBidi" w:hAnsiTheme="majorBidi" w:cstheme="majorBidi"/>
        </w:rPr>
        <w:t xml:space="preserve">bu </w:t>
      </w:r>
      <w:r w:rsidRPr="005635E7">
        <w:rPr>
          <w:rFonts w:asciiTheme="majorBidi" w:hAnsiTheme="majorBidi" w:cstheme="majorBidi"/>
        </w:rPr>
        <w:t>D</w:t>
      </w:r>
      <w:r>
        <w:rPr>
          <w:rFonts w:asciiTheme="majorBidi" w:hAnsiTheme="majorBidi" w:cstheme="majorBidi"/>
        </w:rPr>
        <w:t xml:space="preserve">habi </w:t>
      </w:r>
      <w:r w:rsidRPr="005635E7">
        <w:rPr>
          <w:rFonts w:asciiTheme="majorBidi" w:hAnsiTheme="majorBidi" w:cstheme="majorBidi"/>
        </w:rPr>
        <w:t>U</w:t>
      </w:r>
      <w:r>
        <w:rPr>
          <w:rFonts w:asciiTheme="majorBidi" w:hAnsiTheme="majorBidi" w:cstheme="majorBidi"/>
        </w:rPr>
        <w:t>niversity</w:t>
      </w:r>
      <w:r w:rsidRPr="005635E7">
        <w:rPr>
          <w:rFonts w:asciiTheme="majorBidi" w:hAnsiTheme="majorBidi" w:cstheme="majorBidi"/>
        </w:rPr>
        <w:t xml:space="preserve"> institutional review board.</w:t>
      </w:r>
    </w:p>
    <w:p w14:paraId="577DD6A2" w14:textId="77777777" w:rsidR="005976AB" w:rsidRPr="005635E7" w:rsidRDefault="005976AB" w:rsidP="005976AB">
      <w:pPr>
        <w:spacing w:line="360" w:lineRule="auto"/>
        <w:jc w:val="both"/>
        <w:rPr>
          <w:rFonts w:asciiTheme="majorBidi" w:hAnsiTheme="majorBidi" w:cstheme="majorBidi"/>
        </w:rPr>
      </w:pPr>
    </w:p>
    <w:p w14:paraId="119FDE05" w14:textId="77777777" w:rsidR="005976AB" w:rsidRPr="005635E7" w:rsidRDefault="005976AB" w:rsidP="005976AB">
      <w:pPr>
        <w:rPr>
          <w:rFonts w:asciiTheme="majorBidi" w:hAnsiTheme="majorBidi" w:cstheme="majorBidi"/>
        </w:rPr>
      </w:pPr>
      <w:r w:rsidRPr="005635E7">
        <w:rPr>
          <w:rFonts w:asciiTheme="majorBidi" w:hAnsiTheme="majorBidi" w:cstheme="majorBidi"/>
        </w:rPr>
        <w:br w:type="page"/>
      </w:r>
    </w:p>
    <w:p w14:paraId="3D151F23" w14:textId="77777777" w:rsidR="005976AB" w:rsidRPr="005635E7" w:rsidRDefault="005976AB" w:rsidP="005976AB">
      <w:pPr>
        <w:pStyle w:val="Heading1"/>
        <w:spacing w:before="0" w:after="240" w:line="480" w:lineRule="auto"/>
        <w:rPr>
          <w:rFonts w:asciiTheme="majorBidi" w:eastAsia="Times New Roman" w:hAnsiTheme="majorBidi"/>
          <w:b/>
          <w:bCs/>
          <w:color w:val="auto"/>
          <w:sz w:val="28"/>
          <w:szCs w:val="28"/>
        </w:rPr>
      </w:pPr>
      <w:bookmarkStart w:id="12" w:name="_Toc115310354"/>
      <w:r w:rsidRPr="005635E7">
        <w:rPr>
          <w:rFonts w:asciiTheme="majorBidi" w:eastAsia="Times New Roman" w:hAnsiTheme="majorBidi"/>
          <w:b/>
          <w:bCs/>
          <w:color w:val="auto"/>
          <w:sz w:val="28"/>
          <w:szCs w:val="28"/>
        </w:rPr>
        <w:t>ACKNOWLEDGMENTS</w:t>
      </w:r>
      <w:bookmarkEnd w:id="12"/>
    </w:p>
    <w:p w14:paraId="6E5859D4"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I am grateful to everyone who gave me the opportunity to work on this and other relevant projects that have expanded my knowledge and skills. Every member of my Dissertation Committee has provided me with invaluable personal and professional counsel, as well as a wealth of knowledge about scientific research and life in general. I appreciate my friends and family's encouragement and support throughout my research. I would like to thank my father, Mohamed Al Nuaimi, for aiding me in funding my dissertation. I also thank my sisters and brothers for their constant inspiration and support. Thank you to Sultan Al Nuaimi, without whom I would not have been able to complete this research. I cannot deny the encouragement and motivation I received from my lecturers and classmates at Abu Dhabi University (Cohort 7).</w:t>
      </w:r>
    </w:p>
    <w:p w14:paraId="4E7B0B3B"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I would like to express my gratitude to my supervisors, Dr. Sanjay Singh and Dr. Sayed Ahmed, for their unwavering support and advice during this dissertation journey despite their hectic schedules. I </w:t>
      </w:r>
      <w:r w:rsidRPr="005635E7">
        <w:rPr>
          <w:rFonts w:ascii="Times New Roman" w:eastAsia="Calibri" w:hAnsi="Times New Roman" w:cs="Times New Roman"/>
        </w:rPr>
        <w:t>would also like to thank the Department of Economic Development for providing me with access to the list of UAE SME's</w:t>
      </w:r>
      <w:r w:rsidRPr="005635E7">
        <w:rPr>
          <w:rFonts w:asciiTheme="majorBidi" w:hAnsiTheme="majorBidi" w:cstheme="majorBidi"/>
        </w:rPr>
        <w:t>, and I appreciate their cooperation during this vital period as well as the COVID 19 restrictions. In addition, I </w:t>
      </w:r>
      <w:r w:rsidRPr="005635E7">
        <w:rPr>
          <w:rFonts w:ascii="Times New Roman" w:eastAsia="Calibri" w:hAnsi="Times New Roman" w:cs="Times New Roman"/>
        </w:rPr>
        <w:t>would like to thank the owners</w:t>
      </w:r>
      <w:r w:rsidRPr="005635E7">
        <w:rPr>
          <w:rFonts w:asciiTheme="majorBidi" w:hAnsiTheme="majorBidi" w:cstheme="majorBidi"/>
        </w:rPr>
        <w:t xml:space="preserve"> and managers of </w:t>
      </w:r>
      <w:r w:rsidRPr="005635E7">
        <w:rPr>
          <w:rFonts w:ascii="Times New Roman" w:eastAsia="Calibri" w:hAnsi="Times New Roman" w:cs="Times New Roman"/>
        </w:rPr>
        <w:t xml:space="preserve">the manufacturing SME's for </w:t>
      </w:r>
      <w:r w:rsidRPr="005635E7">
        <w:rPr>
          <w:rFonts w:asciiTheme="majorBidi" w:hAnsiTheme="majorBidi" w:cstheme="majorBidi"/>
        </w:rPr>
        <w:t>their part</w:t>
      </w:r>
      <w:r w:rsidRPr="005635E7">
        <w:rPr>
          <w:rFonts w:ascii="Times New Roman" w:eastAsia="Calibri" w:hAnsi="Times New Roman" w:cs="Times New Roman"/>
        </w:rPr>
        <w:t>icipation in the survey.</w:t>
      </w:r>
    </w:p>
    <w:p w14:paraId="616AC1F4" w14:textId="77777777" w:rsidR="005976AB" w:rsidRPr="005635E7" w:rsidRDefault="005976AB" w:rsidP="005976AB">
      <w:pPr>
        <w:rPr>
          <w:rFonts w:asciiTheme="majorBidi" w:eastAsia="Times New Roman" w:hAnsiTheme="majorBidi" w:cstheme="majorBidi"/>
          <w:b/>
          <w:bCs/>
        </w:rPr>
      </w:pPr>
      <w:r w:rsidRPr="005635E7">
        <w:rPr>
          <w:rFonts w:asciiTheme="majorBidi" w:eastAsia="Times New Roman" w:hAnsiTheme="majorBidi" w:cstheme="majorBidi"/>
          <w:b/>
          <w:bCs/>
        </w:rPr>
        <w:br w:type="page"/>
      </w:r>
    </w:p>
    <w:p w14:paraId="579FA094" w14:textId="77777777" w:rsidR="005976AB" w:rsidRPr="005635E7" w:rsidRDefault="005976AB" w:rsidP="005976AB">
      <w:pPr>
        <w:pStyle w:val="Heading1"/>
        <w:spacing w:before="0" w:after="240" w:line="480" w:lineRule="auto"/>
        <w:rPr>
          <w:rFonts w:asciiTheme="majorBidi" w:hAnsiTheme="majorBidi"/>
          <w:b/>
          <w:bCs/>
          <w:color w:val="auto"/>
          <w:sz w:val="28"/>
          <w:szCs w:val="28"/>
        </w:rPr>
      </w:pPr>
      <w:bookmarkStart w:id="13" w:name="_Toc115310355"/>
      <w:r w:rsidRPr="005635E7">
        <w:rPr>
          <w:rFonts w:asciiTheme="majorBidi" w:hAnsiTheme="majorBidi"/>
          <w:b/>
          <w:bCs/>
          <w:color w:val="auto"/>
          <w:sz w:val="28"/>
          <w:szCs w:val="28"/>
        </w:rPr>
        <w:t>PUBLICATION(s) ARISING FROM THE DISSERTATION</w:t>
      </w:r>
      <w:bookmarkEnd w:id="13"/>
    </w:p>
    <w:p w14:paraId="21E04009" w14:textId="69FD7078" w:rsidR="005976AB" w:rsidRPr="004B0BE6" w:rsidRDefault="004B0BE6" w:rsidP="004B0BE6">
      <w:pPr>
        <w:rPr>
          <w:rFonts w:ascii="Times New Roman" w:hAnsi="Times New Roman" w:cs="Times New Roman"/>
          <w:color w:val="000000" w:themeColor="text1"/>
        </w:rPr>
      </w:pPr>
      <w:r w:rsidRPr="004B0BE6">
        <w:rPr>
          <w:rFonts w:ascii="Times New Roman" w:hAnsi="Times New Roman" w:cs="Times New Roman"/>
          <w:color w:val="000000" w:themeColor="text1"/>
          <w:shd w:val="clear" w:color="auto" w:fill="FFFFFF"/>
        </w:rPr>
        <w:t>Al Nuaimi, F. M. S., Singh, S. K., &amp; Ahmad, S. Z. (2023). Open innovation in SMEs: a dynamic capabilities perspective. </w:t>
      </w:r>
      <w:r w:rsidRPr="004B0BE6">
        <w:rPr>
          <w:rFonts w:ascii="Times New Roman" w:hAnsi="Times New Roman" w:cs="Times New Roman"/>
          <w:i/>
          <w:iCs/>
          <w:color w:val="000000" w:themeColor="text1"/>
          <w:shd w:val="clear" w:color="auto" w:fill="FFFFFF"/>
        </w:rPr>
        <w:t>Journal of Knowledge Management</w:t>
      </w:r>
      <w:r w:rsidRPr="004B0BE6">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rPr>
        <w:t xml:space="preserve"> </w:t>
      </w:r>
      <w:hyperlink r:id="rId11" w:history="1">
        <w:r w:rsidRPr="00AD2413">
          <w:rPr>
            <w:rStyle w:val="Hyperlink"/>
            <w:rFonts w:ascii="Times New Roman" w:hAnsi="Times New Roman" w:cs="Times New Roman"/>
            <w:shd w:val="clear" w:color="auto" w:fill="FFFFFF"/>
          </w:rPr>
          <w:t>https://doi.org/10.1108/JKM-11-2022-0906</w:t>
        </w:r>
      </w:hyperlink>
      <w:r>
        <w:rPr>
          <w:rFonts w:ascii="Times New Roman" w:hAnsi="Times New Roman" w:cs="Times New Roman"/>
          <w:color w:val="000000" w:themeColor="text1"/>
          <w:shd w:val="clear" w:color="auto" w:fill="FFFFFF"/>
        </w:rPr>
        <w:t xml:space="preserve"> </w:t>
      </w:r>
    </w:p>
    <w:p w14:paraId="33054CD2" w14:textId="77777777" w:rsidR="005976AB" w:rsidRPr="005635E7" w:rsidRDefault="005976AB" w:rsidP="005976AB">
      <w:pPr>
        <w:spacing w:line="360" w:lineRule="auto"/>
        <w:jc w:val="both"/>
        <w:rPr>
          <w:rFonts w:asciiTheme="majorBidi" w:hAnsiTheme="majorBidi" w:cstheme="majorBidi"/>
        </w:rPr>
      </w:pPr>
    </w:p>
    <w:p w14:paraId="6D60ECED" w14:textId="77777777" w:rsidR="005976AB" w:rsidRPr="005635E7" w:rsidRDefault="005976AB" w:rsidP="005976AB">
      <w:pPr>
        <w:rPr>
          <w:rFonts w:asciiTheme="majorBidi" w:hAnsiTheme="majorBidi" w:cstheme="majorBidi"/>
        </w:rPr>
      </w:pPr>
      <w:r w:rsidRPr="005635E7">
        <w:rPr>
          <w:rFonts w:asciiTheme="majorBidi" w:hAnsiTheme="majorBidi" w:cstheme="majorBidi"/>
        </w:rPr>
        <w:br w:type="page"/>
      </w:r>
    </w:p>
    <w:p w14:paraId="3A6E3BBB" w14:textId="77777777" w:rsidR="005976AB" w:rsidRPr="005635E7" w:rsidRDefault="005976AB" w:rsidP="005976AB">
      <w:pPr>
        <w:pStyle w:val="Heading1"/>
        <w:spacing w:before="0"/>
        <w:rPr>
          <w:rFonts w:asciiTheme="majorBidi" w:hAnsiTheme="majorBidi"/>
          <w:b/>
          <w:bCs/>
          <w:color w:val="auto"/>
          <w:sz w:val="28"/>
          <w:szCs w:val="28"/>
        </w:rPr>
      </w:pPr>
      <w:bookmarkStart w:id="14" w:name="_Toc115310356"/>
      <w:r w:rsidRPr="005635E7">
        <w:rPr>
          <w:rFonts w:asciiTheme="majorBidi" w:hAnsiTheme="majorBidi"/>
          <w:b/>
          <w:bCs/>
          <w:color w:val="auto"/>
          <w:sz w:val="28"/>
          <w:szCs w:val="28"/>
        </w:rPr>
        <w:t>TABLE OF CONTENTS</w:t>
      </w:r>
      <w:bookmarkEnd w:id="14"/>
    </w:p>
    <w:sdt>
      <w:sdtPr>
        <w:rPr>
          <w:rFonts w:asciiTheme="majorBidi" w:eastAsiaTheme="minorHAnsi" w:hAnsiTheme="majorBidi" w:cstheme="minorBidi"/>
          <w:color w:val="auto"/>
          <w:sz w:val="24"/>
          <w:szCs w:val="24"/>
        </w:rPr>
        <w:id w:val="327326556"/>
        <w:docPartObj>
          <w:docPartGallery w:val="Table of Contents"/>
          <w:docPartUnique/>
        </w:docPartObj>
      </w:sdtPr>
      <w:sdtEndPr/>
      <w:sdtContent>
        <w:p w14:paraId="31F643AF" w14:textId="77777777" w:rsidR="005976AB" w:rsidRPr="005635E7" w:rsidRDefault="005976AB" w:rsidP="005976AB">
          <w:pPr>
            <w:pStyle w:val="TOCHeading"/>
            <w:spacing w:before="0" w:line="240" w:lineRule="auto"/>
            <w:rPr>
              <w:rFonts w:asciiTheme="majorBidi" w:hAnsiTheme="majorBidi"/>
              <w:color w:val="auto"/>
              <w:sz w:val="24"/>
              <w:szCs w:val="24"/>
            </w:rPr>
          </w:pPr>
        </w:p>
        <w:p w14:paraId="4F8F66BE" w14:textId="77777777" w:rsidR="005976AB" w:rsidRPr="009E2F41" w:rsidRDefault="005976AB" w:rsidP="005976AB">
          <w:pPr>
            <w:pStyle w:val="TOC1"/>
            <w:rPr>
              <w:rFonts w:asciiTheme="majorBidi" w:eastAsiaTheme="minorEastAsia" w:hAnsiTheme="majorBidi" w:cstheme="majorBidi"/>
              <w:noProof/>
              <w:lang w:eastAsia="en-GB"/>
            </w:rPr>
          </w:pPr>
          <w:r w:rsidRPr="005635E7">
            <w:rPr>
              <w:rFonts w:asciiTheme="majorBidi" w:hAnsiTheme="majorBidi" w:cstheme="majorBidi"/>
            </w:rPr>
            <w:fldChar w:fldCharType="begin"/>
          </w:r>
          <w:r w:rsidRPr="005635E7">
            <w:rPr>
              <w:rFonts w:asciiTheme="majorBidi" w:hAnsiTheme="majorBidi" w:cstheme="majorBidi"/>
            </w:rPr>
            <w:instrText xml:space="preserve"> TOC \o "1-3" \h \z \u </w:instrText>
          </w:r>
          <w:r w:rsidRPr="005635E7">
            <w:rPr>
              <w:rFonts w:asciiTheme="majorBidi" w:hAnsiTheme="majorBidi" w:cstheme="majorBidi"/>
            </w:rPr>
            <w:fldChar w:fldCharType="separate"/>
          </w:r>
          <w:hyperlink w:anchor="_Toc115310348" w:history="1">
            <w:r w:rsidRPr="005635E7">
              <w:rPr>
                <w:rStyle w:val="Hyperlink"/>
                <w:rFonts w:asciiTheme="majorBidi" w:hAnsiTheme="majorBidi"/>
                <w:b/>
                <w:bCs/>
                <w:noProof/>
                <w:color w:val="auto"/>
              </w:rPr>
              <w:t>COVER PAGE</w:t>
            </w:r>
            <w:r w:rsidRPr="005635E7">
              <w:rPr>
                <w:rStyle w:val="Hyperlink"/>
                <w:rFonts w:asciiTheme="majorBidi" w:hAnsiTheme="majorBidi"/>
                <w:noProof/>
                <w:webHidden/>
                <w:color w:val="auto"/>
              </w:rPr>
              <w:tab/>
            </w:r>
            <w:r w:rsidRPr="005635E7">
              <w:rPr>
                <w:rStyle w:val="Hyperlink"/>
                <w:rFonts w:asciiTheme="majorBidi" w:hAnsiTheme="majorBidi"/>
                <w:noProof/>
                <w:webHidden/>
                <w:color w:val="auto"/>
              </w:rPr>
              <w:fldChar w:fldCharType="begin"/>
            </w:r>
            <w:r w:rsidRPr="005635E7">
              <w:rPr>
                <w:rStyle w:val="Hyperlink"/>
                <w:rFonts w:asciiTheme="majorBidi" w:hAnsiTheme="majorBidi"/>
                <w:noProof/>
                <w:webHidden/>
                <w:color w:val="auto"/>
              </w:rPr>
              <w:instrText xml:space="preserve"> PAGEREF _Toc115310348 \h </w:instrText>
            </w:r>
            <w:r w:rsidRPr="005635E7">
              <w:rPr>
                <w:rStyle w:val="Hyperlink"/>
                <w:rFonts w:asciiTheme="majorBidi" w:hAnsiTheme="majorBidi"/>
                <w:noProof/>
                <w:webHidden/>
                <w:color w:val="auto"/>
              </w:rPr>
            </w:r>
            <w:r w:rsidRPr="005635E7">
              <w:rPr>
                <w:rStyle w:val="Hyperlink"/>
                <w:rFonts w:asciiTheme="majorBidi" w:hAnsiTheme="majorBidi"/>
                <w:noProof/>
                <w:webHidden/>
                <w:color w:val="auto"/>
              </w:rPr>
              <w:fldChar w:fldCharType="separate"/>
            </w:r>
            <w:r w:rsidRPr="005635E7">
              <w:rPr>
                <w:rStyle w:val="Hyperlink"/>
                <w:rFonts w:asciiTheme="majorBidi" w:hAnsiTheme="majorBidi"/>
                <w:noProof/>
                <w:webHidden/>
                <w:color w:val="auto"/>
              </w:rPr>
              <w:t>i</w:t>
            </w:r>
            <w:r w:rsidRPr="005635E7">
              <w:rPr>
                <w:rStyle w:val="Hyperlink"/>
                <w:rFonts w:asciiTheme="majorBidi" w:hAnsiTheme="majorBidi"/>
                <w:noProof/>
                <w:webHidden/>
                <w:color w:val="auto"/>
              </w:rPr>
              <w:fldChar w:fldCharType="end"/>
            </w:r>
          </w:hyperlink>
        </w:p>
        <w:p w14:paraId="4B655C84" w14:textId="77777777" w:rsidR="005976AB" w:rsidRPr="009E2F41" w:rsidRDefault="007B4460" w:rsidP="005976AB">
          <w:pPr>
            <w:pStyle w:val="TOC1"/>
            <w:rPr>
              <w:rFonts w:asciiTheme="majorBidi" w:eastAsiaTheme="minorEastAsia" w:hAnsiTheme="majorBidi" w:cstheme="majorBidi"/>
              <w:noProof/>
              <w:lang w:eastAsia="en-GB"/>
            </w:rPr>
          </w:pPr>
          <w:hyperlink w:anchor="_Toc115310349" w:history="1">
            <w:r w:rsidR="005976AB" w:rsidRPr="005635E7">
              <w:rPr>
                <w:rStyle w:val="Hyperlink"/>
                <w:rFonts w:asciiTheme="majorBidi" w:eastAsia="Times New Roman" w:hAnsiTheme="majorBidi"/>
                <w:b/>
                <w:bCs/>
                <w:noProof/>
                <w:color w:val="auto"/>
              </w:rPr>
              <w:t>SIGNATORY PAGE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_Toc115310349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ii</w:t>
            </w:r>
            <w:r w:rsidR="005976AB" w:rsidRPr="005635E7">
              <w:rPr>
                <w:rFonts w:asciiTheme="majorBidi" w:hAnsiTheme="majorBidi" w:cstheme="majorBidi"/>
                <w:noProof/>
                <w:webHidden/>
              </w:rPr>
              <w:fldChar w:fldCharType="end"/>
            </w:r>
          </w:hyperlink>
        </w:p>
        <w:p w14:paraId="0A9B1776"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0" w:history="1">
            <w:r w:rsidR="005976AB" w:rsidRPr="005635E7">
              <w:rPr>
                <w:rStyle w:val="Hyperlink"/>
                <w:rFonts w:asciiTheme="majorBidi" w:hAnsiTheme="majorBidi"/>
                <w:b/>
                <w:bCs/>
                <w:noProof/>
                <w:color w:val="auto"/>
              </w:rPr>
              <w:t>COPYRIGHT INFORMATION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_Toc115310350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iii</w:t>
            </w:r>
            <w:r w:rsidR="005976AB" w:rsidRPr="005635E7">
              <w:rPr>
                <w:rFonts w:asciiTheme="majorBidi" w:hAnsiTheme="majorBidi" w:cstheme="majorBidi"/>
                <w:noProof/>
                <w:webHidden/>
              </w:rPr>
              <w:fldChar w:fldCharType="end"/>
            </w:r>
          </w:hyperlink>
        </w:p>
        <w:p w14:paraId="7ADFC5BB"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1" w:history="1">
            <w:r w:rsidR="005976AB" w:rsidRPr="005635E7">
              <w:rPr>
                <w:rStyle w:val="Hyperlink"/>
                <w:rFonts w:asciiTheme="majorBidi" w:hAnsiTheme="majorBidi"/>
                <w:b/>
                <w:bCs/>
                <w:noProof/>
                <w:color w:val="auto"/>
              </w:rPr>
              <w:t>ABSTRACT</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_Toc115310351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v</w:t>
            </w:r>
            <w:r w:rsidR="005976AB" w:rsidRPr="005635E7">
              <w:rPr>
                <w:rFonts w:asciiTheme="majorBidi" w:hAnsiTheme="majorBidi" w:cstheme="majorBidi"/>
                <w:noProof/>
                <w:webHidden/>
              </w:rPr>
              <w:fldChar w:fldCharType="end"/>
            </w:r>
          </w:hyperlink>
        </w:p>
        <w:p w14:paraId="75B19C27"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2" w:history="1">
            <w:r w:rsidR="005976AB" w:rsidRPr="005635E7">
              <w:rPr>
                <w:rStyle w:val="Hyperlink"/>
                <w:rFonts w:asciiTheme="majorBidi" w:hAnsiTheme="majorBidi"/>
                <w:b/>
                <w:bCs/>
                <w:noProof/>
                <w:color w:val="auto"/>
              </w:rPr>
              <w:t>LIST OF ABBREVIATIONS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_Toc115310352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vii</w:t>
            </w:r>
            <w:r w:rsidR="005976AB" w:rsidRPr="005635E7">
              <w:rPr>
                <w:rFonts w:asciiTheme="majorBidi" w:hAnsiTheme="majorBidi" w:cstheme="majorBidi"/>
                <w:noProof/>
                <w:webHidden/>
              </w:rPr>
              <w:fldChar w:fldCharType="end"/>
            </w:r>
          </w:hyperlink>
        </w:p>
        <w:p w14:paraId="39C082DF"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3" w:history="1">
            <w:r w:rsidR="005976AB" w:rsidRPr="005635E7">
              <w:rPr>
                <w:rStyle w:val="Hyperlink"/>
                <w:rFonts w:asciiTheme="majorBidi" w:hAnsiTheme="majorBidi"/>
                <w:b/>
                <w:bCs/>
                <w:noProof/>
                <w:color w:val="auto"/>
              </w:rPr>
              <w:t>DECLARATION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_Toc115310353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viii</w:t>
            </w:r>
            <w:r w:rsidR="005976AB" w:rsidRPr="005635E7">
              <w:rPr>
                <w:rFonts w:asciiTheme="majorBidi" w:hAnsiTheme="majorBidi" w:cstheme="majorBidi"/>
                <w:noProof/>
                <w:webHidden/>
              </w:rPr>
              <w:fldChar w:fldCharType="end"/>
            </w:r>
          </w:hyperlink>
        </w:p>
        <w:p w14:paraId="296984D9"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4" w:history="1">
            <w:r w:rsidR="005976AB" w:rsidRPr="005635E7">
              <w:rPr>
                <w:rStyle w:val="Hyperlink"/>
                <w:rFonts w:asciiTheme="majorBidi" w:eastAsia="Times New Roman" w:hAnsiTheme="majorBidi"/>
                <w:b/>
                <w:bCs/>
                <w:noProof/>
                <w:color w:val="auto"/>
              </w:rPr>
              <w:t>ACKNOWLEDGEMENTS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_Toc115310354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ix</w:t>
            </w:r>
            <w:r w:rsidR="005976AB" w:rsidRPr="005635E7">
              <w:rPr>
                <w:rFonts w:asciiTheme="majorBidi" w:hAnsiTheme="majorBidi" w:cstheme="majorBidi"/>
                <w:noProof/>
                <w:webHidden/>
              </w:rPr>
              <w:fldChar w:fldCharType="end"/>
            </w:r>
          </w:hyperlink>
        </w:p>
        <w:p w14:paraId="501A3885"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5" w:history="1">
            <w:r w:rsidR="005976AB" w:rsidRPr="005635E7">
              <w:rPr>
                <w:rStyle w:val="Hyperlink"/>
                <w:rFonts w:asciiTheme="majorBidi" w:hAnsiTheme="majorBidi"/>
                <w:b/>
                <w:bCs/>
                <w:noProof/>
                <w:color w:val="auto"/>
              </w:rPr>
              <w:t>PUBLICATION(s) ARISING FROM THE DISSERTATION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_Toc115310355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x</w:t>
            </w:r>
            <w:r w:rsidR="005976AB" w:rsidRPr="005635E7">
              <w:rPr>
                <w:rFonts w:asciiTheme="majorBidi" w:hAnsiTheme="majorBidi" w:cstheme="majorBidi"/>
                <w:noProof/>
                <w:webHidden/>
              </w:rPr>
              <w:fldChar w:fldCharType="end"/>
            </w:r>
          </w:hyperlink>
        </w:p>
        <w:p w14:paraId="18F72F4B"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6" w:history="1">
            <w:r w:rsidR="005976AB" w:rsidRPr="005635E7">
              <w:rPr>
                <w:rStyle w:val="Hyperlink"/>
                <w:rFonts w:asciiTheme="majorBidi" w:hAnsiTheme="majorBidi"/>
                <w:b/>
                <w:bCs/>
                <w:noProof/>
                <w:color w:val="auto"/>
              </w:rPr>
              <w:t xml:space="preserve">TABLE OF CONTENTS </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_Toc115310356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xi</w:t>
            </w:r>
            <w:r w:rsidR="005976AB" w:rsidRPr="005635E7">
              <w:rPr>
                <w:rFonts w:asciiTheme="majorBidi" w:hAnsiTheme="majorBidi" w:cstheme="majorBidi"/>
                <w:noProof/>
                <w:webHidden/>
              </w:rPr>
              <w:fldChar w:fldCharType="end"/>
            </w:r>
          </w:hyperlink>
        </w:p>
        <w:p w14:paraId="5DDE1614"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7" w:history="1">
            <w:r w:rsidR="005976AB" w:rsidRPr="005635E7">
              <w:rPr>
                <w:rStyle w:val="Hyperlink"/>
                <w:rFonts w:asciiTheme="majorBidi" w:hAnsiTheme="majorBidi"/>
                <w:b/>
                <w:bCs/>
                <w:noProof/>
                <w:color w:val="auto"/>
              </w:rPr>
              <w:t>LIST OF TABLES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_Toc115310357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xiv</w:t>
            </w:r>
            <w:r w:rsidR="005976AB" w:rsidRPr="005635E7">
              <w:rPr>
                <w:rFonts w:asciiTheme="majorBidi" w:hAnsiTheme="majorBidi" w:cstheme="majorBidi"/>
                <w:noProof/>
                <w:webHidden/>
              </w:rPr>
              <w:fldChar w:fldCharType="end"/>
            </w:r>
          </w:hyperlink>
        </w:p>
        <w:p w14:paraId="2C01E232"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8" w:history="1">
            <w:r w:rsidR="005976AB" w:rsidRPr="005635E7">
              <w:rPr>
                <w:rStyle w:val="Hyperlink"/>
                <w:rFonts w:asciiTheme="majorBidi" w:hAnsiTheme="majorBidi"/>
                <w:b/>
                <w:bCs/>
                <w:noProof/>
                <w:color w:val="auto"/>
              </w:rPr>
              <w:t>LIST OF FIGURES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_Toc115310358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xv</w:t>
            </w:r>
            <w:r w:rsidR="005976AB" w:rsidRPr="005635E7">
              <w:rPr>
                <w:rFonts w:asciiTheme="majorBidi" w:hAnsiTheme="majorBidi" w:cstheme="majorBidi"/>
                <w:noProof/>
                <w:webHidden/>
              </w:rPr>
              <w:fldChar w:fldCharType="end"/>
            </w:r>
          </w:hyperlink>
        </w:p>
        <w:p w14:paraId="5F4F6557" w14:textId="77777777" w:rsidR="005976AB" w:rsidRPr="009E2F41" w:rsidRDefault="007B4460" w:rsidP="005976AB">
          <w:pPr>
            <w:pStyle w:val="TOC1"/>
            <w:rPr>
              <w:rFonts w:asciiTheme="majorBidi" w:eastAsiaTheme="minorEastAsia" w:hAnsiTheme="majorBidi" w:cstheme="majorBidi"/>
              <w:noProof/>
              <w:lang w:eastAsia="en-GB"/>
            </w:rPr>
          </w:pPr>
          <w:hyperlink w:anchor="_Toc115310359" w:history="1">
            <w:r w:rsidR="005976AB" w:rsidRPr="005635E7">
              <w:rPr>
                <w:rStyle w:val="Hyperlink"/>
                <w:rFonts w:asciiTheme="majorBidi" w:hAnsiTheme="majorBidi"/>
                <w:b/>
                <w:bCs/>
                <w:noProof/>
                <w:color w:val="auto"/>
              </w:rPr>
              <w:t>CHAPTER 1</w:t>
            </w:r>
            <w:r w:rsidR="005976AB" w:rsidRPr="005635E7">
              <w:rPr>
                <w:rFonts w:asciiTheme="majorBidi" w:hAnsiTheme="majorBidi" w:cstheme="majorBidi"/>
                <w:noProof/>
                <w:webHidden/>
              </w:rPr>
              <w:t xml:space="preserve">: </w:t>
            </w:r>
          </w:hyperlink>
          <w:hyperlink w:anchor="_Toc115310360" w:history="1">
            <w:r w:rsidR="005976AB" w:rsidRPr="005635E7">
              <w:rPr>
                <w:rStyle w:val="Hyperlink"/>
                <w:rFonts w:asciiTheme="majorBidi" w:hAnsiTheme="majorBidi"/>
                <w:b/>
                <w:bCs/>
                <w:noProof/>
                <w:color w:val="auto"/>
              </w:rPr>
              <w:t>INTRODUCTION TO THIS DISSERTATION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_Toc115310360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w:t>
            </w:r>
            <w:r w:rsidR="005976AB" w:rsidRPr="005635E7">
              <w:rPr>
                <w:rFonts w:asciiTheme="majorBidi" w:hAnsiTheme="majorBidi" w:cstheme="majorBidi"/>
                <w:noProof/>
                <w:webHidden/>
              </w:rPr>
              <w:fldChar w:fldCharType="end"/>
            </w:r>
          </w:hyperlink>
        </w:p>
        <w:p w14:paraId="03EF97E5"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61" w:history="1">
            <w:r w:rsidR="005976AB" w:rsidRPr="005635E7">
              <w:rPr>
                <w:rStyle w:val="Hyperlink"/>
                <w:rFonts w:asciiTheme="majorBidi" w:hAnsiTheme="majorBidi"/>
                <w:noProof/>
                <w:color w:val="auto"/>
              </w:rPr>
              <w:t>1.1 Introduction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w:t>
            </w:r>
            <w:r w:rsidR="005976AB" w:rsidRPr="005635E7">
              <w:rPr>
                <w:rFonts w:asciiTheme="majorBidi" w:hAnsiTheme="majorBidi" w:cstheme="majorBidi"/>
                <w:noProof/>
                <w:webHidden/>
              </w:rPr>
              <w:fldChar w:fldCharType="end"/>
            </w:r>
          </w:hyperlink>
        </w:p>
        <w:p w14:paraId="19A2E524"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62" w:history="1">
            <w:r w:rsidR="005976AB" w:rsidRPr="005635E7">
              <w:rPr>
                <w:rStyle w:val="Hyperlink"/>
                <w:rFonts w:asciiTheme="majorBidi" w:hAnsiTheme="majorBidi"/>
                <w:noProof/>
                <w:color w:val="auto"/>
              </w:rPr>
              <w:t xml:space="preserve">1.2 Background/Context of the Study </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w:t>
            </w:r>
            <w:r w:rsidR="005976AB" w:rsidRPr="005635E7">
              <w:rPr>
                <w:rFonts w:asciiTheme="majorBidi" w:hAnsiTheme="majorBidi" w:cstheme="majorBidi"/>
                <w:noProof/>
                <w:webHidden/>
              </w:rPr>
              <w:fldChar w:fldCharType="end"/>
            </w:r>
          </w:hyperlink>
        </w:p>
        <w:p w14:paraId="193D4B5B"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63" w:history="1">
            <w:r w:rsidR="005976AB" w:rsidRPr="005635E7">
              <w:rPr>
                <w:rStyle w:val="Hyperlink"/>
                <w:rFonts w:asciiTheme="majorBidi" w:hAnsiTheme="majorBidi"/>
                <w:noProof/>
                <w:color w:val="auto"/>
              </w:rPr>
              <w:t>1.3 Research Problem and Gaps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_Toc115310363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w:t>
            </w:r>
            <w:r w:rsidR="005976AB" w:rsidRPr="005635E7">
              <w:rPr>
                <w:rFonts w:asciiTheme="majorBidi" w:hAnsiTheme="majorBidi" w:cstheme="majorBidi"/>
                <w:noProof/>
                <w:webHidden/>
              </w:rPr>
              <w:fldChar w:fldCharType="end"/>
            </w:r>
          </w:hyperlink>
        </w:p>
        <w:p w14:paraId="5F809B27"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64" w:history="1">
            <w:r w:rsidR="005976AB" w:rsidRPr="005635E7">
              <w:rPr>
                <w:rStyle w:val="Hyperlink"/>
                <w:rFonts w:asciiTheme="majorBidi" w:hAnsiTheme="majorBidi"/>
                <w:noProof/>
                <w:color w:val="auto"/>
              </w:rPr>
              <w:t>1.4 Research Questions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w:t>
            </w:r>
            <w:r w:rsidR="005976AB" w:rsidRPr="005635E7">
              <w:rPr>
                <w:rFonts w:asciiTheme="majorBidi" w:hAnsiTheme="majorBidi" w:cstheme="majorBidi"/>
                <w:noProof/>
                <w:webHidden/>
              </w:rPr>
              <w:fldChar w:fldCharType="end"/>
            </w:r>
          </w:hyperlink>
        </w:p>
        <w:p w14:paraId="63CD10BD"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65" w:history="1">
            <w:r w:rsidR="005976AB" w:rsidRPr="005635E7">
              <w:rPr>
                <w:rStyle w:val="Hyperlink"/>
                <w:rFonts w:asciiTheme="majorBidi" w:hAnsiTheme="majorBidi"/>
                <w:noProof/>
                <w:color w:val="auto"/>
              </w:rPr>
              <w:t>1.5 Research Objectives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_Toc115310365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w:t>
            </w:r>
            <w:r w:rsidR="005976AB" w:rsidRPr="005635E7">
              <w:rPr>
                <w:rFonts w:asciiTheme="majorBidi" w:hAnsiTheme="majorBidi" w:cstheme="majorBidi"/>
                <w:noProof/>
                <w:webHidden/>
              </w:rPr>
              <w:fldChar w:fldCharType="end"/>
            </w:r>
          </w:hyperlink>
        </w:p>
        <w:p w14:paraId="4D08203D"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66" w:history="1">
            <w:r w:rsidR="005976AB" w:rsidRPr="005635E7">
              <w:rPr>
                <w:rStyle w:val="Hyperlink"/>
                <w:rFonts w:asciiTheme="majorBidi" w:hAnsiTheme="majorBidi"/>
                <w:noProof/>
                <w:color w:val="auto"/>
              </w:rPr>
              <w:t>1.6 Motivation and Significance of the Study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_Toc115310366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w:t>
            </w:r>
            <w:r w:rsidR="005976AB" w:rsidRPr="005635E7">
              <w:rPr>
                <w:rFonts w:asciiTheme="majorBidi" w:hAnsiTheme="majorBidi" w:cstheme="majorBidi"/>
                <w:noProof/>
                <w:webHidden/>
              </w:rPr>
              <w:fldChar w:fldCharType="end"/>
            </w:r>
          </w:hyperlink>
        </w:p>
        <w:p w14:paraId="4BC9AE7C"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67" w:history="1">
            <w:r w:rsidR="005976AB" w:rsidRPr="005635E7">
              <w:rPr>
                <w:rStyle w:val="Hyperlink"/>
                <w:rFonts w:asciiTheme="majorBidi" w:hAnsiTheme="majorBidi"/>
                <w:noProof/>
                <w:color w:val="auto"/>
              </w:rPr>
              <w:t>1.7 Contributions of the Study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10</w:t>
            </w:r>
            <w:r w:rsidR="005976AB" w:rsidRPr="005635E7">
              <w:rPr>
                <w:rFonts w:asciiTheme="majorBidi" w:hAnsiTheme="majorBidi" w:cstheme="majorBidi"/>
                <w:noProof/>
                <w:webHidden/>
              </w:rPr>
              <w:fldChar w:fldCharType="end"/>
            </w:r>
          </w:hyperlink>
        </w:p>
        <w:p w14:paraId="13379B39"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68" w:history="1">
            <w:r w:rsidR="005976AB" w:rsidRPr="005635E7">
              <w:rPr>
                <w:rStyle w:val="Hyperlink"/>
                <w:rFonts w:asciiTheme="majorBidi" w:hAnsiTheme="majorBidi"/>
                <w:noProof/>
                <w:color w:val="auto"/>
              </w:rPr>
              <w:t>1.8 Dissertation Structure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_Toc115310368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10</w:t>
            </w:r>
            <w:r w:rsidR="005976AB" w:rsidRPr="005635E7">
              <w:rPr>
                <w:rFonts w:asciiTheme="majorBidi" w:hAnsiTheme="majorBidi" w:cstheme="majorBidi"/>
                <w:noProof/>
                <w:webHidden/>
              </w:rPr>
              <w:fldChar w:fldCharType="end"/>
            </w:r>
          </w:hyperlink>
        </w:p>
        <w:p w14:paraId="574A9AD2"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69" w:history="1">
            <w:r w:rsidR="005976AB" w:rsidRPr="005635E7">
              <w:rPr>
                <w:rStyle w:val="Hyperlink"/>
                <w:rFonts w:asciiTheme="majorBidi" w:hAnsiTheme="majorBidi"/>
                <w:noProof/>
                <w:color w:val="auto"/>
              </w:rPr>
              <w:t>1.9 Chapter summary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_Toc115310369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11</w:t>
            </w:r>
            <w:r w:rsidR="005976AB" w:rsidRPr="005635E7">
              <w:rPr>
                <w:rFonts w:asciiTheme="majorBidi" w:hAnsiTheme="majorBidi" w:cstheme="majorBidi"/>
                <w:noProof/>
                <w:webHidden/>
              </w:rPr>
              <w:fldChar w:fldCharType="end"/>
            </w:r>
          </w:hyperlink>
        </w:p>
        <w:p w14:paraId="64223E35" w14:textId="77777777" w:rsidR="005976AB" w:rsidRPr="009E2F41" w:rsidRDefault="007B4460" w:rsidP="005976AB">
          <w:pPr>
            <w:pStyle w:val="TOC1"/>
            <w:rPr>
              <w:rFonts w:asciiTheme="majorBidi" w:eastAsiaTheme="minorEastAsia" w:hAnsiTheme="majorBidi" w:cstheme="majorBidi"/>
              <w:noProof/>
              <w:lang w:eastAsia="en-GB"/>
            </w:rPr>
          </w:pPr>
          <w:hyperlink w:anchor="_Toc115310370" w:history="1">
            <w:r w:rsidR="005976AB" w:rsidRPr="005635E7">
              <w:rPr>
                <w:rStyle w:val="Hyperlink"/>
                <w:rFonts w:asciiTheme="majorBidi" w:hAnsiTheme="majorBidi"/>
                <w:b/>
                <w:bCs/>
                <w:noProof/>
                <w:color w:val="auto"/>
              </w:rPr>
              <w:t>CHAPTER 2</w:t>
            </w:r>
          </w:hyperlink>
          <w:r w:rsidR="005976AB" w:rsidRPr="005635E7">
            <w:rPr>
              <w:rStyle w:val="Hyperlink"/>
              <w:rFonts w:asciiTheme="majorBidi" w:hAnsiTheme="majorBidi"/>
              <w:noProof/>
              <w:color w:val="auto"/>
            </w:rPr>
            <w:t xml:space="preserve">: </w:t>
          </w:r>
          <w:hyperlink w:anchor="_Toc115310371" w:history="1">
            <w:r w:rsidR="005976AB" w:rsidRPr="005635E7">
              <w:rPr>
                <w:rStyle w:val="Hyperlink"/>
                <w:rFonts w:asciiTheme="majorBidi" w:hAnsiTheme="majorBidi"/>
                <w:b/>
                <w:bCs/>
                <w:noProof/>
                <w:color w:val="auto"/>
              </w:rPr>
              <w:t>LITERATURE REVIEW………………………………………………….</w:t>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_Toc115310371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13</w:t>
            </w:r>
            <w:r w:rsidR="005976AB" w:rsidRPr="005635E7">
              <w:rPr>
                <w:rFonts w:asciiTheme="majorBidi" w:hAnsiTheme="majorBidi" w:cstheme="majorBidi"/>
                <w:noProof/>
                <w:webHidden/>
              </w:rPr>
              <w:fldChar w:fldCharType="end"/>
            </w:r>
          </w:hyperlink>
        </w:p>
        <w:p w14:paraId="10B961E1"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72" w:history="1">
            <w:r w:rsidR="005976AB" w:rsidRPr="005635E7">
              <w:rPr>
                <w:rStyle w:val="Hyperlink"/>
                <w:rFonts w:asciiTheme="majorBidi" w:hAnsiTheme="majorBidi"/>
                <w:noProof/>
                <w:color w:val="auto"/>
              </w:rPr>
              <w:t>2.1 Introduction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_Toc115310372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13</w:t>
            </w:r>
            <w:r w:rsidR="005976AB" w:rsidRPr="005635E7">
              <w:rPr>
                <w:rFonts w:asciiTheme="majorBidi" w:hAnsiTheme="majorBidi" w:cstheme="majorBidi"/>
                <w:noProof/>
                <w:webHidden/>
              </w:rPr>
              <w:fldChar w:fldCharType="end"/>
            </w:r>
          </w:hyperlink>
        </w:p>
        <w:p w14:paraId="32ECBA6C"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73" w:history="1">
            <w:r w:rsidR="005976AB" w:rsidRPr="005635E7">
              <w:rPr>
                <w:rStyle w:val="Hyperlink"/>
                <w:rFonts w:asciiTheme="majorBidi" w:hAnsiTheme="majorBidi"/>
                <w:noProof/>
                <w:color w:val="auto"/>
              </w:rPr>
              <w:t>2.2 The Theoretical Foundation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_Toc115310373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14</w:t>
            </w:r>
            <w:r w:rsidR="005976AB" w:rsidRPr="005635E7">
              <w:rPr>
                <w:rFonts w:asciiTheme="majorBidi" w:hAnsiTheme="majorBidi" w:cstheme="majorBidi"/>
                <w:noProof/>
                <w:webHidden/>
              </w:rPr>
              <w:fldChar w:fldCharType="end"/>
            </w:r>
          </w:hyperlink>
        </w:p>
        <w:p w14:paraId="3EB8983A"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374" w:history="1">
            <w:r w:rsidR="005976AB" w:rsidRPr="005635E7">
              <w:rPr>
                <w:rStyle w:val="Hyperlink"/>
                <w:rFonts w:asciiTheme="majorBidi" w:hAnsiTheme="majorBidi"/>
                <w:noProof/>
                <w:color w:val="auto"/>
              </w:rPr>
              <w:t>2.2.1 The dynamic capabilities theory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_Toc115310374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14</w:t>
            </w:r>
            <w:r w:rsidR="005976AB" w:rsidRPr="005635E7">
              <w:rPr>
                <w:rFonts w:asciiTheme="majorBidi" w:hAnsiTheme="majorBidi" w:cstheme="majorBidi"/>
                <w:noProof/>
                <w:webHidden/>
              </w:rPr>
              <w:fldChar w:fldCharType="end"/>
            </w:r>
          </w:hyperlink>
        </w:p>
        <w:p w14:paraId="4AB4BE7D"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75" w:history="1">
            <w:r w:rsidR="005976AB" w:rsidRPr="005635E7">
              <w:rPr>
                <w:rStyle w:val="Hyperlink"/>
                <w:rFonts w:asciiTheme="majorBidi" w:hAnsiTheme="majorBidi"/>
                <w:noProof/>
                <w:color w:val="auto"/>
                <w:lang w:bidi="en-US"/>
              </w:rPr>
              <w:t xml:space="preserve">2.3 Hypotheses Development </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_Toc115310375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19</w:t>
            </w:r>
            <w:r w:rsidR="005976AB" w:rsidRPr="005635E7">
              <w:rPr>
                <w:rFonts w:asciiTheme="majorBidi" w:hAnsiTheme="majorBidi" w:cstheme="majorBidi"/>
                <w:noProof/>
                <w:webHidden/>
              </w:rPr>
              <w:fldChar w:fldCharType="end"/>
            </w:r>
          </w:hyperlink>
        </w:p>
        <w:p w14:paraId="12FC9DF3"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376" w:history="1">
            <w:r w:rsidR="005976AB" w:rsidRPr="005635E7">
              <w:rPr>
                <w:rStyle w:val="Hyperlink"/>
                <w:rFonts w:asciiTheme="majorBidi" w:hAnsiTheme="majorBidi"/>
                <w:noProof/>
                <w:color w:val="auto"/>
              </w:rPr>
              <w:t>2.3.1 O</w:t>
            </w:r>
            <w:r w:rsidR="005976AB">
              <w:rPr>
                <w:rStyle w:val="Hyperlink"/>
                <w:rFonts w:asciiTheme="majorBidi" w:hAnsiTheme="majorBidi"/>
                <w:noProof/>
                <w:color w:val="auto"/>
              </w:rPr>
              <w:t xml:space="preserve">rganizational </w:t>
            </w:r>
            <w:r w:rsidR="005976AB" w:rsidRPr="005635E7">
              <w:rPr>
                <w:rStyle w:val="Hyperlink"/>
                <w:rFonts w:asciiTheme="majorBidi" w:hAnsiTheme="majorBidi"/>
                <w:noProof/>
                <w:color w:val="auto"/>
              </w:rPr>
              <w:t>L</w:t>
            </w:r>
            <w:r w:rsidR="005976AB">
              <w:rPr>
                <w:rStyle w:val="Hyperlink"/>
                <w:rFonts w:asciiTheme="majorBidi" w:hAnsiTheme="majorBidi"/>
                <w:noProof/>
                <w:color w:val="auto"/>
              </w:rPr>
              <w:t xml:space="preserve">earning </w:t>
            </w:r>
            <w:r w:rsidR="005976AB" w:rsidRPr="005635E7">
              <w:rPr>
                <w:rStyle w:val="Hyperlink"/>
                <w:rFonts w:asciiTheme="majorBidi" w:hAnsiTheme="majorBidi"/>
                <w:noProof/>
                <w:color w:val="auto"/>
              </w:rPr>
              <w:t>C</w:t>
            </w:r>
            <w:r w:rsidR="005976AB">
              <w:rPr>
                <w:rStyle w:val="Hyperlink"/>
                <w:rFonts w:asciiTheme="majorBidi" w:hAnsiTheme="majorBidi"/>
                <w:noProof/>
                <w:color w:val="auto"/>
              </w:rPr>
              <w:t>apabilities</w:t>
            </w:r>
            <w:r w:rsidR="005976AB" w:rsidRPr="005635E7">
              <w:rPr>
                <w:rStyle w:val="Hyperlink"/>
                <w:rFonts w:asciiTheme="majorBidi" w:hAnsiTheme="majorBidi"/>
                <w:noProof/>
                <w:color w:val="auto"/>
              </w:rPr>
              <w:t xml:space="preserve"> and Open Innovation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_Toc115310376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19</w:t>
            </w:r>
            <w:r w:rsidR="005976AB" w:rsidRPr="005635E7">
              <w:rPr>
                <w:rFonts w:asciiTheme="majorBidi" w:hAnsiTheme="majorBidi" w:cstheme="majorBidi"/>
                <w:noProof/>
                <w:webHidden/>
              </w:rPr>
              <w:fldChar w:fldCharType="end"/>
            </w:r>
          </w:hyperlink>
        </w:p>
        <w:p w14:paraId="00443345"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377" w:history="1">
            <w:r w:rsidR="005976AB" w:rsidRPr="005635E7">
              <w:rPr>
                <w:rStyle w:val="Hyperlink"/>
                <w:rFonts w:asciiTheme="majorBidi" w:hAnsiTheme="majorBidi"/>
                <w:noProof/>
                <w:color w:val="auto"/>
              </w:rPr>
              <w:t>2.3.2 O</w:t>
            </w:r>
            <w:r w:rsidR="005976AB">
              <w:rPr>
                <w:rStyle w:val="Hyperlink"/>
                <w:rFonts w:asciiTheme="majorBidi" w:hAnsiTheme="majorBidi"/>
                <w:noProof/>
                <w:color w:val="auto"/>
              </w:rPr>
              <w:t xml:space="preserve">pen </w:t>
            </w:r>
            <w:r w:rsidR="005976AB" w:rsidRPr="005635E7">
              <w:rPr>
                <w:rStyle w:val="Hyperlink"/>
                <w:rFonts w:asciiTheme="majorBidi" w:hAnsiTheme="majorBidi"/>
                <w:noProof/>
                <w:color w:val="auto"/>
              </w:rPr>
              <w:t>I</w:t>
            </w:r>
            <w:r w:rsidR="005976AB">
              <w:rPr>
                <w:rStyle w:val="Hyperlink"/>
                <w:rFonts w:asciiTheme="majorBidi" w:hAnsiTheme="majorBidi"/>
                <w:noProof/>
                <w:color w:val="auto"/>
              </w:rPr>
              <w:t>nnovation</w:t>
            </w:r>
            <w:r w:rsidR="005976AB" w:rsidRPr="005635E7">
              <w:rPr>
                <w:rStyle w:val="Hyperlink"/>
                <w:rFonts w:asciiTheme="majorBidi" w:hAnsiTheme="majorBidi"/>
                <w:noProof/>
                <w:color w:val="auto"/>
              </w:rPr>
              <w:t xml:space="preserve"> and Firm Performance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_Toc115310377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29</w:t>
            </w:r>
            <w:r w:rsidR="005976AB" w:rsidRPr="005635E7">
              <w:rPr>
                <w:rFonts w:asciiTheme="majorBidi" w:hAnsiTheme="majorBidi" w:cstheme="majorBidi"/>
                <w:noProof/>
                <w:webHidden/>
              </w:rPr>
              <w:fldChar w:fldCharType="end"/>
            </w:r>
          </w:hyperlink>
        </w:p>
        <w:p w14:paraId="536F9630"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378" w:history="1">
            <w:r w:rsidR="005976AB" w:rsidRPr="005635E7">
              <w:rPr>
                <w:rStyle w:val="Hyperlink"/>
                <w:rFonts w:asciiTheme="majorBidi" w:hAnsiTheme="majorBidi"/>
                <w:noProof/>
                <w:color w:val="auto"/>
              </w:rPr>
              <w:t>2.3.3 O</w:t>
            </w:r>
            <w:r w:rsidR="005976AB">
              <w:rPr>
                <w:rStyle w:val="Hyperlink"/>
                <w:rFonts w:asciiTheme="majorBidi" w:hAnsiTheme="majorBidi"/>
                <w:noProof/>
                <w:color w:val="auto"/>
              </w:rPr>
              <w:t xml:space="preserve">rganizational </w:t>
            </w:r>
            <w:r w:rsidR="005976AB" w:rsidRPr="005635E7">
              <w:rPr>
                <w:rStyle w:val="Hyperlink"/>
                <w:rFonts w:asciiTheme="majorBidi" w:hAnsiTheme="majorBidi"/>
                <w:noProof/>
                <w:color w:val="auto"/>
              </w:rPr>
              <w:t>L</w:t>
            </w:r>
            <w:r w:rsidR="005976AB">
              <w:rPr>
                <w:rStyle w:val="Hyperlink"/>
                <w:rFonts w:asciiTheme="majorBidi" w:hAnsiTheme="majorBidi"/>
                <w:noProof/>
                <w:color w:val="auto"/>
              </w:rPr>
              <w:t xml:space="preserve">earning </w:t>
            </w:r>
            <w:r w:rsidR="005976AB" w:rsidRPr="005635E7">
              <w:rPr>
                <w:rStyle w:val="Hyperlink"/>
                <w:rFonts w:asciiTheme="majorBidi" w:hAnsiTheme="majorBidi"/>
                <w:noProof/>
                <w:color w:val="auto"/>
              </w:rPr>
              <w:t>C</w:t>
            </w:r>
            <w:r w:rsidR="005976AB">
              <w:rPr>
                <w:rStyle w:val="Hyperlink"/>
                <w:rFonts w:asciiTheme="majorBidi" w:hAnsiTheme="majorBidi"/>
                <w:noProof/>
                <w:color w:val="auto"/>
              </w:rPr>
              <w:t>apabilities</w:t>
            </w:r>
            <w:r w:rsidR="005976AB" w:rsidRPr="005635E7">
              <w:rPr>
                <w:rStyle w:val="Hyperlink"/>
                <w:rFonts w:asciiTheme="majorBidi" w:hAnsiTheme="majorBidi"/>
                <w:noProof/>
                <w:color w:val="auto"/>
              </w:rPr>
              <w:t xml:space="preserve"> and Firm Performance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_Toc115310378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39</w:t>
            </w:r>
            <w:r w:rsidR="005976AB" w:rsidRPr="005635E7">
              <w:rPr>
                <w:rFonts w:asciiTheme="majorBidi" w:hAnsiTheme="majorBidi" w:cstheme="majorBidi"/>
                <w:noProof/>
                <w:webHidden/>
              </w:rPr>
              <w:fldChar w:fldCharType="end"/>
            </w:r>
          </w:hyperlink>
        </w:p>
        <w:p w14:paraId="7AE18B26"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379" w:history="1">
            <w:r w:rsidR="005976AB" w:rsidRPr="005635E7">
              <w:rPr>
                <w:rStyle w:val="Hyperlink"/>
                <w:rFonts w:asciiTheme="majorBidi" w:hAnsiTheme="majorBidi"/>
                <w:noProof/>
                <w:color w:val="auto"/>
              </w:rPr>
              <w:t>2.3.4 O</w:t>
            </w:r>
            <w:r w:rsidR="005976AB">
              <w:rPr>
                <w:rStyle w:val="Hyperlink"/>
                <w:rFonts w:asciiTheme="majorBidi" w:hAnsiTheme="majorBidi"/>
                <w:noProof/>
                <w:color w:val="auto"/>
              </w:rPr>
              <w:t xml:space="preserve">rganizational </w:t>
            </w:r>
            <w:r w:rsidR="005976AB" w:rsidRPr="005635E7">
              <w:rPr>
                <w:rStyle w:val="Hyperlink"/>
                <w:rFonts w:asciiTheme="majorBidi" w:hAnsiTheme="majorBidi"/>
                <w:noProof/>
                <w:color w:val="auto"/>
              </w:rPr>
              <w:t>L</w:t>
            </w:r>
            <w:r w:rsidR="005976AB">
              <w:rPr>
                <w:rStyle w:val="Hyperlink"/>
                <w:rFonts w:asciiTheme="majorBidi" w:hAnsiTheme="majorBidi"/>
                <w:noProof/>
                <w:color w:val="auto"/>
              </w:rPr>
              <w:t xml:space="preserve">earning </w:t>
            </w:r>
            <w:r w:rsidR="005976AB" w:rsidRPr="005635E7">
              <w:rPr>
                <w:rStyle w:val="Hyperlink"/>
                <w:rFonts w:asciiTheme="majorBidi" w:hAnsiTheme="majorBidi"/>
                <w:noProof/>
                <w:color w:val="auto"/>
              </w:rPr>
              <w:t>C</w:t>
            </w:r>
            <w:r w:rsidR="005976AB">
              <w:rPr>
                <w:rStyle w:val="Hyperlink"/>
                <w:rFonts w:asciiTheme="majorBidi" w:hAnsiTheme="majorBidi"/>
                <w:noProof/>
                <w:color w:val="auto"/>
              </w:rPr>
              <w:t>apabilities</w:t>
            </w:r>
            <w:r w:rsidR="005976AB" w:rsidRPr="005635E7">
              <w:rPr>
                <w:rStyle w:val="Hyperlink"/>
                <w:rFonts w:asciiTheme="majorBidi" w:hAnsiTheme="majorBidi"/>
                <w:noProof/>
                <w:color w:val="auto"/>
              </w:rPr>
              <w:t xml:space="preserve"> and Firm Performance: The Mediating Role of Open Innovation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_Toc115310379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45</w:t>
            </w:r>
            <w:r w:rsidR="005976AB" w:rsidRPr="005635E7">
              <w:rPr>
                <w:rFonts w:asciiTheme="majorBidi" w:hAnsiTheme="majorBidi" w:cstheme="majorBidi"/>
                <w:noProof/>
                <w:webHidden/>
              </w:rPr>
              <w:fldChar w:fldCharType="end"/>
            </w:r>
          </w:hyperlink>
        </w:p>
        <w:p w14:paraId="39A4259E"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80" w:history="1">
            <w:r w:rsidR="005976AB" w:rsidRPr="005635E7">
              <w:rPr>
                <w:rStyle w:val="Hyperlink"/>
                <w:rFonts w:asciiTheme="majorBidi" w:hAnsiTheme="majorBidi"/>
                <w:noProof/>
                <w:color w:val="auto"/>
                <w:lang w:bidi="en-US"/>
              </w:rPr>
              <w:t>2.4 The Conceptual Research Framework</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_Toc115310380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47</w:t>
            </w:r>
            <w:r w:rsidR="005976AB" w:rsidRPr="005635E7">
              <w:rPr>
                <w:rFonts w:asciiTheme="majorBidi" w:hAnsiTheme="majorBidi" w:cstheme="majorBidi"/>
                <w:noProof/>
                <w:webHidden/>
              </w:rPr>
              <w:fldChar w:fldCharType="end"/>
            </w:r>
          </w:hyperlink>
        </w:p>
        <w:p w14:paraId="6943FF21" w14:textId="77777777" w:rsidR="005976AB" w:rsidRPr="009E2F41" w:rsidRDefault="007B4460" w:rsidP="005976AB">
          <w:pPr>
            <w:pStyle w:val="TOC1"/>
            <w:rPr>
              <w:rFonts w:asciiTheme="majorBidi" w:eastAsiaTheme="minorEastAsia" w:hAnsiTheme="majorBidi" w:cstheme="majorBidi"/>
              <w:noProof/>
              <w:lang w:eastAsia="en-GB"/>
            </w:rPr>
          </w:pPr>
          <w:hyperlink w:anchor="_Toc115310381" w:history="1">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_Toc115310381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47</w:t>
            </w:r>
            <w:r w:rsidR="005976AB" w:rsidRPr="005635E7">
              <w:rPr>
                <w:rFonts w:asciiTheme="majorBidi" w:hAnsiTheme="majorBidi" w:cstheme="majorBidi"/>
                <w:noProof/>
                <w:webHidden/>
              </w:rPr>
              <w:fldChar w:fldCharType="end"/>
            </w:r>
          </w:hyperlink>
        </w:p>
        <w:p w14:paraId="709F81EE"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82" w:history="1">
            <w:r w:rsidR="005976AB" w:rsidRPr="005635E7">
              <w:rPr>
                <w:rStyle w:val="Hyperlink"/>
                <w:rFonts w:asciiTheme="majorBidi" w:hAnsiTheme="majorBidi"/>
                <w:noProof/>
                <w:color w:val="auto"/>
                <w:lang w:bidi="en-US"/>
              </w:rPr>
              <w:t xml:space="preserve">2.5 Chapter summary </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_Toc115310382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48</w:t>
            </w:r>
            <w:r w:rsidR="005976AB" w:rsidRPr="005635E7">
              <w:rPr>
                <w:rFonts w:asciiTheme="majorBidi" w:hAnsiTheme="majorBidi" w:cstheme="majorBidi"/>
                <w:noProof/>
                <w:webHidden/>
              </w:rPr>
              <w:fldChar w:fldCharType="end"/>
            </w:r>
          </w:hyperlink>
        </w:p>
        <w:p w14:paraId="32488BB6" w14:textId="77777777" w:rsidR="005976AB" w:rsidRPr="009E2F41" w:rsidRDefault="007B4460" w:rsidP="005976AB">
          <w:pPr>
            <w:pStyle w:val="TOC1"/>
            <w:rPr>
              <w:rFonts w:asciiTheme="majorBidi" w:eastAsiaTheme="minorEastAsia" w:hAnsiTheme="majorBidi" w:cstheme="majorBidi"/>
              <w:noProof/>
              <w:lang w:eastAsia="en-GB"/>
            </w:rPr>
          </w:pPr>
          <w:hyperlink w:anchor="_Toc115310383" w:history="1">
            <w:r w:rsidR="005976AB" w:rsidRPr="005635E7">
              <w:rPr>
                <w:rStyle w:val="Hyperlink"/>
                <w:rFonts w:asciiTheme="majorBidi" w:hAnsiTheme="majorBidi"/>
                <w:b/>
                <w:bCs/>
                <w:noProof/>
                <w:color w:val="auto"/>
              </w:rPr>
              <w:t>CHAPTER 3</w:t>
            </w:r>
          </w:hyperlink>
          <w:r w:rsidR="005976AB" w:rsidRPr="005635E7">
            <w:rPr>
              <w:rStyle w:val="Hyperlink"/>
              <w:rFonts w:asciiTheme="majorBidi" w:hAnsiTheme="majorBidi"/>
              <w:noProof/>
              <w:color w:val="auto"/>
            </w:rPr>
            <w:t xml:space="preserve">: </w:t>
          </w:r>
          <w:hyperlink w:anchor="_Toc115310384" w:history="1">
            <w:r w:rsidR="005976AB" w:rsidRPr="005635E7">
              <w:rPr>
                <w:rStyle w:val="Hyperlink"/>
                <w:rFonts w:asciiTheme="majorBidi" w:hAnsiTheme="majorBidi"/>
                <w:b/>
                <w:bCs/>
                <w:noProof/>
                <w:color w:val="auto"/>
              </w:rPr>
              <w:t>RESEARCH METHODOLOGY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_Toc115310384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50</w:t>
            </w:r>
            <w:r w:rsidR="005976AB" w:rsidRPr="005635E7">
              <w:rPr>
                <w:rFonts w:asciiTheme="majorBidi" w:hAnsiTheme="majorBidi" w:cstheme="majorBidi"/>
                <w:noProof/>
                <w:webHidden/>
              </w:rPr>
              <w:fldChar w:fldCharType="end"/>
            </w:r>
          </w:hyperlink>
        </w:p>
        <w:p w14:paraId="24248F86"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85" w:history="1">
            <w:r w:rsidR="005976AB" w:rsidRPr="005635E7">
              <w:rPr>
                <w:rStyle w:val="Hyperlink"/>
                <w:rFonts w:asciiTheme="majorBidi" w:hAnsiTheme="majorBidi"/>
                <w:noProof/>
                <w:color w:val="auto"/>
              </w:rPr>
              <w:t>3.1 Introduction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_Toc115310385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50</w:t>
            </w:r>
            <w:r w:rsidR="005976AB" w:rsidRPr="005635E7">
              <w:rPr>
                <w:rFonts w:asciiTheme="majorBidi" w:hAnsiTheme="majorBidi" w:cstheme="majorBidi"/>
                <w:noProof/>
                <w:webHidden/>
              </w:rPr>
              <w:fldChar w:fldCharType="end"/>
            </w:r>
          </w:hyperlink>
        </w:p>
        <w:p w14:paraId="29A2C952"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86" w:history="1">
            <w:r w:rsidR="005976AB" w:rsidRPr="005635E7">
              <w:rPr>
                <w:rStyle w:val="Hyperlink"/>
                <w:rFonts w:asciiTheme="majorBidi" w:hAnsiTheme="majorBidi"/>
                <w:noProof/>
                <w:color w:val="auto"/>
              </w:rPr>
              <w:t>3.2 Research Philosophy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_Toc115310386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50</w:t>
            </w:r>
            <w:r w:rsidR="005976AB" w:rsidRPr="005635E7">
              <w:rPr>
                <w:rFonts w:asciiTheme="majorBidi" w:hAnsiTheme="majorBidi" w:cstheme="majorBidi"/>
                <w:noProof/>
                <w:webHidden/>
              </w:rPr>
              <w:fldChar w:fldCharType="end"/>
            </w:r>
          </w:hyperlink>
        </w:p>
        <w:p w14:paraId="651206C2"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87" w:history="1">
            <w:r w:rsidR="005976AB" w:rsidRPr="005635E7">
              <w:rPr>
                <w:rStyle w:val="Hyperlink"/>
                <w:rFonts w:asciiTheme="majorBidi" w:hAnsiTheme="majorBidi"/>
                <w:noProof/>
                <w:color w:val="auto"/>
              </w:rPr>
              <w:t>3.3 Research Approach</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_Toc115310387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51</w:t>
            </w:r>
            <w:r w:rsidR="005976AB" w:rsidRPr="005635E7">
              <w:rPr>
                <w:rFonts w:asciiTheme="majorBidi" w:hAnsiTheme="majorBidi" w:cstheme="majorBidi"/>
                <w:noProof/>
                <w:webHidden/>
              </w:rPr>
              <w:fldChar w:fldCharType="end"/>
            </w:r>
          </w:hyperlink>
        </w:p>
        <w:p w14:paraId="7F9A349D"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88" w:history="1">
            <w:r w:rsidR="005976AB" w:rsidRPr="005635E7">
              <w:rPr>
                <w:rStyle w:val="Hyperlink"/>
                <w:rFonts w:asciiTheme="majorBidi" w:hAnsiTheme="majorBidi"/>
                <w:noProof/>
                <w:color w:val="auto"/>
              </w:rPr>
              <w:t>3.4 Research Strategy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_Toc115310388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53</w:t>
            </w:r>
            <w:r w:rsidR="005976AB" w:rsidRPr="005635E7">
              <w:rPr>
                <w:rFonts w:asciiTheme="majorBidi" w:hAnsiTheme="majorBidi" w:cstheme="majorBidi"/>
                <w:noProof/>
                <w:webHidden/>
              </w:rPr>
              <w:fldChar w:fldCharType="end"/>
            </w:r>
          </w:hyperlink>
        </w:p>
        <w:p w14:paraId="59E159B4"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89" w:history="1">
            <w:r w:rsidR="005976AB" w:rsidRPr="005635E7">
              <w:rPr>
                <w:rStyle w:val="Hyperlink"/>
                <w:rFonts w:asciiTheme="majorBidi" w:hAnsiTheme="majorBidi"/>
                <w:noProof/>
                <w:color w:val="auto"/>
              </w:rPr>
              <w:t>3.5 Research Choices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_Toc115310389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54</w:t>
            </w:r>
            <w:r w:rsidR="005976AB" w:rsidRPr="005635E7">
              <w:rPr>
                <w:rFonts w:asciiTheme="majorBidi" w:hAnsiTheme="majorBidi" w:cstheme="majorBidi"/>
                <w:noProof/>
                <w:webHidden/>
              </w:rPr>
              <w:fldChar w:fldCharType="end"/>
            </w:r>
          </w:hyperlink>
        </w:p>
        <w:p w14:paraId="353B332C"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90" w:history="1">
            <w:r w:rsidR="005976AB" w:rsidRPr="005635E7">
              <w:rPr>
                <w:rStyle w:val="Hyperlink"/>
                <w:rFonts w:asciiTheme="majorBidi" w:hAnsiTheme="majorBidi"/>
                <w:noProof/>
                <w:color w:val="auto"/>
              </w:rPr>
              <w:t>3.6 Time horizon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_Toc115310390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55</w:t>
            </w:r>
            <w:r w:rsidR="005976AB" w:rsidRPr="005635E7">
              <w:rPr>
                <w:rFonts w:asciiTheme="majorBidi" w:hAnsiTheme="majorBidi" w:cstheme="majorBidi"/>
                <w:noProof/>
                <w:webHidden/>
              </w:rPr>
              <w:fldChar w:fldCharType="end"/>
            </w:r>
          </w:hyperlink>
        </w:p>
        <w:p w14:paraId="3B26DE39"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91" w:history="1">
            <w:r w:rsidR="005976AB" w:rsidRPr="005635E7">
              <w:rPr>
                <w:rStyle w:val="Hyperlink"/>
                <w:rFonts w:asciiTheme="majorBidi" w:hAnsiTheme="majorBidi"/>
                <w:noProof/>
                <w:color w:val="auto"/>
              </w:rPr>
              <w:t>3.7 Sampling methods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56</w:t>
            </w:r>
            <w:r w:rsidR="005976AB" w:rsidRPr="005635E7">
              <w:rPr>
                <w:rFonts w:asciiTheme="majorBidi" w:hAnsiTheme="majorBidi" w:cstheme="majorBidi"/>
                <w:noProof/>
                <w:webHidden/>
              </w:rPr>
              <w:fldChar w:fldCharType="end"/>
            </w:r>
          </w:hyperlink>
        </w:p>
        <w:p w14:paraId="5D28163C"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392" w:history="1">
            <w:r w:rsidR="005976AB" w:rsidRPr="005635E7">
              <w:rPr>
                <w:rStyle w:val="Hyperlink"/>
                <w:rFonts w:asciiTheme="majorBidi" w:hAnsiTheme="majorBidi"/>
                <w:noProof/>
                <w:color w:val="auto"/>
              </w:rPr>
              <w:t>3.7.1 Population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56</w:t>
            </w:r>
            <w:r w:rsidR="005976AB" w:rsidRPr="005635E7">
              <w:rPr>
                <w:rFonts w:asciiTheme="majorBidi" w:hAnsiTheme="majorBidi" w:cstheme="majorBidi"/>
                <w:noProof/>
                <w:webHidden/>
              </w:rPr>
              <w:fldChar w:fldCharType="end"/>
            </w:r>
          </w:hyperlink>
        </w:p>
        <w:p w14:paraId="65E9DA5B"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393" w:history="1">
            <w:r w:rsidR="005976AB" w:rsidRPr="005635E7">
              <w:rPr>
                <w:rStyle w:val="Hyperlink"/>
                <w:rFonts w:asciiTheme="majorBidi" w:hAnsiTheme="majorBidi"/>
                <w:noProof/>
                <w:color w:val="auto"/>
              </w:rPr>
              <w:t>3.7.2 Sampling Frame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_Toc115310393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56</w:t>
            </w:r>
            <w:r w:rsidR="005976AB" w:rsidRPr="005635E7">
              <w:rPr>
                <w:rFonts w:asciiTheme="majorBidi" w:hAnsiTheme="majorBidi" w:cstheme="majorBidi"/>
                <w:noProof/>
                <w:webHidden/>
              </w:rPr>
              <w:fldChar w:fldCharType="end"/>
            </w:r>
          </w:hyperlink>
        </w:p>
        <w:p w14:paraId="576AB7BD"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394" w:history="1">
            <w:r w:rsidR="005976AB" w:rsidRPr="005635E7">
              <w:rPr>
                <w:rStyle w:val="Hyperlink"/>
                <w:rFonts w:asciiTheme="majorBidi" w:hAnsiTheme="majorBidi"/>
                <w:noProof/>
                <w:color w:val="auto"/>
              </w:rPr>
              <w:t>3.7.3 Sample size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57</w:t>
            </w:r>
            <w:r w:rsidR="005976AB" w:rsidRPr="005635E7">
              <w:rPr>
                <w:rFonts w:asciiTheme="majorBidi" w:hAnsiTheme="majorBidi" w:cstheme="majorBidi"/>
                <w:noProof/>
                <w:webHidden/>
              </w:rPr>
              <w:fldChar w:fldCharType="end"/>
            </w:r>
          </w:hyperlink>
        </w:p>
        <w:p w14:paraId="3417AFF8"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395" w:history="1">
            <w:r w:rsidR="005976AB" w:rsidRPr="005635E7">
              <w:rPr>
                <w:rStyle w:val="Hyperlink"/>
                <w:rFonts w:asciiTheme="majorBidi" w:hAnsiTheme="majorBidi"/>
                <w:noProof/>
                <w:color w:val="auto"/>
              </w:rPr>
              <w:t>3.7.4 Sampling Method</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_Toc115310395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59</w:t>
            </w:r>
            <w:r w:rsidR="005976AB" w:rsidRPr="005635E7">
              <w:rPr>
                <w:rFonts w:asciiTheme="majorBidi" w:hAnsiTheme="majorBidi" w:cstheme="majorBidi"/>
                <w:noProof/>
                <w:webHidden/>
              </w:rPr>
              <w:fldChar w:fldCharType="end"/>
            </w:r>
          </w:hyperlink>
        </w:p>
        <w:p w14:paraId="0BC67C90"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96" w:history="1">
            <w:r w:rsidR="005976AB" w:rsidRPr="005635E7">
              <w:rPr>
                <w:rStyle w:val="Hyperlink"/>
                <w:rFonts w:asciiTheme="majorBidi" w:hAnsiTheme="majorBidi"/>
                <w:noProof/>
                <w:color w:val="auto"/>
              </w:rPr>
              <w:t>3.8 Data Collection Procedure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_Toc115310396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59</w:t>
            </w:r>
            <w:r w:rsidR="005976AB" w:rsidRPr="005635E7">
              <w:rPr>
                <w:rFonts w:asciiTheme="majorBidi" w:hAnsiTheme="majorBidi" w:cstheme="majorBidi"/>
                <w:noProof/>
                <w:webHidden/>
              </w:rPr>
              <w:fldChar w:fldCharType="end"/>
            </w:r>
          </w:hyperlink>
        </w:p>
        <w:p w14:paraId="58A54E05"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97" w:history="1">
            <w:r w:rsidR="005976AB" w:rsidRPr="005635E7">
              <w:rPr>
                <w:rStyle w:val="Hyperlink"/>
                <w:rFonts w:asciiTheme="majorBidi" w:hAnsiTheme="majorBidi"/>
                <w:noProof/>
                <w:color w:val="auto"/>
              </w:rPr>
              <w:t>3.9 Measuring Instruments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63</w:t>
            </w:r>
            <w:r w:rsidR="005976AB" w:rsidRPr="005635E7">
              <w:rPr>
                <w:rFonts w:asciiTheme="majorBidi" w:hAnsiTheme="majorBidi" w:cstheme="majorBidi"/>
                <w:noProof/>
                <w:webHidden/>
              </w:rPr>
              <w:fldChar w:fldCharType="end"/>
            </w:r>
          </w:hyperlink>
        </w:p>
        <w:p w14:paraId="58AEE803"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98" w:history="1">
            <w:r w:rsidR="005976AB" w:rsidRPr="005635E7">
              <w:rPr>
                <w:rStyle w:val="Hyperlink"/>
                <w:rFonts w:asciiTheme="majorBidi" w:hAnsiTheme="majorBidi"/>
                <w:noProof/>
                <w:color w:val="auto"/>
              </w:rPr>
              <w:t>3.11 Data Analysis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_Toc115310398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64</w:t>
            </w:r>
            <w:r w:rsidR="005976AB" w:rsidRPr="005635E7">
              <w:rPr>
                <w:rFonts w:asciiTheme="majorBidi" w:hAnsiTheme="majorBidi" w:cstheme="majorBidi"/>
                <w:noProof/>
                <w:webHidden/>
              </w:rPr>
              <w:fldChar w:fldCharType="end"/>
            </w:r>
          </w:hyperlink>
        </w:p>
        <w:p w14:paraId="49079EE5"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399" w:history="1">
            <w:r w:rsidR="005976AB" w:rsidRPr="005635E7">
              <w:rPr>
                <w:rStyle w:val="Hyperlink"/>
                <w:rFonts w:asciiTheme="majorBidi" w:hAnsiTheme="majorBidi"/>
                <w:noProof/>
                <w:color w:val="auto"/>
              </w:rPr>
              <w:t>3.12 Chapter Summary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_Toc115310399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65</w:t>
            </w:r>
            <w:r w:rsidR="005976AB" w:rsidRPr="005635E7">
              <w:rPr>
                <w:rFonts w:asciiTheme="majorBidi" w:hAnsiTheme="majorBidi" w:cstheme="majorBidi"/>
                <w:noProof/>
                <w:webHidden/>
              </w:rPr>
              <w:fldChar w:fldCharType="end"/>
            </w:r>
          </w:hyperlink>
        </w:p>
        <w:p w14:paraId="44678EEF" w14:textId="77777777" w:rsidR="005976AB" w:rsidRPr="009E2F41" w:rsidRDefault="007B4460" w:rsidP="005976AB">
          <w:pPr>
            <w:pStyle w:val="TOC1"/>
            <w:rPr>
              <w:rFonts w:asciiTheme="majorBidi" w:eastAsiaTheme="minorEastAsia" w:hAnsiTheme="majorBidi" w:cstheme="majorBidi"/>
              <w:noProof/>
              <w:lang w:eastAsia="en-GB"/>
            </w:rPr>
          </w:pPr>
          <w:hyperlink w:anchor="_Toc115310400" w:history="1">
            <w:r w:rsidR="005976AB" w:rsidRPr="005635E7">
              <w:rPr>
                <w:rStyle w:val="Hyperlink"/>
                <w:rFonts w:asciiTheme="majorBidi" w:hAnsiTheme="majorBidi"/>
                <w:b/>
                <w:bCs/>
                <w:noProof/>
                <w:color w:val="auto"/>
              </w:rPr>
              <w:t>CHAPTER 4</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_Toc115310400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66</w:t>
            </w:r>
            <w:r w:rsidR="005976AB" w:rsidRPr="005635E7">
              <w:rPr>
                <w:rFonts w:asciiTheme="majorBidi" w:hAnsiTheme="majorBidi" w:cstheme="majorBidi"/>
                <w:noProof/>
                <w:webHidden/>
              </w:rPr>
              <w:fldChar w:fldCharType="end"/>
            </w:r>
          </w:hyperlink>
        </w:p>
        <w:p w14:paraId="53E33533" w14:textId="77777777" w:rsidR="005976AB" w:rsidRPr="009E2F41" w:rsidRDefault="007B4460" w:rsidP="005976AB">
          <w:pPr>
            <w:pStyle w:val="TOC1"/>
            <w:rPr>
              <w:rFonts w:asciiTheme="majorBidi" w:eastAsiaTheme="minorEastAsia" w:hAnsiTheme="majorBidi" w:cstheme="majorBidi"/>
              <w:noProof/>
              <w:lang w:eastAsia="en-GB"/>
            </w:rPr>
          </w:pPr>
          <w:hyperlink w:anchor="_Toc115310401" w:history="1">
            <w:r w:rsidR="005976AB" w:rsidRPr="005635E7">
              <w:rPr>
                <w:rStyle w:val="Hyperlink"/>
                <w:rFonts w:asciiTheme="majorBidi" w:hAnsiTheme="majorBidi"/>
                <w:b/>
                <w:bCs/>
                <w:noProof/>
                <w:color w:val="auto"/>
              </w:rPr>
              <w:t>RESULTS AND DISCUSSION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_Toc115310401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66</w:t>
            </w:r>
            <w:r w:rsidR="005976AB" w:rsidRPr="005635E7">
              <w:rPr>
                <w:rFonts w:asciiTheme="majorBidi" w:hAnsiTheme="majorBidi" w:cstheme="majorBidi"/>
                <w:noProof/>
                <w:webHidden/>
              </w:rPr>
              <w:fldChar w:fldCharType="end"/>
            </w:r>
          </w:hyperlink>
        </w:p>
        <w:p w14:paraId="4E7CBF37"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02" w:history="1">
            <w:r w:rsidR="005976AB" w:rsidRPr="005635E7">
              <w:rPr>
                <w:rStyle w:val="Hyperlink"/>
                <w:rFonts w:asciiTheme="majorBidi" w:hAnsiTheme="majorBidi"/>
                <w:noProof/>
                <w:color w:val="auto"/>
              </w:rPr>
              <w:t>4.1 Introduction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_Toc115310402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66</w:t>
            </w:r>
            <w:r w:rsidR="005976AB" w:rsidRPr="005635E7">
              <w:rPr>
                <w:rFonts w:asciiTheme="majorBidi" w:hAnsiTheme="majorBidi" w:cstheme="majorBidi"/>
                <w:noProof/>
                <w:webHidden/>
              </w:rPr>
              <w:fldChar w:fldCharType="end"/>
            </w:r>
          </w:hyperlink>
        </w:p>
        <w:p w14:paraId="22C08B15"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04" w:history="1">
            <w:r w:rsidR="005976AB" w:rsidRPr="005635E7">
              <w:rPr>
                <w:rStyle w:val="Hyperlink"/>
                <w:rFonts w:asciiTheme="majorBidi" w:hAnsiTheme="majorBidi"/>
                <w:noProof/>
                <w:color w:val="auto"/>
              </w:rPr>
              <w:t>4.2 Exploratory Factor Analysis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_Toc115310404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66</w:t>
            </w:r>
            <w:r w:rsidR="005976AB" w:rsidRPr="005635E7">
              <w:rPr>
                <w:rFonts w:asciiTheme="majorBidi" w:hAnsiTheme="majorBidi" w:cstheme="majorBidi"/>
                <w:noProof/>
                <w:webHidden/>
              </w:rPr>
              <w:fldChar w:fldCharType="end"/>
            </w:r>
          </w:hyperlink>
        </w:p>
        <w:p w14:paraId="4FA45FE6"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05" w:history="1">
            <w:r w:rsidR="005976AB" w:rsidRPr="005635E7">
              <w:rPr>
                <w:rStyle w:val="Hyperlink"/>
                <w:rFonts w:asciiTheme="majorBidi" w:hAnsiTheme="majorBidi"/>
                <w:noProof/>
                <w:color w:val="auto"/>
              </w:rPr>
              <w:t>4.3 Confirmatory Factor Analysis (CFA)</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_Toc115310405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68</w:t>
            </w:r>
            <w:r w:rsidR="005976AB" w:rsidRPr="005635E7">
              <w:rPr>
                <w:rFonts w:asciiTheme="majorBidi" w:hAnsiTheme="majorBidi" w:cstheme="majorBidi"/>
                <w:noProof/>
                <w:webHidden/>
              </w:rPr>
              <w:fldChar w:fldCharType="end"/>
            </w:r>
          </w:hyperlink>
        </w:p>
        <w:p w14:paraId="6FFFC807"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406" w:history="1">
            <w:r w:rsidR="005976AB" w:rsidRPr="005635E7">
              <w:rPr>
                <w:rStyle w:val="Hyperlink"/>
                <w:rFonts w:asciiTheme="majorBidi" w:hAnsiTheme="majorBidi"/>
                <w:noProof/>
                <w:color w:val="auto"/>
              </w:rPr>
              <w:t>4.3.1 Reliability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_Toc115310406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68</w:t>
            </w:r>
            <w:r w:rsidR="005976AB" w:rsidRPr="005635E7">
              <w:rPr>
                <w:rFonts w:asciiTheme="majorBidi" w:hAnsiTheme="majorBidi" w:cstheme="majorBidi"/>
                <w:noProof/>
                <w:webHidden/>
              </w:rPr>
              <w:fldChar w:fldCharType="end"/>
            </w:r>
          </w:hyperlink>
        </w:p>
        <w:p w14:paraId="42A9ADB4"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407" w:history="1">
            <w:r w:rsidR="005976AB" w:rsidRPr="005635E7">
              <w:rPr>
                <w:rStyle w:val="Hyperlink"/>
                <w:rFonts w:asciiTheme="majorBidi" w:hAnsiTheme="majorBidi"/>
                <w:noProof/>
                <w:color w:val="auto"/>
              </w:rPr>
              <w:t>4.3.2 Convergent validity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_Toc115310407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71</w:t>
            </w:r>
            <w:r w:rsidR="005976AB" w:rsidRPr="005635E7">
              <w:rPr>
                <w:rFonts w:asciiTheme="majorBidi" w:hAnsiTheme="majorBidi" w:cstheme="majorBidi"/>
                <w:noProof/>
                <w:webHidden/>
              </w:rPr>
              <w:fldChar w:fldCharType="end"/>
            </w:r>
          </w:hyperlink>
        </w:p>
        <w:p w14:paraId="0279A14B"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408" w:history="1">
            <w:r w:rsidR="005976AB" w:rsidRPr="005635E7">
              <w:rPr>
                <w:rStyle w:val="Hyperlink"/>
                <w:rFonts w:asciiTheme="majorBidi" w:hAnsiTheme="majorBidi"/>
                <w:noProof/>
                <w:color w:val="auto"/>
              </w:rPr>
              <w:t>4.3.3 Discriminant validity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_Toc115310408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71</w:t>
            </w:r>
            <w:r w:rsidR="005976AB" w:rsidRPr="005635E7">
              <w:rPr>
                <w:rFonts w:asciiTheme="majorBidi" w:hAnsiTheme="majorBidi" w:cstheme="majorBidi"/>
                <w:noProof/>
                <w:webHidden/>
              </w:rPr>
              <w:fldChar w:fldCharType="end"/>
            </w:r>
          </w:hyperlink>
        </w:p>
        <w:p w14:paraId="0F2D77FE"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409" w:history="1">
            <w:r w:rsidR="005976AB" w:rsidRPr="005635E7">
              <w:rPr>
                <w:rStyle w:val="Hyperlink"/>
                <w:rFonts w:asciiTheme="majorBidi" w:hAnsiTheme="majorBidi"/>
                <w:noProof/>
                <w:color w:val="auto"/>
              </w:rPr>
              <w:t>4.3.4 The First-Order and Second-Order Constructs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_Toc115310409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72</w:t>
            </w:r>
            <w:r w:rsidR="005976AB" w:rsidRPr="005635E7">
              <w:rPr>
                <w:rFonts w:asciiTheme="majorBidi" w:hAnsiTheme="majorBidi" w:cstheme="majorBidi"/>
                <w:noProof/>
                <w:webHidden/>
              </w:rPr>
              <w:fldChar w:fldCharType="end"/>
            </w:r>
          </w:hyperlink>
        </w:p>
        <w:p w14:paraId="5E60F229"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10" w:history="1">
            <w:r w:rsidR="005976AB" w:rsidRPr="005635E7">
              <w:rPr>
                <w:rStyle w:val="Hyperlink"/>
                <w:rFonts w:asciiTheme="majorBidi" w:hAnsiTheme="majorBidi"/>
                <w:noProof/>
                <w:color w:val="auto"/>
              </w:rPr>
              <w:t>4.4 Structural model and Hypotheses Testing</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_Toc115310410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73</w:t>
            </w:r>
            <w:r w:rsidR="005976AB" w:rsidRPr="005635E7">
              <w:rPr>
                <w:rFonts w:asciiTheme="majorBidi" w:hAnsiTheme="majorBidi" w:cstheme="majorBidi"/>
                <w:noProof/>
                <w:webHidden/>
              </w:rPr>
              <w:fldChar w:fldCharType="end"/>
            </w:r>
          </w:hyperlink>
        </w:p>
        <w:p w14:paraId="48370A27"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411" w:history="1">
            <w:r w:rsidR="005976AB" w:rsidRPr="005635E7">
              <w:rPr>
                <w:rStyle w:val="Hyperlink"/>
                <w:rFonts w:asciiTheme="majorBidi" w:hAnsiTheme="majorBidi"/>
                <w:noProof/>
                <w:color w:val="auto"/>
              </w:rPr>
              <w:t>4.4.1 Testing for Direct Hypotheses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_Toc115310411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73</w:t>
            </w:r>
            <w:r w:rsidR="005976AB" w:rsidRPr="005635E7">
              <w:rPr>
                <w:rFonts w:asciiTheme="majorBidi" w:hAnsiTheme="majorBidi" w:cstheme="majorBidi"/>
                <w:noProof/>
                <w:webHidden/>
              </w:rPr>
              <w:fldChar w:fldCharType="end"/>
            </w:r>
          </w:hyperlink>
        </w:p>
        <w:p w14:paraId="028D4C4B" w14:textId="77777777" w:rsidR="005976AB" w:rsidRPr="009E2F41" w:rsidRDefault="007B4460" w:rsidP="005976AB">
          <w:pPr>
            <w:pStyle w:val="TOC3"/>
            <w:tabs>
              <w:tab w:val="right" w:leader="dot" w:pos="9016"/>
            </w:tabs>
            <w:rPr>
              <w:rFonts w:asciiTheme="majorBidi" w:eastAsiaTheme="minorEastAsia" w:hAnsiTheme="majorBidi" w:cstheme="majorBidi"/>
              <w:noProof/>
              <w:lang w:eastAsia="en-GB"/>
            </w:rPr>
          </w:pPr>
          <w:hyperlink w:anchor="_Toc115310412" w:history="1">
            <w:r w:rsidR="005976AB" w:rsidRPr="005635E7">
              <w:rPr>
                <w:rStyle w:val="Hyperlink"/>
                <w:rFonts w:asciiTheme="majorBidi" w:hAnsiTheme="majorBidi"/>
                <w:noProof/>
                <w:color w:val="auto"/>
              </w:rPr>
              <w:t>4.4.2 Testing for Indirect Hypotheses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_Toc115310412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75</w:t>
            </w:r>
            <w:r w:rsidR="005976AB" w:rsidRPr="005635E7">
              <w:rPr>
                <w:rFonts w:asciiTheme="majorBidi" w:hAnsiTheme="majorBidi" w:cstheme="majorBidi"/>
                <w:noProof/>
                <w:webHidden/>
              </w:rPr>
              <w:fldChar w:fldCharType="end"/>
            </w:r>
          </w:hyperlink>
        </w:p>
        <w:p w14:paraId="01B48FB9"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13" w:history="1">
            <w:r w:rsidR="005976AB" w:rsidRPr="005635E7">
              <w:rPr>
                <w:rStyle w:val="Hyperlink"/>
                <w:rFonts w:asciiTheme="majorBidi" w:hAnsiTheme="majorBidi"/>
                <w:noProof/>
                <w:color w:val="auto"/>
              </w:rPr>
              <w:t>4.5 Discussion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_Toc115310413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76</w:t>
            </w:r>
            <w:r w:rsidR="005976AB" w:rsidRPr="005635E7">
              <w:rPr>
                <w:rFonts w:asciiTheme="majorBidi" w:hAnsiTheme="majorBidi" w:cstheme="majorBidi"/>
                <w:noProof/>
                <w:webHidden/>
              </w:rPr>
              <w:fldChar w:fldCharType="end"/>
            </w:r>
          </w:hyperlink>
        </w:p>
        <w:p w14:paraId="06FA61B6" w14:textId="77777777" w:rsidR="005976AB" w:rsidRPr="009E2F41" w:rsidRDefault="007B4460" w:rsidP="005976AB">
          <w:pPr>
            <w:pStyle w:val="TOC1"/>
            <w:rPr>
              <w:rFonts w:asciiTheme="majorBidi" w:eastAsiaTheme="minorEastAsia" w:hAnsiTheme="majorBidi" w:cstheme="majorBidi"/>
              <w:noProof/>
              <w:lang w:eastAsia="en-GB"/>
            </w:rPr>
          </w:pPr>
          <w:hyperlink w:anchor="_Toc115310414" w:history="1">
            <w:r w:rsidR="005976AB" w:rsidRPr="005635E7">
              <w:rPr>
                <w:rStyle w:val="Hyperlink"/>
                <w:rFonts w:asciiTheme="majorBidi" w:hAnsiTheme="majorBidi"/>
                <w:b/>
                <w:bCs/>
                <w:noProof/>
                <w:color w:val="auto"/>
              </w:rPr>
              <w:t>4</w:t>
            </w:r>
            <w:r w:rsidR="005976AB" w:rsidRPr="005635E7">
              <w:rPr>
                <w:rStyle w:val="Hyperlink"/>
                <w:rFonts w:asciiTheme="majorBidi" w:hAnsiTheme="majorBidi"/>
                <w:noProof/>
                <w:color w:val="auto"/>
              </w:rPr>
              <w:t>.6 Chapter summary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_Toc115310414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81</w:t>
            </w:r>
            <w:r w:rsidR="005976AB" w:rsidRPr="005635E7">
              <w:rPr>
                <w:rFonts w:asciiTheme="majorBidi" w:hAnsiTheme="majorBidi" w:cstheme="majorBidi"/>
                <w:noProof/>
                <w:webHidden/>
              </w:rPr>
              <w:fldChar w:fldCharType="end"/>
            </w:r>
          </w:hyperlink>
        </w:p>
        <w:p w14:paraId="4E8341C1" w14:textId="77777777" w:rsidR="005976AB" w:rsidRPr="009E2F41" w:rsidRDefault="007B4460" w:rsidP="005976AB">
          <w:pPr>
            <w:pStyle w:val="TOC1"/>
            <w:rPr>
              <w:rFonts w:asciiTheme="majorBidi" w:eastAsiaTheme="minorEastAsia" w:hAnsiTheme="majorBidi" w:cstheme="majorBidi"/>
              <w:noProof/>
              <w:lang w:eastAsia="en-GB"/>
            </w:rPr>
          </w:pPr>
          <w:hyperlink w:anchor="_Toc115310415" w:history="1">
            <w:r w:rsidR="005976AB" w:rsidRPr="005635E7">
              <w:rPr>
                <w:rStyle w:val="Hyperlink"/>
                <w:rFonts w:asciiTheme="majorBidi" w:hAnsiTheme="majorBidi"/>
                <w:b/>
                <w:bCs/>
                <w:noProof/>
                <w:color w:val="auto"/>
              </w:rPr>
              <w:t>CHAPTER 5</w:t>
            </w:r>
          </w:hyperlink>
          <w:r w:rsidR="005976AB" w:rsidRPr="005635E7">
            <w:rPr>
              <w:rStyle w:val="Hyperlink"/>
              <w:rFonts w:asciiTheme="majorBidi" w:hAnsiTheme="majorBidi"/>
              <w:noProof/>
              <w:color w:val="auto"/>
            </w:rPr>
            <w:t xml:space="preserve">: </w:t>
          </w:r>
          <w:hyperlink w:anchor="_Toc115310416" w:history="1">
            <w:r w:rsidR="005976AB" w:rsidRPr="005635E7">
              <w:rPr>
                <w:rStyle w:val="Hyperlink"/>
                <w:rFonts w:asciiTheme="majorBidi" w:hAnsiTheme="majorBidi"/>
                <w:b/>
                <w:bCs/>
                <w:noProof/>
                <w:color w:val="auto"/>
              </w:rPr>
              <w:t>CONCLUSION, IMPLICATIONS, LIMITATIONS AND SUGGESTIONS FOR FUTURE RESEARCH</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_Toc115310416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83</w:t>
            </w:r>
            <w:r w:rsidR="005976AB" w:rsidRPr="005635E7">
              <w:rPr>
                <w:rFonts w:asciiTheme="majorBidi" w:hAnsiTheme="majorBidi" w:cstheme="majorBidi"/>
                <w:noProof/>
                <w:webHidden/>
              </w:rPr>
              <w:fldChar w:fldCharType="end"/>
            </w:r>
          </w:hyperlink>
        </w:p>
        <w:p w14:paraId="1C7E55A3"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17" w:history="1">
            <w:r w:rsidR="005976AB" w:rsidRPr="005635E7">
              <w:rPr>
                <w:rStyle w:val="Hyperlink"/>
                <w:rFonts w:asciiTheme="majorBidi" w:hAnsiTheme="majorBidi"/>
                <w:noProof/>
                <w:color w:val="auto"/>
              </w:rPr>
              <w:t>5.1 Introduction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_Toc115310417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83</w:t>
            </w:r>
            <w:r w:rsidR="005976AB" w:rsidRPr="005635E7">
              <w:rPr>
                <w:rFonts w:asciiTheme="majorBidi" w:hAnsiTheme="majorBidi" w:cstheme="majorBidi"/>
                <w:noProof/>
                <w:webHidden/>
              </w:rPr>
              <w:fldChar w:fldCharType="end"/>
            </w:r>
          </w:hyperlink>
        </w:p>
        <w:p w14:paraId="35A80B48"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18" w:history="1">
            <w:r w:rsidR="005976AB" w:rsidRPr="005635E7">
              <w:rPr>
                <w:rStyle w:val="Hyperlink"/>
                <w:rFonts w:asciiTheme="majorBidi" w:hAnsiTheme="majorBidi"/>
                <w:noProof/>
                <w:color w:val="auto"/>
              </w:rPr>
              <w:t>5.2 Conclusion of the study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_Toc115310418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83</w:t>
            </w:r>
            <w:r w:rsidR="005976AB" w:rsidRPr="005635E7">
              <w:rPr>
                <w:rFonts w:asciiTheme="majorBidi" w:hAnsiTheme="majorBidi" w:cstheme="majorBidi"/>
                <w:noProof/>
                <w:webHidden/>
              </w:rPr>
              <w:fldChar w:fldCharType="end"/>
            </w:r>
          </w:hyperlink>
        </w:p>
        <w:p w14:paraId="0AC5A46C"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19" w:history="1">
            <w:r w:rsidR="005976AB" w:rsidRPr="005635E7">
              <w:rPr>
                <w:rStyle w:val="Hyperlink"/>
                <w:rFonts w:asciiTheme="majorBidi" w:hAnsiTheme="majorBidi"/>
                <w:noProof/>
                <w:color w:val="auto"/>
              </w:rPr>
              <w:t>5.3 Theoretical Implications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_Toc115310419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86</w:t>
            </w:r>
            <w:r w:rsidR="005976AB" w:rsidRPr="005635E7">
              <w:rPr>
                <w:rFonts w:asciiTheme="majorBidi" w:hAnsiTheme="majorBidi" w:cstheme="majorBidi"/>
                <w:noProof/>
                <w:webHidden/>
              </w:rPr>
              <w:fldChar w:fldCharType="end"/>
            </w:r>
          </w:hyperlink>
        </w:p>
        <w:p w14:paraId="5B417FDA"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20" w:history="1">
            <w:r w:rsidR="005976AB" w:rsidRPr="005635E7">
              <w:rPr>
                <w:rStyle w:val="Hyperlink"/>
                <w:rFonts w:asciiTheme="majorBidi" w:hAnsiTheme="majorBidi"/>
                <w:noProof/>
                <w:color w:val="auto"/>
              </w:rPr>
              <w:t>5.4 Practical implications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_Toc115310420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89</w:t>
            </w:r>
            <w:r w:rsidR="005976AB" w:rsidRPr="005635E7">
              <w:rPr>
                <w:rFonts w:asciiTheme="majorBidi" w:hAnsiTheme="majorBidi" w:cstheme="majorBidi"/>
                <w:noProof/>
                <w:webHidden/>
              </w:rPr>
              <w:fldChar w:fldCharType="end"/>
            </w:r>
          </w:hyperlink>
        </w:p>
        <w:p w14:paraId="7AD2A602"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21" w:history="1">
            <w:r w:rsidR="005976AB" w:rsidRPr="005635E7">
              <w:rPr>
                <w:rStyle w:val="Hyperlink"/>
                <w:rFonts w:asciiTheme="majorBidi" w:hAnsiTheme="majorBidi"/>
                <w:noProof/>
                <w:color w:val="auto"/>
              </w:rPr>
              <w:t>5.5 Limitations and Suggestions for Future Research</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_Toc115310421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90</w:t>
            </w:r>
            <w:r w:rsidR="005976AB" w:rsidRPr="005635E7">
              <w:rPr>
                <w:rFonts w:asciiTheme="majorBidi" w:hAnsiTheme="majorBidi" w:cstheme="majorBidi"/>
                <w:noProof/>
                <w:webHidden/>
              </w:rPr>
              <w:fldChar w:fldCharType="end"/>
            </w:r>
          </w:hyperlink>
        </w:p>
        <w:p w14:paraId="7E37966E" w14:textId="77777777" w:rsidR="005976AB" w:rsidRPr="009E2F41" w:rsidRDefault="007B4460" w:rsidP="005976AB">
          <w:pPr>
            <w:pStyle w:val="TOC1"/>
            <w:rPr>
              <w:rFonts w:asciiTheme="majorBidi" w:eastAsiaTheme="minorEastAsia" w:hAnsiTheme="majorBidi" w:cstheme="majorBidi"/>
              <w:noProof/>
              <w:lang w:eastAsia="en-GB"/>
            </w:rPr>
          </w:pPr>
          <w:hyperlink w:anchor="_Toc115310422" w:history="1">
            <w:r w:rsidR="005976AB" w:rsidRPr="005635E7">
              <w:rPr>
                <w:rStyle w:val="Hyperlink"/>
                <w:rFonts w:asciiTheme="majorBidi" w:hAnsiTheme="majorBidi"/>
                <w:b/>
                <w:bCs/>
                <w:noProof/>
                <w:color w:val="auto"/>
              </w:rPr>
              <w:t>REFERENCES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_Toc115310422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92</w:t>
            </w:r>
            <w:r w:rsidR="005976AB" w:rsidRPr="005635E7">
              <w:rPr>
                <w:rFonts w:asciiTheme="majorBidi" w:hAnsiTheme="majorBidi" w:cstheme="majorBidi"/>
                <w:noProof/>
                <w:webHidden/>
              </w:rPr>
              <w:fldChar w:fldCharType="end"/>
            </w:r>
          </w:hyperlink>
        </w:p>
        <w:p w14:paraId="3592F5F8" w14:textId="77777777" w:rsidR="005976AB" w:rsidRPr="009E2F41" w:rsidRDefault="007B4460" w:rsidP="005976AB">
          <w:pPr>
            <w:pStyle w:val="TOC1"/>
            <w:rPr>
              <w:rFonts w:asciiTheme="majorBidi" w:eastAsiaTheme="minorEastAsia" w:hAnsiTheme="majorBidi" w:cstheme="majorBidi"/>
              <w:noProof/>
              <w:lang w:eastAsia="en-GB"/>
            </w:rPr>
          </w:pPr>
          <w:hyperlink w:anchor="_Toc115310423" w:history="1">
            <w:r w:rsidR="005976AB" w:rsidRPr="005635E7">
              <w:rPr>
                <w:rStyle w:val="Hyperlink"/>
                <w:rFonts w:asciiTheme="majorBidi" w:hAnsiTheme="majorBidi"/>
                <w:b/>
                <w:bCs/>
                <w:noProof/>
                <w:color w:val="auto"/>
              </w:rPr>
              <w:t>APPENDIX</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_Toc115310423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107</w:t>
            </w:r>
            <w:r w:rsidR="005976AB" w:rsidRPr="005635E7">
              <w:rPr>
                <w:rFonts w:asciiTheme="majorBidi" w:hAnsiTheme="majorBidi" w:cstheme="majorBidi"/>
                <w:noProof/>
                <w:webHidden/>
              </w:rPr>
              <w:fldChar w:fldCharType="end"/>
            </w:r>
          </w:hyperlink>
        </w:p>
        <w:p w14:paraId="61F2F63F"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24" w:history="1">
            <w:r w:rsidR="005976AB" w:rsidRPr="005635E7">
              <w:rPr>
                <w:rStyle w:val="Hyperlink"/>
                <w:rFonts w:asciiTheme="majorBidi" w:hAnsiTheme="majorBidi"/>
                <w:noProof/>
                <w:color w:val="auto"/>
                <w:shd w:val="clear" w:color="auto" w:fill="FFFFFF"/>
              </w:rPr>
              <w:t>Appendix A: The access to the list of SMEs provided by Economic Development Department</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_Toc115310424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107</w:t>
            </w:r>
            <w:r w:rsidR="005976AB" w:rsidRPr="005635E7">
              <w:rPr>
                <w:rFonts w:asciiTheme="majorBidi" w:hAnsiTheme="majorBidi" w:cstheme="majorBidi"/>
                <w:noProof/>
                <w:webHidden/>
              </w:rPr>
              <w:fldChar w:fldCharType="end"/>
            </w:r>
          </w:hyperlink>
        </w:p>
        <w:p w14:paraId="40DDAFD8"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25" w:history="1">
            <w:r w:rsidR="005976AB" w:rsidRPr="005635E7">
              <w:rPr>
                <w:rStyle w:val="Hyperlink"/>
                <w:rFonts w:asciiTheme="majorBidi" w:hAnsiTheme="majorBidi"/>
                <w:noProof/>
                <w:color w:val="auto"/>
              </w:rPr>
              <w:t>Appendix B: Questionnaire (English Version)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_Toc115310425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108</w:t>
            </w:r>
            <w:r w:rsidR="005976AB" w:rsidRPr="005635E7">
              <w:rPr>
                <w:rFonts w:asciiTheme="majorBidi" w:hAnsiTheme="majorBidi" w:cstheme="majorBidi"/>
                <w:noProof/>
                <w:webHidden/>
              </w:rPr>
              <w:fldChar w:fldCharType="end"/>
            </w:r>
          </w:hyperlink>
        </w:p>
        <w:p w14:paraId="13AFCCF6"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27" w:history="1">
            <w:r w:rsidR="005976AB" w:rsidRPr="005635E7">
              <w:rPr>
                <w:rStyle w:val="Hyperlink"/>
                <w:rFonts w:asciiTheme="majorBidi" w:hAnsiTheme="majorBidi"/>
                <w:noProof/>
                <w:color w:val="auto"/>
              </w:rPr>
              <w:t>Appendix C: Questionnaire (Arabic Version)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_Toc115310427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113</w:t>
            </w:r>
            <w:r w:rsidR="005976AB" w:rsidRPr="005635E7">
              <w:rPr>
                <w:rFonts w:asciiTheme="majorBidi" w:hAnsiTheme="majorBidi" w:cstheme="majorBidi"/>
                <w:noProof/>
                <w:webHidden/>
              </w:rPr>
              <w:fldChar w:fldCharType="end"/>
            </w:r>
          </w:hyperlink>
        </w:p>
        <w:p w14:paraId="5A56A486"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29" w:history="1">
            <w:r w:rsidR="005976AB" w:rsidRPr="005635E7">
              <w:rPr>
                <w:rStyle w:val="Hyperlink"/>
                <w:rFonts w:asciiTheme="majorBidi" w:hAnsiTheme="majorBidi"/>
                <w:noProof/>
                <w:color w:val="auto"/>
              </w:rPr>
              <w:t>Appendix D: Measurements of the study’s variable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_Toc115310429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117</w:t>
            </w:r>
            <w:r w:rsidR="005976AB" w:rsidRPr="005635E7">
              <w:rPr>
                <w:rFonts w:asciiTheme="majorBidi" w:hAnsiTheme="majorBidi" w:cstheme="majorBidi"/>
                <w:noProof/>
                <w:webHidden/>
              </w:rPr>
              <w:fldChar w:fldCharType="end"/>
            </w:r>
          </w:hyperlink>
        </w:p>
        <w:p w14:paraId="48F29A7F" w14:textId="7777777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30" w:history="1">
            <w:r w:rsidR="005976AB" w:rsidRPr="005635E7">
              <w:rPr>
                <w:rStyle w:val="Hyperlink"/>
                <w:rFonts w:asciiTheme="majorBidi" w:hAnsiTheme="majorBidi"/>
                <w:noProof/>
                <w:color w:val="auto"/>
              </w:rPr>
              <w:t>Appendix E: Reframed questions after the pilot study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_Toc115310430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118</w:t>
            </w:r>
            <w:r w:rsidR="005976AB" w:rsidRPr="005635E7">
              <w:rPr>
                <w:rFonts w:asciiTheme="majorBidi" w:hAnsiTheme="majorBidi" w:cstheme="majorBidi"/>
                <w:noProof/>
                <w:webHidden/>
              </w:rPr>
              <w:fldChar w:fldCharType="end"/>
            </w:r>
          </w:hyperlink>
        </w:p>
        <w:p w14:paraId="1E1DD09B" w14:textId="725AABE7" w:rsidR="005976AB" w:rsidRPr="009E2F41" w:rsidRDefault="007B4460" w:rsidP="005976AB">
          <w:pPr>
            <w:pStyle w:val="TOC2"/>
            <w:tabs>
              <w:tab w:val="right" w:leader="dot" w:pos="9016"/>
            </w:tabs>
            <w:rPr>
              <w:rFonts w:asciiTheme="majorBidi" w:eastAsiaTheme="minorEastAsia" w:hAnsiTheme="majorBidi" w:cstheme="majorBidi"/>
              <w:noProof/>
              <w:lang w:eastAsia="en-GB"/>
            </w:rPr>
          </w:pPr>
          <w:hyperlink w:anchor="_Toc115310431" w:history="1">
            <w:r w:rsidR="005976AB" w:rsidRPr="005635E7">
              <w:rPr>
                <w:rStyle w:val="Hyperlink"/>
                <w:rFonts w:asciiTheme="majorBidi" w:hAnsiTheme="majorBidi"/>
                <w:noProof/>
                <w:color w:val="auto"/>
              </w:rPr>
              <w:t>Appendix F: Ethical Approval Form ADU IRB</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_Toc115310431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12</w:t>
            </w:r>
            <w:r w:rsidR="005976AB" w:rsidRPr="005635E7">
              <w:rPr>
                <w:rFonts w:asciiTheme="majorBidi" w:hAnsiTheme="majorBidi" w:cstheme="majorBidi"/>
                <w:noProof/>
                <w:webHidden/>
              </w:rPr>
              <w:fldChar w:fldCharType="end"/>
            </w:r>
          </w:hyperlink>
          <w:r w:rsidR="00641534">
            <w:rPr>
              <w:rFonts w:asciiTheme="majorBidi" w:hAnsiTheme="majorBidi" w:cstheme="majorBidi"/>
              <w:noProof/>
            </w:rPr>
            <w:t>1</w:t>
          </w:r>
        </w:p>
        <w:p w14:paraId="78D8954F" w14:textId="77777777" w:rsidR="005976AB" w:rsidRPr="005635E7" w:rsidRDefault="005976AB" w:rsidP="005976AB">
          <w:pPr>
            <w:spacing w:line="360" w:lineRule="auto"/>
            <w:rPr>
              <w:rFonts w:asciiTheme="majorBidi" w:hAnsiTheme="majorBidi" w:cstheme="majorBidi"/>
            </w:rPr>
          </w:pPr>
          <w:r w:rsidRPr="005635E7">
            <w:rPr>
              <w:rFonts w:asciiTheme="majorBidi" w:hAnsiTheme="majorBidi" w:cstheme="majorBidi"/>
            </w:rPr>
            <w:fldChar w:fldCharType="end"/>
          </w:r>
        </w:p>
      </w:sdtContent>
    </w:sdt>
    <w:p w14:paraId="27E4F116" w14:textId="77777777" w:rsidR="005976AB" w:rsidRPr="005635E7" w:rsidRDefault="005976AB" w:rsidP="005976AB">
      <w:pPr>
        <w:spacing w:line="360" w:lineRule="auto"/>
        <w:jc w:val="both"/>
        <w:rPr>
          <w:rFonts w:asciiTheme="majorBidi" w:hAnsiTheme="majorBidi" w:cstheme="majorBidi"/>
          <w:b/>
          <w:bCs/>
        </w:rPr>
      </w:pPr>
    </w:p>
    <w:p w14:paraId="1501965D" w14:textId="77777777" w:rsidR="005976AB" w:rsidRPr="005635E7" w:rsidRDefault="005976AB" w:rsidP="005976AB">
      <w:pPr>
        <w:rPr>
          <w:rFonts w:asciiTheme="majorBidi" w:hAnsiTheme="majorBidi" w:cstheme="majorBidi"/>
          <w:b/>
          <w:bCs/>
        </w:rPr>
      </w:pPr>
      <w:r w:rsidRPr="005635E7">
        <w:rPr>
          <w:rFonts w:asciiTheme="majorBidi" w:hAnsiTheme="majorBidi" w:cstheme="majorBidi"/>
          <w:b/>
          <w:bCs/>
        </w:rPr>
        <w:br w:type="page"/>
      </w:r>
    </w:p>
    <w:p w14:paraId="78F21831" w14:textId="77777777" w:rsidR="005976AB" w:rsidRPr="005635E7" w:rsidRDefault="005976AB" w:rsidP="005976AB">
      <w:pPr>
        <w:pStyle w:val="Heading1"/>
        <w:spacing w:before="0" w:after="240" w:line="480" w:lineRule="auto"/>
        <w:rPr>
          <w:rFonts w:asciiTheme="majorBidi" w:hAnsiTheme="majorBidi"/>
          <w:b/>
          <w:bCs/>
          <w:color w:val="auto"/>
          <w:sz w:val="28"/>
          <w:szCs w:val="28"/>
        </w:rPr>
      </w:pPr>
      <w:bookmarkStart w:id="15" w:name="_Toc115310357"/>
      <w:r w:rsidRPr="005635E7">
        <w:rPr>
          <w:rFonts w:asciiTheme="majorBidi" w:hAnsiTheme="majorBidi"/>
          <w:b/>
          <w:bCs/>
          <w:color w:val="auto"/>
          <w:sz w:val="28"/>
          <w:szCs w:val="28"/>
        </w:rPr>
        <w:t>LIST OF TABLES</w:t>
      </w:r>
      <w:bookmarkEnd w:id="15"/>
    </w:p>
    <w:p w14:paraId="7A9708A8" w14:textId="77777777" w:rsidR="005976AB" w:rsidRPr="009E2F41" w:rsidRDefault="005976AB"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r w:rsidRPr="005635E7">
        <w:rPr>
          <w:rFonts w:asciiTheme="majorBidi" w:hAnsiTheme="majorBidi" w:cstheme="majorBidi"/>
          <w:b/>
          <w:bCs/>
          <w:sz w:val="22"/>
          <w:szCs w:val="22"/>
        </w:rPr>
        <w:fldChar w:fldCharType="begin"/>
      </w:r>
      <w:r w:rsidRPr="005635E7">
        <w:rPr>
          <w:rFonts w:asciiTheme="majorBidi" w:hAnsiTheme="majorBidi" w:cstheme="majorBidi"/>
          <w:b/>
          <w:bCs/>
          <w:sz w:val="22"/>
          <w:szCs w:val="22"/>
        </w:rPr>
        <w:instrText xml:space="preserve"> TOC \h \z \c "Table" </w:instrText>
      </w:r>
      <w:r w:rsidRPr="005635E7">
        <w:rPr>
          <w:rFonts w:asciiTheme="majorBidi" w:hAnsiTheme="majorBidi" w:cstheme="majorBidi"/>
          <w:b/>
          <w:bCs/>
          <w:sz w:val="22"/>
          <w:szCs w:val="22"/>
        </w:rPr>
        <w:fldChar w:fldCharType="separate"/>
      </w:r>
      <w:hyperlink w:anchor="_Toc126377951" w:history="1">
        <w:r w:rsidRPr="005635E7">
          <w:rPr>
            <w:rStyle w:val="Hyperlink"/>
            <w:rFonts w:asciiTheme="majorBidi" w:hAnsiTheme="majorBidi"/>
            <w:noProof/>
            <w:color w:val="auto"/>
          </w:rPr>
          <w:t>Table 2.1: Dynamic Capability Views on OLC and Innovation Perspectives</w:t>
        </w:r>
        <w:r w:rsidRPr="005635E7">
          <w:rPr>
            <w:rFonts w:asciiTheme="majorBidi" w:hAnsiTheme="majorBidi" w:cstheme="majorBidi"/>
            <w:noProof/>
            <w:webHidden/>
          </w:rPr>
          <w:tab/>
        </w:r>
        <w:r w:rsidRPr="005635E7">
          <w:rPr>
            <w:rFonts w:asciiTheme="majorBidi" w:hAnsiTheme="majorBidi" w:cstheme="majorBidi"/>
            <w:noProof/>
            <w:webHidden/>
          </w:rPr>
          <w:fldChar w:fldCharType="begin"/>
        </w:r>
        <w:r w:rsidRPr="005635E7">
          <w:rPr>
            <w:rFonts w:asciiTheme="majorBidi" w:hAnsiTheme="majorBidi" w:cstheme="majorBidi"/>
            <w:noProof/>
            <w:webHidden/>
          </w:rPr>
          <w:instrText xml:space="preserve"> PAGEREF _Toc126377951 \h </w:instrText>
        </w:r>
        <w:r w:rsidRPr="005635E7">
          <w:rPr>
            <w:rFonts w:asciiTheme="majorBidi" w:hAnsiTheme="majorBidi" w:cstheme="majorBidi"/>
            <w:noProof/>
            <w:webHidden/>
          </w:rPr>
        </w:r>
        <w:r w:rsidRPr="005635E7">
          <w:rPr>
            <w:rFonts w:asciiTheme="majorBidi" w:hAnsiTheme="majorBidi" w:cstheme="majorBidi"/>
            <w:noProof/>
            <w:webHidden/>
          </w:rPr>
          <w:fldChar w:fldCharType="separate"/>
        </w:r>
        <w:r w:rsidRPr="005635E7">
          <w:rPr>
            <w:rFonts w:asciiTheme="majorBidi" w:hAnsiTheme="majorBidi" w:cstheme="majorBidi"/>
            <w:noProof/>
            <w:webHidden/>
          </w:rPr>
          <w:t>16</w:t>
        </w:r>
        <w:r w:rsidRPr="005635E7">
          <w:rPr>
            <w:rFonts w:asciiTheme="majorBidi" w:hAnsiTheme="majorBidi" w:cstheme="majorBidi"/>
            <w:noProof/>
            <w:webHidden/>
          </w:rPr>
          <w:fldChar w:fldCharType="end"/>
        </w:r>
      </w:hyperlink>
    </w:p>
    <w:p w14:paraId="0F3414CA"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52" w:history="1">
        <w:r w:rsidR="005976AB" w:rsidRPr="005635E7">
          <w:rPr>
            <w:rStyle w:val="Hyperlink"/>
            <w:rFonts w:asciiTheme="majorBidi" w:hAnsiTheme="majorBidi"/>
            <w:noProof/>
            <w:color w:val="auto"/>
          </w:rPr>
          <w:t>Table 2.2: Literature synthesis as to organizational capabilities and open innovation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_Toc126377952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23</w:t>
        </w:r>
        <w:r w:rsidR="005976AB" w:rsidRPr="005635E7">
          <w:rPr>
            <w:rFonts w:asciiTheme="majorBidi" w:hAnsiTheme="majorBidi" w:cstheme="majorBidi"/>
            <w:noProof/>
            <w:webHidden/>
          </w:rPr>
          <w:fldChar w:fldCharType="end"/>
        </w:r>
      </w:hyperlink>
    </w:p>
    <w:p w14:paraId="5C0E3151"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53" w:history="1">
        <w:r w:rsidR="005976AB" w:rsidRPr="005635E7">
          <w:rPr>
            <w:rStyle w:val="Hyperlink"/>
            <w:rFonts w:asciiTheme="majorBidi" w:hAnsiTheme="majorBidi"/>
            <w:noProof/>
            <w:color w:val="auto"/>
          </w:rPr>
          <w:t xml:space="preserve">Table 2.3: Literature synthesis as to </w:t>
        </w:r>
        <w:r w:rsidR="005976AB">
          <w:rPr>
            <w:rStyle w:val="Hyperlink"/>
            <w:rFonts w:asciiTheme="majorBidi" w:hAnsiTheme="majorBidi"/>
            <w:noProof/>
            <w:color w:val="auto"/>
          </w:rPr>
          <w:t>open innovation</w:t>
        </w:r>
        <w:r w:rsidR="005976AB" w:rsidRPr="005635E7">
          <w:rPr>
            <w:rStyle w:val="Hyperlink"/>
            <w:rFonts w:asciiTheme="majorBidi" w:hAnsiTheme="majorBidi"/>
            <w:noProof/>
            <w:color w:val="auto"/>
          </w:rPr>
          <w:t xml:space="preserve"> and firm performance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_Toc126377953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34</w:t>
        </w:r>
        <w:r w:rsidR="005976AB" w:rsidRPr="005635E7">
          <w:rPr>
            <w:rFonts w:asciiTheme="majorBidi" w:hAnsiTheme="majorBidi" w:cstheme="majorBidi"/>
            <w:noProof/>
            <w:webHidden/>
          </w:rPr>
          <w:fldChar w:fldCharType="end"/>
        </w:r>
      </w:hyperlink>
    </w:p>
    <w:p w14:paraId="2786E983"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54" w:history="1">
        <w:r w:rsidR="005976AB" w:rsidRPr="005635E7">
          <w:rPr>
            <w:rStyle w:val="Hyperlink"/>
            <w:rFonts w:asciiTheme="majorBidi" w:hAnsiTheme="majorBidi"/>
            <w:noProof/>
            <w:color w:val="auto"/>
          </w:rPr>
          <w:t xml:space="preserve">Table 2.4: Literature synthesis as to </w:t>
        </w:r>
        <w:r w:rsidR="005976AB">
          <w:rPr>
            <w:rStyle w:val="Hyperlink"/>
            <w:rFonts w:asciiTheme="majorBidi" w:hAnsiTheme="majorBidi"/>
            <w:noProof/>
            <w:color w:val="auto"/>
          </w:rPr>
          <w:t>organizational learning capabilities</w:t>
        </w:r>
        <w:r w:rsidR="005976AB" w:rsidRPr="005635E7">
          <w:rPr>
            <w:rStyle w:val="Hyperlink"/>
            <w:rFonts w:asciiTheme="majorBidi" w:hAnsiTheme="majorBidi"/>
            <w:noProof/>
            <w:color w:val="auto"/>
          </w:rPr>
          <w:t xml:space="preserve"> and firm performance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_Toc126377954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41</w:t>
        </w:r>
        <w:r w:rsidR="005976AB" w:rsidRPr="005635E7">
          <w:rPr>
            <w:rFonts w:asciiTheme="majorBidi" w:hAnsiTheme="majorBidi" w:cstheme="majorBidi"/>
            <w:noProof/>
            <w:webHidden/>
          </w:rPr>
          <w:fldChar w:fldCharType="end"/>
        </w:r>
      </w:hyperlink>
    </w:p>
    <w:p w14:paraId="7DB90E71"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55" w:history="1">
        <w:r w:rsidR="005976AB" w:rsidRPr="005635E7">
          <w:rPr>
            <w:rStyle w:val="Hyperlink"/>
            <w:rFonts w:asciiTheme="majorBidi" w:hAnsiTheme="majorBidi"/>
            <w:noProof/>
            <w:color w:val="auto"/>
          </w:rPr>
          <w:t>Table 3.1: Comparing Inductive and Deductive Research Approach</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_Toc126377955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52</w:t>
        </w:r>
        <w:r w:rsidR="005976AB" w:rsidRPr="005635E7">
          <w:rPr>
            <w:rFonts w:asciiTheme="majorBidi" w:hAnsiTheme="majorBidi" w:cstheme="majorBidi"/>
            <w:noProof/>
            <w:webHidden/>
          </w:rPr>
          <w:fldChar w:fldCharType="end"/>
        </w:r>
      </w:hyperlink>
    </w:p>
    <w:p w14:paraId="3F6C0CAC"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56" w:history="1">
        <w:r w:rsidR="005976AB" w:rsidRPr="005635E7">
          <w:rPr>
            <w:rStyle w:val="Hyperlink"/>
            <w:rFonts w:asciiTheme="majorBidi" w:hAnsiTheme="majorBidi"/>
            <w:noProof/>
            <w:color w:val="auto"/>
          </w:rPr>
          <w:t>Table 3.2: Population of the study (SMEs in the UAE)</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_Toc126377956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56</w:t>
        </w:r>
        <w:r w:rsidR="005976AB" w:rsidRPr="005635E7">
          <w:rPr>
            <w:rFonts w:asciiTheme="majorBidi" w:hAnsiTheme="majorBidi" w:cstheme="majorBidi"/>
            <w:noProof/>
            <w:webHidden/>
          </w:rPr>
          <w:fldChar w:fldCharType="end"/>
        </w:r>
      </w:hyperlink>
    </w:p>
    <w:p w14:paraId="2F2EF3A2"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57" w:history="1">
        <w:r w:rsidR="005976AB" w:rsidRPr="005635E7">
          <w:rPr>
            <w:rStyle w:val="Hyperlink"/>
            <w:rFonts w:asciiTheme="majorBidi" w:hAnsiTheme="majorBidi"/>
            <w:noProof/>
            <w:color w:val="auto"/>
          </w:rPr>
          <w:t>Table 3.3: Minimum sample size for Structural Equation Modeling (SEM)</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_Toc126377957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58</w:t>
        </w:r>
        <w:r w:rsidR="005976AB" w:rsidRPr="005635E7">
          <w:rPr>
            <w:rFonts w:asciiTheme="majorBidi" w:hAnsiTheme="majorBidi" w:cstheme="majorBidi"/>
            <w:noProof/>
            <w:webHidden/>
          </w:rPr>
          <w:fldChar w:fldCharType="end"/>
        </w:r>
      </w:hyperlink>
    </w:p>
    <w:p w14:paraId="37455CD4"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58" w:history="1">
        <w:r w:rsidR="005976AB" w:rsidRPr="005635E7">
          <w:rPr>
            <w:rStyle w:val="Hyperlink"/>
            <w:rFonts w:asciiTheme="majorBidi" w:hAnsiTheme="majorBidi"/>
            <w:noProof/>
            <w:color w:val="auto"/>
          </w:rPr>
          <w:t>Table 3.4: The analysis of SMEs’ profiles surveyed</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_Toc126377958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62</w:t>
        </w:r>
        <w:r w:rsidR="005976AB" w:rsidRPr="005635E7">
          <w:rPr>
            <w:rFonts w:asciiTheme="majorBidi" w:hAnsiTheme="majorBidi" w:cstheme="majorBidi"/>
            <w:noProof/>
            <w:webHidden/>
          </w:rPr>
          <w:fldChar w:fldCharType="end"/>
        </w:r>
      </w:hyperlink>
    </w:p>
    <w:p w14:paraId="7B06F5B9"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59" w:history="1">
        <w:r w:rsidR="005976AB" w:rsidRPr="005635E7">
          <w:rPr>
            <w:rStyle w:val="Hyperlink"/>
            <w:rFonts w:asciiTheme="majorBidi" w:hAnsiTheme="majorBidi"/>
            <w:noProof/>
            <w:color w:val="auto"/>
          </w:rPr>
          <w:t>Table 4.1: The Exploratory Factor Analysis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_Toc126377959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67</w:t>
        </w:r>
        <w:r w:rsidR="005976AB" w:rsidRPr="005635E7">
          <w:rPr>
            <w:rFonts w:asciiTheme="majorBidi" w:hAnsiTheme="majorBidi" w:cstheme="majorBidi"/>
            <w:noProof/>
            <w:webHidden/>
          </w:rPr>
          <w:fldChar w:fldCharType="end"/>
        </w:r>
      </w:hyperlink>
    </w:p>
    <w:p w14:paraId="550DA9B3"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60" w:history="1">
        <w:r w:rsidR="005976AB" w:rsidRPr="005635E7">
          <w:rPr>
            <w:rStyle w:val="Hyperlink"/>
            <w:rFonts w:asciiTheme="majorBidi" w:hAnsiTheme="majorBidi"/>
            <w:noProof/>
            <w:color w:val="auto"/>
          </w:rPr>
          <w:t>Table 4.</w:t>
        </w:r>
        <w:r w:rsidR="005976AB" w:rsidRPr="005635E7">
          <w:rPr>
            <w:rStyle w:val="Hyperlink"/>
            <w:rFonts w:asciiTheme="majorBidi" w:hAnsiTheme="majorBidi"/>
            <w:noProof/>
            <w:color w:val="auto"/>
            <w:cs/>
          </w:rPr>
          <w:t>‎</w:t>
        </w:r>
        <w:r w:rsidR="005976AB" w:rsidRPr="005635E7">
          <w:rPr>
            <w:rStyle w:val="Hyperlink"/>
            <w:rFonts w:asciiTheme="majorBidi" w:hAnsiTheme="majorBidi"/>
            <w:noProof/>
            <w:color w:val="auto"/>
          </w:rPr>
          <w:t>2: Variables eliminated from the EFA analysis</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_Toc126377960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68</w:t>
        </w:r>
        <w:r w:rsidR="005976AB" w:rsidRPr="005635E7">
          <w:rPr>
            <w:rFonts w:asciiTheme="majorBidi" w:hAnsiTheme="majorBidi" w:cstheme="majorBidi"/>
            <w:noProof/>
            <w:webHidden/>
          </w:rPr>
          <w:fldChar w:fldCharType="end"/>
        </w:r>
      </w:hyperlink>
    </w:p>
    <w:p w14:paraId="08341CA9"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61" w:history="1">
        <w:r w:rsidR="005976AB" w:rsidRPr="005635E7">
          <w:rPr>
            <w:rStyle w:val="Hyperlink"/>
            <w:rFonts w:asciiTheme="majorBidi" w:hAnsiTheme="majorBidi"/>
            <w:noProof/>
            <w:color w:val="auto"/>
          </w:rPr>
          <w:t>Table 4.3: Construct reliability and convergent validity</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_Toc126377961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69</w:t>
        </w:r>
        <w:r w:rsidR="005976AB" w:rsidRPr="005635E7">
          <w:rPr>
            <w:rFonts w:asciiTheme="majorBidi" w:hAnsiTheme="majorBidi" w:cstheme="majorBidi"/>
            <w:noProof/>
            <w:webHidden/>
          </w:rPr>
          <w:fldChar w:fldCharType="end"/>
        </w:r>
      </w:hyperlink>
    </w:p>
    <w:p w14:paraId="523C30B2"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62" w:history="1">
        <w:r w:rsidR="005976AB" w:rsidRPr="005635E7">
          <w:rPr>
            <w:rStyle w:val="Hyperlink"/>
            <w:rFonts w:asciiTheme="majorBidi" w:hAnsiTheme="majorBidi"/>
            <w:noProof/>
            <w:color w:val="auto"/>
          </w:rPr>
          <w:t>Table 4.4: Discriminant validity (Fornell-Larcker’s 1981 criterion)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_Toc126377962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72</w:t>
        </w:r>
        <w:r w:rsidR="005976AB" w:rsidRPr="005635E7">
          <w:rPr>
            <w:rFonts w:asciiTheme="majorBidi" w:hAnsiTheme="majorBidi" w:cstheme="majorBidi"/>
            <w:noProof/>
            <w:webHidden/>
          </w:rPr>
          <w:fldChar w:fldCharType="end"/>
        </w:r>
      </w:hyperlink>
    </w:p>
    <w:p w14:paraId="6A250A6F"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63" w:history="1">
        <w:r w:rsidR="005976AB" w:rsidRPr="005635E7">
          <w:rPr>
            <w:rStyle w:val="Hyperlink"/>
            <w:rFonts w:asciiTheme="majorBidi" w:hAnsiTheme="majorBidi"/>
            <w:noProof/>
            <w:color w:val="auto"/>
          </w:rPr>
          <w:t>Table 4.5: Discriminant validity (HTMT Criterion)</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_Toc126377963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72</w:t>
        </w:r>
        <w:r w:rsidR="005976AB" w:rsidRPr="005635E7">
          <w:rPr>
            <w:rFonts w:asciiTheme="majorBidi" w:hAnsiTheme="majorBidi" w:cstheme="majorBidi"/>
            <w:noProof/>
            <w:webHidden/>
          </w:rPr>
          <w:fldChar w:fldCharType="end"/>
        </w:r>
      </w:hyperlink>
    </w:p>
    <w:p w14:paraId="2A0E2223" w14:textId="0F2DA554"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64" w:history="1">
        <w:r w:rsidR="005976AB" w:rsidRPr="005635E7">
          <w:rPr>
            <w:rStyle w:val="Hyperlink"/>
            <w:rFonts w:asciiTheme="majorBidi" w:hAnsiTheme="majorBidi"/>
            <w:noProof/>
            <w:color w:val="auto"/>
          </w:rPr>
          <w:t>Table 4.6: Validity and Reliability of second order construct</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_Toc126377964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73</w:t>
        </w:r>
        <w:r w:rsidR="005976AB" w:rsidRPr="005635E7">
          <w:rPr>
            <w:rFonts w:asciiTheme="majorBidi" w:hAnsiTheme="majorBidi" w:cstheme="majorBidi"/>
            <w:noProof/>
            <w:webHidden/>
          </w:rPr>
          <w:fldChar w:fldCharType="end"/>
        </w:r>
      </w:hyperlink>
    </w:p>
    <w:p w14:paraId="7B405C12"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65" w:history="1">
        <w:r w:rsidR="005976AB" w:rsidRPr="005635E7">
          <w:rPr>
            <w:rStyle w:val="Hyperlink"/>
            <w:rFonts w:asciiTheme="majorBidi" w:hAnsiTheme="majorBidi"/>
            <w:noProof/>
            <w:color w:val="auto"/>
          </w:rPr>
          <w:t>Table 4.7: Path Coefficients of direct effect</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_Toc126377965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73</w:t>
        </w:r>
        <w:r w:rsidR="005976AB" w:rsidRPr="005635E7">
          <w:rPr>
            <w:rFonts w:asciiTheme="majorBidi" w:hAnsiTheme="majorBidi" w:cstheme="majorBidi"/>
            <w:noProof/>
            <w:webHidden/>
          </w:rPr>
          <w:fldChar w:fldCharType="end"/>
        </w:r>
      </w:hyperlink>
    </w:p>
    <w:p w14:paraId="6F192A0E" w14:textId="77777777"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66" w:history="1">
        <w:r w:rsidR="005976AB" w:rsidRPr="005635E7">
          <w:rPr>
            <w:rStyle w:val="Hyperlink"/>
            <w:rFonts w:asciiTheme="majorBidi" w:hAnsiTheme="majorBidi"/>
            <w:noProof/>
            <w:color w:val="auto"/>
          </w:rPr>
          <w:t>Table 4.8: Path Coefficients of indirect effect</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_Toc126377966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75</w:t>
        </w:r>
        <w:r w:rsidR="005976AB" w:rsidRPr="005635E7">
          <w:rPr>
            <w:rFonts w:asciiTheme="majorBidi" w:hAnsiTheme="majorBidi" w:cstheme="majorBidi"/>
            <w:noProof/>
            <w:webHidden/>
          </w:rPr>
          <w:fldChar w:fldCharType="end"/>
        </w:r>
      </w:hyperlink>
    </w:p>
    <w:p w14:paraId="336F3D51" w14:textId="2D60DE41" w:rsidR="005976AB" w:rsidRPr="009E2F41" w:rsidRDefault="007B4460" w:rsidP="005976AB">
      <w:pPr>
        <w:pStyle w:val="TableofFigures"/>
        <w:tabs>
          <w:tab w:val="right" w:leader="dot" w:pos="9016"/>
        </w:tabs>
        <w:spacing w:line="480" w:lineRule="auto"/>
        <w:rPr>
          <w:rFonts w:asciiTheme="majorBidi" w:eastAsiaTheme="minorEastAsia" w:hAnsiTheme="majorBidi" w:cstheme="majorBidi"/>
          <w:noProof/>
          <w:sz w:val="22"/>
          <w:szCs w:val="22"/>
          <w:lang w:eastAsia="en-GB"/>
        </w:rPr>
      </w:pPr>
      <w:hyperlink w:anchor="_Toc126377967" w:history="1">
        <w:r w:rsidR="005976AB" w:rsidRPr="005635E7">
          <w:rPr>
            <w:rStyle w:val="Hyperlink"/>
            <w:rFonts w:asciiTheme="majorBidi" w:hAnsiTheme="majorBidi"/>
            <w:noProof/>
            <w:color w:val="auto"/>
          </w:rPr>
          <w:t xml:space="preserve">Table </w:t>
        </w:r>
        <w:r w:rsidR="005976AB" w:rsidRPr="005635E7">
          <w:rPr>
            <w:rStyle w:val="Hyperlink"/>
            <w:rFonts w:asciiTheme="majorBidi" w:hAnsiTheme="majorBidi"/>
            <w:noProof/>
            <w:color w:val="auto"/>
            <w:cs/>
          </w:rPr>
          <w:t>‎</w:t>
        </w:r>
        <w:r w:rsidR="005976AB" w:rsidRPr="005635E7">
          <w:rPr>
            <w:rStyle w:val="Hyperlink"/>
            <w:rFonts w:asciiTheme="majorBidi" w:hAnsiTheme="majorBidi"/>
            <w:noProof/>
            <w:color w:val="auto"/>
          </w:rPr>
          <w:t>4.</w:t>
        </w:r>
        <w:r w:rsidR="006D6DEA">
          <w:rPr>
            <w:rStyle w:val="Hyperlink"/>
            <w:rFonts w:asciiTheme="majorBidi" w:hAnsiTheme="majorBidi"/>
            <w:noProof/>
            <w:color w:val="auto"/>
          </w:rPr>
          <w:t>9</w:t>
        </w:r>
        <w:r w:rsidR="005976AB" w:rsidRPr="005635E7">
          <w:rPr>
            <w:rStyle w:val="Hyperlink"/>
            <w:rFonts w:asciiTheme="majorBidi" w:hAnsiTheme="majorBidi"/>
            <w:noProof/>
            <w:color w:val="auto"/>
          </w:rPr>
          <w:t>: Summary of hypothesis testing</w:t>
        </w:r>
        <w:r w:rsidR="005976AB" w:rsidRPr="005635E7">
          <w:rPr>
            <w:rFonts w:asciiTheme="majorBidi" w:hAnsiTheme="majorBidi" w:cstheme="majorBidi"/>
            <w:noProof/>
            <w:webHidden/>
          </w:rPr>
          <w:tab/>
        </w:r>
        <w:r w:rsidR="005976AB" w:rsidRPr="005635E7">
          <w:rPr>
            <w:rFonts w:asciiTheme="majorBidi" w:hAnsiTheme="majorBidi" w:cstheme="majorBidi"/>
            <w:noProof/>
            <w:webHidden/>
          </w:rPr>
          <w:fldChar w:fldCharType="begin"/>
        </w:r>
        <w:r w:rsidR="005976AB" w:rsidRPr="005635E7">
          <w:rPr>
            <w:rFonts w:asciiTheme="majorBidi" w:hAnsiTheme="majorBidi" w:cstheme="majorBidi"/>
            <w:noProof/>
            <w:webHidden/>
          </w:rPr>
          <w:instrText xml:space="preserve"> PAGEREF _Toc126377967 \h </w:instrText>
        </w:r>
        <w:r w:rsidR="005976AB" w:rsidRPr="005635E7">
          <w:rPr>
            <w:rFonts w:asciiTheme="majorBidi" w:hAnsiTheme="majorBidi" w:cstheme="majorBidi"/>
            <w:noProof/>
            <w:webHidden/>
          </w:rPr>
        </w:r>
        <w:r w:rsidR="005976AB" w:rsidRPr="005635E7">
          <w:rPr>
            <w:rFonts w:asciiTheme="majorBidi" w:hAnsiTheme="majorBidi" w:cstheme="majorBidi"/>
            <w:noProof/>
            <w:webHidden/>
          </w:rPr>
          <w:fldChar w:fldCharType="separate"/>
        </w:r>
        <w:r w:rsidR="005976AB" w:rsidRPr="005635E7">
          <w:rPr>
            <w:rFonts w:asciiTheme="majorBidi" w:hAnsiTheme="majorBidi" w:cstheme="majorBidi"/>
            <w:noProof/>
            <w:webHidden/>
          </w:rPr>
          <w:t>81</w:t>
        </w:r>
        <w:r w:rsidR="005976AB" w:rsidRPr="005635E7">
          <w:rPr>
            <w:rFonts w:asciiTheme="majorBidi" w:hAnsiTheme="majorBidi" w:cstheme="majorBidi"/>
            <w:noProof/>
            <w:webHidden/>
          </w:rPr>
          <w:fldChar w:fldCharType="end"/>
        </w:r>
      </w:hyperlink>
    </w:p>
    <w:p w14:paraId="4D902B5C" w14:textId="77777777" w:rsidR="005976AB" w:rsidRPr="005635E7" w:rsidRDefault="005976AB" w:rsidP="005976AB">
      <w:pPr>
        <w:spacing w:line="480" w:lineRule="auto"/>
        <w:jc w:val="both"/>
        <w:rPr>
          <w:rFonts w:asciiTheme="majorBidi" w:hAnsiTheme="majorBidi" w:cstheme="majorBidi"/>
          <w:b/>
          <w:bCs/>
          <w:sz w:val="22"/>
          <w:szCs w:val="22"/>
        </w:rPr>
      </w:pPr>
      <w:r w:rsidRPr="005635E7">
        <w:rPr>
          <w:rFonts w:asciiTheme="majorBidi" w:hAnsiTheme="majorBidi" w:cstheme="majorBidi"/>
          <w:b/>
          <w:bCs/>
          <w:sz w:val="22"/>
          <w:szCs w:val="22"/>
        </w:rPr>
        <w:fldChar w:fldCharType="end"/>
      </w:r>
    </w:p>
    <w:p w14:paraId="2EDC4795" w14:textId="77777777" w:rsidR="005976AB" w:rsidRPr="005635E7" w:rsidRDefault="005976AB" w:rsidP="005976AB">
      <w:pPr>
        <w:rPr>
          <w:rFonts w:asciiTheme="majorBidi" w:hAnsiTheme="majorBidi" w:cstheme="majorBidi"/>
          <w:b/>
          <w:bCs/>
        </w:rPr>
      </w:pPr>
      <w:r w:rsidRPr="005635E7">
        <w:rPr>
          <w:rFonts w:asciiTheme="majorBidi" w:hAnsiTheme="majorBidi" w:cstheme="majorBidi"/>
          <w:b/>
          <w:bCs/>
        </w:rPr>
        <w:br w:type="page"/>
      </w:r>
    </w:p>
    <w:p w14:paraId="53B2ECD4" w14:textId="77777777" w:rsidR="005976AB" w:rsidRPr="005635E7" w:rsidRDefault="005976AB" w:rsidP="005976AB">
      <w:pPr>
        <w:pStyle w:val="Heading1"/>
        <w:spacing w:before="0" w:after="240" w:line="480" w:lineRule="auto"/>
        <w:rPr>
          <w:rFonts w:asciiTheme="majorBidi" w:hAnsiTheme="majorBidi"/>
          <w:b/>
          <w:bCs/>
          <w:color w:val="auto"/>
          <w:sz w:val="28"/>
          <w:szCs w:val="28"/>
        </w:rPr>
      </w:pPr>
      <w:bookmarkStart w:id="16" w:name="_Toc115310358"/>
      <w:r w:rsidRPr="005635E7">
        <w:rPr>
          <w:rFonts w:asciiTheme="majorBidi" w:hAnsiTheme="majorBidi"/>
          <w:b/>
          <w:bCs/>
          <w:color w:val="auto"/>
          <w:sz w:val="28"/>
          <w:szCs w:val="28"/>
        </w:rPr>
        <w:t>LIST OF FIGURES</w:t>
      </w:r>
      <w:bookmarkEnd w:id="16"/>
    </w:p>
    <w:p w14:paraId="123468B8" w14:textId="77777777" w:rsidR="005976AB" w:rsidRPr="009E2F41" w:rsidRDefault="005976AB" w:rsidP="005976AB">
      <w:pPr>
        <w:pStyle w:val="TableofFigures"/>
        <w:tabs>
          <w:tab w:val="right" w:leader="dot" w:pos="9016"/>
        </w:tabs>
        <w:spacing w:line="480" w:lineRule="auto"/>
        <w:rPr>
          <w:rFonts w:eastAsiaTheme="minorEastAsia"/>
          <w:noProof/>
          <w:sz w:val="22"/>
          <w:szCs w:val="22"/>
          <w:lang w:eastAsia="en-GB"/>
        </w:rPr>
      </w:pPr>
      <w:r w:rsidRPr="005635E7">
        <w:rPr>
          <w:rFonts w:asciiTheme="majorBidi" w:hAnsiTheme="majorBidi" w:cstheme="majorBidi"/>
        </w:rPr>
        <w:fldChar w:fldCharType="begin"/>
      </w:r>
      <w:r w:rsidRPr="005635E7">
        <w:rPr>
          <w:rFonts w:asciiTheme="majorBidi" w:hAnsiTheme="majorBidi" w:cstheme="majorBidi"/>
        </w:rPr>
        <w:instrText xml:space="preserve"> TOC \h \z \c "Figure" </w:instrText>
      </w:r>
      <w:r w:rsidRPr="005635E7">
        <w:rPr>
          <w:rFonts w:asciiTheme="majorBidi" w:hAnsiTheme="majorBidi" w:cstheme="majorBidi"/>
        </w:rPr>
        <w:fldChar w:fldCharType="separate"/>
      </w:r>
      <w:hyperlink w:anchor="_Toc126432340" w:history="1">
        <w:r w:rsidRPr="005635E7">
          <w:rPr>
            <w:rStyle w:val="Hyperlink"/>
            <w:rFonts w:asciiTheme="majorBidi" w:hAnsiTheme="majorBidi"/>
            <w:noProof/>
            <w:color w:val="auto"/>
          </w:rPr>
          <w:t>Figure 1.1: The flow of the dissertation</w:t>
        </w:r>
        <w:r w:rsidRPr="005635E7">
          <w:rPr>
            <w:noProof/>
            <w:webHidden/>
          </w:rPr>
          <w:tab/>
        </w:r>
        <w:r w:rsidRPr="005635E7">
          <w:rPr>
            <w:noProof/>
            <w:webHidden/>
          </w:rPr>
          <w:fldChar w:fldCharType="begin"/>
        </w:r>
        <w:r w:rsidRPr="005635E7">
          <w:rPr>
            <w:noProof/>
            <w:webHidden/>
          </w:rPr>
          <w:instrText xml:space="preserve"> PAGEREF _Toc126432340 \h </w:instrText>
        </w:r>
        <w:r w:rsidRPr="005635E7">
          <w:rPr>
            <w:noProof/>
            <w:webHidden/>
          </w:rPr>
        </w:r>
        <w:r w:rsidRPr="005635E7">
          <w:rPr>
            <w:noProof/>
            <w:webHidden/>
          </w:rPr>
          <w:fldChar w:fldCharType="separate"/>
        </w:r>
        <w:r w:rsidRPr="005635E7">
          <w:rPr>
            <w:noProof/>
            <w:webHidden/>
          </w:rPr>
          <w:t>12</w:t>
        </w:r>
        <w:r w:rsidRPr="005635E7">
          <w:rPr>
            <w:noProof/>
            <w:webHidden/>
          </w:rPr>
          <w:fldChar w:fldCharType="end"/>
        </w:r>
      </w:hyperlink>
    </w:p>
    <w:p w14:paraId="7FA21D4D" w14:textId="77777777" w:rsidR="005976AB" w:rsidRPr="009E2F41" w:rsidRDefault="007B4460" w:rsidP="005976AB">
      <w:pPr>
        <w:pStyle w:val="TableofFigures"/>
        <w:tabs>
          <w:tab w:val="right" w:leader="dot" w:pos="9016"/>
        </w:tabs>
        <w:spacing w:line="480" w:lineRule="auto"/>
        <w:rPr>
          <w:rFonts w:eastAsiaTheme="minorEastAsia"/>
          <w:noProof/>
          <w:sz w:val="22"/>
          <w:szCs w:val="22"/>
          <w:lang w:eastAsia="en-GB"/>
        </w:rPr>
      </w:pPr>
      <w:hyperlink w:anchor="_Toc126432341" w:history="1">
        <w:r w:rsidR="005976AB" w:rsidRPr="005635E7">
          <w:rPr>
            <w:rStyle w:val="Hyperlink"/>
            <w:rFonts w:asciiTheme="majorBidi" w:hAnsiTheme="majorBidi"/>
            <w:noProof/>
            <w:color w:val="auto"/>
          </w:rPr>
          <w:t>Figure 2</w:t>
        </w:r>
        <w:r w:rsidR="005976AB" w:rsidRPr="005635E7">
          <w:rPr>
            <w:rStyle w:val="Hyperlink"/>
            <w:rFonts w:asciiTheme="majorBidi" w:hAnsiTheme="majorBidi"/>
            <w:noProof/>
            <w:color w:val="auto"/>
            <w:cs/>
          </w:rPr>
          <w:t>‎</w:t>
        </w:r>
        <w:r w:rsidR="005976AB" w:rsidRPr="005635E7">
          <w:rPr>
            <w:rStyle w:val="Hyperlink"/>
            <w:rFonts w:asciiTheme="majorBidi" w:hAnsiTheme="majorBidi"/>
            <w:noProof/>
            <w:color w:val="auto"/>
          </w:rPr>
          <w:t>.1: Road Map of Chapter Two</w:t>
        </w:r>
        <w:r w:rsidR="005976AB" w:rsidRPr="005635E7">
          <w:rPr>
            <w:noProof/>
            <w:webHidden/>
          </w:rPr>
          <w:tab/>
        </w:r>
        <w:r w:rsidR="005976AB" w:rsidRPr="005635E7">
          <w:rPr>
            <w:noProof/>
            <w:webHidden/>
          </w:rPr>
          <w:fldChar w:fldCharType="begin"/>
        </w:r>
        <w:r w:rsidR="005976AB" w:rsidRPr="005635E7">
          <w:rPr>
            <w:noProof/>
            <w:webHidden/>
          </w:rPr>
          <w:instrText xml:space="preserve"> PAGEREF _Toc126432341 \h </w:instrText>
        </w:r>
        <w:r w:rsidR="005976AB" w:rsidRPr="005635E7">
          <w:rPr>
            <w:noProof/>
            <w:webHidden/>
          </w:rPr>
        </w:r>
        <w:r w:rsidR="005976AB" w:rsidRPr="005635E7">
          <w:rPr>
            <w:noProof/>
            <w:webHidden/>
          </w:rPr>
          <w:fldChar w:fldCharType="separate"/>
        </w:r>
        <w:r w:rsidR="005976AB" w:rsidRPr="005635E7">
          <w:rPr>
            <w:noProof/>
            <w:webHidden/>
          </w:rPr>
          <w:t>13</w:t>
        </w:r>
        <w:r w:rsidR="005976AB" w:rsidRPr="005635E7">
          <w:rPr>
            <w:noProof/>
            <w:webHidden/>
          </w:rPr>
          <w:fldChar w:fldCharType="end"/>
        </w:r>
      </w:hyperlink>
    </w:p>
    <w:p w14:paraId="094B1799" w14:textId="77777777" w:rsidR="005976AB" w:rsidRPr="009E2F41" w:rsidRDefault="007B4460" w:rsidP="005976AB">
      <w:pPr>
        <w:pStyle w:val="TableofFigures"/>
        <w:tabs>
          <w:tab w:val="right" w:leader="dot" w:pos="9016"/>
        </w:tabs>
        <w:spacing w:line="480" w:lineRule="auto"/>
        <w:rPr>
          <w:rFonts w:eastAsiaTheme="minorEastAsia"/>
          <w:noProof/>
          <w:sz w:val="22"/>
          <w:szCs w:val="22"/>
          <w:lang w:eastAsia="en-GB"/>
        </w:rPr>
      </w:pPr>
      <w:hyperlink w:anchor="_Toc126432342" w:history="1">
        <w:r w:rsidR="005976AB" w:rsidRPr="005635E7">
          <w:rPr>
            <w:rStyle w:val="Hyperlink"/>
            <w:rFonts w:asciiTheme="majorBidi" w:hAnsiTheme="majorBidi"/>
            <w:noProof/>
            <w:color w:val="auto"/>
          </w:rPr>
          <w:t>Figure 2.2: Conceptual research framework</w:t>
        </w:r>
        <w:r w:rsidR="005976AB" w:rsidRPr="005635E7">
          <w:rPr>
            <w:noProof/>
            <w:webHidden/>
          </w:rPr>
          <w:tab/>
        </w:r>
        <w:r w:rsidR="005976AB" w:rsidRPr="005635E7">
          <w:rPr>
            <w:noProof/>
            <w:webHidden/>
          </w:rPr>
          <w:fldChar w:fldCharType="begin"/>
        </w:r>
        <w:r w:rsidR="005976AB" w:rsidRPr="005635E7">
          <w:rPr>
            <w:noProof/>
            <w:webHidden/>
          </w:rPr>
          <w:instrText xml:space="preserve"> PAGEREF _Toc126432342 \h </w:instrText>
        </w:r>
        <w:r w:rsidR="005976AB" w:rsidRPr="005635E7">
          <w:rPr>
            <w:noProof/>
            <w:webHidden/>
          </w:rPr>
        </w:r>
        <w:r w:rsidR="005976AB" w:rsidRPr="005635E7">
          <w:rPr>
            <w:noProof/>
            <w:webHidden/>
          </w:rPr>
          <w:fldChar w:fldCharType="separate"/>
        </w:r>
        <w:r w:rsidR="005976AB" w:rsidRPr="005635E7">
          <w:rPr>
            <w:noProof/>
            <w:webHidden/>
          </w:rPr>
          <w:t>48</w:t>
        </w:r>
        <w:r w:rsidR="005976AB" w:rsidRPr="005635E7">
          <w:rPr>
            <w:noProof/>
            <w:webHidden/>
          </w:rPr>
          <w:fldChar w:fldCharType="end"/>
        </w:r>
      </w:hyperlink>
    </w:p>
    <w:p w14:paraId="20D50F8B" w14:textId="77777777" w:rsidR="005976AB" w:rsidRPr="009E2F41" w:rsidRDefault="007B4460" w:rsidP="005976AB">
      <w:pPr>
        <w:pStyle w:val="TableofFigures"/>
        <w:tabs>
          <w:tab w:val="right" w:leader="dot" w:pos="9016"/>
        </w:tabs>
        <w:spacing w:line="480" w:lineRule="auto"/>
        <w:rPr>
          <w:rFonts w:eastAsiaTheme="minorEastAsia"/>
          <w:noProof/>
          <w:sz w:val="22"/>
          <w:szCs w:val="22"/>
          <w:lang w:eastAsia="en-GB"/>
        </w:rPr>
      </w:pPr>
      <w:hyperlink w:anchor="_Toc126432343" w:history="1">
        <w:r w:rsidR="005976AB" w:rsidRPr="005635E7">
          <w:rPr>
            <w:rStyle w:val="Hyperlink"/>
            <w:rFonts w:asciiTheme="majorBidi" w:hAnsiTheme="majorBidi"/>
            <w:noProof/>
            <w:color w:val="auto"/>
          </w:rPr>
          <w:t>Figure 3.1: Research choices</w:t>
        </w:r>
        <w:r w:rsidR="005976AB" w:rsidRPr="005635E7">
          <w:rPr>
            <w:noProof/>
            <w:webHidden/>
          </w:rPr>
          <w:tab/>
        </w:r>
        <w:r w:rsidR="005976AB" w:rsidRPr="005635E7">
          <w:rPr>
            <w:noProof/>
            <w:webHidden/>
          </w:rPr>
          <w:fldChar w:fldCharType="begin"/>
        </w:r>
        <w:r w:rsidR="005976AB" w:rsidRPr="005635E7">
          <w:rPr>
            <w:noProof/>
            <w:webHidden/>
          </w:rPr>
          <w:instrText xml:space="preserve"> PAGEREF _Toc126432343 \h </w:instrText>
        </w:r>
        <w:r w:rsidR="005976AB" w:rsidRPr="005635E7">
          <w:rPr>
            <w:noProof/>
            <w:webHidden/>
          </w:rPr>
        </w:r>
        <w:r w:rsidR="005976AB" w:rsidRPr="005635E7">
          <w:rPr>
            <w:noProof/>
            <w:webHidden/>
          </w:rPr>
          <w:fldChar w:fldCharType="separate"/>
        </w:r>
        <w:r w:rsidR="005976AB" w:rsidRPr="005635E7">
          <w:rPr>
            <w:noProof/>
            <w:webHidden/>
          </w:rPr>
          <w:t>55</w:t>
        </w:r>
        <w:r w:rsidR="005976AB" w:rsidRPr="005635E7">
          <w:rPr>
            <w:noProof/>
            <w:webHidden/>
          </w:rPr>
          <w:fldChar w:fldCharType="end"/>
        </w:r>
      </w:hyperlink>
    </w:p>
    <w:p w14:paraId="28C1FB80" w14:textId="77777777" w:rsidR="005976AB" w:rsidRPr="009E2F41" w:rsidRDefault="007B4460" w:rsidP="005976AB">
      <w:pPr>
        <w:pStyle w:val="TableofFigures"/>
        <w:tabs>
          <w:tab w:val="right" w:leader="dot" w:pos="9016"/>
        </w:tabs>
        <w:spacing w:line="480" w:lineRule="auto"/>
        <w:rPr>
          <w:rFonts w:eastAsiaTheme="minorEastAsia"/>
          <w:noProof/>
          <w:sz w:val="22"/>
          <w:szCs w:val="22"/>
          <w:lang w:eastAsia="en-GB"/>
        </w:rPr>
      </w:pPr>
      <w:hyperlink w:anchor="_Toc126432344" w:history="1">
        <w:r w:rsidR="005976AB" w:rsidRPr="005635E7">
          <w:rPr>
            <w:rStyle w:val="Hyperlink"/>
            <w:rFonts w:asciiTheme="majorBidi" w:hAnsiTheme="majorBidi"/>
            <w:noProof/>
            <w:color w:val="auto"/>
          </w:rPr>
          <w:t>Figure 4.1: Structural model analysis</w:t>
        </w:r>
        <w:r w:rsidR="005976AB" w:rsidRPr="005635E7">
          <w:rPr>
            <w:noProof/>
            <w:webHidden/>
          </w:rPr>
          <w:tab/>
        </w:r>
        <w:r w:rsidR="005976AB" w:rsidRPr="005635E7">
          <w:rPr>
            <w:noProof/>
            <w:webHidden/>
          </w:rPr>
          <w:fldChar w:fldCharType="begin"/>
        </w:r>
        <w:r w:rsidR="005976AB" w:rsidRPr="005635E7">
          <w:rPr>
            <w:noProof/>
            <w:webHidden/>
          </w:rPr>
          <w:instrText xml:space="preserve"> PAGEREF _Toc126432344 \h </w:instrText>
        </w:r>
        <w:r w:rsidR="005976AB" w:rsidRPr="005635E7">
          <w:rPr>
            <w:noProof/>
            <w:webHidden/>
          </w:rPr>
        </w:r>
        <w:r w:rsidR="005976AB" w:rsidRPr="005635E7">
          <w:rPr>
            <w:noProof/>
            <w:webHidden/>
          </w:rPr>
          <w:fldChar w:fldCharType="separate"/>
        </w:r>
        <w:r w:rsidR="005976AB" w:rsidRPr="005635E7">
          <w:rPr>
            <w:noProof/>
            <w:webHidden/>
          </w:rPr>
          <w:t>73</w:t>
        </w:r>
        <w:r w:rsidR="005976AB" w:rsidRPr="005635E7">
          <w:rPr>
            <w:noProof/>
            <w:webHidden/>
          </w:rPr>
          <w:fldChar w:fldCharType="end"/>
        </w:r>
      </w:hyperlink>
    </w:p>
    <w:p w14:paraId="34DA1339"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fldChar w:fldCharType="end"/>
      </w:r>
    </w:p>
    <w:p w14:paraId="2D20549D" w14:textId="77777777" w:rsidR="005976AB" w:rsidRPr="005635E7" w:rsidRDefault="005976AB" w:rsidP="005976AB">
      <w:pPr>
        <w:spacing w:line="360" w:lineRule="auto"/>
        <w:jc w:val="both"/>
        <w:rPr>
          <w:rFonts w:asciiTheme="majorBidi" w:hAnsiTheme="majorBidi" w:cstheme="majorBidi"/>
        </w:rPr>
      </w:pPr>
    </w:p>
    <w:p w14:paraId="4C5ADBE2" w14:textId="77777777" w:rsidR="005976AB" w:rsidRPr="005635E7" w:rsidRDefault="005976AB" w:rsidP="005976AB">
      <w:pPr>
        <w:spacing w:after="240" w:line="360" w:lineRule="auto"/>
        <w:jc w:val="both"/>
        <w:rPr>
          <w:rFonts w:asciiTheme="majorBidi" w:hAnsiTheme="majorBidi" w:cstheme="majorBidi"/>
        </w:rPr>
      </w:pPr>
    </w:p>
    <w:p w14:paraId="54B24691" w14:textId="77777777" w:rsidR="005976AB" w:rsidRPr="005635E7" w:rsidRDefault="005976AB" w:rsidP="005976AB">
      <w:pPr>
        <w:spacing w:after="240" w:line="480" w:lineRule="auto"/>
        <w:jc w:val="both"/>
        <w:rPr>
          <w:rFonts w:asciiTheme="majorBidi" w:eastAsiaTheme="majorEastAsia" w:hAnsiTheme="majorBidi" w:cstheme="majorBidi"/>
          <w:b/>
          <w:bCs/>
          <w:sz w:val="28"/>
          <w:szCs w:val="28"/>
        </w:rPr>
      </w:pPr>
    </w:p>
    <w:p w14:paraId="5649FDDE" w14:textId="77777777" w:rsidR="005976AB" w:rsidRPr="005635E7" w:rsidRDefault="005976AB" w:rsidP="005976AB">
      <w:pPr>
        <w:rPr>
          <w:rFonts w:asciiTheme="majorBidi" w:hAnsiTheme="majorBidi" w:cstheme="majorBidi"/>
        </w:rPr>
      </w:pPr>
    </w:p>
    <w:p w14:paraId="6F9D1BA4" w14:textId="77777777" w:rsidR="005976AB" w:rsidRPr="005635E7" w:rsidRDefault="005976AB" w:rsidP="005976AB">
      <w:pPr>
        <w:rPr>
          <w:rFonts w:asciiTheme="majorBidi" w:hAnsiTheme="majorBidi" w:cstheme="majorBidi"/>
        </w:rPr>
      </w:pPr>
    </w:p>
    <w:p w14:paraId="793A554A" w14:textId="77777777" w:rsidR="005976AB" w:rsidRPr="005635E7" w:rsidRDefault="005976AB" w:rsidP="005976AB">
      <w:pPr>
        <w:tabs>
          <w:tab w:val="left" w:pos="1410"/>
        </w:tabs>
        <w:rPr>
          <w:rFonts w:asciiTheme="majorBidi" w:hAnsiTheme="majorBidi" w:cstheme="majorBidi"/>
        </w:rPr>
      </w:pPr>
      <w:r w:rsidRPr="005635E7">
        <w:rPr>
          <w:rFonts w:asciiTheme="majorBidi" w:hAnsiTheme="majorBidi" w:cstheme="majorBidi"/>
        </w:rPr>
        <w:tab/>
      </w:r>
    </w:p>
    <w:p w14:paraId="4DE6FBAE" w14:textId="77777777" w:rsidR="005976AB" w:rsidRPr="005635E7" w:rsidRDefault="005976AB" w:rsidP="005976AB">
      <w:pPr>
        <w:rPr>
          <w:rFonts w:asciiTheme="majorBidi" w:hAnsiTheme="majorBidi" w:cstheme="majorBidi"/>
        </w:rPr>
      </w:pPr>
    </w:p>
    <w:p w14:paraId="31522F88" w14:textId="77777777" w:rsidR="005976AB" w:rsidRPr="005635E7" w:rsidRDefault="005976AB" w:rsidP="005976AB">
      <w:pPr>
        <w:rPr>
          <w:rFonts w:asciiTheme="majorBidi" w:hAnsiTheme="majorBidi" w:cstheme="majorBidi"/>
        </w:rPr>
        <w:sectPr w:rsidR="005976AB" w:rsidRPr="005635E7" w:rsidSect="008E24E1">
          <w:headerReference w:type="default" r:id="rId12"/>
          <w:footerReference w:type="default" r:id="rId13"/>
          <w:headerReference w:type="first" r:id="rId14"/>
          <w:pgSz w:w="11906" w:h="16838"/>
          <w:pgMar w:top="1440" w:right="1440" w:bottom="1440" w:left="1440" w:header="708" w:footer="708" w:gutter="0"/>
          <w:pgNumType w:fmt="lowerRoman"/>
          <w:cols w:space="708"/>
          <w:docGrid w:linePitch="360"/>
        </w:sectPr>
      </w:pPr>
    </w:p>
    <w:p w14:paraId="38F64EC5" w14:textId="77777777" w:rsidR="005976AB" w:rsidRPr="005635E7" w:rsidRDefault="005976AB" w:rsidP="005976AB">
      <w:pPr>
        <w:pStyle w:val="Heading1"/>
        <w:spacing w:after="240" w:line="480" w:lineRule="auto"/>
        <w:jc w:val="center"/>
        <w:rPr>
          <w:rFonts w:asciiTheme="majorBidi" w:hAnsiTheme="majorBidi"/>
          <w:b/>
          <w:bCs/>
          <w:color w:val="auto"/>
          <w:sz w:val="28"/>
          <w:szCs w:val="28"/>
        </w:rPr>
      </w:pPr>
      <w:bookmarkStart w:id="17" w:name="_Toc115310359"/>
      <w:r w:rsidRPr="005635E7">
        <w:rPr>
          <w:rFonts w:asciiTheme="majorBidi" w:hAnsiTheme="majorBidi"/>
          <w:b/>
          <w:bCs/>
          <w:color w:val="auto"/>
          <w:sz w:val="28"/>
          <w:szCs w:val="28"/>
        </w:rPr>
        <w:t>CHAPTER 1</w:t>
      </w:r>
      <w:bookmarkEnd w:id="17"/>
    </w:p>
    <w:p w14:paraId="5C38B7A7" w14:textId="77777777" w:rsidR="005976AB" w:rsidRPr="005635E7" w:rsidRDefault="005976AB" w:rsidP="005976AB">
      <w:pPr>
        <w:pStyle w:val="Heading1"/>
        <w:spacing w:after="240" w:line="480" w:lineRule="auto"/>
        <w:jc w:val="center"/>
        <w:rPr>
          <w:rFonts w:asciiTheme="majorBidi" w:hAnsiTheme="majorBidi"/>
          <w:b/>
          <w:bCs/>
          <w:color w:val="auto"/>
          <w:sz w:val="28"/>
          <w:szCs w:val="28"/>
        </w:rPr>
      </w:pPr>
      <w:bookmarkStart w:id="18" w:name="_Toc115310360"/>
      <w:r w:rsidRPr="005635E7">
        <w:rPr>
          <w:rFonts w:asciiTheme="majorBidi" w:hAnsiTheme="majorBidi"/>
          <w:b/>
          <w:bCs/>
          <w:color w:val="auto"/>
          <w:sz w:val="28"/>
          <w:szCs w:val="28"/>
        </w:rPr>
        <w:t>INTRODUCTION TO THIS DISSERTATION</w:t>
      </w:r>
      <w:bookmarkEnd w:id="18"/>
    </w:p>
    <w:p w14:paraId="06EA6494"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19" w:name="_Toc115310361"/>
      <w:r w:rsidRPr="005635E7">
        <w:rPr>
          <w:rFonts w:asciiTheme="majorBidi" w:hAnsiTheme="majorBidi"/>
          <w:b/>
          <w:bCs/>
          <w:color w:val="auto"/>
          <w:sz w:val="28"/>
          <w:szCs w:val="28"/>
        </w:rPr>
        <w:t>1.1 Introduction</w:t>
      </w:r>
      <w:bookmarkEnd w:id="19"/>
    </w:p>
    <w:p w14:paraId="69212C3F"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This chapter will outline and discuss the research challenge</w:t>
      </w:r>
      <w:r w:rsidRPr="005635E7">
        <w:rPr>
          <w:rFonts w:ascii="Times New Roman" w:eastAsia="Calibri" w:hAnsi="Times New Roman" w:cs="Times New Roman"/>
        </w:rPr>
        <w:t>s as well as the gaps in the current study</w:t>
      </w:r>
      <w:r w:rsidRPr="005635E7">
        <w:rPr>
          <w:rFonts w:asciiTheme="majorBidi" w:hAnsiTheme="majorBidi" w:cstheme="majorBidi"/>
        </w:rPr>
        <w:t>. The purpose of this research is to investigate the links between Organizational Learning Capabilities (OLC), Open Innovation (OI), and Firm Performance (FP) in emerging countries</w:t>
      </w:r>
      <w:r w:rsidRPr="005635E7">
        <w:rPr>
          <w:rFonts w:ascii="Times New Roman" w:eastAsia="Calibri" w:hAnsi="Times New Roman" w:cs="Times New Roman"/>
        </w:rPr>
        <w:t xml:space="preserve">, such as the United Arab Emirates (UAE). </w:t>
      </w:r>
      <w:r w:rsidRPr="005635E7">
        <w:rPr>
          <w:rFonts w:asciiTheme="majorBidi" w:hAnsiTheme="majorBidi" w:cstheme="majorBidi"/>
        </w:rPr>
        <w:t>This chapter describes the study setting, emphasizing the significance of exploring the relationship between the aforementioned variables, and identifying the study's primary research questions. The motivation, significance, and contribution</w:t>
      </w:r>
      <w:r w:rsidRPr="005635E7">
        <w:rPr>
          <w:rFonts w:ascii="Times New Roman" w:eastAsia="Calibri" w:hAnsi="Times New Roman" w:cs="Times New Roman"/>
        </w:rPr>
        <w:t xml:space="preserve">s of this </w:t>
      </w:r>
      <w:r w:rsidRPr="005635E7">
        <w:rPr>
          <w:rFonts w:asciiTheme="majorBidi" w:hAnsiTheme="majorBidi" w:cstheme="majorBidi"/>
        </w:rPr>
        <w:t>study are discussed in the following sections. Finally, a summary concludes this chapter.</w:t>
      </w:r>
    </w:p>
    <w:p w14:paraId="38AB6CB7"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20" w:name="_Toc115310362"/>
      <w:r w:rsidRPr="005635E7">
        <w:rPr>
          <w:rFonts w:asciiTheme="majorBidi" w:hAnsiTheme="majorBidi"/>
          <w:b/>
          <w:bCs/>
          <w:color w:val="auto"/>
          <w:sz w:val="28"/>
          <w:szCs w:val="28"/>
        </w:rPr>
        <w:t>1.2 Background/Context of the Study</w:t>
      </w:r>
      <w:bookmarkEnd w:id="20"/>
    </w:p>
    <w:p w14:paraId="23767DAD"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OLC appear to be essential (Gomes &amp; Wojahn, 2017; Papa, Dezi, Gregori, Mueller, &amp; Miglietta, 2018) in linking the various forms of innovation strategy and FP in organizations characterized by competitiveness and the ability to quickly adapt to changes in the environment. Organizational innovation is a critical contributor to enterprises' long-term competitive advantages in constantly changing markets, as well as their innovative organizational performance (Martnez-Pérez, Elche, Garca-Villaverde, &amp; Parra-Requena, 2019; Otoo, 2019). Modern organizations are urged to include numerous innovative practices in their business models, which aid in the refinement of their vision of learning and innovation (Barrick et al., 2015).</w:t>
      </w:r>
    </w:p>
    <w:p w14:paraId="13C01D7B"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To establish the organizational conditions required to promote increased organizational learning and OI, it is critical to completely comprehend the concept of human resource management (Sung &amp; Choi, 2018). According to </w:t>
      </w:r>
      <w:r w:rsidRPr="005635E7">
        <w:rPr>
          <w:rFonts w:ascii="Times New Roman" w:eastAsia="Calibri" w:hAnsi="Times New Roman" w:cs="Times New Roman"/>
        </w:rPr>
        <w:t>the OLC, human resource practices are centered on the concept of transforming businesses into learning organizations. The OLC is defined as the competencies required for organizations to produce, transfer, and integrate knowledge and experience, as well as continually learn (Gomes &amp; Wojahn, 2017). Organizational and management traits that support organizational learning are referred to as organizational learning abilities (Tohidi et al., 2012). According to Tohidi and Jabbari (2012), one of the most important aspects of improving an organization’s learning capacity is the creation of an open organizational environment (</w:t>
      </w:r>
      <w:r w:rsidRPr="005635E7">
        <w:rPr>
          <w:rFonts w:asciiTheme="majorBidi" w:hAnsiTheme="majorBidi" w:cstheme="majorBidi"/>
        </w:rPr>
        <w:t xml:space="preserve">Gressgard et al., 2014). This means that all stakeholders in </w:t>
      </w:r>
      <w:r w:rsidRPr="005635E7">
        <w:rPr>
          <w:rFonts w:ascii="Times New Roman" w:eastAsia="Calibri" w:hAnsi="Times New Roman" w:cs="Times New Roman"/>
        </w:rPr>
        <w:t>an organization</w:t>
      </w:r>
      <w:r w:rsidRPr="005635E7">
        <w:rPr>
          <w:rFonts w:asciiTheme="majorBidi" w:hAnsiTheme="majorBidi" w:cstheme="majorBidi"/>
        </w:rPr>
        <w:t xml:space="preserve"> have the opportunity to display and exchange relevant information and participate in continuous learning (Barrick et al., 2015). The emphasis on creating organizational learning skills necessitates meticulous attention to detail</w:t>
      </w:r>
      <w:r w:rsidRPr="005635E7">
        <w:rPr>
          <w:rFonts w:ascii="Times New Roman" w:eastAsia="Calibri" w:hAnsi="Times New Roman" w:cs="Times New Roman"/>
        </w:rPr>
        <w:t>s in various regulatory processes, as well as the application of a systems approach to fostering an organizational learning culture.</w:t>
      </w:r>
    </w:p>
    <w:p w14:paraId="4C37C409"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Furthermore, a work environment should be developed to support the development of an experimental culture. The latter is a relevant indicator of improved </w:t>
      </w:r>
      <w:r>
        <w:rPr>
          <w:rFonts w:asciiTheme="majorBidi" w:hAnsiTheme="majorBidi" w:cstheme="majorBidi"/>
        </w:rPr>
        <w:t>OLC</w:t>
      </w:r>
      <w:r w:rsidRPr="005635E7">
        <w:rPr>
          <w:rFonts w:asciiTheme="majorBidi" w:hAnsiTheme="majorBidi" w:cstheme="majorBidi"/>
        </w:rPr>
        <w:t xml:space="preserve"> (Gressgard, et al., 2014). Having </w:t>
      </w:r>
      <w:r w:rsidRPr="005635E7">
        <w:rPr>
          <w:rFonts w:ascii="Times New Roman" w:eastAsia="Calibri" w:hAnsi="Times New Roman" w:cs="Times New Roman"/>
        </w:rPr>
        <w:t xml:space="preserve">an experimentation culture means that organizations emphasize the </w:t>
      </w:r>
      <w:r w:rsidRPr="005635E7">
        <w:rPr>
          <w:rFonts w:asciiTheme="majorBidi" w:hAnsiTheme="majorBidi" w:cstheme="majorBidi"/>
        </w:rPr>
        <w:t>importance of experimentation in presenting innovative solutions to emerging problems (Rasool, et al., 2019). Human resource managers are responsible for assisting employees to reach their full potential through experimentation, which includes learning from failures.</w:t>
      </w:r>
    </w:p>
    <w:p w14:paraId="12686AA2"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Another essential aspect of </w:t>
      </w:r>
      <w:r>
        <w:rPr>
          <w:rFonts w:asciiTheme="majorBidi" w:hAnsiTheme="majorBidi" w:cstheme="majorBidi"/>
        </w:rPr>
        <w:t>OLC</w:t>
      </w:r>
      <w:r w:rsidRPr="005635E7">
        <w:rPr>
          <w:rFonts w:asciiTheme="majorBidi" w:hAnsiTheme="majorBidi" w:cstheme="majorBidi"/>
        </w:rPr>
        <w:t xml:space="preserve"> is teamwork and group problem-solving. Human resource managers tend to encourage employees to solve problems cooperatively (Freeburg, 2018). Thus, individuals are expected to present a wide range of solutions (Barrick, et al., 2015). Team members are persistently encouraged to discuss solutions and identify options that most</w:t>
      </w:r>
      <w:r w:rsidRPr="005635E7">
        <w:rPr>
          <w:rFonts w:ascii="Times New Roman" w:eastAsia="Calibri" w:hAnsi="Times New Roman" w:cs="Times New Roman"/>
        </w:rPr>
        <w:t xml:space="preserve"> closely correspond to the investigated problem</w:t>
      </w:r>
      <w:r w:rsidRPr="005635E7">
        <w:rPr>
          <w:rFonts w:asciiTheme="majorBidi" w:hAnsiTheme="majorBidi" w:cstheme="majorBidi"/>
        </w:rPr>
        <w:t xml:space="preserve"> (Gressgard, et al., 2014). Therefore, the development of appropriate </w:t>
      </w:r>
      <w:r>
        <w:rPr>
          <w:rFonts w:asciiTheme="majorBidi" w:hAnsiTheme="majorBidi" w:cstheme="majorBidi"/>
        </w:rPr>
        <w:t>OLC</w:t>
      </w:r>
      <w:r w:rsidRPr="005635E7">
        <w:rPr>
          <w:rFonts w:asciiTheme="majorBidi" w:hAnsiTheme="majorBidi" w:cstheme="majorBidi"/>
        </w:rPr>
        <w:t xml:space="preserve"> leads to enhanced teamwork and group problem</w:t>
      </w:r>
      <w:r>
        <w:rPr>
          <w:rFonts w:asciiTheme="majorBidi" w:hAnsiTheme="majorBidi" w:cstheme="majorBidi"/>
        </w:rPr>
        <w:t>-</w:t>
      </w:r>
      <w:r w:rsidRPr="005635E7">
        <w:rPr>
          <w:rFonts w:asciiTheme="majorBidi" w:hAnsiTheme="majorBidi" w:cstheme="majorBidi"/>
        </w:rPr>
        <w:t>solving.</w:t>
      </w:r>
    </w:p>
    <w:p w14:paraId="4ACF88C4"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It is also critical to highlight the role of OLC in developing additional OI</w:t>
      </w:r>
      <w:r>
        <w:rPr>
          <w:rFonts w:asciiTheme="majorBidi" w:hAnsiTheme="majorBidi" w:cstheme="majorBidi"/>
        </w:rPr>
        <w:t xml:space="preserve"> </w:t>
      </w:r>
      <w:r w:rsidRPr="005635E7">
        <w:rPr>
          <w:rFonts w:asciiTheme="majorBidi" w:hAnsiTheme="majorBidi" w:cstheme="majorBidi"/>
        </w:rPr>
        <w:t>opportunities. According to McDermott et al. (2013), organizational learning can provide significant incentive</w:t>
      </w:r>
      <w:r w:rsidRPr="005635E7">
        <w:rPr>
          <w:rFonts w:ascii="Times New Roman" w:eastAsia="Calibri" w:hAnsi="Times New Roman" w:cs="Times New Roman"/>
        </w:rPr>
        <w:t xml:space="preserve">s for such activities. OI is initially </w:t>
      </w:r>
      <w:r w:rsidRPr="005635E7">
        <w:rPr>
          <w:rFonts w:asciiTheme="majorBidi" w:hAnsiTheme="majorBidi" w:cstheme="majorBidi"/>
        </w:rPr>
        <w:t xml:space="preserve">characterized as "a paradigm that assumes that firms can and should use external ideas as well as internal ideas, and internal and external paths to market, as the firms look to advance their technology," according to Chesbrough (2003: p. 24). OI denotes the use of knowledge inflows (inbound open innovation, also known as IP) and outflows (outbound open innovation, also known as OP) to accelerate internal innovation and extend markets for </w:t>
      </w:r>
      <w:r w:rsidRPr="005635E7">
        <w:rPr>
          <w:rFonts w:ascii="Times New Roman" w:eastAsia="Calibri" w:hAnsi="Times New Roman" w:cs="Times New Roman"/>
        </w:rPr>
        <w:t xml:space="preserve">the external use of innovation (Chesbrough, 2003). </w:t>
      </w:r>
      <w:r w:rsidRPr="005635E7">
        <w:rPr>
          <w:rFonts w:asciiTheme="majorBidi" w:hAnsiTheme="majorBidi" w:cstheme="majorBidi"/>
        </w:rPr>
        <w:t xml:space="preserve">Organizations seek OI to gain access to information and know-how that they lack within the organization to deal with challenges such as cost, time, and risk minimization, as opposed to developing innovation internally (Cheng &amp; Huizingh, 2014; Chesbrough et al., 2008). Furthermore, research indicates that organizational transformation has emerged as a critical attribute for organizations seeking a long-term competitive edge (Barrick et al., 2015). Human resource strategies should be linked to various types of </w:t>
      </w:r>
      <w:r>
        <w:rPr>
          <w:rFonts w:asciiTheme="majorBidi" w:hAnsiTheme="majorBidi" w:cstheme="majorBidi"/>
        </w:rPr>
        <w:t>OI</w:t>
      </w:r>
      <w:r w:rsidRPr="005635E7">
        <w:rPr>
          <w:rFonts w:asciiTheme="majorBidi" w:hAnsiTheme="majorBidi" w:cstheme="majorBidi"/>
        </w:rPr>
        <w:t xml:space="preserve"> in organizations that are competitive and have the ability to respond quickly to environment</w:t>
      </w:r>
      <w:r w:rsidRPr="005635E7">
        <w:rPr>
          <w:rFonts w:ascii="Times New Roman" w:eastAsia="Calibri" w:hAnsi="Times New Roman" w:cs="Times New Roman"/>
        </w:rPr>
        <w:t xml:space="preserve">al changes (Peris-Ortiz et al., 2018). </w:t>
      </w:r>
      <w:r w:rsidRPr="005635E7">
        <w:rPr>
          <w:rFonts w:asciiTheme="majorBidi" w:hAnsiTheme="majorBidi" w:cstheme="majorBidi"/>
        </w:rPr>
        <w:t>Organizations that renew their capabilities efficiently acquire knowledge, know-how, and new ideas that stem from their own experience</w:t>
      </w:r>
      <w:r w:rsidRPr="005635E7">
        <w:rPr>
          <w:rFonts w:ascii="Times New Roman" w:eastAsia="Calibri" w:hAnsi="Times New Roman" w:cs="Times New Roman"/>
        </w:rPr>
        <w:t xml:space="preserve">s, </w:t>
      </w:r>
      <w:r w:rsidRPr="005635E7">
        <w:rPr>
          <w:rFonts w:asciiTheme="majorBidi" w:hAnsiTheme="majorBidi" w:cstheme="majorBidi"/>
        </w:rPr>
        <w:t>organizational routines (Nelson &amp; Winter, 1982), and ordinary and marketing capabilities (Teece, 2014), thereby providing paths for OI.</w:t>
      </w:r>
    </w:p>
    <w:p w14:paraId="16BE9EB9"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OI systems allow organizations to strengthen their long-term performance and market share (Arias-Pérez et al., 2022; Lim et al., 2020). This means that specific values, principles, and ideas are accepted to create a significant amount for organizations (Gressgard, et al., 2014). Man</w:t>
      </w:r>
      <w:r w:rsidRPr="005635E7">
        <w:rPr>
          <w:rFonts w:ascii="Times New Roman" w:eastAsia="Calibri" w:hAnsi="Times New Roman" w:cs="Times New Roman"/>
        </w:rPr>
        <w:t>agers</w:t>
      </w:r>
      <w:r w:rsidRPr="005635E7">
        <w:rPr>
          <w:rFonts w:asciiTheme="majorBidi" w:hAnsiTheme="majorBidi" w:cstheme="majorBidi"/>
        </w:rPr>
        <w:t xml:space="preserve"> are responsible for developing innovative ideas, both internally and externally (Rasool et al., 2019). While internal employee management is an integral part of managers’ obligations, these professionals aim to attract external candidates to foster greater diversification in the promotion of </w:t>
      </w:r>
      <w:r>
        <w:rPr>
          <w:rFonts w:asciiTheme="majorBidi" w:hAnsiTheme="majorBidi" w:cstheme="majorBidi"/>
        </w:rPr>
        <w:t>OI</w:t>
      </w:r>
      <w:r w:rsidRPr="005635E7">
        <w:rPr>
          <w:rFonts w:asciiTheme="majorBidi" w:hAnsiTheme="majorBidi" w:cstheme="majorBidi"/>
        </w:rPr>
        <w:t>.</w:t>
      </w:r>
    </w:p>
    <w:p w14:paraId="29DBD8AE"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It has been pointed out that OI in the organizational context shows the proper utilization of unique ideas for product and process development as well as facilitates knowledge exchange (Freeburg, 2018). From this perspective, it should be noted that OI also leads to improved organizational practices in terms of persistent structural changes and management strategies (Barrick, et al., 2015). Both internal coordination and cooperation can be enhanced as a result of the implementation of positive and transparent HR practices</w:t>
      </w:r>
      <w:r w:rsidRPr="005635E7">
        <w:rPr>
          <w:rFonts w:ascii="Times New Roman" w:eastAsia="Calibri" w:hAnsi="Times New Roman" w:cs="Times New Roman"/>
        </w:rPr>
        <w:t>, such as the OLC,</w:t>
      </w:r>
      <w:r w:rsidRPr="005635E7">
        <w:rPr>
          <w:rFonts w:asciiTheme="majorBidi" w:hAnsiTheme="majorBidi" w:cstheme="majorBidi"/>
        </w:rPr>
        <w:t xml:space="preserve"> which emphasize</w:t>
      </w:r>
      <w:r w:rsidRPr="005635E7">
        <w:rPr>
          <w:rFonts w:ascii="Times New Roman" w:eastAsia="Calibri" w:hAnsi="Times New Roman" w:cs="Times New Roman"/>
        </w:rPr>
        <w:t xml:space="preserve">s the idea of </w:t>
      </w:r>
      <w:r>
        <w:rPr>
          <w:rFonts w:ascii="Times New Roman" w:eastAsia="Calibri" w:hAnsi="Times New Roman" w:cs="Times New Roman"/>
        </w:rPr>
        <w:t>OI</w:t>
      </w:r>
      <w:r w:rsidRPr="005635E7">
        <w:rPr>
          <w:rFonts w:asciiTheme="majorBidi" w:hAnsiTheme="majorBidi" w:cstheme="majorBidi"/>
        </w:rPr>
        <w:t xml:space="preserve"> (Gressgard, et al., 2014). Achieving greater coordination and cooperation is possible through frequent open communication among stakeholders.</w:t>
      </w:r>
    </w:p>
    <w:p w14:paraId="72144AE6"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As most organizations focus on improving their sustainable performance, they should develop a more practical approach to facilitating </w:t>
      </w:r>
      <w:r>
        <w:rPr>
          <w:rFonts w:asciiTheme="majorBidi" w:hAnsiTheme="majorBidi" w:cstheme="majorBidi"/>
        </w:rPr>
        <w:t>OI</w:t>
      </w:r>
      <w:r w:rsidRPr="005635E7">
        <w:rPr>
          <w:rFonts w:asciiTheme="majorBidi" w:hAnsiTheme="majorBidi" w:cstheme="majorBidi"/>
        </w:rPr>
        <w:t>. Living in an age of information is the right precondition for changing employees’ mindset</w:t>
      </w:r>
      <w:r w:rsidRPr="005635E7">
        <w:rPr>
          <w:rFonts w:ascii="Times New Roman" w:eastAsia="Calibri" w:hAnsi="Times New Roman" w:cs="Times New Roman"/>
        </w:rPr>
        <w:t xml:space="preserve">s toward </w:t>
      </w:r>
      <w:r>
        <w:rPr>
          <w:rFonts w:ascii="Times New Roman" w:eastAsia="Calibri" w:hAnsi="Times New Roman" w:cs="Times New Roman"/>
        </w:rPr>
        <w:t>OI</w:t>
      </w:r>
      <w:r w:rsidRPr="005635E7">
        <w:rPr>
          <w:rFonts w:asciiTheme="majorBidi" w:hAnsiTheme="majorBidi" w:cstheme="majorBidi"/>
        </w:rPr>
        <w:t xml:space="preserve"> (Vincent-Hoper &amp; Stein, 2019). In other words, </w:t>
      </w:r>
      <w:r w:rsidRPr="005635E7">
        <w:rPr>
          <w:rFonts w:ascii="Times New Roman" w:eastAsia="Calibri" w:hAnsi="Times New Roman" w:cs="Times New Roman"/>
        </w:rPr>
        <w:t>organizational stakeholders</w:t>
      </w:r>
      <w:r w:rsidRPr="005635E7">
        <w:rPr>
          <w:rFonts w:asciiTheme="majorBidi" w:hAnsiTheme="majorBidi" w:cstheme="majorBidi"/>
        </w:rPr>
        <w:t xml:space="preserve"> should be strategically prepared to receive and share information in a facilitated manner (Rasool et al., 2019). The idea of OI suggests that organizations need to rely on knowledgeable and competent individuals outside the organization (Gressgard, et al., 2014). These individuals can contribute significantly to promoting </w:t>
      </w:r>
      <w:r w:rsidRPr="005635E7">
        <w:rPr>
          <w:rFonts w:ascii="Times New Roman" w:eastAsia="Calibri" w:hAnsi="Times New Roman" w:cs="Times New Roman"/>
        </w:rPr>
        <w:t xml:space="preserve">the </w:t>
      </w:r>
      <w:r w:rsidRPr="005635E7">
        <w:rPr>
          <w:rFonts w:asciiTheme="majorBidi" w:hAnsiTheme="majorBidi" w:cstheme="majorBidi"/>
        </w:rPr>
        <w:t>organizational learning process and profoundly enhance organizational performance</w:t>
      </w:r>
      <w:r w:rsidRPr="005635E7">
        <w:rPr>
          <w:rFonts w:ascii="Times New Roman" w:eastAsia="Calibri" w:hAnsi="Times New Roman" w:cs="Times New Roman"/>
        </w:rPr>
        <w:t xml:space="preserve">, characterized by the </w:t>
      </w:r>
      <w:r w:rsidRPr="005635E7">
        <w:rPr>
          <w:rFonts w:asciiTheme="majorBidi" w:hAnsiTheme="majorBidi" w:cstheme="majorBidi"/>
        </w:rPr>
        <w:t>specific strategic objectives set by the organization.</w:t>
      </w:r>
    </w:p>
    <w:p w14:paraId="0F8A428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Many organizations have gradually included OI in their innovation processes. According to Ahn et al. (2013)'s research, OI can be an effective technique for enhancing the performance of small and medium enterprises (SMEs) (Parida et al., 2012). Academics have been able to assess innovation strategies in light of the competitive business environment after the introduction of the OI concept and their growing interest in cooperation, outsourcing, organizational flexibility, and agility (Huggins &amp; Thompson, 2015; Popa et al., 2017). Consequently, during the last decade, </w:t>
      </w:r>
      <w:r w:rsidRPr="005635E7">
        <w:rPr>
          <w:rFonts w:ascii="Times New Roman" w:eastAsia="Calibri" w:hAnsi="Times New Roman" w:cs="Times New Roman"/>
        </w:rPr>
        <w:t>OI has become one of the most prominent issues in the field of innovation management</w:t>
      </w:r>
      <w:r w:rsidRPr="005635E7">
        <w:rPr>
          <w:rFonts w:asciiTheme="majorBidi" w:hAnsiTheme="majorBidi" w:cstheme="majorBidi"/>
        </w:rPr>
        <w:t xml:space="preserve"> (Popa et al., 2017; Spithoven et al., 2013).</w:t>
      </w:r>
    </w:p>
    <w:p w14:paraId="46272150"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However, previous studies on OI have primarily focused on high-tech and large firms (Brunswicker &amp; Chesbrough, 2018; Remneland 2020; Remneland &amp; Styhre, 2019), even though OI practices and their consequences are widely accepted in the literature (Popa et al., 2017). However, only a few recent studies have examined OI in the context of SMEs (Barrett et al., 2021; D'Angelo &amp; Baroncelli, 2020; Expósito et al., 2019; Popa et al., 2017), with the majority contributing to the debate over </w:t>
      </w:r>
      <w:r w:rsidRPr="005635E7">
        <w:rPr>
          <w:rFonts w:ascii="Times New Roman" w:eastAsia="Calibri" w:hAnsi="Times New Roman" w:cs="Times New Roman"/>
        </w:rPr>
        <w:t xml:space="preserve">the differences in OI between small and large firms in developed countries, or different measures of OI. </w:t>
      </w:r>
      <w:r w:rsidRPr="005635E7">
        <w:rPr>
          <w:rFonts w:asciiTheme="majorBidi" w:hAnsiTheme="majorBidi" w:cstheme="majorBidi"/>
        </w:rPr>
        <w:t xml:space="preserve">Although prior research indicates that OI and OLC practices impact several performance metrics, the relationship between </w:t>
      </w:r>
      <w:r w:rsidRPr="005635E7">
        <w:rPr>
          <w:rFonts w:ascii="Times New Roman" w:eastAsia="Calibri" w:hAnsi="Times New Roman" w:cs="Times New Roman"/>
        </w:rPr>
        <w:t>SMEs’ OI and FP</w:t>
      </w:r>
      <w:r w:rsidRPr="005635E7">
        <w:rPr>
          <w:rFonts w:asciiTheme="majorBidi" w:hAnsiTheme="majorBidi" w:cstheme="majorBidi"/>
        </w:rPr>
        <w:t xml:space="preserve"> has received minimal attention (Peris-Ortiz et al., 2018; Popa et al., 2017).</w:t>
      </w:r>
    </w:p>
    <w:p w14:paraId="6635E5F5" w14:textId="77777777" w:rsidR="005976AB" w:rsidRPr="005635E7" w:rsidRDefault="005976AB" w:rsidP="005976AB">
      <w:pPr>
        <w:spacing w:after="240" w:line="480" w:lineRule="auto"/>
        <w:jc w:val="both"/>
        <w:rPr>
          <w:rFonts w:asciiTheme="majorBidi" w:hAnsiTheme="majorBidi" w:cstheme="majorBidi"/>
        </w:rPr>
      </w:pPr>
    </w:p>
    <w:p w14:paraId="3CC3D76C" w14:textId="77777777" w:rsidR="005976AB" w:rsidRDefault="005976AB" w:rsidP="005976AB">
      <w:pPr>
        <w:spacing w:after="240" w:line="480" w:lineRule="auto"/>
        <w:jc w:val="both"/>
        <w:rPr>
          <w:rFonts w:asciiTheme="majorBidi" w:hAnsiTheme="majorBidi" w:cstheme="majorBidi"/>
        </w:rPr>
      </w:pPr>
    </w:p>
    <w:p w14:paraId="36498D2A" w14:textId="77777777" w:rsidR="00533914" w:rsidRDefault="00533914" w:rsidP="005976AB">
      <w:pPr>
        <w:spacing w:after="240" w:line="480" w:lineRule="auto"/>
        <w:jc w:val="both"/>
        <w:rPr>
          <w:rFonts w:asciiTheme="majorBidi" w:hAnsiTheme="majorBidi" w:cstheme="majorBidi"/>
        </w:rPr>
      </w:pPr>
    </w:p>
    <w:p w14:paraId="683EF80C" w14:textId="77777777" w:rsidR="00533914" w:rsidRDefault="00533914" w:rsidP="005976AB">
      <w:pPr>
        <w:spacing w:after="240" w:line="480" w:lineRule="auto"/>
        <w:jc w:val="both"/>
        <w:rPr>
          <w:rFonts w:asciiTheme="majorBidi" w:hAnsiTheme="majorBidi" w:cstheme="majorBidi"/>
        </w:rPr>
      </w:pPr>
    </w:p>
    <w:p w14:paraId="0A11D12A" w14:textId="77777777" w:rsidR="00533914" w:rsidRDefault="00533914" w:rsidP="005976AB">
      <w:pPr>
        <w:spacing w:after="240" w:line="480" w:lineRule="auto"/>
        <w:jc w:val="both"/>
        <w:rPr>
          <w:rFonts w:asciiTheme="majorBidi" w:hAnsiTheme="majorBidi" w:cstheme="majorBidi"/>
        </w:rPr>
      </w:pPr>
    </w:p>
    <w:p w14:paraId="2D5DF980" w14:textId="77777777" w:rsidR="00533914" w:rsidRDefault="00533914" w:rsidP="005976AB">
      <w:pPr>
        <w:spacing w:after="240" w:line="480" w:lineRule="auto"/>
        <w:jc w:val="both"/>
        <w:rPr>
          <w:rFonts w:asciiTheme="majorBidi" w:hAnsiTheme="majorBidi" w:cstheme="majorBidi"/>
        </w:rPr>
      </w:pPr>
    </w:p>
    <w:p w14:paraId="76CBF9D2" w14:textId="77777777" w:rsidR="00533914" w:rsidRDefault="00533914" w:rsidP="005976AB">
      <w:pPr>
        <w:spacing w:after="240" w:line="480" w:lineRule="auto"/>
        <w:jc w:val="both"/>
        <w:rPr>
          <w:rFonts w:asciiTheme="majorBidi" w:hAnsiTheme="majorBidi" w:cstheme="majorBidi"/>
        </w:rPr>
      </w:pPr>
    </w:p>
    <w:p w14:paraId="402C27E5"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21" w:name="_Toc115310363"/>
      <w:r w:rsidRPr="005635E7">
        <w:rPr>
          <w:rFonts w:asciiTheme="majorBidi" w:hAnsiTheme="majorBidi"/>
          <w:b/>
          <w:bCs/>
          <w:color w:val="auto"/>
          <w:sz w:val="28"/>
          <w:szCs w:val="28"/>
        </w:rPr>
        <w:t>1.3 Research Problem and Gaps</w:t>
      </w:r>
      <w:bookmarkEnd w:id="21"/>
    </w:p>
    <w:p w14:paraId="790357FA" w14:textId="77777777" w:rsidR="005976AB" w:rsidRPr="005635E7" w:rsidRDefault="005976AB" w:rsidP="005976AB">
      <w:pPr>
        <w:spacing w:after="240" w:line="480" w:lineRule="auto"/>
        <w:jc w:val="both"/>
        <w:rPr>
          <w:rFonts w:asciiTheme="majorBidi" w:hAnsiTheme="majorBidi" w:cstheme="majorBidi"/>
          <w:shd w:val="clear" w:color="auto" w:fill="FFFFFF"/>
        </w:rPr>
      </w:pPr>
      <w:r w:rsidRPr="005635E7">
        <w:rPr>
          <w:rFonts w:asciiTheme="majorBidi" w:hAnsiTheme="majorBidi" w:cstheme="majorBidi"/>
          <w:shd w:val="clear" w:color="auto" w:fill="FFFFFF"/>
        </w:rPr>
        <w:t>Several studies have empirically demonstrated the interrelationships among OCL, OI, and FP (Arias-Pérez, J. et al., 2022; Lazzarotti et al., 2016; Lim et al., 2020; du Chatenier et al., 2010; Papa et al., 2018). Despite widespread interest among researchers and practitioners, gaps in the existing literature exist in demonstrating the link between OLC and OI. First, most OLC, FP, and innovation research have been conducted in developed countries, with studies conducted in Europe, the United States, Japan, Singapore, Korea, New Zealand, and Russia (Ahmad &amp; Schroeder, 2003; Carayannis &amp; Meissner, 2017; Papa et al., 2018; Wan, Ong, &amp; Kok, 2002). As a result, important research findings and insights for growing economies such as the UAE are in their infancy.</w:t>
      </w:r>
    </w:p>
    <w:p w14:paraId="1052FF38" w14:textId="77777777" w:rsidR="005976AB" w:rsidRPr="005635E7" w:rsidRDefault="005976AB" w:rsidP="005976AB">
      <w:pPr>
        <w:spacing w:after="240" w:line="480" w:lineRule="auto"/>
        <w:jc w:val="both"/>
        <w:rPr>
          <w:rFonts w:asciiTheme="majorBidi" w:hAnsiTheme="majorBidi" w:cstheme="majorBidi"/>
          <w:shd w:val="clear" w:color="auto" w:fill="FFFFFF"/>
        </w:rPr>
      </w:pPr>
      <w:r w:rsidRPr="005635E7">
        <w:rPr>
          <w:rFonts w:asciiTheme="majorBidi" w:hAnsiTheme="majorBidi" w:cstheme="majorBidi"/>
          <w:shd w:val="clear" w:color="auto" w:fill="FFFFFF"/>
        </w:rPr>
        <w:t>Second, although the relation</w:t>
      </w:r>
      <w:r w:rsidRPr="005635E7">
        <w:rPr>
          <w:rFonts w:ascii="Times New Roman" w:eastAsia="Calibri" w:hAnsi="Times New Roman" w:cs="Times New Roman"/>
        </w:rPr>
        <w:t xml:space="preserve">ship between </w:t>
      </w:r>
      <w:r w:rsidRPr="005635E7">
        <w:rPr>
          <w:rFonts w:asciiTheme="majorBidi" w:hAnsiTheme="majorBidi" w:cstheme="majorBidi"/>
          <w:shd w:val="clear" w:color="auto" w:fill="FFFFFF"/>
        </w:rPr>
        <w:t xml:space="preserve">OLC, OI, </w:t>
      </w:r>
      <w:r w:rsidRPr="005635E7">
        <w:rPr>
          <w:rFonts w:ascii="Times New Roman" w:eastAsia="Calibri" w:hAnsi="Times New Roman" w:cs="Times New Roman"/>
        </w:rPr>
        <w:t xml:space="preserve">and FP has </w:t>
      </w:r>
      <w:r w:rsidRPr="005635E7">
        <w:rPr>
          <w:rFonts w:asciiTheme="majorBidi" w:hAnsiTheme="majorBidi" w:cstheme="majorBidi"/>
          <w:shd w:val="clear" w:color="auto" w:fill="FFFFFF"/>
        </w:rPr>
        <w:t>been studied</w:t>
      </w:r>
      <w:r w:rsidRPr="005635E7">
        <w:rPr>
          <w:rFonts w:ascii="Times New Roman" w:eastAsia="Calibri" w:hAnsi="Times New Roman" w:cs="Times New Roman"/>
        </w:rPr>
        <w:t xml:space="preserve"> separately in large firms (Brunswicker &amp; Chesbrough, 2018; Dodgson, Gann, &amp; Salter 2006; </w:t>
      </w:r>
      <w:r w:rsidRPr="005635E7">
        <w:rPr>
          <w:rFonts w:asciiTheme="majorBidi" w:hAnsiTheme="majorBidi" w:cstheme="majorBidi"/>
          <w:shd w:val="clear" w:color="auto" w:fill="FFFFFF"/>
        </w:rPr>
        <w:t>Remneland 2020; Remneland &amp; Styhre, 2019) and SMEs in developed countries (Barrett, et al., 2021; D'Angelo &amp; Baroncelli, 2020; Expósito et al. 2019; Popa et al., 2017) there is little empirical evidence to support this perspective in SMEs in emerging countries (Gomes &amp; Wojahn, 2017). As a result, this study contribute</w:t>
      </w:r>
      <w:r w:rsidRPr="005635E7">
        <w:rPr>
          <w:rFonts w:ascii="Times New Roman" w:eastAsia="Calibri" w:hAnsi="Times New Roman" w:cs="Times New Roman"/>
        </w:rPr>
        <w:t xml:space="preserve">s to the leading literature addressing the aforementioned research gap by </w:t>
      </w:r>
      <w:r w:rsidRPr="005635E7">
        <w:rPr>
          <w:rFonts w:asciiTheme="majorBidi" w:hAnsiTheme="majorBidi" w:cstheme="majorBidi"/>
          <w:shd w:val="clear" w:color="auto" w:fill="FFFFFF"/>
        </w:rPr>
        <w:t xml:space="preserve">highlighting the potential influence of </w:t>
      </w:r>
      <w:r w:rsidRPr="005635E7">
        <w:rPr>
          <w:rFonts w:ascii="Times New Roman" w:eastAsia="Calibri" w:hAnsi="Times New Roman" w:cs="Times New Roman"/>
        </w:rPr>
        <w:t>the OLC on OI and FP in the context of SMEs in rising nations, such as the UAE. Th</w:t>
      </w:r>
      <w:r w:rsidRPr="005635E7">
        <w:rPr>
          <w:rFonts w:asciiTheme="majorBidi" w:hAnsiTheme="majorBidi" w:cstheme="majorBidi"/>
          <w:shd w:val="clear" w:color="auto" w:fill="FFFFFF"/>
        </w:rPr>
        <w:t>is study is justified because the changing business environment in the highly competitive UAE results in increased competition and challenges in the traditional markets of SMEs, resulting in an increased need for organizational learning to create and manage internal and external knowledge, innovation, and organizational performance.</w:t>
      </w:r>
    </w:p>
    <w:p w14:paraId="5B15C250" w14:textId="77777777" w:rsidR="005976AB" w:rsidRPr="005635E7" w:rsidRDefault="005976AB" w:rsidP="005976AB">
      <w:pPr>
        <w:spacing w:after="240" w:line="480" w:lineRule="auto"/>
        <w:jc w:val="both"/>
        <w:rPr>
          <w:rFonts w:asciiTheme="majorBidi" w:hAnsiTheme="majorBidi" w:cstheme="majorBidi"/>
        </w:rPr>
      </w:pPr>
    </w:p>
    <w:p w14:paraId="6CCC4F07"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 competitiveness of SMEs in the UAE is reflected in the fact that 95% of all enterprises registered in the country are SMEs, which contribute 86% and 60% of the workforce and economy, respectively (UAE Government Portal, 2022). According to Amara et al. (2008), SMEs must focus on the establishment and execution of organizational learning, which allows for the distribution and exploitation of knowledge within the organization</w:t>
      </w:r>
      <w:r w:rsidRPr="005635E7">
        <w:rPr>
          <w:rFonts w:ascii="Times New Roman" w:eastAsia="Calibri" w:hAnsi="Times New Roman" w:cs="Times New Roman"/>
        </w:rPr>
        <w:t xml:space="preserve">, as well as the competitive external environment, </w:t>
      </w:r>
      <w:r w:rsidRPr="005635E7">
        <w:rPr>
          <w:rFonts w:asciiTheme="majorBidi" w:hAnsiTheme="majorBidi" w:cstheme="majorBidi"/>
        </w:rPr>
        <w:t xml:space="preserve">which </w:t>
      </w:r>
      <w:r>
        <w:rPr>
          <w:rFonts w:asciiTheme="majorBidi" w:hAnsiTheme="majorBidi" w:cstheme="majorBidi"/>
        </w:rPr>
        <w:t>may</w:t>
      </w:r>
      <w:r w:rsidRPr="005635E7">
        <w:rPr>
          <w:rFonts w:asciiTheme="majorBidi" w:hAnsiTheme="majorBidi" w:cstheme="majorBidi"/>
        </w:rPr>
        <w:t xml:space="preserve"> eventually manifest in innovation.</w:t>
      </w:r>
    </w:p>
    <w:p w14:paraId="7500A2D2"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Despite extensive research on these challenges in both major corporations and SMEs, there are gaps in the validity and trustworthiness of the study's outcomes (Freeburg, 2018). This is due to the fact that most studies investigating the relationships between organizational learning capacity, </w:t>
      </w:r>
      <w:r>
        <w:rPr>
          <w:rFonts w:asciiTheme="majorBidi" w:hAnsiTheme="majorBidi" w:cstheme="majorBidi"/>
        </w:rPr>
        <w:t>OI</w:t>
      </w:r>
      <w:r w:rsidRPr="005635E7">
        <w:rPr>
          <w:rFonts w:asciiTheme="majorBidi" w:hAnsiTheme="majorBidi" w:cstheme="majorBidi"/>
        </w:rPr>
        <w:t>, and firm success are qualitative in nature (Oduro et al., 2021; Vincent-Hoper &amp; Stein, 2019). This means that a larger emphasis has been placed on participants' subjective experiences of effective human resource management practices (Do &amp; Mai, 2022). Furthermore, much of the existing literature on organizational learning is based on case studies and other non-quantitative descriptive methodologies, particularly for large corporations (Do &amp; Mai 2022; Gunday et al., 2011). The originality of the current study stems from the need to provide a more objective portrayal of how OLC practices affect organizations’ OI capabilities and FP. Although the notion of OI has been thoroughly researched, better arguments based on quantitative analyses are required (Gressgard et al., 2014; Oduro et al., 2021).</w:t>
      </w:r>
    </w:p>
    <w:p w14:paraId="3473460E"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Accordingly, no single study </w:t>
      </w:r>
      <w:r w:rsidRPr="005635E7">
        <w:rPr>
          <w:rFonts w:ascii="Times New Roman" w:eastAsia="Calibri" w:hAnsi="Times New Roman" w:cs="Times New Roman"/>
        </w:rPr>
        <w:t>has investigat</w:t>
      </w:r>
      <w:r w:rsidRPr="005635E7">
        <w:rPr>
          <w:rFonts w:asciiTheme="majorBidi" w:hAnsiTheme="majorBidi" w:cstheme="majorBidi"/>
        </w:rPr>
        <w:t xml:space="preserve">ed the relationships </w:t>
      </w:r>
      <w:r w:rsidRPr="005635E7">
        <w:rPr>
          <w:rFonts w:ascii="Times New Roman" w:eastAsia="Calibri" w:hAnsi="Times New Roman" w:cs="Times New Roman"/>
        </w:rPr>
        <w:t>between the OLC, OI, and FP of SMEs in emerging countries, although the imperativeness of OI in SMEs tends to grow over time in terms of FP (</w:t>
      </w:r>
      <w:r w:rsidRPr="005635E7">
        <w:rPr>
          <w:rFonts w:asciiTheme="majorBidi" w:hAnsiTheme="majorBidi" w:cstheme="majorBidi"/>
          <w:shd w:val="clear" w:color="auto" w:fill="FFFFFF"/>
        </w:rPr>
        <w:t>Leckel, et al., 2020; Torchia, &amp; Calabrò, 2019; Usman et al., 2018)</w:t>
      </w:r>
      <w:r w:rsidRPr="005635E7">
        <w:rPr>
          <w:rFonts w:asciiTheme="majorBidi" w:hAnsiTheme="majorBidi" w:cstheme="majorBidi"/>
        </w:rPr>
        <w:t xml:space="preserve">. In view of </w:t>
      </w:r>
      <w:r w:rsidRPr="005635E7">
        <w:rPr>
          <w:rFonts w:ascii="Times New Roman" w:eastAsia="Calibri" w:hAnsi="Times New Roman" w:cs="Times New Roman"/>
        </w:rPr>
        <w:t xml:space="preserve">the above arguments, </w:t>
      </w:r>
      <w:r w:rsidRPr="005635E7">
        <w:rPr>
          <w:rFonts w:asciiTheme="majorBidi" w:hAnsiTheme="majorBidi" w:cstheme="majorBidi"/>
        </w:rPr>
        <w:t>the research question arises as to whether the OLC and OI impact the performance of SMEs in emerging economies</w:t>
      </w:r>
      <w:r w:rsidRPr="005635E7">
        <w:rPr>
          <w:rFonts w:ascii="Times New Roman" w:eastAsia="Calibri" w:hAnsi="Times New Roman" w:cs="Times New Roman"/>
        </w:rPr>
        <w:t>, and</w:t>
      </w:r>
      <w:r w:rsidRPr="005635E7">
        <w:rPr>
          <w:rFonts w:asciiTheme="majorBidi" w:hAnsiTheme="majorBidi" w:cstheme="majorBidi"/>
        </w:rPr>
        <w:t xml:space="preserve"> if so, how </w:t>
      </w:r>
      <w:r w:rsidRPr="005635E7">
        <w:rPr>
          <w:rFonts w:ascii="Times New Roman" w:eastAsia="Calibri" w:hAnsi="Times New Roman" w:cs="Times New Roman"/>
        </w:rPr>
        <w:t xml:space="preserve">does the OLC </w:t>
      </w:r>
      <w:r w:rsidRPr="005635E7">
        <w:rPr>
          <w:rFonts w:asciiTheme="majorBidi" w:hAnsiTheme="majorBidi" w:cstheme="majorBidi"/>
        </w:rPr>
        <w:t>contribute to FP through OI?</w:t>
      </w:r>
    </w:p>
    <w:p w14:paraId="455352FD"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22" w:name="_Toc115310364"/>
      <w:r w:rsidRPr="005635E7">
        <w:rPr>
          <w:rFonts w:asciiTheme="majorBidi" w:hAnsiTheme="majorBidi"/>
          <w:b/>
          <w:bCs/>
          <w:color w:val="auto"/>
          <w:sz w:val="28"/>
          <w:szCs w:val="28"/>
        </w:rPr>
        <w:t>1.4 Research Questions</w:t>
      </w:r>
      <w:bookmarkEnd w:id="22"/>
    </w:p>
    <w:p w14:paraId="28A38DD3" w14:textId="77777777" w:rsidR="005976AB" w:rsidRPr="005635E7" w:rsidRDefault="005976AB" w:rsidP="005976AB">
      <w:pPr>
        <w:pStyle w:val="ListParagraph"/>
        <w:numPr>
          <w:ilvl w:val="0"/>
          <w:numId w:val="2"/>
        </w:numPr>
        <w:spacing w:after="240" w:line="480" w:lineRule="auto"/>
        <w:ind w:left="426"/>
        <w:contextualSpacing w:val="0"/>
        <w:jc w:val="both"/>
        <w:rPr>
          <w:rFonts w:asciiTheme="majorBidi" w:hAnsiTheme="majorBidi" w:cstheme="majorBidi"/>
        </w:rPr>
      </w:pPr>
      <w:r w:rsidRPr="005635E7">
        <w:rPr>
          <w:rFonts w:asciiTheme="majorBidi" w:hAnsiTheme="majorBidi" w:cstheme="majorBidi"/>
        </w:rPr>
        <w:t xml:space="preserve">How do organizational learning skills boost </w:t>
      </w:r>
      <w:r>
        <w:rPr>
          <w:rFonts w:asciiTheme="majorBidi" w:hAnsiTheme="majorBidi" w:cstheme="majorBidi"/>
        </w:rPr>
        <w:t>OI</w:t>
      </w:r>
      <w:r w:rsidRPr="005635E7">
        <w:rPr>
          <w:rFonts w:asciiTheme="majorBidi" w:hAnsiTheme="majorBidi" w:cstheme="majorBidi"/>
        </w:rPr>
        <w:t xml:space="preserve"> in emerging-market SMEs?</w:t>
      </w:r>
    </w:p>
    <w:p w14:paraId="2584B04B" w14:textId="77777777" w:rsidR="005976AB" w:rsidRPr="005635E7" w:rsidRDefault="005976AB" w:rsidP="005976AB">
      <w:pPr>
        <w:pStyle w:val="ListParagraph"/>
        <w:numPr>
          <w:ilvl w:val="0"/>
          <w:numId w:val="2"/>
        </w:numPr>
        <w:spacing w:after="240" w:line="480" w:lineRule="auto"/>
        <w:ind w:left="426"/>
        <w:contextualSpacing w:val="0"/>
        <w:jc w:val="both"/>
        <w:rPr>
          <w:rFonts w:asciiTheme="majorBidi" w:hAnsiTheme="majorBidi" w:cstheme="majorBidi"/>
        </w:rPr>
      </w:pPr>
      <w:r w:rsidRPr="005635E7">
        <w:rPr>
          <w:rFonts w:asciiTheme="majorBidi" w:hAnsiTheme="majorBidi" w:cstheme="majorBidi"/>
        </w:rPr>
        <w:t xml:space="preserve">What impact does </w:t>
      </w:r>
      <w:r>
        <w:rPr>
          <w:rFonts w:asciiTheme="majorBidi" w:hAnsiTheme="majorBidi" w:cstheme="majorBidi"/>
        </w:rPr>
        <w:t>OI</w:t>
      </w:r>
      <w:r w:rsidRPr="005635E7">
        <w:rPr>
          <w:rFonts w:asciiTheme="majorBidi" w:hAnsiTheme="majorBidi" w:cstheme="majorBidi"/>
        </w:rPr>
        <w:t xml:space="preserve"> have on the performance of SMEs in emerging economies?</w:t>
      </w:r>
    </w:p>
    <w:p w14:paraId="6E6C0283" w14:textId="77777777" w:rsidR="005976AB" w:rsidRPr="005635E7" w:rsidRDefault="005976AB" w:rsidP="005976AB">
      <w:pPr>
        <w:pStyle w:val="ListParagraph"/>
        <w:numPr>
          <w:ilvl w:val="0"/>
          <w:numId w:val="2"/>
        </w:numPr>
        <w:spacing w:after="240" w:line="480" w:lineRule="auto"/>
        <w:ind w:left="426"/>
        <w:contextualSpacing w:val="0"/>
        <w:jc w:val="both"/>
        <w:rPr>
          <w:rFonts w:asciiTheme="majorBidi" w:hAnsiTheme="majorBidi" w:cstheme="majorBidi"/>
        </w:rPr>
      </w:pPr>
      <w:r w:rsidRPr="005635E7">
        <w:rPr>
          <w:rFonts w:asciiTheme="majorBidi" w:hAnsiTheme="majorBidi" w:cstheme="majorBidi"/>
        </w:rPr>
        <w:t xml:space="preserve">How do organizational learning capacities boost the success of SMEs through </w:t>
      </w:r>
      <w:r>
        <w:rPr>
          <w:rFonts w:asciiTheme="majorBidi" w:hAnsiTheme="majorBidi" w:cstheme="majorBidi"/>
        </w:rPr>
        <w:t>OI</w:t>
      </w:r>
      <w:r w:rsidRPr="005635E7">
        <w:rPr>
          <w:rFonts w:asciiTheme="majorBidi" w:hAnsiTheme="majorBidi" w:cstheme="majorBidi"/>
        </w:rPr>
        <w:t>?</w:t>
      </w:r>
    </w:p>
    <w:p w14:paraId="40A9508E"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23" w:name="_Toc115310365"/>
      <w:r w:rsidRPr="005635E7">
        <w:rPr>
          <w:rFonts w:asciiTheme="majorBidi" w:hAnsiTheme="majorBidi"/>
          <w:b/>
          <w:bCs/>
          <w:color w:val="auto"/>
          <w:sz w:val="28"/>
          <w:szCs w:val="28"/>
        </w:rPr>
        <w:t>1.5 Research Objectives</w:t>
      </w:r>
      <w:bookmarkEnd w:id="23"/>
    </w:p>
    <w:p w14:paraId="3A841FE4" w14:textId="77777777" w:rsidR="005976AB" w:rsidRPr="005635E7" w:rsidRDefault="005976AB" w:rsidP="005976AB">
      <w:pPr>
        <w:pStyle w:val="ListParagraph"/>
        <w:numPr>
          <w:ilvl w:val="0"/>
          <w:numId w:val="5"/>
        </w:numPr>
        <w:spacing w:after="240" w:line="480" w:lineRule="auto"/>
        <w:ind w:left="426"/>
        <w:jc w:val="both"/>
        <w:rPr>
          <w:rFonts w:asciiTheme="majorBidi" w:hAnsiTheme="majorBidi" w:cstheme="majorBidi"/>
        </w:rPr>
      </w:pPr>
      <w:r w:rsidRPr="005635E7">
        <w:rPr>
          <w:rFonts w:asciiTheme="majorBidi" w:hAnsiTheme="majorBidi" w:cstheme="majorBidi"/>
        </w:rPr>
        <w:t xml:space="preserve">This study aims to determine whether organizational learning capacities increase </w:t>
      </w:r>
      <w:r>
        <w:rPr>
          <w:rFonts w:asciiTheme="majorBidi" w:hAnsiTheme="majorBidi" w:cstheme="majorBidi"/>
        </w:rPr>
        <w:t>OI</w:t>
      </w:r>
      <w:r w:rsidRPr="005635E7">
        <w:rPr>
          <w:rFonts w:asciiTheme="majorBidi" w:hAnsiTheme="majorBidi" w:cstheme="majorBidi"/>
        </w:rPr>
        <w:t xml:space="preserve"> in SMEs in emerging economies.</w:t>
      </w:r>
    </w:p>
    <w:p w14:paraId="79C85287" w14:textId="77777777" w:rsidR="005976AB" w:rsidRPr="005635E7" w:rsidRDefault="005976AB" w:rsidP="005976AB">
      <w:pPr>
        <w:pStyle w:val="ListParagraph"/>
        <w:numPr>
          <w:ilvl w:val="0"/>
          <w:numId w:val="5"/>
        </w:numPr>
        <w:spacing w:after="240" w:line="480" w:lineRule="auto"/>
        <w:ind w:left="426"/>
        <w:jc w:val="both"/>
        <w:rPr>
          <w:rFonts w:asciiTheme="majorBidi" w:hAnsiTheme="majorBidi" w:cstheme="majorBidi"/>
        </w:rPr>
      </w:pPr>
      <w:r>
        <w:rPr>
          <w:rFonts w:asciiTheme="majorBidi" w:hAnsiTheme="majorBidi" w:cstheme="majorBidi"/>
        </w:rPr>
        <w:t>It attempts to d</w:t>
      </w:r>
      <w:r w:rsidRPr="005635E7">
        <w:rPr>
          <w:rFonts w:asciiTheme="majorBidi" w:hAnsiTheme="majorBidi" w:cstheme="majorBidi"/>
        </w:rPr>
        <w:t xml:space="preserve">etermine whether </w:t>
      </w:r>
      <w:r>
        <w:rPr>
          <w:rFonts w:asciiTheme="majorBidi" w:hAnsiTheme="majorBidi" w:cstheme="majorBidi"/>
        </w:rPr>
        <w:t>OI</w:t>
      </w:r>
      <w:r w:rsidRPr="005635E7">
        <w:rPr>
          <w:rFonts w:asciiTheme="majorBidi" w:hAnsiTheme="majorBidi" w:cstheme="majorBidi"/>
        </w:rPr>
        <w:t xml:space="preserve"> has a substantial impact on SME performance in emerging economies.</w:t>
      </w:r>
    </w:p>
    <w:p w14:paraId="15130A0B" w14:textId="77777777" w:rsidR="005976AB" w:rsidRPr="005635E7" w:rsidRDefault="005976AB" w:rsidP="005976AB">
      <w:pPr>
        <w:pStyle w:val="ListParagraph"/>
        <w:numPr>
          <w:ilvl w:val="0"/>
          <w:numId w:val="5"/>
        </w:numPr>
        <w:spacing w:after="240" w:line="480" w:lineRule="auto"/>
        <w:ind w:left="426"/>
        <w:jc w:val="both"/>
        <w:rPr>
          <w:rFonts w:asciiTheme="majorBidi" w:hAnsiTheme="majorBidi" w:cstheme="majorBidi"/>
        </w:rPr>
      </w:pPr>
      <w:r>
        <w:rPr>
          <w:rFonts w:asciiTheme="majorBidi" w:hAnsiTheme="majorBidi" w:cstheme="majorBidi"/>
        </w:rPr>
        <w:t>It aims to</w:t>
      </w:r>
      <w:r w:rsidRPr="005635E7">
        <w:rPr>
          <w:rFonts w:asciiTheme="majorBidi" w:hAnsiTheme="majorBidi" w:cstheme="majorBidi"/>
        </w:rPr>
        <w:t xml:space="preserve"> investigate the effect of </w:t>
      </w:r>
      <w:r>
        <w:rPr>
          <w:rFonts w:asciiTheme="majorBidi" w:hAnsiTheme="majorBidi" w:cstheme="majorBidi"/>
        </w:rPr>
        <w:t>OI</w:t>
      </w:r>
      <w:r w:rsidRPr="005635E7">
        <w:rPr>
          <w:rFonts w:asciiTheme="majorBidi" w:hAnsiTheme="majorBidi" w:cstheme="majorBidi"/>
        </w:rPr>
        <w:t xml:space="preserve"> on the relationship between </w:t>
      </w:r>
      <w:r>
        <w:rPr>
          <w:rFonts w:asciiTheme="majorBidi" w:hAnsiTheme="majorBidi" w:cstheme="majorBidi"/>
        </w:rPr>
        <w:t>OLC</w:t>
      </w:r>
      <w:r w:rsidRPr="005635E7">
        <w:rPr>
          <w:rFonts w:asciiTheme="majorBidi" w:hAnsiTheme="majorBidi" w:cstheme="majorBidi"/>
        </w:rPr>
        <w:t xml:space="preserve"> and SMEs' business performance.</w:t>
      </w:r>
    </w:p>
    <w:p w14:paraId="16750B5C"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24" w:name="_Toc115310366"/>
      <w:r w:rsidRPr="005635E7">
        <w:rPr>
          <w:rFonts w:asciiTheme="majorBidi" w:hAnsiTheme="majorBidi"/>
          <w:b/>
          <w:bCs/>
          <w:color w:val="auto"/>
          <w:sz w:val="28"/>
          <w:szCs w:val="28"/>
        </w:rPr>
        <w:t>1.6 Motivation and Significance of the Study</w:t>
      </w:r>
      <w:bookmarkEnd w:id="24"/>
    </w:p>
    <w:p w14:paraId="23418737"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Today, SMEs promote the OLC to survive constant changes in the corporate environment. This is critical because many studies have found a link between the OLC and innovation in organizations (e.g., Do &amp; Mai 2022; Gomes &amp; Wojahn, 2017; Onag et al., 2014; Pham &amp; Hoang et al., 2019). However, these findings are inconclusive. For example, while Do and Mai (2022) emphasize the importance of </w:t>
      </w:r>
      <w:r w:rsidRPr="005635E7">
        <w:rPr>
          <w:rFonts w:ascii="Times New Roman" w:eastAsia="Calibri" w:hAnsi="Times New Roman" w:cs="Times New Roman"/>
        </w:rPr>
        <w:t xml:space="preserve">the OLC in boosting business </w:t>
      </w:r>
      <w:r w:rsidRPr="005635E7">
        <w:rPr>
          <w:rFonts w:asciiTheme="majorBidi" w:hAnsiTheme="majorBidi" w:cstheme="majorBidi"/>
        </w:rPr>
        <w:t xml:space="preserve">performance, Gomes and Wojahn (2017) demonstrate different results. Furthermore, it is unclear whether OLC and OI influence the research. These conflicting findings prompted the need to examine specific aspects of organizational performance to provide a thorough understanding of the impact of </w:t>
      </w:r>
      <w:r w:rsidRPr="005635E7">
        <w:rPr>
          <w:rFonts w:ascii="Times New Roman" w:eastAsia="Calibri" w:hAnsi="Times New Roman" w:cs="Times New Roman"/>
        </w:rPr>
        <w:t xml:space="preserve">the OLC and OI, which </w:t>
      </w:r>
      <w:r w:rsidRPr="005635E7">
        <w:rPr>
          <w:rFonts w:asciiTheme="majorBidi" w:hAnsiTheme="majorBidi" w:cstheme="majorBidi"/>
        </w:rPr>
        <w:t>was addressed in the current study.</w:t>
      </w:r>
    </w:p>
    <w:p w14:paraId="23ED04B3" w14:textId="09B5DD3F" w:rsidR="005976AB" w:rsidRPr="005635E7" w:rsidRDefault="005976AB" w:rsidP="005976AB">
      <w:pPr>
        <w:spacing w:after="240" w:line="480" w:lineRule="auto"/>
        <w:jc w:val="both"/>
        <w:rPr>
          <w:rFonts w:asciiTheme="majorBidi" w:hAnsiTheme="majorBidi" w:cstheme="majorBidi"/>
          <w:shd w:val="clear" w:color="auto" w:fill="FFFFFF"/>
        </w:rPr>
      </w:pPr>
      <w:r w:rsidRPr="005635E7">
        <w:rPr>
          <w:rFonts w:asciiTheme="majorBidi" w:hAnsiTheme="majorBidi" w:cstheme="majorBidi"/>
        </w:rPr>
        <w:t xml:space="preserve">Additionally, </w:t>
      </w:r>
      <w:r w:rsidRPr="005635E7">
        <w:rPr>
          <w:rFonts w:ascii="Times New Roman" w:eastAsia="Calibri" w:hAnsi="Times New Roman" w:cs="Times New Roman"/>
        </w:rPr>
        <w:t>the literature on OI mainly focuse</w:t>
      </w:r>
      <w:r w:rsidRPr="005635E7">
        <w:rPr>
          <w:rFonts w:asciiTheme="majorBidi" w:hAnsiTheme="majorBidi" w:cstheme="majorBidi"/>
        </w:rPr>
        <w:t>s on large firms (</w:t>
      </w:r>
      <w:r w:rsidRPr="005635E7">
        <w:rPr>
          <w:rFonts w:asciiTheme="majorBidi" w:hAnsiTheme="majorBidi" w:cstheme="majorBidi"/>
          <w:shd w:val="clear" w:color="auto" w:fill="FFFFFF"/>
        </w:rPr>
        <w:t xml:space="preserve">Brunswicker &amp; Chesbrough, 2018; </w:t>
      </w:r>
      <w:r w:rsidRPr="005635E7">
        <w:rPr>
          <w:rFonts w:asciiTheme="majorBidi" w:hAnsiTheme="majorBidi" w:cstheme="majorBidi"/>
        </w:rPr>
        <w:t xml:space="preserve">Dodgson, Gann, &amp; Salter 2006; </w:t>
      </w:r>
      <w:r w:rsidRPr="005635E7">
        <w:rPr>
          <w:rFonts w:asciiTheme="majorBidi" w:hAnsiTheme="majorBidi" w:cstheme="majorBidi"/>
          <w:shd w:val="clear" w:color="auto" w:fill="FFFFFF"/>
        </w:rPr>
        <w:t>Remneland 2020; Remneland &amp; Styhre, 2019</w:t>
      </w:r>
      <w:r w:rsidRPr="005635E7">
        <w:rPr>
          <w:rFonts w:asciiTheme="majorBidi" w:hAnsiTheme="majorBidi" w:cstheme="majorBidi"/>
        </w:rPr>
        <w:t>), and several authors have proposed that OI practices can also be beneficial to SMEs (</w:t>
      </w:r>
      <w:r w:rsidRPr="005635E7">
        <w:rPr>
          <w:rFonts w:asciiTheme="majorBidi" w:hAnsiTheme="majorBidi" w:cstheme="majorBidi"/>
          <w:shd w:val="clear" w:color="auto" w:fill="FFFFFF"/>
        </w:rPr>
        <w:t>Leckel, et al., 2020; Torchia, &amp; Calabrò, 2019; Usman et al., 2018).</w:t>
      </w:r>
      <w:r w:rsidRPr="005635E7">
        <w:rPr>
          <w:rFonts w:asciiTheme="majorBidi" w:hAnsiTheme="majorBidi" w:cstheme="majorBidi"/>
        </w:rPr>
        <w:t xml:space="preserve"> </w:t>
      </w:r>
      <w:r w:rsidRPr="005635E7">
        <w:rPr>
          <w:rFonts w:asciiTheme="majorBidi" w:hAnsiTheme="majorBidi" w:cstheme="majorBidi"/>
          <w:shd w:val="clear" w:color="auto" w:fill="FFFFFF"/>
        </w:rPr>
        <w:t>Torchia and Calabr (2019) emphasize that SMEs may be interested in starting their own innovation to deal with restricted resources.</w:t>
      </w:r>
      <w:r w:rsidRPr="005635E7">
        <w:rPr>
          <w:rFonts w:asciiTheme="majorBidi" w:hAnsiTheme="majorBidi" w:cstheme="majorBidi"/>
        </w:rPr>
        <w:t xml:space="preserve"> </w:t>
      </w:r>
      <w:r w:rsidRPr="005635E7">
        <w:rPr>
          <w:rFonts w:ascii="Times New Roman" w:eastAsia="Calibri" w:hAnsi="Times New Roman" w:cs="Times New Roman"/>
        </w:rPr>
        <w:t>The O</w:t>
      </w:r>
      <w:r w:rsidR="00800FDA">
        <w:rPr>
          <w:rFonts w:ascii="Times New Roman" w:eastAsia="Calibri" w:hAnsi="Times New Roman" w:cs="Times New Roman"/>
        </w:rPr>
        <w:t>I</w:t>
      </w:r>
      <w:r w:rsidRPr="005635E7">
        <w:rPr>
          <w:rFonts w:ascii="Times New Roman" w:eastAsia="Calibri" w:hAnsi="Times New Roman" w:cs="Times New Roman"/>
        </w:rPr>
        <w:t xml:space="preserve"> mainly consists of two aspects: inbound OI (IP) and Outbound OI. IP encompasses cooperation with other firms or universities and</w:t>
      </w:r>
      <w:r w:rsidRPr="005635E7">
        <w:rPr>
          <w:rFonts w:asciiTheme="majorBidi" w:hAnsiTheme="majorBidi" w:cstheme="majorBidi"/>
        </w:rPr>
        <w:t xml:space="preserve"> the inclusion of end-users or clients in the activities associated with product development (e.g., R&amp;D institutions for product development, intellectual property rights from external parties) (</w:t>
      </w:r>
      <w:r w:rsidRPr="005635E7">
        <w:rPr>
          <w:rFonts w:asciiTheme="majorBidi" w:hAnsiTheme="majorBidi" w:cstheme="majorBidi"/>
          <w:shd w:val="clear" w:color="auto" w:fill="FFFFFF"/>
        </w:rPr>
        <w:t xml:space="preserve">Scaliza et al., 2022). </w:t>
      </w:r>
      <w:r w:rsidRPr="005635E7">
        <w:rPr>
          <w:rFonts w:asciiTheme="majorBidi" w:hAnsiTheme="majorBidi" w:cstheme="majorBidi"/>
        </w:rPr>
        <w:t>OP relates to the exploitation of technological capabilities (</w:t>
      </w:r>
      <w:r w:rsidRPr="005635E7">
        <w:rPr>
          <w:rFonts w:asciiTheme="majorBidi" w:hAnsiTheme="majorBidi" w:cstheme="majorBidi"/>
          <w:shd w:val="clear" w:color="auto" w:fill="FFFFFF"/>
        </w:rPr>
        <w:t xml:space="preserve">Cheah, &amp; Yuen-Ping, 2021). </w:t>
      </w:r>
      <w:r w:rsidRPr="005635E7">
        <w:rPr>
          <w:rFonts w:asciiTheme="majorBidi" w:hAnsiTheme="majorBidi" w:cstheme="majorBidi"/>
        </w:rPr>
        <w:t xml:space="preserve">However, very few studies have investigated the interaction between IP and FP and OP and FP in a single study concerning SMEs, </w:t>
      </w:r>
      <w:r w:rsidRPr="005635E7">
        <w:rPr>
          <w:rFonts w:ascii="Times New Roman" w:eastAsia="Calibri" w:hAnsi="Times New Roman" w:cs="Times New Roman"/>
        </w:rPr>
        <w:t xml:space="preserve">although studies have confirmed their benefit to large firms through different studies in different countries and sectors (Do &amp; Mai, 2022; </w:t>
      </w:r>
      <w:r w:rsidRPr="005635E7">
        <w:rPr>
          <w:rFonts w:asciiTheme="majorBidi" w:hAnsiTheme="majorBidi" w:cstheme="majorBidi"/>
          <w:shd w:val="clear" w:color="auto" w:fill="FFFFFF"/>
        </w:rPr>
        <w:t xml:space="preserve">Motohashi 2016; </w:t>
      </w:r>
      <w:r w:rsidRPr="005635E7">
        <w:rPr>
          <w:rFonts w:asciiTheme="majorBidi" w:hAnsiTheme="majorBidi" w:cstheme="majorBidi"/>
        </w:rPr>
        <w:t>Pham &amp; Hoang et al., 2019</w:t>
      </w:r>
      <w:r w:rsidRPr="005635E7">
        <w:rPr>
          <w:rFonts w:asciiTheme="majorBidi" w:hAnsiTheme="majorBidi" w:cstheme="majorBidi"/>
          <w:shd w:val="clear" w:color="auto" w:fill="FFFFFF"/>
        </w:rPr>
        <w:t xml:space="preserve">). Such contradictions in the existing literature </w:t>
      </w:r>
      <w:r w:rsidRPr="005635E7">
        <w:rPr>
          <w:rFonts w:ascii="Times New Roman" w:eastAsia="Calibri" w:hAnsi="Times New Roman" w:cs="Times New Roman"/>
        </w:rPr>
        <w:t>have encouraged this investigation</w:t>
      </w:r>
      <w:r w:rsidRPr="005635E7">
        <w:rPr>
          <w:rFonts w:asciiTheme="majorBidi" w:hAnsiTheme="majorBidi" w:cstheme="majorBidi"/>
          <w:shd w:val="clear" w:color="auto" w:fill="FFFFFF"/>
        </w:rPr>
        <w:t>.</w:t>
      </w:r>
    </w:p>
    <w:p w14:paraId="56DA17F3"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It is also commonly acknowledged that most earlier studies on OLC and OI and their implications in large enterprises cannot be easily extrapolated to SMEs (Lee et al., 2010; Spithoven et al., 2013; Popa et al., 2017). As a result, this study adds to the existing literature on OLC, FP, and OI because it is the first to develop and empirically test an integrative research model to evaluate the effect of OLC on both IP and OP</w:t>
      </w:r>
      <w:r w:rsidRPr="005635E7">
        <w:rPr>
          <w:rFonts w:ascii="Times New Roman" w:eastAsia="Calibri" w:hAnsi="Times New Roman" w:cs="Times New Roman"/>
        </w:rPr>
        <w:t>, as well as the effect of IP and OP on SME performance, while assessing the mediating role of both IP and OP on the association between OLC and FP.</w:t>
      </w:r>
    </w:p>
    <w:p w14:paraId="07D5A5B7"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25" w:name="_Toc115310367"/>
      <w:r w:rsidRPr="005635E7">
        <w:rPr>
          <w:rFonts w:asciiTheme="majorBidi" w:hAnsiTheme="majorBidi"/>
          <w:b/>
          <w:bCs/>
          <w:color w:val="auto"/>
          <w:sz w:val="28"/>
          <w:szCs w:val="28"/>
        </w:rPr>
        <w:t>1.7 Contributions of the Study</w:t>
      </w:r>
      <w:bookmarkEnd w:id="25"/>
    </w:p>
    <w:p w14:paraId="2A430831"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The results of this study address the issues of current management practices associated with </w:t>
      </w:r>
      <w:r>
        <w:rPr>
          <w:rFonts w:asciiTheme="majorBidi" w:hAnsiTheme="majorBidi" w:cstheme="majorBidi"/>
        </w:rPr>
        <w:t>OLC</w:t>
      </w:r>
      <w:r w:rsidRPr="005635E7">
        <w:rPr>
          <w:rFonts w:asciiTheme="majorBidi" w:hAnsiTheme="majorBidi" w:cstheme="majorBidi"/>
        </w:rPr>
        <w:t xml:space="preserve">, </w:t>
      </w:r>
      <w:r>
        <w:rPr>
          <w:rFonts w:asciiTheme="majorBidi" w:hAnsiTheme="majorBidi" w:cstheme="majorBidi"/>
        </w:rPr>
        <w:t>OI</w:t>
      </w:r>
      <w:r w:rsidRPr="005635E7">
        <w:rPr>
          <w:rFonts w:asciiTheme="majorBidi" w:hAnsiTheme="majorBidi" w:cstheme="majorBidi"/>
        </w:rPr>
        <w:t xml:space="preserve">, and </w:t>
      </w:r>
      <w:r>
        <w:rPr>
          <w:rFonts w:asciiTheme="majorBidi" w:hAnsiTheme="majorBidi" w:cstheme="majorBidi"/>
        </w:rPr>
        <w:t>FP</w:t>
      </w:r>
      <w:r w:rsidRPr="005635E7">
        <w:rPr>
          <w:rFonts w:asciiTheme="majorBidi" w:hAnsiTheme="majorBidi" w:cstheme="majorBidi"/>
        </w:rPr>
        <w:t xml:space="preserve"> within SMEs in developing countries, such as </w:t>
      </w:r>
      <w:r w:rsidRPr="005635E7">
        <w:rPr>
          <w:rFonts w:ascii="Times New Roman" w:eastAsia="Calibri" w:hAnsi="Times New Roman" w:cs="Times New Roman"/>
        </w:rPr>
        <w:t>the UAE</w:t>
      </w:r>
      <w:r w:rsidRPr="005635E7">
        <w:rPr>
          <w:rFonts w:asciiTheme="majorBidi" w:hAnsiTheme="majorBidi" w:cstheme="majorBidi"/>
        </w:rPr>
        <w:t xml:space="preserve">. As SMEs are growing in emerging countries, their competitiveness has become immense, requiring them to be more innovative. The competitiveness of SMEs in the UAE is reflected in the fact that 94% of all enterprises registered in the UAE are SMEs that contribute </w:t>
      </w:r>
      <w:r w:rsidRPr="005635E7">
        <w:rPr>
          <w:rFonts w:ascii="Times New Roman" w:eastAsia="Calibri" w:hAnsi="Times New Roman" w:cs="Times New Roman"/>
        </w:rPr>
        <w:t xml:space="preserve">86% and 60% to </w:t>
      </w:r>
      <w:r w:rsidRPr="005635E7">
        <w:rPr>
          <w:rFonts w:asciiTheme="majorBidi" w:hAnsiTheme="majorBidi" w:cstheme="majorBidi"/>
        </w:rPr>
        <w:t>the workforce in the private sector and gross domestic product (GDP), respectively (The UAE Government Portal, 2022),</w:t>
      </w:r>
    </w:p>
    <w:p w14:paraId="689E07CE"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However, in the context of emerging economies, existing research that provides implications for the direction of organizational learning skills in </w:t>
      </w:r>
      <w:r>
        <w:rPr>
          <w:rFonts w:asciiTheme="majorBidi" w:hAnsiTheme="majorBidi" w:cstheme="majorBidi"/>
        </w:rPr>
        <w:t>OI</w:t>
      </w:r>
      <w:r w:rsidRPr="005635E7">
        <w:rPr>
          <w:rFonts w:asciiTheme="majorBidi" w:hAnsiTheme="majorBidi" w:cstheme="majorBidi"/>
        </w:rPr>
        <w:t xml:space="preserve"> and </w:t>
      </w:r>
      <w:r>
        <w:rPr>
          <w:rFonts w:asciiTheme="majorBidi" w:hAnsiTheme="majorBidi" w:cstheme="majorBidi"/>
        </w:rPr>
        <w:t>OI</w:t>
      </w:r>
      <w:r w:rsidRPr="005635E7">
        <w:rPr>
          <w:rFonts w:asciiTheme="majorBidi" w:hAnsiTheme="majorBidi" w:cstheme="majorBidi"/>
        </w:rPr>
        <w:t xml:space="preserve"> on </w:t>
      </w:r>
      <w:r>
        <w:rPr>
          <w:rFonts w:asciiTheme="majorBidi" w:hAnsiTheme="majorBidi" w:cstheme="majorBidi"/>
        </w:rPr>
        <w:t>FP</w:t>
      </w:r>
      <w:r w:rsidRPr="005635E7">
        <w:rPr>
          <w:rFonts w:asciiTheme="majorBidi" w:hAnsiTheme="majorBidi" w:cstheme="majorBidi"/>
        </w:rPr>
        <w:t xml:space="preserve"> is still inadequate (Gomes &amp; Wojahn, 2017). Based on the findings of this study, it is possible to construct an evidence-based relationship between organizational learning capacities, </w:t>
      </w:r>
      <w:r>
        <w:rPr>
          <w:rFonts w:asciiTheme="majorBidi" w:hAnsiTheme="majorBidi" w:cstheme="majorBidi"/>
        </w:rPr>
        <w:t>OI</w:t>
      </w:r>
      <w:r w:rsidRPr="005635E7">
        <w:rPr>
          <w:rFonts w:asciiTheme="majorBidi" w:hAnsiTheme="majorBidi" w:cstheme="majorBidi"/>
        </w:rPr>
        <w:t xml:space="preserve">, and </w:t>
      </w:r>
      <w:r>
        <w:rPr>
          <w:rFonts w:asciiTheme="majorBidi" w:hAnsiTheme="majorBidi" w:cstheme="majorBidi"/>
        </w:rPr>
        <w:t>FP</w:t>
      </w:r>
      <w:r w:rsidRPr="005635E7">
        <w:rPr>
          <w:rFonts w:asciiTheme="majorBidi" w:hAnsiTheme="majorBidi" w:cstheme="majorBidi"/>
        </w:rPr>
        <w:t xml:space="preserve">. Furthermore, the study offers managers of SMEs in the UAE recommendations on how to significantly improve their organizational learning capacities and contribute to </w:t>
      </w:r>
      <w:r>
        <w:rPr>
          <w:rFonts w:asciiTheme="majorBidi" w:hAnsiTheme="majorBidi" w:cstheme="majorBidi"/>
        </w:rPr>
        <w:t>OI</w:t>
      </w:r>
      <w:r w:rsidRPr="005635E7">
        <w:rPr>
          <w:rFonts w:asciiTheme="majorBidi" w:hAnsiTheme="majorBidi" w:cstheme="majorBidi"/>
        </w:rPr>
        <w:t>, thus improving SMEs' performance.</w:t>
      </w:r>
    </w:p>
    <w:p w14:paraId="119E5908" w14:textId="77777777" w:rsidR="005976AB" w:rsidRPr="005635E7" w:rsidRDefault="005976AB" w:rsidP="005976AB">
      <w:pPr>
        <w:pStyle w:val="Heading2"/>
        <w:spacing w:after="240"/>
        <w:rPr>
          <w:rFonts w:asciiTheme="majorBidi" w:hAnsiTheme="majorBidi"/>
          <w:b/>
          <w:bCs/>
          <w:color w:val="auto"/>
          <w:sz w:val="28"/>
          <w:szCs w:val="28"/>
        </w:rPr>
      </w:pPr>
      <w:bookmarkStart w:id="26" w:name="_Toc115310368"/>
      <w:r w:rsidRPr="005635E7">
        <w:rPr>
          <w:rFonts w:asciiTheme="majorBidi" w:hAnsiTheme="majorBidi"/>
          <w:b/>
          <w:bCs/>
          <w:color w:val="auto"/>
          <w:sz w:val="28"/>
          <w:szCs w:val="28"/>
        </w:rPr>
        <w:t>1.8 Dissertation Structure</w:t>
      </w:r>
      <w:bookmarkEnd w:id="26"/>
    </w:p>
    <w:p w14:paraId="02CA50AA"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 remainder of this dissertation is structured as follows. The second chapter explores the literature on human resource management practices, organizational learning capabilities, and open innovation before developing the study's theoretical framework and assumptions. Chapter 3 describes the methodology of this study, including the research paradigm, approach, strategy, sample, data gathering</w:t>
      </w:r>
      <w:r w:rsidRPr="005635E7">
        <w:rPr>
          <w:rFonts w:ascii="Times New Roman" w:eastAsia="Calibri" w:hAnsi="Times New Roman" w:cs="Times New Roman"/>
        </w:rPr>
        <w:t xml:space="preserve">, and analysis procedures. </w:t>
      </w:r>
      <w:r w:rsidRPr="005635E7">
        <w:rPr>
          <w:rFonts w:asciiTheme="majorBidi" w:hAnsiTheme="majorBidi" w:cstheme="majorBidi"/>
        </w:rPr>
        <w:t xml:space="preserve">Chapter 4 presents the results of structural equation modeling (SEM), which is used to verify </w:t>
      </w:r>
      <w:r w:rsidRPr="005635E7">
        <w:rPr>
          <w:rFonts w:ascii="Times New Roman" w:eastAsia="Calibri" w:hAnsi="Times New Roman" w:cs="Times New Roman"/>
        </w:rPr>
        <w:t xml:space="preserve">the hypotheses created, </w:t>
      </w:r>
      <w:r w:rsidRPr="005635E7">
        <w:rPr>
          <w:rFonts w:asciiTheme="majorBidi" w:hAnsiTheme="majorBidi" w:cstheme="majorBidi"/>
        </w:rPr>
        <w:t>and discusses the results in relation to earlier studies presented in Chapter 2. Chapter 5 presents a final discussion identifying theoretical and managerial implications for the extant literature and SMEs in developing countries, as well as recommendations for future research.</w:t>
      </w:r>
    </w:p>
    <w:p w14:paraId="26854B8C"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27" w:name="_Toc115310369"/>
      <w:r w:rsidRPr="005635E7">
        <w:rPr>
          <w:rFonts w:asciiTheme="majorBidi" w:hAnsiTheme="majorBidi"/>
          <w:b/>
          <w:bCs/>
          <w:color w:val="auto"/>
          <w:sz w:val="28"/>
          <w:szCs w:val="28"/>
        </w:rPr>
        <w:t>1.9 Chapter Summary</w:t>
      </w:r>
      <w:bookmarkEnd w:id="27"/>
    </w:p>
    <w:p w14:paraId="62AFFFC5"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It critically discusses the study's research problem and explains the need to shed light on the identified research gap as a lack of empirical studies investigating the possible links between </w:t>
      </w:r>
      <w:r>
        <w:rPr>
          <w:rFonts w:asciiTheme="majorBidi" w:hAnsiTheme="majorBidi" w:cstheme="majorBidi"/>
        </w:rPr>
        <w:t>OLC</w:t>
      </w:r>
      <w:r w:rsidRPr="005635E7">
        <w:rPr>
          <w:rFonts w:asciiTheme="majorBidi" w:hAnsiTheme="majorBidi" w:cstheme="majorBidi"/>
        </w:rPr>
        <w:t xml:space="preserve">, </w:t>
      </w:r>
      <w:r>
        <w:rPr>
          <w:rFonts w:asciiTheme="majorBidi" w:hAnsiTheme="majorBidi" w:cstheme="majorBidi"/>
        </w:rPr>
        <w:t>OI</w:t>
      </w:r>
      <w:r w:rsidRPr="005635E7">
        <w:rPr>
          <w:rFonts w:asciiTheme="majorBidi" w:hAnsiTheme="majorBidi" w:cstheme="majorBidi"/>
        </w:rPr>
        <w:t xml:space="preserve">, and </w:t>
      </w:r>
      <w:r>
        <w:rPr>
          <w:rFonts w:asciiTheme="majorBidi" w:hAnsiTheme="majorBidi" w:cstheme="majorBidi"/>
        </w:rPr>
        <w:t>FP</w:t>
      </w:r>
      <w:r w:rsidRPr="005635E7">
        <w:rPr>
          <w:rFonts w:asciiTheme="majorBidi" w:hAnsiTheme="majorBidi" w:cstheme="majorBidi"/>
        </w:rPr>
        <w:t xml:space="preserve"> in the context of SMEs in emerging regions. Although a strong relationship between these four variables has been empirically demonstrated in developed countries (Lazzarotti et al., 2016; du Chatenier et al., 2010; Papa et al., 2018), their findings cannot be generalized to emerging economies</w:t>
      </w:r>
      <w:r w:rsidRPr="005635E7">
        <w:rPr>
          <w:rFonts w:ascii="Times New Roman" w:eastAsia="Calibri" w:hAnsi="Times New Roman" w:cs="Times New Roman"/>
        </w:rPr>
        <w:t>, such as the UAE, where SMEs are the most important contributors to the non-oil economy (NBF, 2019). Thus, the crucial significance of th</w:t>
      </w:r>
      <w:r w:rsidRPr="005635E7">
        <w:rPr>
          <w:rFonts w:asciiTheme="majorBidi" w:hAnsiTheme="majorBidi" w:cstheme="majorBidi"/>
        </w:rPr>
        <w:t xml:space="preserve">is study's findings is its significant contribution to the existing literature on HR, organizational learning capacity, </w:t>
      </w:r>
      <w:r>
        <w:rPr>
          <w:rFonts w:asciiTheme="majorBidi" w:hAnsiTheme="majorBidi" w:cstheme="majorBidi"/>
        </w:rPr>
        <w:t>OI</w:t>
      </w:r>
      <w:r w:rsidRPr="005635E7">
        <w:rPr>
          <w:rFonts w:asciiTheme="majorBidi" w:hAnsiTheme="majorBidi" w:cstheme="majorBidi"/>
        </w:rPr>
        <w:t>, and SME performance. The following section explores the literature on each of the aforementioned variables to create the conceptual framework and hypotheses.</w:t>
      </w:r>
    </w:p>
    <w:p w14:paraId="14F4051B" w14:textId="77777777" w:rsidR="005976AB" w:rsidRPr="005635E7" w:rsidRDefault="005976AB" w:rsidP="005976AB">
      <w:pPr>
        <w:rPr>
          <w:rFonts w:asciiTheme="majorBidi" w:hAnsiTheme="majorBidi" w:cstheme="majorBidi"/>
        </w:rPr>
      </w:pPr>
      <w:r w:rsidRPr="005635E7">
        <w:rPr>
          <w:rFonts w:asciiTheme="majorBidi" w:hAnsiTheme="majorBidi" w:cstheme="majorBidi"/>
        </w:rPr>
        <w:br w:type="page"/>
      </w:r>
    </w:p>
    <w:p w14:paraId="70749CCB" w14:textId="77777777" w:rsidR="005976AB" w:rsidRPr="005635E7" w:rsidRDefault="005976AB" w:rsidP="005976AB">
      <w:pPr>
        <w:pStyle w:val="Caption"/>
        <w:rPr>
          <w:rFonts w:asciiTheme="majorBidi" w:hAnsiTheme="majorBidi" w:cstheme="majorBidi"/>
          <w:i w:val="0"/>
          <w:iCs w:val="0"/>
          <w:color w:val="auto"/>
          <w:sz w:val="24"/>
          <w:szCs w:val="24"/>
        </w:rPr>
      </w:pPr>
      <w:bookmarkStart w:id="28" w:name="_Toc126432340"/>
      <w:r w:rsidRPr="005635E7">
        <w:rPr>
          <w:rFonts w:asciiTheme="majorBidi" w:hAnsiTheme="majorBidi" w:cstheme="majorBidi"/>
          <w:i w:val="0"/>
          <w:iCs w:val="0"/>
          <w:color w:val="auto"/>
          <w:sz w:val="24"/>
          <w:szCs w:val="24"/>
        </w:rPr>
        <w:t>Figure 1.</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Figure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1</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The flow of the dissertation</w:t>
      </w:r>
      <w:bookmarkEnd w:id="28"/>
    </w:p>
    <w:p w14:paraId="44B01C98" w14:textId="77777777" w:rsidR="005976AB" w:rsidRPr="005635E7" w:rsidRDefault="005976AB" w:rsidP="005976AB"/>
    <w:p w14:paraId="3345CF02" w14:textId="77777777" w:rsidR="005976AB" w:rsidRPr="005635E7" w:rsidRDefault="005976AB" w:rsidP="005976AB">
      <w:r w:rsidRPr="005635E7">
        <w:rPr>
          <w:noProof/>
        </w:rPr>
        <mc:AlternateContent>
          <mc:Choice Requires="wpc">
            <w:drawing>
              <wp:inline distT="0" distB="0" distL="0" distR="0" wp14:anchorId="100CDC5F" wp14:editId="586ED817">
                <wp:extent cx="5355590" cy="5902037"/>
                <wp:effectExtent l="0" t="12700" r="3810" b="3810"/>
                <wp:docPr id="57" name="Canvas 5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8" name="Text Box 30"/>
                        <wps:cNvSpPr txBox="1"/>
                        <wps:spPr>
                          <a:xfrm>
                            <a:off x="1567246" y="0"/>
                            <a:ext cx="1931674" cy="451262"/>
                          </a:xfrm>
                          <a:prstGeom prst="rect">
                            <a:avLst/>
                          </a:prstGeom>
                          <a:solidFill>
                            <a:schemeClr val="lt1"/>
                          </a:solidFill>
                          <a:ln w="19050">
                            <a:solidFill>
                              <a:schemeClr val="tx1"/>
                            </a:solidFill>
                          </a:ln>
                        </wps:spPr>
                        <wps:txbx>
                          <w:txbxContent>
                            <w:p w14:paraId="486F49D6"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Introduction to dissertation</w:t>
                              </w:r>
                            </w:p>
                            <w:p w14:paraId="707065DD"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1</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59" name="Text Box 32"/>
                        <wps:cNvSpPr txBox="1"/>
                        <wps:spPr>
                          <a:xfrm>
                            <a:off x="1579418" y="902525"/>
                            <a:ext cx="1942750" cy="482763"/>
                          </a:xfrm>
                          <a:prstGeom prst="rect">
                            <a:avLst/>
                          </a:prstGeom>
                          <a:solidFill>
                            <a:schemeClr val="lt1"/>
                          </a:solidFill>
                          <a:ln w="19050">
                            <a:solidFill>
                              <a:schemeClr val="tx1"/>
                            </a:solidFill>
                          </a:ln>
                        </wps:spPr>
                        <wps:txbx>
                          <w:txbxContent>
                            <w:p w14:paraId="7010CC92"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Literature Review, Hypotheses</w:t>
                              </w:r>
                            </w:p>
                            <w:p w14:paraId="4F84E962"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2</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60" name="Straight Arrow Connector 60"/>
                        <wps:cNvCnPr/>
                        <wps:spPr>
                          <a:xfrm>
                            <a:off x="2536840" y="1507239"/>
                            <a:ext cx="0" cy="26449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1" name="Text Box 34"/>
                        <wps:cNvSpPr txBox="1"/>
                        <wps:spPr>
                          <a:xfrm>
                            <a:off x="1555667" y="1799779"/>
                            <a:ext cx="1942750" cy="610912"/>
                          </a:xfrm>
                          <a:prstGeom prst="rect">
                            <a:avLst/>
                          </a:prstGeom>
                          <a:solidFill>
                            <a:schemeClr val="lt1"/>
                          </a:solidFill>
                          <a:ln w="19050">
                            <a:solidFill>
                              <a:schemeClr val="tx1"/>
                            </a:solidFill>
                          </a:ln>
                        </wps:spPr>
                        <wps:txbx>
                          <w:txbxContent>
                            <w:p w14:paraId="749A4B44"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Research Methodology</w:t>
                              </w:r>
                            </w:p>
                            <w:p w14:paraId="5E466BDC"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3</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62" name="Text Box 36"/>
                        <wps:cNvSpPr txBox="1"/>
                        <wps:spPr>
                          <a:xfrm>
                            <a:off x="1555667" y="2881210"/>
                            <a:ext cx="1923620" cy="691690"/>
                          </a:xfrm>
                          <a:prstGeom prst="rect">
                            <a:avLst/>
                          </a:prstGeom>
                          <a:solidFill>
                            <a:schemeClr val="lt1"/>
                          </a:solidFill>
                          <a:ln w="19050">
                            <a:solidFill>
                              <a:schemeClr val="tx1"/>
                            </a:solidFill>
                          </a:ln>
                        </wps:spPr>
                        <wps:txbx>
                          <w:txbxContent>
                            <w:p w14:paraId="1F013BCF"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Data analysis (EFA, CFA, SM, Mediation), hypothesis testing, discussion of results</w:t>
                              </w:r>
                            </w:p>
                            <w:p w14:paraId="0D602A13"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4</w:t>
                              </w:r>
                            </w:p>
                            <w:p w14:paraId="3D3AE562"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 </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83" name="Text Box 37"/>
                        <wps:cNvSpPr txBox="1"/>
                        <wps:spPr>
                          <a:xfrm>
                            <a:off x="1567246" y="3987405"/>
                            <a:ext cx="1908516" cy="632013"/>
                          </a:xfrm>
                          <a:prstGeom prst="rect">
                            <a:avLst/>
                          </a:prstGeom>
                          <a:solidFill>
                            <a:schemeClr val="lt1"/>
                          </a:solidFill>
                          <a:ln w="19050">
                            <a:solidFill>
                              <a:schemeClr val="tx1"/>
                            </a:solidFill>
                          </a:ln>
                        </wps:spPr>
                        <wps:txbx>
                          <w:txbxContent>
                            <w:p w14:paraId="712E3077"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Data analysis (EFA, CFA, SM, Mediation)</w:t>
                              </w:r>
                            </w:p>
                            <w:p w14:paraId="140639BF"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4</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85" name="Text Box 49"/>
                        <wps:cNvSpPr txBox="1"/>
                        <wps:spPr>
                          <a:xfrm>
                            <a:off x="1567246" y="4992677"/>
                            <a:ext cx="1934191" cy="576849"/>
                          </a:xfrm>
                          <a:prstGeom prst="rect">
                            <a:avLst/>
                          </a:prstGeom>
                          <a:solidFill>
                            <a:schemeClr val="lt1"/>
                          </a:solidFill>
                          <a:ln w="19050">
                            <a:solidFill>
                              <a:schemeClr val="tx1"/>
                            </a:solidFill>
                          </a:ln>
                        </wps:spPr>
                        <wps:txbx>
                          <w:txbxContent>
                            <w:p w14:paraId="75EF5CF3"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Conclusion, Implication</w:t>
                              </w:r>
                              <w:r>
                                <w:rPr>
                                  <w:rFonts w:asciiTheme="majorBidi" w:eastAsia="Calibri" w:hAnsiTheme="majorBidi" w:cstheme="majorBidi"/>
                                  <w:sz w:val="20"/>
                                  <w:szCs w:val="20"/>
                                </w:rPr>
                                <w:t>s</w:t>
                              </w:r>
                              <w:r w:rsidRPr="00013B2B">
                                <w:rPr>
                                  <w:rFonts w:asciiTheme="majorBidi" w:eastAsia="Calibri" w:hAnsiTheme="majorBidi" w:cstheme="majorBidi"/>
                                  <w:sz w:val="20"/>
                                  <w:szCs w:val="20"/>
                                </w:rPr>
                                <w:t xml:space="preserve">, </w:t>
                              </w:r>
                              <w:r>
                                <w:rPr>
                                  <w:rFonts w:asciiTheme="majorBidi" w:eastAsia="Calibri" w:hAnsiTheme="majorBidi" w:cstheme="majorBidi"/>
                                  <w:sz w:val="20"/>
                                  <w:szCs w:val="20"/>
                                </w:rPr>
                                <w:t>Limitations</w:t>
                              </w:r>
                              <w:r w:rsidRPr="00013B2B">
                                <w:rPr>
                                  <w:rFonts w:asciiTheme="majorBidi" w:eastAsia="Calibri" w:hAnsiTheme="majorBidi" w:cstheme="majorBidi"/>
                                  <w:sz w:val="20"/>
                                  <w:szCs w:val="20"/>
                                </w:rPr>
                                <w:t xml:space="preserve"> &amp; Future research</w:t>
                              </w:r>
                            </w:p>
                            <w:p w14:paraId="7ACDD906"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5</w:t>
                              </w:r>
                            </w:p>
                          </w:txbxContent>
                        </wps:txbx>
                        <wps:bodyPr rot="0" spcFirstLastPara="0" vert="horz" wrap="square" lIns="91440" tIns="45720" rIns="91440" bIns="45720" numCol="1" spcCol="0" rtlCol="0" fromWordArt="0" anchor="ctr" anchorCtr="0" forceAA="0" compatLnSpc="1">
                          <a:prstTxWarp prst="textNoShape">
                            <a:avLst/>
                          </a:prstTxWarp>
                        </wps:bodyPr>
                      </wps:wsp>
                      <wps:wsp>
                        <wps:cNvPr id="89" name="Straight Arrow Connector 89"/>
                        <wps:cNvCnPr/>
                        <wps:spPr>
                          <a:xfrm>
                            <a:off x="2523798" y="4674928"/>
                            <a:ext cx="0" cy="26449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93" name="Straight Arrow Connector 93"/>
                        <wps:cNvCnPr/>
                        <wps:spPr>
                          <a:xfrm>
                            <a:off x="2503454" y="3623709"/>
                            <a:ext cx="0" cy="26449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99" name="Straight Arrow Connector 99"/>
                        <wps:cNvCnPr/>
                        <wps:spPr>
                          <a:xfrm>
                            <a:off x="2503454" y="523073"/>
                            <a:ext cx="0" cy="26416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02" name="Straight Arrow Connector 102"/>
                        <wps:cNvCnPr/>
                        <wps:spPr>
                          <a:xfrm>
                            <a:off x="2523798" y="2494377"/>
                            <a:ext cx="0" cy="26416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00CDC5F" id="Canvas 57" o:spid="_x0000_s1026" editas="canvas" style="width:421.7pt;height:464.75pt;mso-position-horizontal-relative:char;mso-position-vertical-relative:line" coordsize="53555,59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555;height:59016;visibility:visible;mso-wrap-style:square" filled="t">
                  <v:fill o:detectmouseclick="t"/>
                  <v:path o:connecttype="none"/>
                </v:shape>
                <v:shapetype id="_x0000_t202" coordsize="21600,21600" o:spt="202" path="m,l,21600r21600,l21600,xe">
                  <v:stroke joinstyle="miter"/>
                  <v:path gradientshapeok="t" o:connecttype="rect"/>
                </v:shapetype>
                <v:shape id="Text Box 30" o:spid="_x0000_s1028" type="#_x0000_t202" style="position:absolute;left:15672;width:19317;height:4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" fillcolor="white [3201]" strokecolor="black [3213]" strokeweight="1.5pt">
                  <v:textbox>
                    <w:txbxContent>
                      <w:p w14:paraId="486F49D6"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Introduction to dissertation</w:t>
                        </w:r>
                      </w:p>
                      <w:p w14:paraId="707065DD"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1</w:t>
                        </w:r>
                      </w:p>
                    </w:txbxContent>
                  </v:textbox>
                </v:shape>
                <v:shape id="Text Box 32" o:spid="_x0000_s1029" type="#_x0000_t202" style="position:absolute;left:15794;top:9025;width:19427;height:4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" fillcolor="white [3201]" strokecolor="black [3213]" strokeweight="1.5pt">
                  <v:textbox>
                    <w:txbxContent>
                      <w:p w14:paraId="7010CC92"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Literature Review, Hypotheses</w:t>
                        </w:r>
                      </w:p>
                      <w:p w14:paraId="4F84E962"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2</w:t>
                        </w:r>
                      </w:p>
                    </w:txbxContent>
                  </v:textbox>
                </v:shape>
                <v:shapetype id="_x0000_t32" coordsize="21600,21600" o:spt="32" o:oned="t" path="m,l21600,21600e" filled="f">
                  <v:path arrowok="t" fillok="f" o:connecttype="none"/>
                  <o:lock v:ext="edit" shapetype="t"/>
                </v:shapetype>
                <v:shape id="Straight Arrow Connector 60" o:spid="_x0000_s1030" type="#_x0000_t32" style="position:absolute;left:25368;top:15072;width:0;height:26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" strokecolor="black [3213]" strokeweight="1.5pt">
                  <v:stroke endarrow="block" joinstyle="miter"/>
                </v:shape>
                <v:shape id="Text Box 34" o:spid="_x0000_s1031" type="#_x0000_t202" style="position:absolute;left:15556;top:17997;width:19428;height:6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" fillcolor="white [3201]" strokecolor="black [3213]" strokeweight="1.5pt">
                  <v:textbox>
                    <w:txbxContent>
                      <w:p w14:paraId="749A4B44"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Research Methodology</w:t>
                        </w:r>
                      </w:p>
                      <w:p w14:paraId="5E466BDC"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3</w:t>
                        </w:r>
                      </w:p>
                    </w:txbxContent>
                  </v:textbox>
                </v:shape>
                <v:shape id="Text Box 36" o:spid="_x0000_s1032" type="#_x0000_t202" style="position:absolute;left:15556;top:28812;width:19236;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" fillcolor="white [3201]" strokecolor="black [3213]" strokeweight="1.5pt">
                  <v:textbox>
                    <w:txbxContent>
                      <w:p w14:paraId="1F013BCF"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Data analysis (EFA, CFA, SM, Mediation), hypothesis testing, discussion of results</w:t>
                        </w:r>
                      </w:p>
                      <w:p w14:paraId="0D602A13"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4</w:t>
                        </w:r>
                      </w:p>
                      <w:p w14:paraId="3D3AE562"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 </w:t>
                        </w:r>
                      </w:p>
                    </w:txbxContent>
                  </v:textbox>
                </v:shape>
                <v:shape id="Text Box 37" o:spid="_x0000_s1033" type="#_x0000_t202" style="position:absolute;left:15672;top:39874;width:19085;height:6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" fillcolor="white [3201]" strokecolor="black [3213]" strokeweight="1.5pt">
                  <v:textbox>
                    <w:txbxContent>
                      <w:p w14:paraId="712E3077"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Data analysis (EFA, CFA, SM, Mediation)</w:t>
                        </w:r>
                      </w:p>
                      <w:p w14:paraId="140639BF"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4</w:t>
                        </w:r>
                      </w:p>
                    </w:txbxContent>
                  </v:textbox>
                </v:shape>
                <v:shape id="Text Box 49" o:spid="_x0000_s1034" type="#_x0000_t202" style="position:absolute;left:15672;top:49926;width:19342;height:5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" fillcolor="white [3201]" strokecolor="black [3213]" strokeweight="1.5pt">
                  <v:textbox>
                    <w:txbxContent>
                      <w:p w14:paraId="75EF5CF3" w14:textId="77777777" w:rsidR="005976AB" w:rsidRPr="00013B2B" w:rsidRDefault="005976AB" w:rsidP="005976AB">
                        <w:pPr>
                          <w:jc w:val="center"/>
                          <w:rPr>
                            <w:rFonts w:asciiTheme="majorBidi" w:eastAsia="Calibri" w:hAnsiTheme="majorBidi" w:cstheme="majorBidi"/>
                            <w:sz w:val="20"/>
                            <w:szCs w:val="20"/>
                          </w:rPr>
                        </w:pPr>
                        <w:r w:rsidRPr="00013B2B">
                          <w:rPr>
                            <w:rFonts w:asciiTheme="majorBidi" w:eastAsia="Calibri" w:hAnsiTheme="majorBidi" w:cstheme="majorBidi"/>
                            <w:sz w:val="20"/>
                            <w:szCs w:val="20"/>
                          </w:rPr>
                          <w:t>Conclusion, Implication</w:t>
                        </w:r>
                        <w:r>
                          <w:rPr>
                            <w:rFonts w:asciiTheme="majorBidi" w:eastAsia="Calibri" w:hAnsiTheme="majorBidi" w:cstheme="majorBidi"/>
                            <w:sz w:val="20"/>
                            <w:szCs w:val="20"/>
                          </w:rPr>
                          <w:t>s</w:t>
                        </w:r>
                        <w:r w:rsidRPr="00013B2B">
                          <w:rPr>
                            <w:rFonts w:asciiTheme="majorBidi" w:eastAsia="Calibri" w:hAnsiTheme="majorBidi" w:cstheme="majorBidi"/>
                            <w:sz w:val="20"/>
                            <w:szCs w:val="20"/>
                          </w:rPr>
                          <w:t xml:space="preserve">, </w:t>
                        </w:r>
                        <w:r>
                          <w:rPr>
                            <w:rFonts w:asciiTheme="majorBidi" w:eastAsia="Calibri" w:hAnsiTheme="majorBidi" w:cstheme="majorBidi"/>
                            <w:sz w:val="20"/>
                            <w:szCs w:val="20"/>
                          </w:rPr>
                          <w:t>Limitations</w:t>
                        </w:r>
                        <w:r w:rsidRPr="00013B2B">
                          <w:rPr>
                            <w:rFonts w:asciiTheme="majorBidi" w:eastAsia="Calibri" w:hAnsiTheme="majorBidi" w:cstheme="majorBidi"/>
                            <w:sz w:val="20"/>
                            <w:szCs w:val="20"/>
                          </w:rPr>
                          <w:t xml:space="preserve"> &amp; Future research</w:t>
                        </w:r>
                      </w:p>
                      <w:p w14:paraId="7ACDD906" w14:textId="77777777" w:rsidR="005976AB" w:rsidRPr="00013B2B" w:rsidRDefault="005976AB" w:rsidP="005976AB">
                        <w:pPr>
                          <w:jc w:val="center"/>
                          <w:rPr>
                            <w:rFonts w:asciiTheme="majorBidi" w:eastAsia="Calibri" w:hAnsiTheme="majorBidi" w:cstheme="majorBidi"/>
                            <w:b/>
                            <w:bCs/>
                            <w:sz w:val="20"/>
                            <w:szCs w:val="20"/>
                          </w:rPr>
                        </w:pPr>
                        <w:r w:rsidRPr="00013B2B">
                          <w:rPr>
                            <w:rFonts w:asciiTheme="majorBidi" w:eastAsia="Calibri" w:hAnsiTheme="majorBidi" w:cstheme="majorBidi"/>
                            <w:b/>
                            <w:bCs/>
                            <w:sz w:val="20"/>
                            <w:szCs w:val="20"/>
                          </w:rPr>
                          <w:t>Chapter 5</w:t>
                        </w:r>
                      </w:p>
                    </w:txbxContent>
                  </v:textbox>
                </v:shape>
                <v:shape id="Straight Arrow Connector 89" o:spid="_x0000_s1035" type="#_x0000_t32" style="position:absolute;left:25237;top:46749;width:0;height:26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" strokecolor="black [3213]" strokeweight="1.5pt">
                  <v:stroke endarrow="block" joinstyle="miter"/>
                </v:shape>
                <v:shape id="Straight Arrow Connector 93" o:spid="_x0000_s1036" type="#_x0000_t32" style="position:absolute;left:25034;top:36237;width:0;height:26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" strokecolor="black [3213]" strokeweight="1.5pt">
                  <v:stroke endarrow="block" joinstyle="miter"/>
                </v:shape>
                <v:shape id="Straight Arrow Connector 99" o:spid="_x0000_s1037" type="#_x0000_t32" style="position:absolute;left:25034;top:5230;width:0;height:26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" strokecolor="black [3213]" strokeweight="1.5pt">
                  <v:stroke endarrow="block" joinstyle="miter"/>
                </v:shape>
                <v:shape id="Straight Arrow Connector 102" o:spid="_x0000_s1038" type="#_x0000_t32" style="position:absolute;left:25237;top:24943;width:0;height:26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" strokecolor="black [3213]" strokeweight="1.5pt">
                  <v:stroke endarrow="block" joinstyle="miter"/>
                </v:shape>
                <w10:anchorlock/>
              </v:group>
            </w:pict>
          </mc:Fallback>
        </mc:AlternateContent>
      </w:r>
    </w:p>
    <w:p w14:paraId="182346C3" w14:textId="77777777" w:rsidR="005976AB" w:rsidRPr="005635E7" w:rsidRDefault="005976AB" w:rsidP="005976AB"/>
    <w:p w14:paraId="1C5E61D0" w14:textId="77777777" w:rsidR="005976AB" w:rsidRPr="005635E7" w:rsidRDefault="005976AB" w:rsidP="005976AB">
      <w:pPr>
        <w:pStyle w:val="Heading1"/>
        <w:spacing w:before="0" w:line="480" w:lineRule="auto"/>
        <w:jc w:val="center"/>
        <w:rPr>
          <w:rFonts w:asciiTheme="majorBidi" w:hAnsiTheme="majorBidi"/>
          <w:b/>
          <w:bCs/>
          <w:color w:val="auto"/>
          <w:sz w:val="28"/>
          <w:szCs w:val="28"/>
        </w:rPr>
      </w:pPr>
      <w:r w:rsidRPr="005635E7">
        <w:rPr>
          <w:color w:val="auto"/>
        </w:rPr>
        <w:br w:type="page"/>
      </w:r>
      <w:bookmarkStart w:id="29" w:name="_Toc115310370"/>
      <w:r w:rsidRPr="005635E7">
        <w:rPr>
          <w:rFonts w:asciiTheme="majorBidi" w:hAnsiTheme="majorBidi"/>
          <w:b/>
          <w:bCs/>
          <w:color w:val="auto"/>
          <w:sz w:val="28"/>
          <w:szCs w:val="28"/>
        </w:rPr>
        <w:t>CHAPTER 2</w:t>
      </w:r>
      <w:bookmarkEnd w:id="29"/>
    </w:p>
    <w:p w14:paraId="6BDB1A2A" w14:textId="77777777" w:rsidR="005976AB" w:rsidRPr="005635E7" w:rsidRDefault="005976AB" w:rsidP="005976AB">
      <w:pPr>
        <w:pStyle w:val="Heading1"/>
        <w:spacing w:before="0" w:line="480" w:lineRule="auto"/>
        <w:jc w:val="center"/>
        <w:rPr>
          <w:rFonts w:asciiTheme="majorBidi" w:hAnsiTheme="majorBidi"/>
          <w:b/>
          <w:bCs/>
          <w:color w:val="auto"/>
          <w:sz w:val="28"/>
          <w:szCs w:val="28"/>
        </w:rPr>
      </w:pPr>
      <w:bookmarkStart w:id="30" w:name="_Toc115310371"/>
      <w:r w:rsidRPr="005635E7">
        <w:rPr>
          <w:rFonts w:asciiTheme="majorBidi" w:hAnsiTheme="majorBidi"/>
          <w:b/>
          <w:bCs/>
          <w:color w:val="auto"/>
          <w:sz w:val="28"/>
          <w:szCs w:val="28"/>
        </w:rPr>
        <w:t>LITERATURE REVIEW</w:t>
      </w:r>
      <w:bookmarkEnd w:id="30"/>
    </w:p>
    <w:p w14:paraId="4F87A08A" w14:textId="77777777" w:rsidR="005976AB" w:rsidRPr="005635E7" w:rsidRDefault="005976AB" w:rsidP="005976AB">
      <w:pPr>
        <w:pStyle w:val="Heading2"/>
        <w:spacing w:before="0" w:after="60" w:line="480" w:lineRule="auto"/>
        <w:rPr>
          <w:rFonts w:asciiTheme="majorBidi" w:hAnsiTheme="majorBidi"/>
          <w:b/>
          <w:bCs/>
          <w:color w:val="auto"/>
          <w:sz w:val="28"/>
          <w:szCs w:val="28"/>
        </w:rPr>
      </w:pPr>
      <w:bookmarkStart w:id="31" w:name="_Toc115310372"/>
      <w:r w:rsidRPr="005635E7">
        <w:rPr>
          <w:rFonts w:asciiTheme="majorBidi" w:hAnsiTheme="majorBidi"/>
          <w:b/>
          <w:bCs/>
          <w:color w:val="auto"/>
          <w:sz w:val="28"/>
          <w:szCs w:val="28"/>
        </w:rPr>
        <w:t>2.1 Introduction</w:t>
      </w:r>
      <w:bookmarkEnd w:id="31"/>
    </w:p>
    <w:p w14:paraId="21269B89"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This section reviews the literature on OLC, OI and FP, along with the theoretical foundation and hypotheses of the study. This chapter is divided into two sections. The first section elaborates on and discusses the theoretical viewpoints used in this investigation, as well as how they are mirrored in the current study. The second portion elaborates on this hypothesis by conducting in-depth research on the relationship</w:t>
      </w:r>
      <w:r w:rsidRPr="005635E7">
        <w:rPr>
          <w:rFonts w:ascii="Times New Roman" w:eastAsia="Calibri" w:hAnsi="Times New Roman" w:cs="Times New Roman"/>
        </w:rPr>
        <w:t xml:space="preserve">s </w:t>
      </w:r>
      <w:r w:rsidRPr="005635E7">
        <w:rPr>
          <w:rFonts w:asciiTheme="majorBidi" w:hAnsiTheme="majorBidi" w:cstheme="majorBidi"/>
        </w:rPr>
        <w:t xml:space="preserve">among organizational learning capacity, </w:t>
      </w:r>
      <w:r>
        <w:rPr>
          <w:rFonts w:asciiTheme="majorBidi" w:hAnsiTheme="majorBidi" w:cstheme="majorBidi"/>
        </w:rPr>
        <w:t>OI</w:t>
      </w:r>
      <w:r w:rsidRPr="005635E7">
        <w:rPr>
          <w:rFonts w:asciiTheme="majorBidi" w:hAnsiTheme="majorBidi" w:cstheme="majorBidi"/>
        </w:rPr>
        <w:t>, and business performance. Figure 2.1 summarizes the road map</w:t>
      </w:r>
      <w:r w:rsidRPr="005635E7">
        <w:rPr>
          <w:rFonts w:ascii="Times New Roman" w:eastAsia="Calibri" w:hAnsi="Times New Roman" w:cs="Times New Roman"/>
        </w:rPr>
        <w:t xml:space="preserve"> from Chapter 2.</w:t>
      </w:r>
    </w:p>
    <w:p w14:paraId="6129A298" w14:textId="77777777" w:rsidR="005976AB" w:rsidRPr="005635E7" w:rsidRDefault="005976AB" w:rsidP="005976AB">
      <w:pPr>
        <w:pStyle w:val="Caption"/>
        <w:rPr>
          <w:rFonts w:asciiTheme="majorBidi" w:hAnsiTheme="majorBidi" w:cstheme="majorBidi"/>
          <w:i w:val="0"/>
          <w:iCs w:val="0"/>
          <w:color w:val="auto"/>
          <w:sz w:val="24"/>
          <w:szCs w:val="24"/>
        </w:rPr>
      </w:pPr>
      <w:bookmarkStart w:id="32" w:name="_Toc109962220"/>
      <w:bookmarkStart w:id="33" w:name="_Toc126432341"/>
      <w:r w:rsidRPr="005635E7">
        <w:rPr>
          <w:rFonts w:asciiTheme="majorBidi" w:hAnsiTheme="majorBidi" w:cstheme="majorBidi"/>
          <w:i w:val="0"/>
          <w:iCs w:val="0"/>
          <w:color w:val="auto"/>
          <w:sz w:val="24"/>
          <w:szCs w:val="24"/>
        </w:rPr>
        <w:t>Figure 2</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STYLEREF 1 \s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cs/>
        </w:rPr>
        <w:t>‎</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Figure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1</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Road Map of Chapter Two</w:t>
      </w:r>
      <w:bookmarkEnd w:id="32"/>
      <w:bookmarkEnd w:id="33"/>
    </w:p>
    <w:p w14:paraId="154F9A88"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noProof/>
        </w:rPr>
        <mc:AlternateContent>
          <mc:Choice Requires="wpc">
            <w:drawing>
              <wp:inline distT="0" distB="0" distL="0" distR="0" wp14:anchorId="2F64D14F" wp14:editId="49BE8D34">
                <wp:extent cx="6022340" cy="3615559"/>
                <wp:effectExtent l="0" t="0" r="0" b="4445"/>
                <wp:docPr id="45" name="Canvas 45"/>
                <wp:cNvGraphicFramePr/>
                <a:graphic xmlns:a="http://schemas.openxmlformats.org/drawingml/2006/main">
                  <a:graphicData uri="http://schemas.microsoft.com/office/word/2010/wordprocessingCanvas">
                    <wpc:wpc>
                      <wpc:bg>
                        <a:solidFill>
                          <a:srgbClr val="FFFFFF"/>
                        </a:solidFill>
                      </wpc:bg>
                      <wpc:whole/>
                      <wps:wsp>
                        <wps:cNvPr id="41" name="Rectangle 57"/>
                        <wps:cNvSpPr>
                          <a:spLocks noChangeArrowheads="1"/>
                        </wps:cNvSpPr>
                        <wps:spPr bwMode="auto">
                          <a:xfrm>
                            <a:off x="3363215" y="557051"/>
                            <a:ext cx="2574643" cy="212987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AECB2AD" w14:textId="77777777" w:rsidR="005976AB" w:rsidRPr="00603043" w:rsidRDefault="005976AB" w:rsidP="005976AB">
                              <w:pPr>
                                <w:jc w:val="center"/>
                                <w:rPr>
                                  <w:rFonts w:asciiTheme="majorBidi" w:hAnsiTheme="majorBidi" w:cstheme="majorBidi"/>
                                  <w:b/>
                                  <w:bCs/>
                                </w:rPr>
                              </w:pPr>
                              <w:r w:rsidRPr="00603043">
                                <w:rPr>
                                  <w:rFonts w:asciiTheme="majorBidi" w:hAnsiTheme="majorBidi" w:cstheme="majorBidi"/>
                                  <w:b/>
                                  <w:bCs/>
                                </w:rPr>
                                <w:t>Framework and Hypotheses</w:t>
                              </w:r>
                            </w:p>
                            <w:p w14:paraId="758F74A8" w14:textId="77777777" w:rsidR="005976AB" w:rsidRPr="00603043" w:rsidRDefault="005976AB" w:rsidP="005976AB">
                              <w:pPr>
                                <w:pStyle w:val="ListParagraph"/>
                                <w:numPr>
                                  <w:ilvl w:val="0"/>
                                  <w:numId w:val="10"/>
                                </w:numPr>
                                <w:ind w:left="360"/>
                                <w:jc w:val="both"/>
                                <w:rPr>
                                  <w:rFonts w:asciiTheme="majorBidi" w:hAnsiTheme="majorBidi" w:cstheme="majorBidi"/>
                                  <w:sz w:val="22"/>
                                  <w:szCs w:val="22"/>
                                </w:rPr>
                              </w:pPr>
                              <w:r w:rsidRPr="00603043">
                                <w:rPr>
                                  <w:rFonts w:asciiTheme="majorBidi" w:hAnsiTheme="majorBidi" w:cstheme="majorBidi"/>
                                  <w:sz w:val="22"/>
                                  <w:szCs w:val="22"/>
                                </w:rPr>
                                <w:t xml:space="preserve">Literature relating to the effect OLC on OI and FP  </w:t>
                              </w:r>
                            </w:p>
                            <w:p w14:paraId="1B7B3AC2" w14:textId="77777777" w:rsidR="005976AB" w:rsidRPr="00603043" w:rsidRDefault="005976AB" w:rsidP="005976AB">
                              <w:pPr>
                                <w:pStyle w:val="ListParagraph"/>
                                <w:numPr>
                                  <w:ilvl w:val="0"/>
                                  <w:numId w:val="10"/>
                                </w:numPr>
                                <w:ind w:left="360"/>
                                <w:jc w:val="both"/>
                                <w:rPr>
                                  <w:rFonts w:asciiTheme="majorBidi" w:hAnsiTheme="majorBidi" w:cstheme="majorBidi"/>
                                  <w:sz w:val="22"/>
                                  <w:szCs w:val="22"/>
                                </w:rPr>
                              </w:pPr>
                              <w:r w:rsidRPr="00603043">
                                <w:rPr>
                                  <w:rFonts w:asciiTheme="majorBidi" w:hAnsiTheme="majorBidi" w:cstheme="majorBidi"/>
                                  <w:sz w:val="22"/>
                                  <w:szCs w:val="22"/>
                                </w:rPr>
                                <w:t xml:space="preserve">Reviewing the impact of learning capabilities and open innovation on firm performance </w:t>
                              </w:r>
                            </w:p>
                            <w:p w14:paraId="6189E357" w14:textId="77777777" w:rsidR="005976AB" w:rsidRPr="00603043" w:rsidRDefault="005976AB" w:rsidP="005976AB">
                              <w:pPr>
                                <w:pStyle w:val="ListParagraph"/>
                                <w:numPr>
                                  <w:ilvl w:val="0"/>
                                  <w:numId w:val="10"/>
                                </w:numPr>
                                <w:ind w:left="360"/>
                                <w:jc w:val="both"/>
                                <w:rPr>
                                  <w:rFonts w:asciiTheme="majorBidi" w:hAnsiTheme="majorBidi" w:cstheme="majorBidi"/>
                                  <w:sz w:val="22"/>
                                  <w:szCs w:val="22"/>
                                </w:rPr>
                              </w:pPr>
                              <w:r w:rsidRPr="00603043">
                                <w:rPr>
                                  <w:rFonts w:asciiTheme="majorBidi" w:hAnsiTheme="majorBidi" w:cstheme="majorBidi"/>
                                  <w:sz w:val="22"/>
                                  <w:szCs w:val="22"/>
                                </w:rPr>
                                <w:t xml:space="preserve">Analyzing literature to support the possible mediating role of learning capabilities and open innovation on other constructs  </w:t>
                              </w:r>
                            </w:p>
                            <w:p w14:paraId="01E369A9" w14:textId="77777777" w:rsidR="005976AB" w:rsidRPr="00B21F83" w:rsidRDefault="005976AB" w:rsidP="005976AB">
                              <w:pPr>
                                <w:rPr>
                                  <w:b/>
                                  <w:bCs/>
                                  <w:sz w:val="22"/>
                                  <w:szCs w:val="22"/>
                                  <w:highlight w:val="yellow"/>
                                </w:rPr>
                              </w:pPr>
                            </w:p>
                            <w:p w14:paraId="0C591ED6" w14:textId="77777777" w:rsidR="005976AB" w:rsidRPr="00B21F83" w:rsidRDefault="005976AB" w:rsidP="005976AB">
                              <w:pPr>
                                <w:spacing w:line="254" w:lineRule="auto"/>
                                <w:rPr>
                                  <w:sz w:val="22"/>
                                  <w:szCs w:val="22"/>
                                </w:rPr>
                              </w:pPr>
                            </w:p>
                          </w:txbxContent>
                        </wps:txbx>
                        <wps:bodyPr rot="0" vert="horz" wrap="square" lIns="91440" tIns="45720" rIns="91440" bIns="45720" anchor="ctr" anchorCtr="0" upright="1"/>
                      </wps:wsp>
                      <wps:wsp>
                        <wps:cNvPr id="42" name="Rectangle 58"/>
                        <wps:cNvSpPr>
                          <a:spLocks noChangeArrowheads="1"/>
                        </wps:cNvSpPr>
                        <wps:spPr bwMode="auto">
                          <a:xfrm>
                            <a:off x="57592" y="1034329"/>
                            <a:ext cx="2490960" cy="121946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FC0BFFA" w14:textId="77777777" w:rsidR="005976AB" w:rsidRPr="00603043" w:rsidRDefault="005976AB" w:rsidP="005976AB">
                              <w:pPr>
                                <w:jc w:val="center"/>
                                <w:rPr>
                                  <w:rFonts w:asciiTheme="majorBidi" w:eastAsia="Calibri" w:hAnsiTheme="majorBidi" w:cstheme="majorBidi"/>
                                  <w:b/>
                                  <w:bCs/>
                                </w:rPr>
                              </w:pPr>
                              <w:r w:rsidRPr="00603043">
                                <w:rPr>
                                  <w:rFonts w:asciiTheme="majorBidi" w:eastAsia="Calibri" w:hAnsiTheme="majorBidi" w:cstheme="majorBidi"/>
                                  <w:b/>
                                  <w:bCs/>
                                </w:rPr>
                                <w:t xml:space="preserve">Dynamic </w:t>
                              </w:r>
                              <w:r>
                                <w:rPr>
                                  <w:rFonts w:asciiTheme="majorBidi" w:eastAsia="Calibri" w:hAnsiTheme="majorBidi" w:cstheme="majorBidi"/>
                                  <w:b/>
                                  <w:bCs/>
                                </w:rPr>
                                <w:t>C</w:t>
                              </w:r>
                              <w:r w:rsidRPr="00603043">
                                <w:rPr>
                                  <w:rFonts w:asciiTheme="majorBidi" w:eastAsia="Calibri" w:hAnsiTheme="majorBidi" w:cstheme="majorBidi"/>
                                  <w:b/>
                                  <w:bCs/>
                                </w:rPr>
                                <w:t xml:space="preserve">apability Theory </w:t>
                              </w:r>
                            </w:p>
                            <w:p w14:paraId="2091E7F6" w14:textId="77777777" w:rsidR="005976AB" w:rsidRPr="00603043" w:rsidRDefault="005976AB" w:rsidP="005976AB">
                              <w:pPr>
                                <w:jc w:val="center"/>
                                <w:rPr>
                                  <w:rFonts w:asciiTheme="majorBidi" w:eastAsia="Calibri" w:hAnsiTheme="majorBidi" w:cstheme="majorBidi"/>
                                </w:rPr>
                              </w:pPr>
                              <w:r w:rsidRPr="00603043">
                                <w:rPr>
                                  <w:rFonts w:asciiTheme="majorBidi" w:hAnsiTheme="majorBidi" w:cstheme="majorBidi"/>
                                  <w:bCs/>
                                  <w:sz w:val="22"/>
                                  <w:szCs w:val="22"/>
                                </w:rPr>
                                <w:t xml:space="preserve">How OLC can lead to the development of dynamic capabilities and improve firm and innovation performance through developing dynamic assets and capabilities </w:t>
                              </w:r>
                            </w:p>
                            <w:p w14:paraId="187C91E0" w14:textId="77777777" w:rsidR="005976AB" w:rsidRPr="008500ED" w:rsidRDefault="005976AB" w:rsidP="005976AB">
                              <w:pPr>
                                <w:jc w:val="center"/>
                                <w:rPr>
                                  <w:rFonts w:asciiTheme="majorBidi" w:hAnsiTheme="majorBidi" w:cstheme="majorBidi"/>
                                </w:rPr>
                              </w:pPr>
                            </w:p>
                            <w:p w14:paraId="7DF4F91E" w14:textId="77777777" w:rsidR="005976AB" w:rsidRPr="008500ED" w:rsidRDefault="005976AB" w:rsidP="005976AB">
                              <w:pPr>
                                <w:jc w:val="center"/>
                                <w:rPr>
                                  <w:rFonts w:asciiTheme="majorBidi" w:hAnsiTheme="majorBidi" w:cstheme="majorBidi"/>
                                </w:rPr>
                              </w:pPr>
                              <w:r w:rsidRPr="008500ED">
                                <w:rPr>
                                  <w:rFonts w:asciiTheme="majorBidi" w:eastAsia="Calibri" w:hAnsiTheme="majorBidi" w:cstheme="majorBidi"/>
                                </w:rPr>
                                <w:t> </w:t>
                              </w:r>
                            </w:p>
                          </w:txbxContent>
                        </wps:txbx>
                        <wps:bodyPr rot="0" vert="horz" wrap="square" lIns="91440" tIns="45720" rIns="91440" bIns="45720" anchor="ctr" anchorCtr="0" upright="1"/>
                      </wps:wsp>
                      <wps:wsp>
                        <wps:cNvPr id="47" name="Straight Arrow Connector 47"/>
                        <wps:cNvCnPr>
                          <a:endCxn id="41" idx="1"/>
                        </wps:cNvCnPr>
                        <wps:spPr>
                          <a:xfrm flipV="1">
                            <a:off x="2596015" y="1621764"/>
                            <a:ext cx="767200" cy="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F64D14F" id="Canvas 45" o:spid="_x0000_s1039" editas="canvas" style="width:474.2pt;height:284.7pt;mso-position-horizontal-relative:char;mso-position-vertical-relative:line" coordsize="60223,36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">
                <v:shape id="_x0000_s1040" type="#_x0000_t75" style="position:absolute;width:60223;height:36150;visibility:visible;mso-wrap-style:square" filled="t">
                  <v:fill o:detectmouseclick="t"/>
                  <v:path o:connecttype="none"/>
                </v:shape>
                <v:rect id="Rectangle 57" o:spid="_x0000_s1041" style="position:absolute;left:33632;top:5570;width:25746;height:21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" fillcolor="white [3201]" strokecolor="black [3200]" strokeweight="1pt">
                  <v:textbox>
                    <w:txbxContent>
                      <w:p w14:paraId="4AECB2AD" w14:textId="77777777" w:rsidR="005976AB" w:rsidRPr="00603043" w:rsidRDefault="005976AB" w:rsidP="005976AB">
                        <w:pPr>
                          <w:jc w:val="center"/>
                          <w:rPr>
                            <w:rFonts w:asciiTheme="majorBidi" w:hAnsiTheme="majorBidi" w:cstheme="majorBidi"/>
                            <w:b/>
                            <w:bCs/>
                          </w:rPr>
                        </w:pPr>
                        <w:r w:rsidRPr="00603043">
                          <w:rPr>
                            <w:rFonts w:asciiTheme="majorBidi" w:hAnsiTheme="majorBidi" w:cstheme="majorBidi"/>
                            <w:b/>
                            <w:bCs/>
                          </w:rPr>
                          <w:t>Framework and Hypotheses</w:t>
                        </w:r>
                      </w:p>
                      <w:p w14:paraId="758F74A8" w14:textId="77777777" w:rsidR="005976AB" w:rsidRPr="00603043" w:rsidRDefault="005976AB" w:rsidP="005976AB">
                        <w:pPr>
                          <w:pStyle w:val="ListParagraph"/>
                          <w:numPr>
                            <w:ilvl w:val="0"/>
                            <w:numId w:val="10"/>
                          </w:numPr>
                          <w:ind w:left="360"/>
                          <w:jc w:val="both"/>
                          <w:rPr>
                            <w:rFonts w:asciiTheme="majorBidi" w:hAnsiTheme="majorBidi" w:cstheme="majorBidi"/>
                            <w:sz w:val="22"/>
                            <w:szCs w:val="22"/>
                          </w:rPr>
                        </w:pPr>
                        <w:r w:rsidRPr="00603043">
                          <w:rPr>
                            <w:rFonts w:asciiTheme="majorBidi" w:hAnsiTheme="majorBidi" w:cstheme="majorBidi"/>
                            <w:sz w:val="22"/>
                            <w:szCs w:val="22"/>
                          </w:rPr>
                          <w:t xml:space="preserve">Literature relating to the effect OLC on OI and FP  </w:t>
                        </w:r>
                      </w:p>
                      <w:p w14:paraId="1B7B3AC2" w14:textId="77777777" w:rsidR="005976AB" w:rsidRPr="00603043" w:rsidRDefault="005976AB" w:rsidP="005976AB">
                        <w:pPr>
                          <w:pStyle w:val="ListParagraph"/>
                          <w:numPr>
                            <w:ilvl w:val="0"/>
                            <w:numId w:val="10"/>
                          </w:numPr>
                          <w:ind w:left="360"/>
                          <w:jc w:val="both"/>
                          <w:rPr>
                            <w:rFonts w:asciiTheme="majorBidi" w:hAnsiTheme="majorBidi" w:cstheme="majorBidi"/>
                            <w:sz w:val="22"/>
                            <w:szCs w:val="22"/>
                          </w:rPr>
                        </w:pPr>
                        <w:r w:rsidRPr="00603043">
                          <w:rPr>
                            <w:rFonts w:asciiTheme="majorBidi" w:hAnsiTheme="majorBidi" w:cstheme="majorBidi"/>
                            <w:sz w:val="22"/>
                            <w:szCs w:val="22"/>
                          </w:rPr>
                          <w:t xml:space="preserve">Reviewing the impact of learning capabilities and open innovation on firm performance </w:t>
                        </w:r>
                      </w:p>
                      <w:p w14:paraId="6189E357" w14:textId="77777777" w:rsidR="005976AB" w:rsidRPr="00603043" w:rsidRDefault="005976AB" w:rsidP="005976AB">
                        <w:pPr>
                          <w:pStyle w:val="ListParagraph"/>
                          <w:numPr>
                            <w:ilvl w:val="0"/>
                            <w:numId w:val="10"/>
                          </w:numPr>
                          <w:ind w:left="360"/>
                          <w:jc w:val="both"/>
                          <w:rPr>
                            <w:rFonts w:asciiTheme="majorBidi" w:hAnsiTheme="majorBidi" w:cstheme="majorBidi"/>
                            <w:sz w:val="22"/>
                            <w:szCs w:val="22"/>
                          </w:rPr>
                        </w:pPr>
                        <w:r w:rsidRPr="00603043">
                          <w:rPr>
                            <w:rFonts w:asciiTheme="majorBidi" w:hAnsiTheme="majorBidi" w:cstheme="majorBidi"/>
                            <w:sz w:val="22"/>
                            <w:szCs w:val="22"/>
                          </w:rPr>
                          <w:t xml:space="preserve">Analyzing literature to support the possible mediating role of learning capabilities and open innovation on other constructs  </w:t>
                        </w:r>
                      </w:p>
                      <w:p w14:paraId="01E369A9" w14:textId="77777777" w:rsidR="005976AB" w:rsidRPr="00B21F83" w:rsidRDefault="005976AB" w:rsidP="005976AB">
                        <w:pPr>
                          <w:rPr>
                            <w:b/>
                            <w:bCs/>
                            <w:sz w:val="22"/>
                            <w:szCs w:val="22"/>
                            <w:highlight w:val="yellow"/>
                          </w:rPr>
                        </w:pPr>
                      </w:p>
                      <w:p w14:paraId="0C591ED6" w14:textId="77777777" w:rsidR="005976AB" w:rsidRPr="00B21F83" w:rsidRDefault="005976AB" w:rsidP="005976AB">
                        <w:pPr>
                          <w:spacing w:line="254" w:lineRule="auto"/>
                          <w:rPr>
                            <w:sz w:val="22"/>
                            <w:szCs w:val="22"/>
                          </w:rPr>
                        </w:pPr>
                      </w:p>
                    </w:txbxContent>
                  </v:textbox>
                </v:rect>
                <v:rect id="Rectangle 58" o:spid="_x0000_s1042" style="position:absolute;left:575;top:10343;width:24910;height:12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" fillcolor="white [3201]" strokecolor="black [3200]" strokeweight="1pt">
                  <v:textbox>
                    <w:txbxContent>
                      <w:p w14:paraId="7FC0BFFA" w14:textId="77777777" w:rsidR="005976AB" w:rsidRPr="00603043" w:rsidRDefault="005976AB" w:rsidP="005976AB">
                        <w:pPr>
                          <w:jc w:val="center"/>
                          <w:rPr>
                            <w:rFonts w:asciiTheme="majorBidi" w:eastAsia="Calibri" w:hAnsiTheme="majorBidi" w:cstheme="majorBidi"/>
                            <w:b/>
                            <w:bCs/>
                          </w:rPr>
                        </w:pPr>
                        <w:r w:rsidRPr="00603043">
                          <w:rPr>
                            <w:rFonts w:asciiTheme="majorBidi" w:eastAsia="Calibri" w:hAnsiTheme="majorBidi" w:cstheme="majorBidi"/>
                            <w:b/>
                            <w:bCs/>
                          </w:rPr>
                          <w:t xml:space="preserve">Dynamic </w:t>
                        </w:r>
                        <w:r>
                          <w:rPr>
                            <w:rFonts w:asciiTheme="majorBidi" w:eastAsia="Calibri" w:hAnsiTheme="majorBidi" w:cstheme="majorBidi"/>
                            <w:b/>
                            <w:bCs/>
                          </w:rPr>
                          <w:t>C</w:t>
                        </w:r>
                        <w:r w:rsidRPr="00603043">
                          <w:rPr>
                            <w:rFonts w:asciiTheme="majorBidi" w:eastAsia="Calibri" w:hAnsiTheme="majorBidi" w:cstheme="majorBidi"/>
                            <w:b/>
                            <w:bCs/>
                          </w:rPr>
                          <w:t xml:space="preserve">apability Theory </w:t>
                        </w:r>
                      </w:p>
                      <w:p w14:paraId="2091E7F6" w14:textId="77777777" w:rsidR="005976AB" w:rsidRPr="00603043" w:rsidRDefault="005976AB" w:rsidP="005976AB">
                        <w:pPr>
                          <w:jc w:val="center"/>
                          <w:rPr>
                            <w:rFonts w:asciiTheme="majorBidi" w:eastAsia="Calibri" w:hAnsiTheme="majorBidi" w:cstheme="majorBidi"/>
                          </w:rPr>
                        </w:pPr>
                        <w:r w:rsidRPr="00603043">
                          <w:rPr>
                            <w:rFonts w:asciiTheme="majorBidi" w:hAnsiTheme="majorBidi" w:cstheme="majorBidi"/>
                            <w:bCs/>
                            <w:sz w:val="22"/>
                            <w:szCs w:val="22"/>
                          </w:rPr>
                          <w:t xml:space="preserve">How OLC can lead to the development of dynamic capabilities and improve firm and innovation performance through developing dynamic assets and capabilities </w:t>
                        </w:r>
                      </w:p>
                      <w:p w14:paraId="187C91E0" w14:textId="77777777" w:rsidR="005976AB" w:rsidRPr="008500ED" w:rsidRDefault="005976AB" w:rsidP="005976AB">
                        <w:pPr>
                          <w:jc w:val="center"/>
                          <w:rPr>
                            <w:rFonts w:asciiTheme="majorBidi" w:hAnsiTheme="majorBidi" w:cstheme="majorBidi"/>
                          </w:rPr>
                        </w:pPr>
                      </w:p>
                      <w:p w14:paraId="7DF4F91E" w14:textId="77777777" w:rsidR="005976AB" w:rsidRPr="008500ED" w:rsidRDefault="005976AB" w:rsidP="005976AB">
                        <w:pPr>
                          <w:jc w:val="center"/>
                          <w:rPr>
                            <w:rFonts w:asciiTheme="majorBidi" w:hAnsiTheme="majorBidi" w:cstheme="majorBidi"/>
                          </w:rPr>
                        </w:pPr>
                        <w:r w:rsidRPr="008500ED">
                          <w:rPr>
                            <w:rFonts w:asciiTheme="majorBidi" w:eastAsia="Calibri" w:hAnsiTheme="majorBidi" w:cstheme="majorBidi"/>
                          </w:rPr>
                          <w:t> </w:t>
                        </w:r>
                      </w:p>
                    </w:txbxContent>
                  </v:textbox>
                </v:rect>
                <v:shape id="Straight Arrow Connector 47" o:spid="_x0000_s1043" type="#_x0000_t32" style="position:absolute;left:25960;top:16217;width:767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" strokecolor="black [3200]" strokeweight=".5pt">
                  <v:stroke endarrow="block" joinstyle="miter"/>
                </v:shape>
                <w10:anchorlock/>
              </v:group>
            </w:pict>
          </mc:Fallback>
        </mc:AlternateContent>
      </w:r>
    </w:p>
    <w:p w14:paraId="29E809CE" w14:textId="77777777" w:rsidR="005976AB" w:rsidRPr="005635E7" w:rsidRDefault="005976AB" w:rsidP="005976AB">
      <w:pPr>
        <w:pStyle w:val="Heading2"/>
        <w:spacing w:before="0" w:after="60" w:line="480" w:lineRule="auto"/>
        <w:rPr>
          <w:rFonts w:asciiTheme="majorBidi" w:hAnsiTheme="majorBidi"/>
          <w:b/>
          <w:bCs/>
          <w:color w:val="auto"/>
          <w:sz w:val="28"/>
          <w:szCs w:val="28"/>
        </w:rPr>
      </w:pPr>
      <w:bookmarkStart w:id="34" w:name="_Toc26443721"/>
      <w:bookmarkStart w:id="35" w:name="_Toc115310373"/>
      <w:r w:rsidRPr="005635E7">
        <w:rPr>
          <w:rFonts w:asciiTheme="majorBidi" w:hAnsiTheme="majorBidi"/>
          <w:b/>
          <w:bCs/>
          <w:color w:val="auto"/>
          <w:sz w:val="28"/>
          <w:szCs w:val="28"/>
        </w:rPr>
        <w:t xml:space="preserve">2.2 The Theoretical </w:t>
      </w:r>
      <w:bookmarkEnd w:id="34"/>
      <w:r w:rsidRPr="005635E7">
        <w:rPr>
          <w:rFonts w:asciiTheme="majorBidi" w:hAnsiTheme="majorBidi"/>
          <w:b/>
          <w:bCs/>
          <w:color w:val="auto"/>
          <w:sz w:val="28"/>
          <w:szCs w:val="28"/>
        </w:rPr>
        <w:t>Foundation</w:t>
      </w:r>
      <w:bookmarkEnd w:id="35"/>
    </w:p>
    <w:p w14:paraId="45CCF8BB" w14:textId="77777777" w:rsidR="005976AB" w:rsidRPr="005635E7" w:rsidRDefault="005976AB" w:rsidP="005976AB">
      <w:pPr>
        <w:pStyle w:val="Heading3"/>
        <w:spacing w:before="0" w:line="480" w:lineRule="auto"/>
        <w:rPr>
          <w:rFonts w:asciiTheme="majorBidi" w:hAnsiTheme="majorBidi"/>
          <w:bCs/>
          <w:color w:val="auto"/>
        </w:rPr>
      </w:pPr>
      <w:bookmarkStart w:id="36" w:name="_Toc115310374"/>
      <w:r w:rsidRPr="005635E7">
        <w:rPr>
          <w:rFonts w:asciiTheme="majorBidi" w:hAnsiTheme="majorBidi"/>
          <w:b/>
          <w:bCs/>
          <w:color w:val="auto"/>
        </w:rPr>
        <w:t>2.2.1 The Dynamic Capabilities Theory</w:t>
      </w:r>
      <w:bookmarkEnd w:id="36"/>
    </w:p>
    <w:p w14:paraId="636EF00E"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bCs/>
          <w:iCs/>
        </w:rPr>
        <w:t>Dynamic capabilities theory is the theoretical approach used in this study to demonstrate the relationship between learning capabilities and other characteristics</w:t>
      </w:r>
      <w:r w:rsidRPr="005635E7">
        <w:rPr>
          <w:rFonts w:asciiTheme="majorBidi" w:hAnsiTheme="majorBidi" w:cstheme="majorBidi"/>
        </w:rPr>
        <w:t>.</w:t>
      </w:r>
    </w:p>
    <w:p w14:paraId="31FC25EC"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Teece et al. (1997) developed the dynamic capabilities perspective, which is described as organization’s abilities to integrate and develop both internal and external competencies in the context of changing organizational environments (Hidalgo-Penate, Padron-Robaina, &amp; Nieves, 2019). Competitive advantages and FP, backed by dynamic capabilities, ensure a firm's growth and survival in a changing business environment (Teece 2018). This suggests that organizations are concerned with maintaining and changing their resource bases to achieve sufficient results over time to grow and survive.</w:t>
      </w:r>
    </w:p>
    <w:p w14:paraId="3147AA99"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The overwhelming majority of researchers define dynamic capabilities as an organization's ability to reconfigure its resource base in order to respond effectively to changes in its dynamic environment in order to remain competitive (See, for example, Kump et al., 2019; Swoboda &amp; Olejnik, 2016; Tartaglione et al., 2019; Teece, 2018). Swoboda and Olejnik (2016) describe dynamic capability as an organization's willingness to reconfigure and integrate its processes and resources and, more importantly, adapt its processes in response to dynamic environments to achieve long-term competitive advantages. According to Tallott and Hilliard (2015), dynamic capabilities are shaped through path-dependent learning and are involved in the deliberate and purposeful creation, modification, or extension of an organizational resource base. These dynamic capabilities are exposed to both endogenous and exogenous drivers of change in the business environment. According to Pavlou and El Sawy (2011), primary dynamic capabilities are the firm's ability to learn, sense, and seek opportunities</w:t>
      </w:r>
      <w:r>
        <w:rPr>
          <w:rFonts w:asciiTheme="majorBidi" w:hAnsiTheme="majorBidi" w:cstheme="majorBidi"/>
        </w:rPr>
        <w:t xml:space="preserve">, </w:t>
      </w:r>
      <w:r w:rsidRPr="005635E7">
        <w:rPr>
          <w:rFonts w:asciiTheme="majorBidi" w:hAnsiTheme="majorBidi" w:cstheme="majorBidi"/>
        </w:rPr>
        <w:t>integrate new information into operational capabilities</w:t>
      </w:r>
      <w:r>
        <w:rPr>
          <w:rFonts w:asciiTheme="majorBidi" w:hAnsiTheme="majorBidi" w:cstheme="majorBidi"/>
        </w:rPr>
        <w:t>,</w:t>
      </w:r>
      <w:r w:rsidRPr="005635E7">
        <w:rPr>
          <w:rFonts w:asciiTheme="majorBidi" w:hAnsiTheme="majorBidi" w:cstheme="majorBidi"/>
        </w:rPr>
        <w:t xml:space="preserve"> and organize and deploy tasks, activities, and resources in </w:t>
      </w:r>
      <w:r w:rsidRPr="005635E7">
        <w:rPr>
          <w:rFonts w:ascii="Times New Roman" w:eastAsia="Calibri" w:hAnsi="Times New Roman" w:cs="Times New Roman"/>
        </w:rPr>
        <w:t>the re</w:t>
      </w:r>
      <w:r w:rsidRPr="005635E7">
        <w:rPr>
          <w:rFonts w:asciiTheme="majorBidi" w:hAnsiTheme="majorBidi" w:cstheme="majorBidi"/>
        </w:rPr>
        <w:t>configured operational capabilities.</w:t>
      </w:r>
    </w:p>
    <w:p w14:paraId="25687D96"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 xml:space="preserve">Hence, from the perspective of </w:t>
      </w:r>
      <w:r w:rsidRPr="005635E7">
        <w:rPr>
          <w:rFonts w:ascii="Times New Roman" w:eastAsia="Calibri" w:hAnsi="Times New Roman" w:cs="Times New Roman"/>
        </w:rPr>
        <w:t xml:space="preserve">the dynamic capabilities theory, </w:t>
      </w:r>
      <w:r w:rsidRPr="005635E7">
        <w:rPr>
          <w:rFonts w:asciiTheme="majorBidi" w:hAnsiTheme="majorBidi" w:cstheme="majorBidi"/>
        </w:rPr>
        <w:t>organizations require their capabilities, such as learning abilities, to improve their competitive advantage, which is required for superior performance and survival.</w:t>
      </w:r>
    </w:p>
    <w:p w14:paraId="34A69A57"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Most organizations need specific dynamic capabilities to address continuously emerging challenges in the organizational context. Thus, employees and organizations need to recognize the importance of learning in order to build various strategic assets (Hidalgo-Penate, Padron-Robaina, &amp; Nieves, 2019). The assets that should be incorporated into an organization’s culture are capability, technology, and customer feedback. One of the dynamic capabilities pertaining to the scope of the current study is learning capability, which is associated with open lines of communication and coordinated organizational processes.</w:t>
      </w:r>
    </w:p>
    <w:p w14:paraId="767BD3F1"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Organizational learning is defined as a firm's ability to process knowledge–</w:t>
      </w:r>
      <w:r>
        <w:rPr>
          <w:rFonts w:asciiTheme="majorBidi" w:hAnsiTheme="majorBidi" w:cstheme="majorBidi"/>
        </w:rPr>
        <w:t xml:space="preserve"> </w:t>
      </w:r>
      <w:r w:rsidRPr="005635E7">
        <w:rPr>
          <w:rFonts w:asciiTheme="majorBidi" w:hAnsiTheme="majorBidi" w:cstheme="majorBidi"/>
        </w:rPr>
        <w:t>that is, to acquire, produce, transfer, and integrate knowledge–</w:t>
      </w:r>
      <w:r>
        <w:rPr>
          <w:rFonts w:asciiTheme="majorBidi" w:hAnsiTheme="majorBidi" w:cstheme="majorBidi"/>
        </w:rPr>
        <w:t xml:space="preserve"> </w:t>
      </w:r>
      <w:r w:rsidRPr="005635E7">
        <w:rPr>
          <w:rFonts w:asciiTheme="majorBidi" w:hAnsiTheme="majorBidi" w:cstheme="majorBidi"/>
        </w:rPr>
        <w:t>while changing its behavior to reflect a new insightful environment, with the goal of increasing firm competitiveness and performance (Migdadi, 2021). Organizational learning is considered an active process based on knowledge that involves movement across several levels of action, from the individual to the group level, and then to the firm level (Barrick et al. 2015). This collective knowledge, which is stored in organizational memory, has an impact on how it is understood and applied in an enterprise (Freeburg, 2018). What an individual learns in an organization is heavily influenced by what other members of the organization already know (a common knowledge base). Employees who focus on finding appropriate answers to specific organizational problems exhibit organizational learning.</w:t>
      </w:r>
    </w:p>
    <w:p w14:paraId="077ECAAD"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 xml:space="preserve">In the context of this study, applying the theory of dynamic capabilities signifies that dynamic capabilities, including learning capacities, facilitate an organization’s potential to achieve a competitive edge, resulting in inventive performance, firm growth, and survival. OLC and OI respond to the dynamic working environment in which dynamic talents are needed (Gomes &amp; Wojahn, 2017; Papa, Dezi, Gregori, Mueller, &amp; Miglietta, 2018). Owing to the continually changing organizational environment, organizations must respond quickly and efficiently to such changes before planning their next strategic move (Teece, 2007). Because such </w:t>
      </w:r>
      <w:r w:rsidRPr="005635E7">
        <w:rPr>
          <w:rFonts w:ascii="Times New Roman" w:eastAsia="Calibri" w:hAnsi="Times New Roman" w:cs="Times New Roman"/>
        </w:rPr>
        <w:t xml:space="preserve">a transformation is related </w:t>
      </w:r>
      <w:r w:rsidRPr="005635E7">
        <w:rPr>
          <w:rFonts w:asciiTheme="majorBidi" w:hAnsiTheme="majorBidi" w:cstheme="majorBidi"/>
        </w:rPr>
        <w:t xml:space="preserve">to </w:t>
      </w:r>
      <w:r w:rsidRPr="005635E7">
        <w:rPr>
          <w:rFonts w:ascii="Times New Roman" w:eastAsia="Calibri" w:hAnsi="Times New Roman" w:cs="Times New Roman"/>
        </w:rPr>
        <w:t xml:space="preserve">a specific change, it is critical to assist employees in embracing </w:t>
      </w:r>
      <w:r w:rsidRPr="005635E7">
        <w:rPr>
          <w:rFonts w:asciiTheme="majorBidi" w:hAnsiTheme="majorBidi" w:cstheme="majorBidi"/>
        </w:rPr>
        <w:t>that change (Pasaoglu, 2015). It is not surprising that some employees may openly oppose the planned change (Hidalgo-Penate, Padron-Robaina, &amp; Nieves, 2019). Consequently, human resource managers must play a facilitative role in strengthening employee capacity in light of the anticipated shift (Teece, 1997).</w:t>
      </w:r>
    </w:p>
    <w:p w14:paraId="263207B8"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 xml:space="preserve">The perspective of dynamic capacities has a substantial impact on both </w:t>
      </w:r>
      <w:r w:rsidRPr="005635E7">
        <w:rPr>
          <w:rFonts w:ascii="Times New Roman" w:eastAsia="Calibri" w:hAnsi="Times New Roman" w:cs="Times New Roman"/>
        </w:rPr>
        <w:t>the OLC and innovation disciplines (</w:t>
      </w:r>
      <w:r w:rsidRPr="005635E7">
        <w:rPr>
          <w:rFonts w:asciiTheme="majorBidi" w:hAnsiTheme="majorBidi" w:cstheme="majorBidi"/>
        </w:rPr>
        <w:t>Garavan et al. 2016; Helfat &amp; Peteraf 2015; Wang, Senaratne, &amp; Rafiq 2015). According to Garavan et al. (2016), there are numerous conceptualizations of dynamic capabilities in innovation and learning, including learning and innovation (Teece 2007), innovation and adaptation (Anand, Oriani, &amp; Vassolo 2010), strategic change and learning (Ployhart &amp; Moliterno 2011), and ambidexterity (Eisenhardt, Furr, &amp; Bingham 2010) (</w:t>
      </w:r>
      <w:r w:rsidRPr="005635E7">
        <w:rPr>
          <w:rFonts w:ascii="Times New Roman" w:eastAsia="Calibri" w:hAnsi="Times New Roman" w:cs="Times New Roman"/>
        </w:rPr>
        <w:t>Table 2.1).</w:t>
      </w:r>
    </w:p>
    <w:p w14:paraId="685EF283" w14:textId="77777777" w:rsidR="005976AB" w:rsidRPr="005635E7" w:rsidRDefault="005976AB" w:rsidP="005976AB">
      <w:pPr>
        <w:spacing w:after="60" w:line="480" w:lineRule="auto"/>
        <w:jc w:val="both"/>
        <w:rPr>
          <w:rFonts w:asciiTheme="majorBidi" w:hAnsiTheme="majorBidi" w:cstheme="majorBidi"/>
        </w:rPr>
      </w:pPr>
    </w:p>
    <w:p w14:paraId="1D8A6F2C" w14:textId="77777777" w:rsidR="005976AB" w:rsidRPr="005635E7" w:rsidRDefault="005976AB" w:rsidP="005976AB">
      <w:pPr>
        <w:pStyle w:val="Caption"/>
        <w:rPr>
          <w:rFonts w:asciiTheme="majorBidi" w:hAnsiTheme="majorBidi" w:cstheme="majorBidi"/>
          <w:i w:val="0"/>
          <w:iCs w:val="0"/>
          <w:color w:val="auto"/>
          <w:sz w:val="24"/>
          <w:szCs w:val="24"/>
        </w:rPr>
      </w:pPr>
      <w:bookmarkStart w:id="37" w:name="_Toc109962751"/>
      <w:bookmarkStart w:id="38" w:name="_Toc126377951"/>
      <w:r w:rsidRPr="005635E7">
        <w:rPr>
          <w:rFonts w:asciiTheme="majorBidi" w:hAnsiTheme="majorBidi" w:cstheme="majorBidi"/>
          <w:i w:val="0"/>
          <w:iCs w:val="0"/>
          <w:color w:val="auto"/>
          <w:sz w:val="24"/>
          <w:szCs w:val="24"/>
        </w:rPr>
        <w:t>Table 2.</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1</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xml:space="preserve">: Dynamic capability views on </w:t>
      </w:r>
      <w:r w:rsidRPr="00A74397">
        <w:rPr>
          <w:rFonts w:asciiTheme="majorBidi" w:hAnsiTheme="majorBidi" w:cstheme="majorBidi"/>
          <w:i w:val="0"/>
          <w:iCs w:val="0"/>
          <w:color w:val="auto"/>
          <w:sz w:val="24"/>
          <w:szCs w:val="24"/>
        </w:rPr>
        <w:t>organizational learning capabilities</w:t>
      </w:r>
      <w:r w:rsidRPr="005635E7">
        <w:rPr>
          <w:rFonts w:asciiTheme="majorBidi" w:hAnsiTheme="majorBidi" w:cstheme="majorBidi"/>
          <w:i w:val="0"/>
          <w:iCs w:val="0"/>
          <w:color w:val="auto"/>
          <w:sz w:val="24"/>
          <w:szCs w:val="24"/>
        </w:rPr>
        <w:t xml:space="preserve"> and innovation perspectives</w:t>
      </w:r>
      <w:bookmarkEnd w:id="37"/>
      <w:bookmarkEnd w:id="38"/>
    </w:p>
    <w:p w14:paraId="62D7ADD2" w14:textId="77777777" w:rsidR="005976AB" w:rsidRPr="005635E7" w:rsidRDefault="005976AB" w:rsidP="005976AB">
      <w:pPr>
        <w:rPr>
          <w:rFonts w:asciiTheme="majorBidi" w:hAnsiTheme="majorBidi" w:cstheme="majorBidi"/>
        </w:rPr>
      </w:pPr>
    </w:p>
    <w:tbl>
      <w:tblPr>
        <w:tblStyle w:val="TableGrid"/>
        <w:tblW w:w="5000" w:type="pct"/>
        <w:tblLook w:val="04A0" w:firstRow="1" w:lastRow="0" w:firstColumn="1" w:lastColumn="0" w:noHBand="0" w:noVBand="1"/>
      </w:tblPr>
      <w:tblGrid>
        <w:gridCol w:w="4508"/>
        <w:gridCol w:w="4508"/>
      </w:tblGrid>
      <w:tr w:rsidR="005976AB" w:rsidRPr="005635E7" w14:paraId="7F8DBD78" w14:textId="77777777" w:rsidTr="009E2F41">
        <w:tc>
          <w:tcPr>
            <w:tcW w:w="2500" w:type="pct"/>
          </w:tcPr>
          <w:p w14:paraId="07342C08" w14:textId="77777777" w:rsidR="005976AB" w:rsidRPr="005635E7" w:rsidRDefault="005976AB" w:rsidP="009E2F41">
            <w:pPr>
              <w:spacing w:after="60" w:line="360" w:lineRule="auto"/>
              <w:jc w:val="both"/>
              <w:rPr>
                <w:rFonts w:asciiTheme="majorBidi" w:hAnsiTheme="majorBidi" w:cstheme="majorBidi"/>
                <w:b/>
                <w:bCs/>
              </w:rPr>
            </w:pPr>
            <w:r w:rsidRPr="005635E7">
              <w:rPr>
                <w:rFonts w:asciiTheme="majorBidi" w:hAnsiTheme="majorBidi" w:cstheme="majorBidi"/>
                <w:b/>
                <w:bCs/>
              </w:rPr>
              <w:t xml:space="preserve">Perspective </w:t>
            </w:r>
          </w:p>
        </w:tc>
        <w:tc>
          <w:tcPr>
            <w:tcW w:w="2500" w:type="pct"/>
          </w:tcPr>
          <w:p w14:paraId="7789E11B" w14:textId="77777777" w:rsidR="005976AB" w:rsidRPr="005635E7" w:rsidRDefault="005976AB" w:rsidP="009E2F41">
            <w:pPr>
              <w:spacing w:after="60" w:line="360" w:lineRule="auto"/>
              <w:jc w:val="both"/>
              <w:rPr>
                <w:rFonts w:asciiTheme="majorBidi" w:hAnsiTheme="majorBidi" w:cstheme="majorBidi"/>
                <w:b/>
                <w:bCs/>
              </w:rPr>
            </w:pPr>
            <w:r w:rsidRPr="005635E7">
              <w:rPr>
                <w:rFonts w:asciiTheme="majorBidi" w:eastAsia="Calibri" w:hAnsiTheme="majorBidi" w:cstheme="majorBidi"/>
                <w:b/>
                <w:bCs/>
              </w:rPr>
              <w:t>Key propositions</w:t>
            </w:r>
          </w:p>
        </w:tc>
      </w:tr>
      <w:tr w:rsidR="005976AB" w:rsidRPr="005635E7" w14:paraId="6E64EC3A" w14:textId="77777777" w:rsidTr="009E2F41">
        <w:tc>
          <w:tcPr>
            <w:tcW w:w="2500" w:type="pct"/>
          </w:tcPr>
          <w:p w14:paraId="7BAA9DC0"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Learning and innovation perspective</w:t>
            </w:r>
          </w:p>
          <w:p w14:paraId="5B72C403"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(Garavan et al. 2016; Teece 2007; Eisenhardt &amp; Martin, 2000)</w:t>
            </w:r>
            <w:r>
              <w:rPr>
                <w:rFonts w:asciiTheme="majorBidi" w:hAnsiTheme="majorBidi" w:cstheme="majorBidi"/>
              </w:rPr>
              <w:t>.</w:t>
            </w:r>
          </w:p>
        </w:tc>
        <w:tc>
          <w:tcPr>
            <w:tcW w:w="2500" w:type="pct"/>
          </w:tcPr>
          <w:p w14:paraId="5CD68B44" w14:textId="77777777" w:rsidR="005976AB" w:rsidRPr="005635E7" w:rsidRDefault="005976AB" w:rsidP="009E2F41">
            <w:pPr>
              <w:pStyle w:val="ListParagraph"/>
              <w:numPr>
                <w:ilvl w:val="0"/>
                <w:numId w:val="6"/>
              </w:numPr>
              <w:spacing w:after="60" w:line="360" w:lineRule="auto"/>
              <w:jc w:val="both"/>
              <w:rPr>
                <w:rFonts w:asciiTheme="majorBidi" w:hAnsiTheme="majorBidi" w:cstheme="majorBidi"/>
              </w:rPr>
            </w:pPr>
            <w:r w:rsidRPr="005635E7">
              <w:rPr>
                <w:rFonts w:asciiTheme="majorBidi" w:hAnsiTheme="majorBidi" w:cstheme="majorBidi"/>
              </w:rPr>
              <w:t>Enhancement of learning capacity.</w:t>
            </w:r>
          </w:p>
          <w:p w14:paraId="2DA9AA4A" w14:textId="77777777" w:rsidR="005976AB" w:rsidRPr="005635E7" w:rsidRDefault="005976AB" w:rsidP="009E2F41">
            <w:pPr>
              <w:pStyle w:val="ListParagraph"/>
              <w:numPr>
                <w:ilvl w:val="0"/>
                <w:numId w:val="6"/>
              </w:numPr>
              <w:spacing w:after="60" w:line="360" w:lineRule="auto"/>
              <w:jc w:val="both"/>
              <w:rPr>
                <w:rFonts w:asciiTheme="majorBidi" w:hAnsiTheme="majorBidi" w:cstheme="majorBidi"/>
              </w:rPr>
            </w:pPr>
            <w:r w:rsidRPr="005635E7">
              <w:rPr>
                <w:rFonts w:asciiTheme="majorBidi" w:hAnsiTheme="majorBidi" w:cstheme="majorBidi"/>
              </w:rPr>
              <w:t>Learning processes are used to leverage knowledge assets into human capital and organizational skills.</w:t>
            </w:r>
          </w:p>
          <w:p w14:paraId="60F692A7" w14:textId="77777777" w:rsidR="005976AB" w:rsidRPr="005635E7" w:rsidRDefault="005976AB" w:rsidP="009E2F41">
            <w:pPr>
              <w:pStyle w:val="ListParagraph"/>
              <w:numPr>
                <w:ilvl w:val="0"/>
                <w:numId w:val="6"/>
              </w:numPr>
              <w:spacing w:after="60" w:line="360" w:lineRule="auto"/>
              <w:jc w:val="both"/>
              <w:rPr>
                <w:rFonts w:asciiTheme="majorBidi" w:hAnsiTheme="majorBidi" w:cstheme="majorBidi"/>
              </w:rPr>
            </w:pPr>
            <w:r w:rsidRPr="005635E7">
              <w:rPr>
                <w:rFonts w:asciiTheme="majorBidi" w:hAnsiTheme="majorBidi" w:cstheme="majorBidi"/>
              </w:rPr>
              <w:t>Dynamic capability evaluation.</w:t>
            </w:r>
          </w:p>
        </w:tc>
      </w:tr>
      <w:tr w:rsidR="005976AB" w:rsidRPr="005635E7" w14:paraId="753FC0DD" w14:textId="77777777" w:rsidTr="009E2F41">
        <w:trPr>
          <w:trHeight w:val="1858"/>
        </w:trPr>
        <w:tc>
          <w:tcPr>
            <w:tcW w:w="2500" w:type="pct"/>
          </w:tcPr>
          <w:p w14:paraId="30C76BED"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Strategic learning</w:t>
            </w:r>
          </w:p>
          <w:p w14:paraId="6D842A80"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and change</w:t>
            </w:r>
          </w:p>
          <w:p w14:paraId="025F74AD"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(Garavan et al. 2016; Lee et al., 2011)</w:t>
            </w:r>
            <w:r>
              <w:rPr>
                <w:rFonts w:asciiTheme="majorBidi" w:hAnsiTheme="majorBidi" w:cstheme="majorBidi"/>
              </w:rPr>
              <w:t>.</w:t>
            </w:r>
          </w:p>
        </w:tc>
        <w:tc>
          <w:tcPr>
            <w:tcW w:w="2500" w:type="pct"/>
          </w:tcPr>
          <w:p w14:paraId="230BD436" w14:textId="77777777" w:rsidR="005976AB" w:rsidRPr="005635E7" w:rsidRDefault="005976AB" w:rsidP="009E2F41">
            <w:pPr>
              <w:pStyle w:val="ListParagraph"/>
              <w:numPr>
                <w:ilvl w:val="0"/>
                <w:numId w:val="7"/>
              </w:numPr>
              <w:spacing w:after="60" w:line="360" w:lineRule="auto"/>
              <w:jc w:val="both"/>
              <w:rPr>
                <w:rFonts w:asciiTheme="majorBidi" w:hAnsiTheme="majorBidi" w:cstheme="majorBidi"/>
              </w:rPr>
            </w:pPr>
            <w:r w:rsidRPr="005635E7">
              <w:rPr>
                <w:rFonts w:asciiTheme="majorBidi" w:hAnsiTheme="majorBidi" w:cstheme="majorBidi"/>
              </w:rPr>
              <w:t>Enhancement of learning capacities</w:t>
            </w:r>
            <w:r>
              <w:rPr>
                <w:rFonts w:asciiTheme="majorBidi" w:hAnsiTheme="majorBidi" w:cstheme="majorBidi"/>
              </w:rPr>
              <w:t>.</w:t>
            </w:r>
          </w:p>
          <w:p w14:paraId="17D8DA6A" w14:textId="77777777" w:rsidR="005976AB" w:rsidRPr="005635E7" w:rsidRDefault="005976AB" w:rsidP="009E2F41">
            <w:pPr>
              <w:pStyle w:val="ListParagraph"/>
              <w:numPr>
                <w:ilvl w:val="0"/>
                <w:numId w:val="7"/>
              </w:numPr>
              <w:spacing w:after="60" w:line="360" w:lineRule="auto"/>
              <w:jc w:val="both"/>
              <w:rPr>
                <w:rFonts w:asciiTheme="majorBidi" w:hAnsiTheme="majorBidi" w:cstheme="majorBidi"/>
              </w:rPr>
            </w:pPr>
            <w:r w:rsidRPr="005635E7">
              <w:rPr>
                <w:rFonts w:asciiTheme="majorBidi" w:hAnsiTheme="majorBidi" w:cstheme="majorBidi"/>
              </w:rPr>
              <w:t>Through a learning mechanism, knowledge assets are converted into human capital and organizational competencies.</w:t>
            </w:r>
          </w:p>
        </w:tc>
      </w:tr>
      <w:tr w:rsidR="005976AB" w:rsidRPr="005635E7" w14:paraId="6E777049" w14:textId="77777777" w:rsidTr="009E2F41">
        <w:tc>
          <w:tcPr>
            <w:tcW w:w="2500" w:type="pct"/>
          </w:tcPr>
          <w:p w14:paraId="29D6CC82"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Ambidexterity</w:t>
            </w:r>
          </w:p>
          <w:p w14:paraId="30705232"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(Garavan et al. 2016; Tushman</w:t>
            </w:r>
          </w:p>
          <w:p w14:paraId="600E2021"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et al., 2010)</w:t>
            </w:r>
            <w:r>
              <w:rPr>
                <w:rFonts w:asciiTheme="majorBidi" w:hAnsiTheme="majorBidi" w:cstheme="majorBidi"/>
              </w:rPr>
              <w:t>.</w:t>
            </w:r>
          </w:p>
        </w:tc>
        <w:tc>
          <w:tcPr>
            <w:tcW w:w="2500" w:type="pct"/>
          </w:tcPr>
          <w:p w14:paraId="18F37545" w14:textId="77777777" w:rsidR="005976AB" w:rsidRPr="005635E7" w:rsidRDefault="005976AB" w:rsidP="009E2F41">
            <w:pPr>
              <w:pStyle w:val="ListParagraph"/>
              <w:numPr>
                <w:ilvl w:val="0"/>
                <w:numId w:val="8"/>
              </w:numPr>
              <w:spacing w:after="60" w:line="360" w:lineRule="auto"/>
              <w:jc w:val="both"/>
              <w:rPr>
                <w:rFonts w:asciiTheme="majorBidi" w:hAnsiTheme="majorBidi" w:cstheme="majorBidi"/>
              </w:rPr>
            </w:pPr>
            <w:r w:rsidRPr="005635E7">
              <w:rPr>
                <w:rFonts w:asciiTheme="majorBidi" w:hAnsiTheme="majorBidi" w:cstheme="majorBidi"/>
              </w:rPr>
              <w:t>Flexibility and efficiency, stability, change, and incremental and dramatic innovation must all be balanced.</w:t>
            </w:r>
          </w:p>
          <w:p w14:paraId="4EE6A564" w14:textId="77777777" w:rsidR="005976AB" w:rsidRPr="005635E7" w:rsidRDefault="005976AB" w:rsidP="009E2F41">
            <w:pPr>
              <w:pStyle w:val="ListParagraph"/>
              <w:numPr>
                <w:ilvl w:val="0"/>
                <w:numId w:val="8"/>
              </w:numPr>
              <w:spacing w:after="60" w:line="360" w:lineRule="auto"/>
              <w:jc w:val="both"/>
              <w:rPr>
                <w:rFonts w:asciiTheme="majorBidi" w:hAnsiTheme="majorBidi" w:cstheme="majorBidi"/>
              </w:rPr>
            </w:pPr>
            <w:r w:rsidRPr="005635E7">
              <w:rPr>
                <w:rFonts w:asciiTheme="majorBidi" w:hAnsiTheme="majorBidi" w:cstheme="majorBidi"/>
              </w:rPr>
              <w:t>Exploration of new knowledge areas and utilization of existing ones.</w:t>
            </w:r>
          </w:p>
          <w:p w14:paraId="0163D88E" w14:textId="77777777" w:rsidR="005976AB" w:rsidRPr="005635E7" w:rsidRDefault="005976AB" w:rsidP="009E2F41">
            <w:pPr>
              <w:pStyle w:val="ListParagraph"/>
              <w:numPr>
                <w:ilvl w:val="0"/>
                <w:numId w:val="8"/>
              </w:numPr>
              <w:spacing w:after="60" w:line="360" w:lineRule="auto"/>
              <w:jc w:val="both"/>
              <w:rPr>
                <w:rFonts w:asciiTheme="majorBidi" w:hAnsiTheme="majorBidi" w:cstheme="majorBidi"/>
              </w:rPr>
            </w:pPr>
            <w:r w:rsidRPr="005635E7">
              <w:rPr>
                <w:rFonts w:asciiTheme="majorBidi" w:hAnsiTheme="majorBidi" w:cstheme="majorBidi"/>
              </w:rPr>
              <w:t>HR and learning practices used to foster ambidexterity.</w:t>
            </w:r>
          </w:p>
        </w:tc>
      </w:tr>
      <w:tr w:rsidR="005976AB" w:rsidRPr="005635E7" w14:paraId="5318A386" w14:textId="77777777" w:rsidTr="009E2F41">
        <w:tc>
          <w:tcPr>
            <w:tcW w:w="2500" w:type="pct"/>
          </w:tcPr>
          <w:p w14:paraId="771BA344"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Innovation and</w:t>
            </w:r>
          </w:p>
          <w:p w14:paraId="7A537218"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Adaptation</w:t>
            </w:r>
          </w:p>
          <w:p w14:paraId="6E4CEF70" w14:textId="77777777" w:rsidR="005976AB" w:rsidRPr="005635E7" w:rsidRDefault="005976AB" w:rsidP="009E2F41">
            <w:pPr>
              <w:spacing w:after="60" w:line="360" w:lineRule="auto"/>
              <w:jc w:val="both"/>
              <w:rPr>
                <w:rFonts w:asciiTheme="majorBidi" w:hAnsiTheme="majorBidi" w:cstheme="majorBidi"/>
              </w:rPr>
            </w:pPr>
            <w:r w:rsidRPr="005635E7">
              <w:rPr>
                <w:rFonts w:asciiTheme="majorBidi" w:hAnsiTheme="majorBidi" w:cstheme="majorBidi"/>
              </w:rPr>
              <w:t>(Anand et al. 2010; Eggers &amp; Kaplan, 2009)</w:t>
            </w:r>
            <w:r>
              <w:rPr>
                <w:rFonts w:asciiTheme="majorBidi" w:hAnsiTheme="majorBidi" w:cstheme="majorBidi"/>
              </w:rPr>
              <w:t>.</w:t>
            </w:r>
          </w:p>
        </w:tc>
        <w:tc>
          <w:tcPr>
            <w:tcW w:w="2500" w:type="pct"/>
          </w:tcPr>
          <w:p w14:paraId="188A8B1C" w14:textId="77777777" w:rsidR="005976AB" w:rsidRPr="005635E7" w:rsidRDefault="005976AB" w:rsidP="009E2F41">
            <w:pPr>
              <w:pStyle w:val="ListParagraph"/>
              <w:numPr>
                <w:ilvl w:val="0"/>
                <w:numId w:val="9"/>
              </w:numPr>
              <w:spacing w:after="60" w:line="360" w:lineRule="auto"/>
              <w:jc w:val="both"/>
              <w:rPr>
                <w:rFonts w:asciiTheme="majorBidi" w:hAnsiTheme="majorBidi" w:cstheme="majorBidi"/>
              </w:rPr>
            </w:pPr>
            <w:r w:rsidRPr="005635E7">
              <w:rPr>
                <w:rFonts w:asciiTheme="majorBidi" w:hAnsiTheme="majorBidi" w:cstheme="majorBidi"/>
              </w:rPr>
              <w:t>The role of organizational rituals in stifling innovation.</w:t>
            </w:r>
          </w:p>
          <w:p w14:paraId="1607688C" w14:textId="77777777" w:rsidR="005976AB" w:rsidRPr="005635E7" w:rsidRDefault="005976AB" w:rsidP="009E2F41">
            <w:pPr>
              <w:pStyle w:val="ListParagraph"/>
              <w:numPr>
                <w:ilvl w:val="0"/>
                <w:numId w:val="9"/>
              </w:numPr>
              <w:spacing w:after="60" w:line="360" w:lineRule="auto"/>
              <w:jc w:val="both"/>
              <w:rPr>
                <w:rFonts w:asciiTheme="majorBidi" w:hAnsiTheme="majorBidi" w:cstheme="majorBidi"/>
              </w:rPr>
            </w:pPr>
            <w:r w:rsidRPr="005635E7">
              <w:rPr>
                <w:rFonts w:asciiTheme="majorBidi" w:hAnsiTheme="majorBidi" w:cstheme="majorBidi"/>
              </w:rPr>
              <w:t>The impact of pre-existing capabilities on the acquisition of new capabilities.</w:t>
            </w:r>
          </w:p>
          <w:p w14:paraId="35427F41" w14:textId="77777777" w:rsidR="005976AB" w:rsidRPr="005635E7" w:rsidRDefault="005976AB" w:rsidP="009E2F41">
            <w:pPr>
              <w:pStyle w:val="ListParagraph"/>
              <w:numPr>
                <w:ilvl w:val="0"/>
                <w:numId w:val="9"/>
              </w:numPr>
              <w:spacing w:after="60" w:line="360" w:lineRule="auto"/>
              <w:jc w:val="both"/>
              <w:rPr>
                <w:rFonts w:asciiTheme="majorBidi" w:hAnsiTheme="majorBidi" w:cstheme="majorBidi"/>
              </w:rPr>
            </w:pPr>
            <w:r w:rsidRPr="005635E7">
              <w:rPr>
                <w:rFonts w:asciiTheme="majorBidi" w:hAnsiTheme="majorBidi" w:cstheme="majorBidi"/>
              </w:rPr>
              <w:t>The impact of managerial cognition on the shaping of innovation.</w:t>
            </w:r>
          </w:p>
        </w:tc>
      </w:tr>
    </w:tbl>
    <w:p w14:paraId="73462D62" w14:textId="77777777" w:rsidR="005976AB" w:rsidRPr="005635E7" w:rsidRDefault="005976AB" w:rsidP="005976AB">
      <w:pPr>
        <w:spacing w:after="60" w:line="480" w:lineRule="auto"/>
        <w:jc w:val="both"/>
        <w:rPr>
          <w:rFonts w:asciiTheme="majorBidi" w:hAnsiTheme="majorBidi" w:cstheme="majorBidi"/>
        </w:rPr>
      </w:pPr>
    </w:p>
    <w:p w14:paraId="6648036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According to Table 2.1, in terms of learning and innovation as well as strategic learning and change, dynamic capability primarily focuses on developing learning capabilities and leveraging knowledge assets into human capital and organizational capabilities via learning mechanisms (Garavan et al. 2016). On the other hand, the innovation and adaptability perspectives believe that dynamic capability has an impact on organizational routines that hinder creativity and play a role in the acquisition of new capacities and shaping innovation (Anand et al., 2010; Eggers &amp; Kaplan, 2009). In contrast, an ambidexterity perspective on dynamic capability seeks to balance flexibility, efficiency, stability, change, and incremental and radical innovation while exploring new knowledge domains and employing human resource</w:t>
      </w:r>
      <w:r w:rsidRPr="005635E7">
        <w:rPr>
          <w:rFonts w:ascii="Times New Roman" w:eastAsia="Calibri" w:hAnsi="Times New Roman" w:cs="Times New Roman"/>
        </w:rPr>
        <w:t>s and learning strategies to facilitate ambidexterity (</w:t>
      </w:r>
      <w:r w:rsidRPr="005635E7">
        <w:rPr>
          <w:rFonts w:asciiTheme="majorBidi" w:hAnsiTheme="majorBidi" w:cstheme="majorBidi"/>
        </w:rPr>
        <w:t>Garavan et al., 2016; Tushman et al., 2010).</w:t>
      </w:r>
    </w:p>
    <w:p w14:paraId="73B7A1E4" w14:textId="77777777" w:rsidR="005976AB" w:rsidRPr="005635E7" w:rsidRDefault="005976AB" w:rsidP="005976AB">
      <w:pPr>
        <w:spacing w:after="60" w:line="480" w:lineRule="auto"/>
        <w:jc w:val="both"/>
        <w:rPr>
          <w:rFonts w:asciiTheme="majorBidi" w:hAnsiTheme="majorBidi" w:cstheme="majorBidi"/>
          <w:lang w:eastAsia="en-GB"/>
        </w:rPr>
      </w:pPr>
      <w:r w:rsidRPr="005635E7">
        <w:rPr>
          <w:rFonts w:asciiTheme="majorBidi" w:hAnsiTheme="majorBidi" w:cstheme="majorBidi"/>
        </w:rPr>
        <w:t xml:space="preserve">Furthermore, with the ultimate goal of improving organizational performance, the theoretical analysis in the context of the current study pertains to OI. It focuses on how </w:t>
      </w:r>
      <w:r w:rsidRPr="005635E7">
        <w:rPr>
          <w:rFonts w:ascii="Times New Roman" w:eastAsia="Calibri" w:hAnsi="Times New Roman" w:cs="Times New Roman"/>
        </w:rPr>
        <w:t xml:space="preserve">the OLC, as a dynamic capability, may help </w:t>
      </w:r>
      <w:r w:rsidRPr="005635E7">
        <w:rPr>
          <w:rFonts w:asciiTheme="majorBidi" w:hAnsiTheme="majorBidi" w:cstheme="majorBidi"/>
        </w:rPr>
        <w:t xml:space="preserve">organizations achieve organizational performance through open innovation. </w:t>
      </w:r>
      <w:r w:rsidRPr="005635E7">
        <w:rPr>
          <w:rFonts w:ascii="Times New Roman" w:eastAsia="Calibri" w:hAnsi="Times New Roman" w:cs="Times New Roman"/>
        </w:rPr>
        <w:t>In this context, OI refers to products, processes, and knowledge</w:t>
      </w:r>
      <w:r w:rsidRPr="005635E7">
        <w:rPr>
          <w:rFonts w:asciiTheme="majorBidi" w:hAnsiTheme="majorBidi" w:cstheme="majorBidi"/>
        </w:rPr>
        <w:t xml:space="preserve">. Thus, the theory supports the view that </w:t>
      </w:r>
      <w:r w:rsidRPr="005635E7">
        <w:rPr>
          <w:rFonts w:ascii="Times New Roman" w:eastAsia="Calibri" w:hAnsi="Times New Roman" w:cs="Times New Roman"/>
        </w:rPr>
        <w:t xml:space="preserve">the OLC can have a considerable impact on OI and, hence, influence a firm's total potential to innovate. Because OI provides </w:t>
      </w:r>
      <w:r w:rsidRPr="005635E7">
        <w:rPr>
          <w:rFonts w:asciiTheme="majorBidi" w:hAnsiTheme="majorBidi" w:cstheme="majorBidi"/>
        </w:rPr>
        <w:t xml:space="preserve">fresh ideas with the potential to generate value, it is a vital determinant of </w:t>
      </w:r>
      <w:r w:rsidRPr="005635E7">
        <w:rPr>
          <w:rFonts w:ascii="Times New Roman" w:eastAsia="Calibri" w:hAnsi="Times New Roman" w:cs="Times New Roman"/>
        </w:rPr>
        <w:t xml:space="preserve">a company’s performance (Rasool et al., 2019). </w:t>
      </w:r>
      <w:r w:rsidRPr="005635E7">
        <w:rPr>
          <w:rFonts w:asciiTheme="majorBidi" w:hAnsiTheme="majorBidi" w:cstheme="majorBidi"/>
        </w:rPr>
        <w:t xml:space="preserve">Organizations can build comparative advantages in today's dynamic business environment by accumulating knowledge about markets, competitors, and future market prospects. The hypothesis indicates that with this kind of knowledge, an organization can better organize resources to improve performance. However, owing to ongoing market changes, organizations are faced with new demands that necessitate upgrades in </w:t>
      </w:r>
      <w:r w:rsidRPr="005635E7">
        <w:rPr>
          <w:rFonts w:ascii="Times New Roman" w:eastAsia="Calibri" w:hAnsi="Times New Roman" w:cs="Times New Roman"/>
        </w:rPr>
        <w:t xml:space="preserve">their current capabilities. </w:t>
      </w:r>
      <w:r w:rsidRPr="005635E7">
        <w:rPr>
          <w:rFonts w:asciiTheme="majorBidi" w:hAnsiTheme="majorBidi" w:cstheme="majorBidi"/>
        </w:rPr>
        <w:t>Organizations</w:t>
      </w:r>
      <w:r w:rsidRPr="005635E7">
        <w:rPr>
          <w:rFonts w:ascii="Times New Roman" w:eastAsia="Calibri" w:hAnsi="Times New Roman" w:cs="Times New Roman"/>
        </w:rPr>
        <w:t>’ ability</w:t>
      </w:r>
      <w:r w:rsidRPr="005635E7">
        <w:rPr>
          <w:rFonts w:asciiTheme="majorBidi" w:hAnsiTheme="majorBidi" w:cstheme="majorBidi"/>
        </w:rPr>
        <w:t xml:space="preserve"> to adapt to changing market needs is determined by their overall readiness to enter the market and make suitable changes. Rapid market changes necessitate immediate company responses; thus, the application of the theory in this study emphasizes how firms might accelerate their opportunities to achieve competitive advantage and FP through OLC.</w:t>
      </w:r>
    </w:p>
    <w:p w14:paraId="66CAA45B" w14:textId="77777777" w:rsidR="005976AB" w:rsidRPr="005635E7" w:rsidRDefault="005976AB" w:rsidP="005976AB">
      <w:pPr>
        <w:pStyle w:val="Heading2"/>
        <w:spacing w:before="0" w:after="60" w:line="480" w:lineRule="auto"/>
        <w:rPr>
          <w:rFonts w:asciiTheme="majorBidi" w:hAnsiTheme="majorBidi"/>
          <w:b/>
          <w:bCs/>
          <w:color w:val="auto"/>
          <w:sz w:val="28"/>
          <w:szCs w:val="28"/>
          <w:lang w:bidi="en-US"/>
        </w:rPr>
      </w:pPr>
      <w:bookmarkStart w:id="39" w:name="_Toc115310375"/>
      <w:r w:rsidRPr="005635E7">
        <w:rPr>
          <w:rFonts w:asciiTheme="majorBidi" w:hAnsiTheme="majorBidi"/>
          <w:b/>
          <w:bCs/>
          <w:color w:val="auto"/>
          <w:sz w:val="28"/>
          <w:szCs w:val="28"/>
          <w:lang w:bidi="en-US"/>
        </w:rPr>
        <w:t>2.3 Hypothes</w:t>
      </w:r>
      <w:r>
        <w:rPr>
          <w:rFonts w:asciiTheme="majorBidi" w:hAnsiTheme="majorBidi"/>
          <w:b/>
          <w:bCs/>
          <w:color w:val="auto"/>
          <w:sz w:val="28"/>
          <w:szCs w:val="28"/>
          <w:lang w:bidi="en-US"/>
        </w:rPr>
        <w:t>i</w:t>
      </w:r>
      <w:r w:rsidRPr="005635E7">
        <w:rPr>
          <w:rFonts w:asciiTheme="majorBidi" w:hAnsiTheme="majorBidi"/>
          <w:b/>
          <w:bCs/>
          <w:color w:val="auto"/>
          <w:sz w:val="28"/>
          <w:szCs w:val="28"/>
          <w:lang w:bidi="en-US"/>
        </w:rPr>
        <w:t>s Development</w:t>
      </w:r>
      <w:bookmarkEnd w:id="39"/>
    </w:p>
    <w:p w14:paraId="07103312" w14:textId="77777777" w:rsidR="005976AB" w:rsidRPr="005635E7" w:rsidRDefault="005976AB" w:rsidP="005976AB">
      <w:pPr>
        <w:pStyle w:val="Heading3"/>
        <w:spacing w:before="0" w:after="240" w:line="480" w:lineRule="auto"/>
        <w:rPr>
          <w:rFonts w:asciiTheme="majorBidi" w:hAnsiTheme="majorBidi"/>
          <w:b/>
          <w:bCs/>
          <w:i/>
          <w:iCs/>
          <w:color w:val="auto"/>
        </w:rPr>
      </w:pPr>
      <w:bookmarkStart w:id="40" w:name="_Toc115310376"/>
      <w:r w:rsidRPr="005635E7">
        <w:rPr>
          <w:rFonts w:asciiTheme="majorBidi" w:hAnsiTheme="majorBidi"/>
          <w:b/>
          <w:bCs/>
          <w:i/>
          <w:iCs/>
          <w:color w:val="auto"/>
        </w:rPr>
        <w:t>2.3.1 Organizational Learning Capabilities and Open Innovation</w:t>
      </w:r>
      <w:bookmarkEnd w:id="40"/>
    </w:p>
    <w:p w14:paraId="1383DE42" w14:textId="3E1EBA17" w:rsidR="005976AB" w:rsidRPr="005635E7" w:rsidRDefault="005976AB" w:rsidP="005976AB">
      <w:pPr>
        <w:pStyle w:val="Heading5"/>
        <w:spacing w:before="0" w:after="240" w:line="480" w:lineRule="auto"/>
        <w:jc w:val="both"/>
        <w:rPr>
          <w:rFonts w:asciiTheme="majorBidi" w:hAnsiTheme="majorBidi"/>
          <w:color w:val="auto"/>
        </w:rPr>
      </w:pPr>
      <w:bookmarkStart w:id="41" w:name="_Hlk119297325"/>
      <w:r w:rsidRPr="005635E7">
        <w:rPr>
          <w:rFonts w:asciiTheme="majorBidi" w:hAnsiTheme="majorBidi"/>
          <w:color w:val="auto"/>
        </w:rPr>
        <w:t>Learning capabilities are the most essential component</w:t>
      </w:r>
      <w:r w:rsidRPr="005635E7">
        <w:rPr>
          <w:rFonts w:ascii="Times New Roman" w:eastAsia="Times New Roman" w:hAnsi="Times New Roman" w:cs="Times New Roman"/>
          <w:color w:val="auto"/>
        </w:rPr>
        <w:t xml:space="preserve">s </w:t>
      </w:r>
      <w:r w:rsidRPr="005635E7">
        <w:rPr>
          <w:rFonts w:asciiTheme="majorBidi" w:hAnsiTheme="majorBidi"/>
          <w:color w:val="auto"/>
        </w:rPr>
        <w:t xml:space="preserve">for organizations to maintain their competitiveness and sustain </w:t>
      </w:r>
      <w:r w:rsidRPr="005635E7">
        <w:rPr>
          <w:rFonts w:ascii="Times New Roman" w:eastAsia="Times New Roman" w:hAnsi="Times New Roman" w:cs="Times New Roman"/>
          <w:color w:val="auto"/>
        </w:rPr>
        <w:t>themselves in the market</w:t>
      </w:r>
      <w:r w:rsidRPr="005635E7">
        <w:rPr>
          <w:rFonts w:asciiTheme="majorBidi" w:hAnsiTheme="majorBidi"/>
          <w:color w:val="auto"/>
        </w:rPr>
        <w:t xml:space="preserve"> (Do &amp; Mai, 2022). The dynamic capabilit</w:t>
      </w:r>
      <w:r w:rsidRPr="005635E7">
        <w:rPr>
          <w:rFonts w:asciiTheme="majorBidi" w:hAnsiTheme="majorBidi"/>
          <w:b/>
          <w:i/>
          <w:color w:val="auto"/>
        </w:rPr>
        <w:t>y</w:t>
      </w:r>
      <w:r w:rsidRPr="005635E7">
        <w:rPr>
          <w:rFonts w:asciiTheme="majorBidi" w:hAnsiTheme="majorBidi"/>
          <w:color w:val="auto"/>
        </w:rPr>
        <w:t xml:space="preserve"> theory focuses on the optimal utilization of organizational resources (</w:t>
      </w:r>
      <w:r w:rsidRPr="005635E7">
        <w:rPr>
          <w:rFonts w:asciiTheme="majorBidi" w:hAnsiTheme="majorBidi"/>
          <w:color w:val="auto"/>
          <w:shd w:val="clear" w:color="auto" w:fill="FFFFFF"/>
        </w:rPr>
        <w:t>Hernández-Linares et al., 2021)</w:t>
      </w:r>
      <w:r w:rsidRPr="005635E7">
        <w:rPr>
          <w:rFonts w:asciiTheme="majorBidi" w:hAnsiTheme="majorBidi"/>
          <w:color w:val="auto"/>
        </w:rPr>
        <w:t>. In this way, organizations can use their internal and external competencies proper</w:t>
      </w:r>
      <w:r w:rsidRPr="005635E7">
        <w:rPr>
          <w:rFonts w:ascii="Times New Roman" w:eastAsia="Times New Roman" w:hAnsi="Times New Roman" w:cs="Times New Roman"/>
          <w:color w:val="auto"/>
        </w:rPr>
        <w:t>ly</w:t>
      </w:r>
      <w:r w:rsidRPr="005635E7">
        <w:rPr>
          <w:rFonts w:asciiTheme="majorBidi" w:hAnsiTheme="majorBidi"/>
          <w:color w:val="auto"/>
        </w:rPr>
        <w:t>, responding to the changing business environment (</w:t>
      </w:r>
      <w:r w:rsidRPr="005635E7">
        <w:rPr>
          <w:rFonts w:asciiTheme="majorBidi" w:hAnsiTheme="majorBidi"/>
          <w:color w:val="auto"/>
          <w:shd w:val="clear" w:color="auto" w:fill="FFFFFF"/>
        </w:rPr>
        <w:t>Matarazzo et al., 2021</w:t>
      </w:r>
      <w:r w:rsidRPr="005635E7">
        <w:rPr>
          <w:rFonts w:asciiTheme="majorBidi" w:hAnsiTheme="majorBidi"/>
          <w:color w:val="auto"/>
        </w:rPr>
        <w:t xml:space="preserve">). </w:t>
      </w:r>
      <w:r w:rsidRPr="005635E7">
        <w:rPr>
          <w:rFonts w:ascii="Times New Roman" w:eastAsia="Times New Roman" w:hAnsi="Times New Roman" w:cs="Times New Roman"/>
          <w:bCs/>
          <w:iCs/>
          <w:color w:val="auto"/>
        </w:rPr>
        <w:t xml:space="preserve">The </w:t>
      </w:r>
      <w:r w:rsidRPr="005635E7">
        <w:rPr>
          <w:rFonts w:asciiTheme="majorBidi" w:hAnsiTheme="majorBidi"/>
          <w:bCs/>
          <w:iCs/>
          <w:color w:val="auto"/>
        </w:rPr>
        <w:t>OLC</w:t>
      </w:r>
      <w:r w:rsidRPr="005635E7">
        <w:rPr>
          <w:rFonts w:asciiTheme="majorBidi" w:hAnsiTheme="majorBidi"/>
          <w:b/>
          <w:i/>
          <w:color w:val="auto"/>
        </w:rPr>
        <w:t xml:space="preserve"> </w:t>
      </w:r>
      <w:r w:rsidRPr="005635E7">
        <w:rPr>
          <w:rFonts w:asciiTheme="majorBidi" w:hAnsiTheme="majorBidi"/>
          <w:color w:val="auto"/>
        </w:rPr>
        <w:t>refer</w:t>
      </w:r>
      <w:r w:rsidRPr="005635E7">
        <w:rPr>
          <w:rFonts w:asciiTheme="majorBidi" w:hAnsiTheme="majorBidi"/>
          <w:b/>
          <w:i/>
          <w:color w:val="auto"/>
        </w:rPr>
        <w:t>s</w:t>
      </w:r>
      <w:r w:rsidRPr="005635E7">
        <w:rPr>
          <w:rFonts w:asciiTheme="majorBidi" w:hAnsiTheme="majorBidi"/>
          <w:color w:val="auto"/>
        </w:rPr>
        <w:t xml:space="preserve"> to the ability to adapt to changes and cope with external variations (Danneels, 2008; Do &amp; Mai, 2022; Pham, &amp; Hoang, 2019). Some businesses are better able to adapt </w:t>
      </w:r>
      <w:r w:rsidRPr="005635E7">
        <w:rPr>
          <w:rFonts w:ascii="Times New Roman" w:eastAsia="Times New Roman" w:hAnsi="Times New Roman" w:cs="Times New Roman"/>
          <w:color w:val="auto"/>
        </w:rPr>
        <w:t>to their resource circumstances, such as extending, modifying, reconfiguring, creating, or deleting resources</w:t>
      </w:r>
      <w:r w:rsidRPr="005635E7">
        <w:rPr>
          <w:rFonts w:asciiTheme="majorBidi" w:hAnsiTheme="majorBidi"/>
          <w:color w:val="auto"/>
        </w:rPr>
        <w:t xml:space="preserve"> to manage and survive changes (Danneels, 2010; Teece, 1997; Hernández-Linares et al., 2021).</w:t>
      </w:r>
    </w:p>
    <w:bookmarkEnd w:id="41"/>
    <w:p w14:paraId="44F23D9A" w14:textId="77777777" w:rsidR="005976AB" w:rsidRPr="005635E7" w:rsidRDefault="005976AB" w:rsidP="005976AB">
      <w:pPr>
        <w:pStyle w:val="Heading5"/>
        <w:spacing w:before="0" w:after="240" w:line="480" w:lineRule="auto"/>
        <w:jc w:val="both"/>
        <w:rPr>
          <w:rFonts w:asciiTheme="majorBidi" w:hAnsiTheme="majorBidi"/>
          <w:color w:val="auto"/>
        </w:rPr>
      </w:pPr>
      <w:r w:rsidRPr="005635E7">
        <w:rPr>
          <w:rFonts w:asciiTheme="majorBidi" w:hAnsiTheme="majorBidi"/>
          <w:color w:val="auto"/>
        </w:rPr>
        <w:t xml:space="preserve">OI entails using knowledge inflows (inbound) and outflows (outbound) to accelerate internal innovation and develop marketplaces for </w:t>
      </w:r>
      <w:r w:rsidRPr="005635E7">
        <w:rPr>
          <w:rFonts w:ascii="Times New Roman" w:eastAsia="Times New Roman" w:hAnsi="Times New Roman" w:cs="Times New Roman"/>
          <w:color w:val="auto"/>
        </w:rPr>
        <w:t>the external application of innovation (Chesbrough, 2003; Cheah &amp; Yuen-Ping, 2021; Oduro et al., 2021). In this hard</w:t>
      </w:r>
      <w:r w:rsidRPr="005635E7">
        <w:rPr>
          <w:rFonts w:asciiTheme="majorBidi" w:hAnsiTheme="majorBidi"/>
          <w:color w:val="auto"/>
        </w:rPr>
        <w:t xml:space="preserve">-rising industry, inbound </w:t>
      </w:r>
      <w:r>
        <w:rPr>
          <w:rFonts w:asciiTheme="majorBidi" w:hAnsiTheme="majorBidi"/>
          <w:color w:val="auto"/>
        </w:rPr>
        <w:t>OI</w:t>
      </w:r>
      <w:r w:rsidRPr="005635E7">
        <w:rPr>
          <w:rFonts w:asciiTheme="majorBidi" w:hAnsiTheme="majorBidi"/>
          <w:color w:val="auto"/>
        </w:rPr>
        <w:t xml:space="preserve"> (IP) is a popular technique used to promote technological competitiveness (Lyu et al., 2019). IP demonstrates an organization's willingness to use external knowledge</w:t>
      </w:r>
      <w:r w:rsidRPr="005635E7">
        <w:rPr>
          <w:rFonts w:ascii="Times New Roman" w:eastAsia="Times New Roman" w:hAnsi="Times New Roman" w:cs="Times New Roman"/>
          <w:color w:val="auto"/>
        </w:rPr>
        <w:t xml:space="preserve"> sources. Companies tend to broaden their options in this manner, which allow</w:t>
      </w:r>
      <w:r w:rsidRPr="005635E7">
        <w:rPr>
          <w:rFonts w:asciiTheme="majorBidi" w:hAnsiTheme="majorBidi"/>
          <w:color w:val="auto"/>
        </w:rPr>
        <w:t xml:space="preserve">s them to provide more competitive products and services (Lee et al., 2016). The emphasis is on internalizing others' capacities (Nestle et al., 2019). This suggests that inbound </w:t>
      </w:r>
      <w:r>
        <w:rPr>
          <w:rFonts w:asciiTheme="majorBidi" w:hAnsiTheme="majorBidi"/>
          <w:color w:val="auto"/>
        </w:rPr>
        <w:t>OI</w:t>
      </w:r>
      <w:r w:rsidRPr="005635E7">
        <w:rPr>
          <w:rFonts w:asciiTheme="majorBidi" w:hAnsiTheme="majorBidi"/>
          <w:color w:val="auto"/>
        </w:rPr>
        <w:t xml:space="preserve"> promotes innovation and growth.</w:t>
      </w:r>
    </w:p>
    <w:p w14:paraId="1C321C8E" w14:textId="20A145D5"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Organizational competencies are required for OI deployment. Organizational components such as commitment-based human resource practices improve the atmosphere of innovation (Popa et al., 2017). By considering a firm’s capabilities, stakeholders should decide what </w:t>
      </w:r>
      <w:r>
        <w:rPr>
          <w:rFonts w:asciiTheme="majorBidi" w:hAnsiTheme="majorBidi" w:cstheme="majorBidi"/>
        </w:rPr>
        <w:t>OI</w:t>
      </w:r>
      <w:r w:rsidRPr="005635E7">
        <w:rPr>
          <w:rFonts w:asciiTheme="majorBidi" w:hAnsiTheme="majorBidi" w:cstheme="majorBidi"/>
        </w:rPr>
        <w:t xml:space="preserve"> paradigm should select to achieve optimal outcomes. High levels of knowledge among performers would need</w:t>
      </w:r>
      <w:r w:rsidR="00C23918">
        <w:rPr>
          <w:rFonts w:asciiTheme="majorBidi" w:hAnsiTheme="majorBidi" w:cstheme="majorBidi"/>
        </w:rPr>
        <w:t xml:space="preserve"> to be combined with </w:t>
      </w:r>
      <w:r w:rsidRPr="005635E7">
        <w:rPr>
          <w:rFonts w:asciiTheme="majorBidi" w:hAnsiTheme="majorBidi" w:cstheme="majorBidi"/>
        </w:rPr>
        <w:t>a high ability to convert and analyze knowledge. Difference</w:t>
      </w:r>
      <w:r w:rsidRPr="005635E7">
        <w:rPr>
          <w:rFonts w:ascii="Times New Roman" w:eastAsia="Calibri" w:hAnsi="Times New Roman" w:cs="Times New Roman"/>
        </w:rPr>
        <w:t xml:space="preserve">s in knowledge between parties </w:t>
      </w:r>
      <w:r w:rsidRPr="005635E7">
        <w:rPr>
          <w:rFonts w:asciiTheme="majorBidi" w:hAnsiTheme="majorBidi" w:cstheme="majorBidi"/>
        </w:rPr>
        <w:t>can restrict or limit knowledge transfer</w:t>
      </w:r>
      <w:r w:rsidRPr="005635E7">
        <w:rPr>
          <w:rFonts w:ascii="Times New Roman" w:eastAsia="Calibri" w:hAnsi="Times New Roman" w:cs="Times New Roman"/>
        </w:rPr>
        <w:t xml:space="preserve">s (Crescenzi, 2016; Crespo, 2016). </w:t>
      </w:r>
      <w:r w:rsidRPr="005635E7">
        <w:rPr>
          <w:rFonts w:asciiTheme="majorBidi" w:hAnsiTheme="majorBidi" w:cstheme="majorBidi"/>
        </w:rPr>
        <w:t xml:space="preserve">In this scenario, human resource managers may use dynamic capacity theory to formulate specific targets connected to </w:t>
      </w:r>
      <w:r w:rsidRPr="005635E7">
        <w:rPr>
          <w:rFonts w:ascii="Times New Roman" w:eastAsia="Calibri" w:hAnsi="Times New Roman" w:cs="Times New Roman"/>
        </w:rPr>
        <w:t>innovative organizational</w:t>
      </w:r>
      <w:r w:rsidRPr="005635E7">
        <w:rPr>
          <w:rFonts w:asciiTheme="majorBidi" w:hAnsiTheme="majorBidi" w:cstheme="majorBidi"/>
        </w:rPr>
        <w:t xml:space="preserve"> practices.</w:t>
      </w:r>
    </w:p>
    <w:p w14:paraId="497E44BC" w14:textId="77777777" w:rsidR="005976AB" w:rsidRPr="005635E7" w:rsidRDefault="005976AB" w:rsidP="005976AB">
      <w:pPr>
        <w:spacing w:after="240" w:line="480" w:lineRule="auto"/>
        <w:jc w:val="both"/>
        <w:rPr>
          <w:rFonts w:asciiTheme="majorBidi" w:hAnsiTheme="majorBidi" w:cstheme="majorBidi"/>
        </w:rPr>
      </w:pPr>
      <w:r w:rsidRPr="005635E7">
        <w:rPr>
          <w:rFonts w:ascii="Times New Roman" w:eastAsia="Calibri" w:hAnsi="Times New Roman" w:cs="Times New Roman"/>
        </w:rPr>
        <w:t xml:space="preserve">The </w:t>
      </w:r>
      <w:r w:rsidRPr="005635E7">
        <w:rPr>
          <w:rFonts w:asciiTheme="majorBidi" w:hAnsiTheme="majorBidi" w:cstheme="majorBidi"/>
        </w:rPr>
        <w:t xml:space="preserve">OI depends on individual values and skills. It is crucial to remember that every implemented strategy necessitates the responsiveness of the organization's stakeholders, who are those people or groups who both impact and are influenced by the organization's activities (Pasaoglu, 2015). Employees, clients, suppliers, regulators, and local communities are examples of </w:t>
      </w:r>
      <w:r w:rsidRPr="005635E7">
        <w:rPr>
          <w:rFonts w:ascii="Times New Roman" w:eastAsia="Calibri" w:hAnsi="Times New Roman" w:cs="Times New Roman"/>
        </w:rPr>
        <w:t>such stakeholders (Lee et al., 2016).</w:t>
      </w:r>
      <w:r w:rsidRPr="005635E7">
        <w:rPr>
          <w:rFonts w:asciiTheme="majorBidi" w:hAnsiTheme="majorBidi" w:cstheme="majorBidi"/>
        </w:rPr>
        <w:t xml:space="preserve"> However, the influence of individual employees’ openness </w:t>
      </w:r>
      <w:r w:rsidRPr="005635E7">
        <w:rPr>
          <w:rFonts w:ascii="Times New Roman" w:eastAsia="Calibri" w:hAnsi="Times New Roman" w:cs="Times New Roman"/>
        </w:rPr>
        <w:t xml:space="preserve">to innovation has not received significant </w:t>
      </w:r>
      <w:r w:rsidRPr="005635E7">
        <w:rPr>
          <w:rFonts w:asciiTheme="majorBidi" w:hAnsiTheme="majorBidi" w:cstheme="majorBidi"/>
        </w:rPr>
        <w:t>attention (Badir et al., 2020). Employees can support organizations in improving their business performance</w:t>
      </w:r>
      <w:r w:rsidRPr="005635E7">
        <w:rPr>
          <w:rFonts w:ascii="Times New Roman" w:eastAsia="Calibri" w:hAnsi="Times New Roman" w:cs="Times New Roman"/>
        </w:rPr>
        <w:t>,</w:t>
      </w:r>
      <w:r w:rsidRPr="005635E7">
        <w:rPr>
          <w:rFonts w:asciiTheme="majorBidi" w:hAnsiTheme="majorBidi" w:cstheme="majorBidi"/>
        </w:rPr>
        <w:t xml:space="preserve"> as they have the capability to obtain knowledge, create distinct ideas, and resolve problems (De Jong &amp; Den Hartog, 2010; Pasaoglu, 2015). Additionally, employees tend to show less resistance to the development of innovative practices and adding new knowledge (Antons &amp; Piller, 2015). From this perspective, it seems reasonable </w:t>
      </w:r>
      <w:r w:rsidRPr="005635E7">
        <w:rPr>
          <w:rFonts w:ascii="Times New Roman" w:eastAsia="Calibri" w:hAnsi="Times New Roman" w:cs="Times New Roman"/>
        </w:rPr>
        <w:t xml:space="preserve">that the </w:t>
      </w:r>
      <w:r w:rsidRPr="005635E7">
        <w:rPr>
          <w:rFonts w:asciiTheme="majorBidi" w:hAnsiTheme="majorBidi" w:cstheme="majorBidi"/>
        </w:rPr>
        <w:t xml:space="preserve">OLC will help reach </w:t>
      </w:r>
      <w:r>
        <w:rPr>
          <w:rFonts w:asciiTheme="majorBidi" w:hAnsiTheme="majorBidi" w:cstheme="majorBidi"/>
        </w:rPr>
        <w:t>th</w:t>
      </w:r>
      <w:r w:rsidRPr="005635E7">
        <w:rPr>
          <w:rFonts w:asciiTheme="majorBidi" w:hAnsiTheme="majorBidi" w:cstheme="majorBidi"/>
        </w:rPr>
        <w:t>e intended outcomes.</w:t>
      </w:r>
    </w:p>
    <w:p w14:paraId="0C1FAF46" w14:textId="77777777" w:rsidR="005976AB" w:rsidRPr="005635E7" w:rsidRDefault="005976AB" w:rsidP="005976AB">
      <w:pPr>
        <w:spacing w:after="60" w:line="480" w:lineRule="auto"/>
        <w:jc w:val="both"/>
        <w:rPr>
          <w:rFonts w:asciiTheme="majorBidi" w:hAnsiTheme="majorBidi" w:cstheme="majorBidi"/>
          <w:shd w:val="clear" w:color="auto" w:fill="FFFFFF"/>
        </w:rPr>
      </w:pPr>
      <w:r w:rsidRPr="005635E7">
        <w:rPr>
          <w:rStyle w:val="Emphasis"/>
          <w:rFonts w:asciiTheme="majorBidi" w:hAnsiTheme="majorBidi" w:cstheme="majorBidi"/>
          <w:shd w:val="clear" w:color="auto" w:fill="FFFFFF"/>
        </w:rPr>
        <w:t>OI is a</w:t>
      </w:r>
      <w:r w:rsidRPr="005635E7">
        <w:rPr>
          <w:rFonts w:asciiTheme="majorBidi" w:hAnsiTheme="majorBidi" w:cstheme="majorBidi"/>
          <w:shd w:val="clear" w:color="auto" w:fill="FFFFFF"/>
        </w:rPr>
        <w:t> paradigm linked to knowledge sourcing, contending that organizations ought to take advantage of both internal and external ideas for </w:t>
      </w:r>
      <w:r w:rsidRPr="005635E7">
        <w:rPr>
          <w:rFonts w:asciiTheme="majorBidi" w:hAnsiTheme="majorBidi" w:cstheme="majorBidi"/>
        </w:rPr>
        <w:t>innovation</w:t>
      </w:r>
      <w:r w:rsidRPr="005635E7">
        <w:rPr>
          <w:rFonts w:asciiTheme="majorBidi" w:hAnsiTheme="majorBidi" w:cstheme="majorBidi"/>
          <w:shd w:val="clear" w:color="auto" w:fill="FFFFFF"/>
        </w:rPr>
        <w:t>, which is required for overall innovative performance within a firm (</w:t>
      </w:r>
      <w:r w:rsidRPr="005635E7">
        <w:rPr>
          <w:rFonts w:asciiTheme="majorBidi" w:hAnsiTheme="majorBidi" w:cstheme="majorBidi"/>
        </w:rPr>
        <w:t>Sung &amp; Choi, 2018)</w:t>
      </w:r>
      <w:r w:rsidRPr="005635E7">
        <w:rPr>
          <w:rFonts w:asciiTheme="majorBidi" w:hAnsiTheme="majorBidi" w:cstheme="majorBidi"/>
          <w:shd w:val="clear" w:color="auto" w:fill="FFFFFF"/>
        </w:rPr>
        <w:t xml:space="preserve">. </w:t>
      </w:r>
      <w:r w:rsidRPr="005635E7">
        <w:rPr>
          <w:rFonts w:asciiTheme="majorBidi" w:hAnsiTheme="majorBidi" w:cstheme="majorBidi"/>
        </w:rPr>
        <w:t xml:space="preserve">Abilities focusing on knowledge, skills, </w:t>
      </w:r>
      <w:r w:rsidRPr="005635E7">
        <w:rPr>
          <w:rFonts w:ascii="Times New Roman" w:eastAsia="Calibri" w:hAnsi="Times New Roman" w:cs="Times New Roman"/>
        </w:rPr>
        <w:t>and abilities (KSAs) are expected to be associated with the OLC, contending that adapting KSA can better</w:t>
      </w:r>
      <w:r w:rsidRPr="005635E7">
        <w:rPr>
          <w:rFonts w:asciiTheme="majorBidi" w:hAnsiTheme="majorBidi" w:cstheme="majorBidi"/>
        </w:rPr>
        <w:t xml:space="preserve"> contribute to innovation and FP.</w:t>
      </w:r>
    </w:p>
    <w:p w14:paraId="3693D524"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From the perspective of ability, it is vital to ensure that employees are provided with sufficient </w:t>
      </w:r>
      <w:r>
        <w:rPr>
          <w:rFonts w:ascii="Times New Roman" w:eastAsia="Calibri" w:hAnsi="Times New Roman" w:cs="Times New Roman"/>
        </w:rPr>
        <w:t>KSA</w:t>
      </w:r>
      <w:r w:rsidRPr="005635E7">
        <w:rPr>
          <w:rFonts w:ascii="Times New Roman" w:eastAsia="Calibri" w:hAnsi="Times New Roman" w:cs="Times New Roman"/>
        </w:rPr>
        <w:t xml:space="preserve"> to adapt better to </w:t>
      </w:r>
      <w:r w:rsidRPr="005635E7">
        <w:rPr>
          <w:rFonts w:asciiTheme="majorBidi" w:hAnsiTheme="majorBidi" w:cstheme="majorBidi"/>
        </w:rPr>
        <w:t xml:space="preserve">organizational operations and culture </w:t>
      </w:r>
      <w:r w:rsidRPr="005635E7">
        <w:rPr>
          <w:rFonts w:asciiTheme="majorBidi" w:hAnsiTheme="majorBidi" w:cstheme="majorBidi"/>
          <w:shd w:val="clear" w:color="auto" w:fill="FFFFFF"/>
        </w:rPr>
        <w:t>(</w:t>
      </w:r>
      <w:r w:rsidRPr="005635E7">
        <w:rPr>
          <w:rFonts w:asciiTheme="majorBidi" w:hAnsiTheme="majorBidi" w:cstheme="majorBidi"/>
        </w:rPr>
        <w:t>Sung &amp; Choi, 2018)</w:t>
      </w:r>
      <w:r w:rsidRPr="005635E7">
        <w:rPr>
          <w:rFonts w:asciiTheme="majorBidi" w:hAnsiTheme="majorBidi" w:cstheme="majorBidi"/>
          <w:shd w:val="clear" w:color="auto" w:fill="FFFFFF"/>
        </w:rPr>
        <w:t xml:space="preserve">. </w:t>
      </w:r>
      <w:r w:rsidRPr="005635E7">
        <w:rPr>
          <w:rFonts w:asciiTheme="majorBidi" w:hAnsiTheme="majorBidi" w:cstheme="majorBidi"/>
        </w:rPr>
        <w:t xml:space="preserve">Organizations focus on ensuring that employees have the skills and strategic preparedness to complete various work tasks and projects with minimal supervision. Therefore, it is believed that the capacity acquired through </w:t>
      </w:r>
      <w:r w:rsidRPr="005635E7">
        <w:rPr>
          <w:rFonts w:ascii="Times New Roman" w:eastAsia="Calibri" w:hAnsi="Times New Roman" w:cs="Times New Roman"/>
        </w:rPr>
        <w:t xml:space="preserve">the OLC in the form of KSAs for employees can be used to carry out their duties and realize organizational innovation goals (Aryee et al., 2016). According to </w:t>
      </w:r>
      <w:r w:rsidRPr="005635E7">
        <w:rPr>
          <w:rFonts w:asciiTheme="majorBidi" w:hAnsiTheme="majorBidi" w:cstheme="majorBidi"/>
        </w:rPr>
        <w:t xml:space="preserve">several studies (Camelo-Ordaz et al., 2011, De Winne and Sels 2010, Shahzad et al., 2019), learning affects employees' innovative KSAs and, consequently, FP. </w:t>
      </w:r>
      <w:r w:rsidRPr="005635E7">
        <w:rPr>
          <w:rFonts w:ascii="Times New Roman" w:eastAsia="Calibri" w:hAnsi="Times New Roman" w:cs="Times New Roman"/>
        </w:rPr>
        <w:t xml:space="preserve">For instance, De Winne </w:t>
      </w:r>
      <w:r w:rsidRPr="005635E7">
        <w:rPr>
          <w:rFonts w:asciiTheme="majorBidi" w:hAnsiTheme="majorBidi" w:cstheme="majorBidi"/>
        </w:rPr>
        <w:t>and Sels (2010) contend that training and development are promoted by SMEs as strategic tool</w:t>
      </w:r>
      <w:r w:rsidRPr="005635E7">
        <w:rPr>
          <w:rFonts w:ascii="Times New Roman" w:eastAsia="Calibri" w:hAnsi="Times New Roman" w:cs="Times New Roman"/>
        </w:rPr>
        <w:t>s to help employees gain the knowledge necessary to identify and seize opportunities, improve existing processes, and create new goods and services</w:t>
      </w:r>
      <w:r w:rsidRPr="005635E7">
        <w:rPr>
          <w:rFonts w:asciiTheme="majorBidi" w:hAnsiTheme="majorBidi" w:cstheme="majorBidi"/>
        </w:rPr>
        <w:t>, all of which improve organizational performance. Therefore, it may be claimed that enhancing OLC tends to enhance OI and FP. Therefore, KSA development via OLC promotes OI improvement.</w:t>
      </w:r>
    </w:p>
    <w:p w14:paraId="60648F35" w14:textId="77777777" w:rsidR="005976AB" w:rsidRPr="005635E7" w:rsidRDefault="005976AB" w:rsidP="005976AB">
      <w:pPr>
        <w:spacing w:after="60" w:line="480" w:lineRule="auto"/>
        <w:jc w:val="both"/>
        <w:rPr>
          <w:rFonts w:asciiTheme="majorBidi" w:hAnsiTheme="majorBidi" w:cstheme="majorBidi"/>
          <w:shd w:val="clear" w:color="auto" w:fill="FFFFFF"/>
        </w:rPr>
      </w:pPr>
      <w:r w:rsidRPr="005635E7">
        <w:rPr>
          <w:rFonts w:asciiTheme="majorBidi" w:hAnsiTheme="majorBidi" w:cstheme="majorBidi"/>
          <w:shd w:val="clear" w:color="auto" w:fill="FFFFFF"/>
        </w:rPr>
        <w:t xml:space="preserve">However, it is argued that opportunities and motivation further boost </w:t>
      </w:r>
      <w:r w:rsidRPr="005635E7">
        <w:rPr>
          <w:rFonts w:ascii="Times New Roman" w:eastAsia="Calibri" w:hAnsi="Times New Roman" w:cs="Times New Roman"/>
        </w:rPr>
        <w:t>the KSA's contributions and innovative performance. Employee</w:t>
      </w:r>
      <w:r w:rsidRPr="005635E7">
        <w:rPr>
          <w:rFonts w:asciiTheme="majorBidi" w:hAnsiTheme="majorBidi" w:cstheme="majorBidi"/>
          <w:shd w:val="clear" w:color="auto" w:fill="FFFFFF"/>
        </w:rPr>
        <w:t xml:space="preserve"> motivation indicates their desire and willingness to use their invention KSAs to improve </w:t>
      </w:r>
      <w:r>
        <w:rPr>
          <w:rFonts w:asciiTheme="majorBidi" w:hAnsiTheme="majorBidi" w:cstheme="majorBidi"/>
          <w:shd w:val="clear" w:color="auto" w:fill="FFFFFF"/>
        </w:rPr>
        <w:t>FP</w:t>
      </w:r>
      <w:r w:rsidRPr="005635E7">
        <w:rPr>
          <w:rFonts w:asciiTheme="majorBidi" w:hAnsiTheme="majorBidi" w:cstheme="majorBidi"/>
          <w:shd w:val="clear" w:color="auto" w:fill="FFFFFF"/>
        </w:rPr>
        <w:t xml:space="preserve"> in terms of innovation, which implies OI. Opportunity reflects the provision of a supportive environment and context that enable</w:t>
      </w:r>
      <w:r w:rsidRPr="005635E7">
        <w:rPr>
          <w:rFonts w:ascii="Times New Roman" w:eastAsia="Calibri" w:hAnsi="Times New Roman" w:cs="Times New Roman"/>
        </w:rPr>
        <w:t>s employees to actively participate</w:t>
      </w:r>
      <w:r w:rsidRPr="005635E7">
        <w:rPr>
          <w:rFonts w:asciiTheme="majorBidi" w:hAnsiTheme="majorBidi" w:cstheme="majorBidi"/>
          <w:shd w:val="clear" w:color="auto" w:fill="FFFFFF"/>
        </w:rPr>
        <w:t xml:space="preserve"> in organizational innovation operations and activities that fundamentally involve taking risks, initiating change, sharing ideas, and </w:t>
      </w:r>
      <w:r w:rsidRPr="005635E7">
        <w:rPr>
          <w:rFonts w:ascii="Times New Roman" w:eastAsia="Calibri" w:hAnsi="Times New Roman" w:cs="Times New Roman"/>
        </w:rPr>
        <w:t>creating creativity (Heffernan et al., 2016). O</w:t>
      </w:r>
      <w:r>
        <w:rPr>
          <w:rFonts w:ascii="Times New Roman" w:eastAsia="Calibri" w:hAnsi="Times New Roman" w:cs="Times New Roman"/>
        </w:rPr>
        <w:t>I</w:t>
      </w:r>
      <w:r w:rsidRPr="005635E7">
        <w:rPr>
          <w:rFonts w:ascii="Times New Roman" w:eastAsia="Calibri" w:hAnsi="Times New Roman" w:cs="Times New Roman"/>
        </w:rPr>
        <w:t xml:space="preserve"> is also </w:t>
      </w:r>
      <w:r w:rsidRPr="005635E7">
        <w:rPr>
          <w:rFonts w:asciiTheme="majorBidi" w:hAnsiTheme="majorBidi" w:cstheme="majorBidi"/>
          <w:shd w:val="clear" w:color="auto" w:fill="FFFFFF"/>
        </w:rPr>
        <w:t>a part of this</w:t>
      </w:r>
      <w:r w:rsidRPr="005635E7">
        <w:rPr>
          <w:rFonts w:ascii="Times New Roman" w:eastAsia="Calibri" w:hAnsi="Times New Roman" w:cs="Times New Roman"/>
        </w:rPr>
        <w:t xml:space="preserve"> process. In light of these considerations, it is argued that employees' performance in the OLC, FP, and OI may </w:t>
      </w:r>
      <w:r w:rsidRPr="005635E7">
        <w:rPr>
          <w:rFonts w:asciiTheme="majorBidi" w:hAnsiTheme="majorBidi" w:cstheme="majorBidi"/>
          <w:shd w:val="clear" w:color="auto" w:fill="FFFFFF"/>
        </w:rPr>
        <w:t>improve if they have innovative KSAs, are willing to use them, and are encouraged and given a supportive work environment to recognize and implement improvements.</w:t>
      </w:r>
    </w:p>
    <w:p w14:paraId="0CD6C8E3"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According to Jerez-Gómez et al. (2005), the crucial elements in creating OLC that limit the effectiveness of OI can be divided into four categories: managerial commitment</w:t>
      </w:r>
      <w:r>
        <w:rPr>
          <w:rFonts w:asciiTheme="majorBidi" w:hAnsiTheme="majorBidi" w:cstheme="majorBidi"/>
        </w:rPr>
        <w:t xml:space="preserve"> (MC)</w:t>
      </w:r>
      <w:r w:rsidRPr="005635E7">
        <w:rPr>
          <w:rFonts w:asciiTheme="majorBidi" w:hAnsiTheme="majorBidi" w:cstheme="majorBidi"/>
        </w:rPr>
        <w:t>, systems perspective</w:t>
      </w:r>
      <w:r>
        <w:rPr>
          <w:rFonts w:asciiTheme="majorBidi" w:hAnsiTheme="majorBidi" w:cstheme="majorBidi"/>
        </w:rPr>
        <w:t xml:space="preserve"> (SP)</w:t>
      </w:r>
      <w:r w:rsidRPr="005635E7">
        <w:rPr>
          <w:rFonts w:asciiTheme="majorBidi" w:hAnsiTheme="majorBidi" w:cstheme="majorBidi"/>
        </w:rPr>
        <w:t xml:space="preserve"> (clear understanding of the firm's goals), knowledge transfer </w:t>
      </w:r>
      <w:r>
        <w:rPr>
          <w:rFonts w:asciiTheme="majorBidi" w:hAnsiTheme="majorBidi" w:cstheme="majorBidi"/>
        </w:rPr>
        <w:t xml:space="preserve">(EX) </w:t>
      </w:r>
      <w:r w:rsidRPr="005635E7">
        <w:rPr>
          <w:rFonts w:asciiTheme="majorBidi" w:hAnsiTheme="majorBidi" w:cstheme="majorBidi"/>
        </w:rPr>
        <w:t xml:space="preserve">(encouraging </w:t>
      </w:r>
      <w:r w:rsidRPr="005635E7">
        <w:rPr>
          <w:rFonts w:ascii="Times New Roman" w:eastAsia="Calibri" w:hAnsi="Times New Roman" w:cs="Times New Roman"/>
        </w:rPr>
        <w:t xml:space="preserve">dialogue </w:t>
      </w:r>
      <w:r w:rsidRPr="005635E7">
        <w:rPr>
          <w:rFonts w:asciiTheme="majorBidi" w:hAnsiTheme="majorBidi" w:cstheme="majorBidi"/>
        </w:rPr>
        <w:t xml:space="preserve">and debate among employees), and openness and experimentation </w:t>
      </w:r>
      <w:r>
        <w:rPr>
          <w:rFonts w:asciiTheme="majorBidi" w:hAnsiTheme="majorBidi" w:cstheme="majorBidi"/>
        </w:rPr>
        <w:t xml:space="preserve">(TR) </w:t>
      </w:r>
      <w:r w:rsidRPr="005635E7">
        <w:rPr>
          <w:rFonts w:asciiTheme="majorBidi" w:hAnsiTheme="majorBidi" w:cstheme="majorBidi"/>
        </w:rPr>
        <w:t xml:space="preserve">(internal and external). These crucial elements of the OLC that link OI have also </w:t>
      </w:r>
      <w:r w:rsidRPr="005635E7">
        <w:rPr>
          <w:rFonts w:ascii="Times New Roman" w:eastAsia="Calibri" w:hAnsi="Times New Roman" w:cs="Times New Roman"/>
        </w:rPr>
        <w:t xml:space="preserve">been mentioned in the literature on innovation. </w:t>
      </w:r>
      <w:r w:rsidRPr="005635E7">
        <w:rPr>
          <w:rFonts w:asciiTheme="majorBidi" w:hAnsiTheme="majorBidi" w:cstheme="majorBidi"/>
        </w:rPr>
        <w:t xml:space="preserve">Ferreira et al. (2021) discovered that </w:t>
      </w:r>
      <w:r w:rsidRPr="005635E7">
        <w:rPr>
          <w:rFonts w:ascii="Times New Roman" w:eastAsia="Calibri" w:hAnsi="Times New Roman" w:cs="Times New Roman"/>
        </w:rPr>
        <w:t>the OLC ha</w:t>
      </w:r>
      <w:r w:rsidRPr="005635E7">
        <w:rPr>
          <w:rFonts w:asciiTheme="majorBidi" w:hAnsiTheme="majorBidi" w:cstheme="majorBidi"/>
        </w:rPr>
        <w:t>s a moderating effect on the link between FP and competitive advantages. A corporate plan with distinct innovation goals is important (Ritter &amp; Gemünden, 2004)</w:t>
      </w:r>
      <w:r w:rsidRPr="005635E7">
        <w:rPr>
          <w:rFonts w:ascii="Times New Roman" w:eastAsia="Calibri" w:hAnsi="Times New Roman" w:cs="Times New Roman"/>
        </w:rPr>
        <w:t xml:space="preserve">, and </w:t>
      </w:r>
      <w:r w:rsidRPr="005635E7">
        <w:rPr>
          <w:rFonts w:asciiTheme="majorBidi" w:hAnsiTheme="majorBidi" w:cstheme="majorBidi"/>
        </w:rPr>
        <w:t xml:space="preserve">leadership and trust are essential for creating a climate that encourages regular learning and the production of new resources (Kutvonen, 2011; Pablo et al., 2007; Chakravarthy &amp; Gargiulo, 1998). To examine the effects of </w:t>
      </w:r>
      <w:r w:rsidRPr="005635E7">
        <w:rPr>
          <w:rFonts w:ascii="Times New Roman" w:eastAsia="Calibri" w:hAnsi="Times New Roman" w:cs="Times New Roman"/>
        </w:rPr>
        <w:t xml:space="preserve">the OLC on innovation, managers' support and boundary-spanning leadership (Fleming &amp; Waguespack, 2007; Naqshbandi &amp; </w:t>
      </w:r>
      <w:r w:rsidRPr="005635E7">
        <w:rPr>
          <w:rFonts w:asciiTheme="majorBidi" w:hAnsiTheme="majorBidi" w:cstheme="majorBidi"/>
        </w:rPr>
        <w:t>Tabche, 2018), corporate culture regarding autonomy and participation in organizational decision</w:t>
      </w:r>
      <w:r>
        <w:rPr>
          <w:rFonts w:asciiTheme="majorBidi" w:hAnsiTheme="majorBidi" w:cstheme="majorBidi"/>
        </w:rPr>
        <w:t>-</w:t>
      </w:r>
      <w:r w:rsidRPr="005635E7">
        <w:rPr>
          <w:rFonts w:asciiTheme="majorBidi" w:hAnsiTheme="majorBidi" w:cstheme="majorBidi"/>
        </w:rPr>
        <w:t>making, employee training, clear strategic innovation objectives, innovation-related activities</w:t>
      </w:r>
      <w:r w:rsidRPr="005635E7">
        <w:rPr>
          <w:rFonts w:ascii="Times New Roman" w:eastAsia="Calibri" w:hAnsi="Times New Roman" w:cs="Times New Roman"/>
        </w:rPr>
        <w:t>, and procedures encouraging experimentation and supporting risk-taking (</w:t>
      </w:r>
      <w:r w:rsidRPr="005635E7">
        <w:rPr>
          <w:rFonts w:asciiTheme="majorBidi" w:hAnsiTheme="majorBidi" w:cstheme="majorBidi"/>
        </w:rPr>
        <w:t>Chiva et al., 2007; West et al., 2006)</w:t>
      </w:r>
      <w:r>
        <w:rPr>
          <w:rFonts w:asciiTheme="majorBidi" w:hAnsiTheme="majorBidi" w:cstheme="majorBidi"/>
        </w:rPr>
        <w:t xml:space="preserve"> </w:t>
      </w:r>
      <w:r w:rsidRPr="005635E7">
        <w:rPr>
          <w:rFonts w:asciiTheme="majorBidi" w:hAnsiTheme="majorBidi" w:cstheme="majorBidi"/>
        </w:rPr>
        <w:t xml:space="preserve">are typically concerned with scrutinizing the impact of </w:t>
      </w:r>
      <w:r w:rsidRPr="005635E7">
        <w:rPr>
          <w:rFonts w:ascii="Times New Roman" w:eastAsia="Calibri" w:hAnsi="Times New Roman" w:cs="Times New Roman"/>
        </w:rPr>
        <w:t>the OLC</w:t>
      </w:r>
      <w:r w:rsidRPr="005635E7">
        <w:rPr>
          <w:rFonts w:asciiTheme="majorBidi" w:hAnsiTheme="majorBidi" w:cstheme="majorBidi"/>
        </w:rPr>
        <w:t xml:space="preserve"> on innovativeness in organization</w:t>
      </w:r>
      <w:r w:rsidRPr="005635E7">
        <w:rPr>
          <w:rFonts w:ascii="Times New Roman" w:eastAsia="Calibri" w:hAnsi="Times New Roman" w:cs="Times New Roman"/>
        </w:rPr>
        <w:t>s</w:t>
      </w:r>
      <w:r w:rsidRPr="005635E7">
        <w:rPr>
          <w:rFonts w:asciiTheme="majorBidi" w:hAnsiTheme="majorBidi" w:cstheme="majorBidi"/>
        </w:rPr>
        <w:t xml:space="preserve"> (García-Morales et al., 2007; Ussahawanitchakit, 2008).</w:t>
      </w:r>
    </w:p>
    <w:p w14:paraId="26E55DC5" w14:textId="59247D22" w:rsidR="005976AB" w:rsidRPr="005635E7" w:rsidRDefault="005976AB" w:rsidP="005976AB">
      <w:pPr>
        <w:spacing w:after="240" w:line="480" w:lineRule="auto"/>
        <w:jc w:val="both"/>
        <w:rPr>
          <w:rFonts w:asciiTheme="majorBidi" w:hAnsiTheme="majorBidi" w:cstheme="majorBidi"/>
        </w:rPr>
        <w:sectPr w:rsidR="005976AB" w:rsidRPr="005635E7" w:rsidSect="008E24E1">
          <w:pgSz w:w="11906" w:h="16838"/>
          <w:pgMar w:top="1440" w:right="1440" w:bottom="1440" w:left="1440" w:header="708" w:footer="708" w:gutter="0"/>
          <w:pgNumType w:start="1"/>
          <w:cols w:space="708"/>
          <w:docGrid w:linePitch="360"/>
        </w:sectPr>
      </w:pPr>
      <w:r w:rsidRPr="005635E7">
        <w:rPr>
          <w:rFonts w:asciiTheme="majorBidi" w:hAnsiTheme="majorBidi" w:cstheme="majorBidi"/>
        </w:rPr>
        <w:t xml:space="preserve">Although a few studies link </w:t>
      </w:r>
      <w:r w:rsidRPr="005635E7">
        <w:rPr>
          <w:rFonts w:ascii="Times New Roman" w:eastAsia="Calibri" w:hAnsi="Times New Roman" w:cs="Times New Roman"/>
        </w:rPr>
        <w:t>the OLC to OI (</w:t>
      </w:r>
      <w:r w:rsidRPr="005635E7">
        <w:rPr>
          <w:rFonts w:asciiTheme="majorBidi" w:hAnsiTheme="majorBidi" w:cstheme="majorBidi"/>
        </w:rPr>
        <w:t xml:space="preserve">Dolfsma &amp; Van der Eijk, 2017; Martinez-Conesa et al., 2017; Naqshbandi &amp; Tabche, 2018; Peris-Ortiz et al., 2018), very few studies have been conducted on the influence of </w:t>
      </w:r>
      <w:r w:rsidRPr="005635E7">
        <w:rPr>
          <w:rFonts w:ascii="Times New Roman" w:eastAsia="Calibri" w:hAnsi="Times New Roman" w:cs="Times New Roman"/>
        </w:rPr>
        <w:t>the OLC on IP and OP in the context of SME. Martinez-Conesa et al. (2017) discovered</w:t>
      </w:r>
      <w:r w:rsidRPr="005635E7">
        <w:rPr>
          <w:rFonts w:asciiTheme="majorBidi" w:hAnsiTheme="majorBidi" w:cstheme="majorBidi"/>
        </w:rPr>
        <w:t xml:space="preserve"> that commitment-based HR practices in Spanish SMEs ha</w:t>
      </w:r>
      <w:r>
        <w:rPr>
          <w:rFonts w:asciiTheme="majorBidi" w:hAnsiTheme="majorBidi" w:cstheme="majorBidi"/>
        </w:rPr>
        <w:t>d</w:t>
      </w:r>
      <w:r w:rsidRPr="005635E7">
        <w:rPr>
          <w:rFonts w:asciiTheme="majorBidi" w:hAnsiTheme="majorBidi" w:cstheme="majorBidi"/>
        </w:rPr>
        <w:t xml:space="preserve"> a favorable impact on knowledge management competency, which</w:t>
      </w:r>
      <w:r w:rsidRPr="005635E7">
        <w:rPr>
          <w:rFonts w:ascii="Times New Roman" w:eastAsia="Calibri" w:hAnsi="Times New Roman" w:cs="Times New Roman"/>
        </w:rPr>
        <w:t>, in turn, has a large beneficial impact on OI. In the context of strategic alliances, Ferrigno et al. (2022) combined the literature on organizational learning and OI and validated a framework that connects IP and OP with two types of organizational learning</w:t>
      </w:r>
      <w:r w:rsidRPr="005635E7">
        <w:rPr>
          <w:rFonts w:asciiTheme="majorBidi" w:hAnsiTheme="majorBidi" w:cstheme="majorBidi"/>
        </w:rPr>
        <w:t>–</w:t>
      </w:r>
      <w:r>
        <w:rPr>
          <w:rFonts w:asciiTheme="majorBidi" w:hAnsiTheme="majorBidi" w:cstheme="majorBidi"/>
        </w:rPr>
        <w:t xml:space="preserve"> </w:t>
      </w:r>
      <w:r w:rsidRPr="005635E7">
        <w:rPr>
          <w:rFonts w:asciiTheme="majorBidi" w:hAnsiTheme="majorBidi" w:cstheme="majorBidi"/>
        </w:rPr>
        <w:t>experiential and experimental learning–</w:t>
      </w:r>
      <w:r>
        <w:rPr>
          <w:rFonts w:asciiTheme="majorBidi" w:hAnsiTheme="majorBidi" w:cstheme="majorBidi"/>
        </w:rPr>
        <w:t xml:space="preserve"> </w:t>
      </w:r>
      <w:r w:rsidRPr="005635E7">
        <w:rPr>
          <w:rFonts w:asciiTheme="majorBidi" w:hAnsiTheme="majorBidi" w:cstheme="majorBidi"/>
        </w:rPr>
        <w:t xml:space="preserve">which produced various proposed typologies of learning opportunities to capitalize through </w:t>
      </w:r>
      <w:r w:rsidRPr="00D73F8E">
        <w:rPr>
          <w:rFonts w:asciiTheme="majorBidi" w:hAnsiTheme="majorBidi" w:cstheme="majorBidi"/>
        </w:rPr>
        <w:t xml:space="preserve">OI. </w:t>
      </w:r>
      <w:bookmarkStart w:id="42" w:name="bbib76"/>
      <w:bookmarkStart w:id="43" w:name="bbib63"/>
      <w:r w:rsidRPr="00D73F8E">
        <w:rPr>
          <w:rFonts w:asciiTheme="majorBidi" w:hAnsiTheme="majorBidi" w:cstheme="majorBidi"/>
        </w:rPr>
        <w:t xml:space="preserve">The </w:t>
      </w:r>
      <w:r w:rsidR="000836B0" w:rsidRPr="00D73F8E">
        <w:rPr>
          <w:rFonts w:asciiTheme="majorBidi" w:hAnsiTheme="majorBidi" w:cstheme="majorBidi"/>
        </w:rPr>
        <w:t>T</w:t>
      </w:r>
      <w:r w:rsidRPr="00D73F8E">
        <w:rPr>
          <w:rFonts w:asciiTheme="majorBidi" w:hAnsiTheme="majorBidi" w:cstheme="majorBidi"/>
        </w:rPr>
        <w:t>able 2.2 synthesizes the extant literature on the linkages between organizational learning capabilities and open innovation.</w:t>
      </w:r>
      <w:r w:rsidRPr="005635E7">
        <w:rPr>
          <w:rFonts w:asciiTheme="majorBidi" w:hAnsiTheme="majorBidi" w:cstheme="majorBidi"/>
        </w:rPr>
        <w:t xml:space="preserve"> </w:t>
      </w:r>
    </w:p>
    <w:p w14:paraId="484B15F9" w14:textId="77777777" w:rsidR="005976AB" w:rsidRPr="005635E7" w:rsidRDefault="005976AB" w:rsidP="005976AB">
      <w:pPr>
        <w:pStyle w:val="Caption"/>
        <w:rPr>
          <w:rFonts w:asciiTheme="majorBidi" w:hAnsiTheme="majorBidi" w:cstheme="majorBidi"/>
          <w:i w:val="0"/>
          <w:iCs w:val="0"/>
          <w:color w:val="auto"/>
          <w:sz w:val="24"/>
          <w:szCs w:val="24"/>
        </w:rPr>
      </w:pPr>
      <w:bookmarkStart w:id="44" w:name="_Toc126377952"/>
      <w:r w:rsidRPr="005635E7">
        <w:rPr>
          <w:rFonts w:asciiTheme="majorBidi" w:hAnsiTheme="majorBidi" w:cstheme="majorBidi"/>
          <w:i w:val="0"/>
          <w:iCs w:val="0"/>
          <w:color w:val="auto"/>
          <w:sz w:val="24"/>
          <w:szCs w:val="24"/>
        </w:rPr>
        <w:t>Table 2.</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2</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xml:space="preserve">: Literature synthesis as to </w:t>
      </w:r>
      <w:r>
        <w:rPr>
          <w:rFonts w:asciiTheme="majorBidi" w:hAnsiTheme="majorBidi" w:cstheme="majorBidi"/>
          <w:i w:val="0"/>
          <w:iCs w:val="0"/>
          <w:color w:val="auto"/>
          <w:sz w:val="24"/>
          <w:szCs w:val="24"/>
        </w:rPr>
        <w:t>organizational learning capabilities</w:t>
      </w:r>
      <w:r w:rsidRPr="005635E7">
        <w:rPr>
          <w:rFonts w:asciiTheme="majorBidi" w:hAnsiTheme="majorBidi" w:cstheme="majorBidi"/>
          <w:i w:val="0"/>
          <w:iCs w:val="0"/>
          <w:color w:val="auto"/>
          <w:sz w:val="24"/>
          <w:szCs w:val="24"/>
        </w:rPr>
        <w:t xml:space="preserve"> and open innovation</w:t>
      </w:r>
      <w:bookmarkEnd w:id="44"/>
    </w:p>
    <w:tbl>
      <w:tblPr>
        <w:tblStyle w:val="TableGrid"/>
        <w:tblW w:w="5000" w:type="pct"/>
        <w:tblLook w:val="04A0" w:firstRow="1" w:lastRow="0" w:firstColumn="1" w:lastColumn="0" w:noHBand="0" w:noVBand="1"/>
      </w:tblPr>
      <w:tblGrid>
        <w:gridCol w:w="1363"/>
        <w:gridCol w:w="2082"/>
        <w:gridCol w:w="2149"/>
        <w:gridCol w:w="3048"/>
        <w:gridCol w:w="2977"/>
        <w:gridCol w:w="2329"/>
      </w:tblGrid>
      <w:tr w:rsidR="005976AB" w:rsidRPr="005635E7" w14:paraId="22C8D4BF" w14:textId="77777777" w:rsidTr="009E2F41">
        <w:tc>
          <w:tcPr>
            <w:tcW w:w="489" w:type="pct"/>
          </w:tcPr>
          <w:p w14:paraId="0396CF45"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Author(s)</w:t>
            </w:r>
          </w:p>
        </w:tc>
        <w:tc>
          <w:tcPr>
            <w:tcW w:w="746" w:type="pct"/>
          </w:tcPr>
          <w:p w14:paraId="4B9A4D6D"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 xml:space="preserve">Purpose </w:t>
            </w:r>
          </w:p>
        </w:tc>
        <w:tc>
          <w:tcPr>
            <w:tcW w:w="770" w:type="pct"/>
          </w:tcPr>
          <w:p w14:paraId="799933BF"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 xml:space="preserve">Method </w:t>
            </w:r>
          </w:p>
        </w:tc>
        <w:tc>
          <w:tcPr>
            <w:tcW w:w="1093" w:type="pct"/>
          </w:tcPr>
          <w:p w14:paraId="05632ED6"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Findings</w:t>
            </w:r>
          </w:p>
        </w:tc>
        <w:tc>
          <w:tcPr>
            <w:tcW w:w="1067" w:type="pct"/>
          </w:tcPr>
          <w:p w14:paraId="49087260"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 xml:space="preserve">Implications </w:t>
            </w:r>
          </w:p>
        </w:tc>
        <w:tc>
          <w:tcPr>
            <w:tcW w:w="835" w:type="pct"/>
          </w:tcPr>
          <w:p w14:paraId="6418B446" w14:textId="77777777" w:rsidR="005976AB" w:rsidRPr="009E2F41" w:rsidRDefault="005976AB" w:rsidP="009E2F41">
            <w:pPr>
              <w:pStyle w:val="Heading3"/>
              <w:shd w:val="clear" w:color="auto" w:fill="FFFFFF"/>
              <w:spacing w:after="160"/>
              <w:outlineLvl w:val="2"/>
              <w:rPr>
                <w:rFonts w:asciiTheme="majorBidi" w:hAnsiTheme="majorBidi"/>
                <w:b/>
                <w:bCs/>
                <w:color w:val="auto"/>
                <w:kern w:val="2"/>
                <w:lang w:val="en-US"/>
                <w14:ligatures w14:val="standardContextual"/>
              </w:rPr>
            </w:pPr>
            <w:r w:rsidRPr="005635E7">
              <w:rPr>
                <w:rFonts w:asciiTheme="majorBidi" w:hAnsiTheme="majorBidi"/>
                <w:b/>
                <w:bCs/>
                <w:color w:val="auto"/>
              </w:rPr>
              <w:t>Originality/value</w:t>
            </w:r>
          </w:p>
        </w:tc>
      </w:tr>
      <w:tr w:rsidR="005976AB" w:rsidRPr="005635E7" w14:paraId="443BB8E6" w14:textId="77777777" w:rsidTr="009E2F41">
        <w:tc>
          <w:tcPr>
            <w:tcW w:w="489" w:type="pct"/>
          </w:tcPr>
          <w:p w14:paraId="0D966BC5"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Zhang et al. (2023)</w:t>
            </w:r>
          </w:p>
        </w:tc>
        <w:tc>
          <w:tcPr>
            <w:tcW w:w="746" w:type="pct"/>
          </w:tcPr>
          <w:p w14:paraId="5EB129E0"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study examines the role of ambidextrous organizational learning in mediating the link between organizational innovation and sustainable competitive advantage as well as the moderating effect of knowledge management capability, drawing on the knowledge-based view and the strategy competence-competitive advantage framework.</w:t>
            </w:r>
          </w:p>
        </w:tc>
        <w:tc>
          <w:tcPr>
            <w:tcW w:w="770" w:type="pct"/>
          </w:tcPr>
          <w:p w14:paraId="4DA050E3" w14:textId="77777777" w:rsidR="005976AB" w:rsidRPr="005635E7" w:rsidRDefault="005976AB" w:rsidP="009E2F41">
            <w:pPr>
              <w:rPr>
                <w:rFonts w:asciiTheme="majorBidi" w:hAnsiTheme="majorBidi" w:cstheme="majorBidi"/>
              </w:rPr>
            </w:pPr>
            <w:r w:rsidRPr="005635E7">
              <w:rPr>
                <w:rFonts w:asciiTheme="majorBidi" w:hAnsiTheme="majorBidi" w:cstheme="majorBidi"/>
              </w:rPr>
              <w:t>In order to gather information from 269 Chinese high-tech companies in 2021, a survey was performed.</w:t>
            </w:r>
          </w:p>
        </w:tc>
        <w:tc>
          <w:tcPr>
            <w:tcW w:w="1093" w:type="pct"/>
          </w:tcPr>
          <w:p w14:paraId="1A4BFE7E" w14:textId="77777777" w:rsidR="005976AB" w:rsidRPr="005635E7" w:rsidRDefault="005976AB" w:rsidP="009E2F41">
            <w:pPr>
              <w:rPr>
                <w:rFonts w:asciiTheme="majorBidi" w:hAnsiTheme="majorBidi" w:cstheme="majorBidi"/>
              </w:rPr>
            </w:pPr>
            <w:r w:rsidRPr="005635E7">
              <w:rPr>
                <w:rFonts w:asciiTheme="majorBidi" w:hAnsiTheme="majorBidi" w:cstheme="majorBidi"/>
              </w:rPr>
              <w:t>According to the study, OI enhances organizational learning, encompassing both exploratory and exploitative learning, as well as their balance, and leads to sustained competitive advantage. Additionally, the ability to handle knowledge modifies OI's favorable connotations with exploitation, exploration, and their combination.</w:t>
            </w:r>
          </w:p>
        </w:tc>
        <w:tc>
          <w:tcPr>
            <w:tcW w:w="1067" w:type="pct"/>
          </w:tcPr>
          <w:p w14:paraId="706EDC12"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study confirms the role of organizational learning as a mediating mechanism of the link between OI and competitive advantage, going beyond the findings of previous research.</w:t>
            </w:r>
          </w:p>
          <w:p w14:paraId="67FD967F" w14:textId="77777777" w:rsidR="005976AB" w:rsidRPr="005635E7" w:rsidRDefault="005976AB" w:rsidP="009E2F41">
            <w:pPr>
              <w:rPr>
                <w:rFonts w:asciiTheme="majorBidi" w:hAnsiTheme="majorBidi" w:cstheme="majorBidi"/>
              </w:rPr>
            </w:pPr>
          </w:p>
          <w:p w14:paraId="06837F00" w14:textId="77777777" w:rsidR="005976AB" w:rsidRPr="005635E7" w:rsidRDefault="005976AB" w:rsidP="009E2F41">
            <w:pPr>
              <w:rPr>
                <w:rFonts w:asciiTheme="majorBidi" w:hAnsiTheme="majorBidi" w:cstheme="majorBidi"/>
              </w:rPr>
            </w:pPr>
            <w:r w:rsidRPr="005635E7">
              <w:rPr>
                <w:rFonts w:asciiTheme="majorBidi" w:hAnsiTheme="majorBidi" w:cstheme="majorBidi"/>
              </w:rPr>
              <w:t>In order to gain resources, knowledge, and technology for innovation, managers should be open to the outside world; doing so increases their chances of successfully competing in the rapidly developing market.</w:t>
            </w:r>
          </w:p>
        </w:tc>
        <w:tc>
          <w:tcPr>
            <w:tcW w:w="835" w:type="pct"/>
          </w:tcPr>
          <w:p w14:paraId="7DABD5F3"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study aids in shedding light on the relationship between OI and competitive advantage and aids in partially resolving the issue of conflicting results.</w:t>
            </w:r>
          </w:p>
        </w:tc>
      </w:tr>
      <w:tr w:rsidR="005976AB" w:rsidRPr="005635E7" w14:paraId="617FCA89" w14:textId="77777777" w:rsidTr="009E2F41">
        <w:tc>
          <w:tcPr>
            <w:tcW w:w="489" w:type="pct"/>
          </w:tcPr>
          <w:p w14:paraId="42311F81" w14:textId="77777777" w:rsidR="005976AB" w:rsidRPr="005635E7" w:rsidRDefault="005976AB" w:rsidP="009E2F41">
            <w:pPr>
              <w:rPr>
                <w:rFonts w:asciiTheme="majorBidi" w:hAnsiTheme="majorBidi" w:cstheme="majorBidi"/>
              </w:rPr>
            </w:pPr>
            <w:r w:rsidRPr="005635E7">
              <w:rPr>
                <w:rFonts w:asciiTheme="majorBidi" w:hAnsiTheme="majorBidi" w:cstheme="majorBidi"/>
              </w:rPr>
              <w:t>Ferrigno et al. (2022)</w:t>
            </w:r>
          </w:p>
        </w:tc>
        <w:tc>
          <w:tcPr>
            <w:tcW w:w="746" w:type="pct"/>
          </w:tcPr>
          <w:p w14:paraId="71926A6E"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 integrate organizational learning and OI literature in relation to strategic alliances.</w:t>
            </w:r>
          </w:p>
        </w:tc>
        <w:tc>
          <w:tcPr>
            <w:tcW w:w="770" w:type="pct"/>
          </w:tcPr>
          <w:p w14:paraId="190A049C" w14:textId="77777777" w:rsidR="005976AB" w:rsidRPr="005635E7" w:rsidRDefault="005976AB" w:rsidP="009E2F41">
            <w:pPr>
              <w:autoSpaceDE w:val="0"/>
              <w:autoSpaceDN w:val="0"/>
              <w:adjustRightInd w:val="0"/>
              <w:rPr>
                <w:rFonts w:asciiTheme="majorBidi" w:hAnsiTheme="majorBidi" w:cstheme="majorBidi"/>
              </w:rPr>
            </w:pPr>
            <w:r w:rsidRPr="005635E7">
              <w:rPr>
                <w:rFonts w:asciiTheme="majorBidi" w:hAnsiTheme="majorBidi" w:cstheme="majorBidi"/>
                <w:shd w:val="clear" w:color="auto" w:fill="FFFFFF"/>
              </w:rPr>
              <w:t>The OL-OI nexus paradigm is empirically validated in this research using four examples of dyadic strategic alliances where the allied partners have adopted an IP or OP strategy and used an experiential or experimental learning approach to gain information. Data were gathered from websites, alliance partner CEO transcripts, and announcements about the relationship.</w:t>
            </w:r>
          </w:p>
        </w:tc>
        <w:tc>
          <w:tcPr>
            <w:tcW w:w="1093" w:type="pct"/>
          </w:tcPr>
          <w:p w14:paraId="305F97E2"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Two well-known OI strategies—inbound and outbound—and two distinct organizational learning approaches—experiential learning and experimental learning—are linked by a framework that they designed and tested.</w:t>
            </w:r>
          </w:p>
        </w:tc>
        <w:tc>
          <w:tcPr>
            <w:tcW w:w="1067" w:type="pct"/>
          </w:tcPr>
          <w:p w14:paraId="5E529051"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A framework connecting experiential and experimental learning to IP and OP techniques was provided in the paper. But the authors concentrated on IP and OP. They were aware that alliances can occasionally be the site of paired innovation.</w:t>
            </w:r>
          </w:p>
          <w:p w14:paraId="20775DC0" w14:textId="77777777" w:rsidR="005976AB" w:rsidRPr="005635E7" w:rsidRDefault="005976AB" w:rsidP="009E2F41">
            <w:pPr>
              <w:rPr>
                <w:rFonts w:asciiTheme="majorBidi" w:hAnsiTheme="majorBidi" w:cstheme="majorBidi"/>
                <w:shd w:val="clear" w:color="auto" w:fill="FFFFFF"/>
              </w:rPr>
            </w:pPr>
          </w:p>
          <w:p w14:paraId="1E545EED"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This study also proposes best practices for companies willing to open their innovation processes with alliance partners by bearing in mind the learning outcomes that may be exploited through the alliance</w:t>
            </w:r>
            <w:r>
              <w:rPr>
                <w:rFonts w:asciiTheme="majorBidi" w:hAnsiTheme="majorBidi" w:cstheme="majorBidi"/>
                <w:shd w:val="clear" w:color="auto" w:fill="FFFFFF"/>
              </w:rPr>
              <w:t>.</w:t>
            </w:r>
          </w:p>
        </w:tc>
        <w:tc>
          <w:tcPr>
            <w:tcW w:w="835" w:type="pct"/>
          </w:tcPr>
          <w:p w14:paraId="25CA6B36"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The link between OI techniques and organizational learning strategies led to the development of four partnership archetypes, which were highlighted in this research.</w:t>
            </w:r>
          </w:p>
        </w:tc>
      </w:tr>
      <w:tr w:rsidR="005976AB" w:rsidRPr="005635E7" w14:paraId="2E1946CB" w14:textId="77777777" w:rsidTr="009E2F41">
        <w:tc>
          <w:tcPr>
            <w:tcW w:w="489" w:type="pct"/>
          </w:tcPr>
          <w:p w14:paraId="7E89D464"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Bašić (2021)</w:t>
            </w:r>
          </w:p>
        </w:tc>
        <w:tc>
          <w:tcPr>
            <w:tcW w:w="746" w:type="pct"/>
          </w:tcPr>
          <w:p w14:paraId="08A5EC61" w14:textId="77777777" w:rsidR="005976AB" w:rsidRPr="005635E7" w:rsidRDefault="005976AB" w:rsidP="009E2F41">
            <w:pPr>
              <w:rPr>
                <w:rFonts w:asciiTheme="majorBidi" w:hAnsiTheme="majorBidi" w:cstheme="majorBidi"/>
              </w:rPr>
            </w:pPr>
            <w:r w:rsidRPr="005635E7">
              <w:rPr>
                <w:rFonts w:asciiTheme="majorBidi" w:hAnsiTheme="majorBidi" w:cstheme="majorBidi"/>
              </w:rPr>
              <w:t>Based on their OI, innovation results, and organizational learning practices, to examine variations in the level of internationalization of organizations from a transitional economy.</w:t>
            </w:r>
          </w:p>
        </w:tc>
        <w:tc>
          <w:tcPr>
            <w:tcW w:w="770" w:type="pct"/>
          </w:tcPr>
          <w:p w14:paraId="6069F604" w14:textId="77777777" w:rsidR="005976AB" w:rsidRPr="005635E7" w:rsidRDefault="005976AB" w:rsidP="009E2F41">
            <w:pPr>
              <w:rPr>
                <w:rFonts w:asciiTheme="majorBidi" w:hAnsiTheme="majorBidi" w:cstheme="majorBidi"/>
              </w:rPr>
            </w:pPr>
            <w:r w:rsidRPr="005635E7">
              <w:rPr>
                <w:rFonts w:asciiTheme="majorBidi" w:hAnsiTheme="majorBidi" w:cstheme="majorBidi"/>
              </w:rPr>
              <w:t>Utilizing 82 senior members of the project teams in the Republic of Croatia's telecommunications industry, the study used a structured questionnaire survey.</w:t>
            </w:r>
          </w:p>
        </w:tc>
        <w:tc>
          <w:tcPr>
            <w:tcW w:w="1093" w:type="pct"/>
          </w:tcPr>
          <w:p w14:paraId="5C0FDACF" w14:textId="77777777" w:rsidR="005976AB" w:rsidRPr="005635E7" w:rsidRDefault="005976AB" w:rsidP="009E2F41">
            <w:pPr>
              <w:rPr>
                <w:rFonts w:asciiTheme="majorBidi" w:hAnsiTheme="majorBidi" w:cstheme="majorBidi"/>
              </w:rPr>
            </w:pPr>
            <w:r w:rsidRPr="005635E7">
              <w:rPr>
                <w:rFonts w:asciiTheme="majorBidi" w:hAnsiTheme="majorBidi" w:cstheme="majorBidi"/>
              </w:rPr>
              <w:t>The findings showed that linked and OP practices originating from market research, public information, and competition tracking were responsible for the innovation success of organizations with lesser levels of internationalization. The link between market research and the success of innovations contains a mediating influence of OP.</w:t>
            </w:r>
          </w:p>
          <w:p w14:paraId="674A0B7E" w14:textId="77777777" w:rsidR="005976AB" w:rsidRPr="005635E7" w:rsidRDefault="005976AB" w:rsidP="009E2F41">
            <w:pPr>
              <w:rPr>
                <w:rFonts w:asciiTheme="majorBidi" w:hAnsiTheme="majorBidi" w:cstheme="majorBidi"/>
              </w:rPr>
            </w:pPr>
          </w:p>
          <w:p w14:paraId="1EA7C7E1" w14:textId="77777777" w:rsidR="005976AB" w:rsidRPr="005635E7" w:rsidRDefault="005976AB" w:rsidP="009E2F41">
            <w:pPr>
              <w:rPr>
                <w:rFonts w:asciiTheme="majorBidi" w:hAnsiTheme="majorBidi" w:cstheme="majorBidi"/>
              </w:rPr>
            </w:pPr>
            <w:r w:rsidRPr="005635E7">
              <w:rPr>
                <w:rFonts w:asciiTheme="majorBidi" w:hAnsiTheme="majorBidi" w:cstheme="majorBidi"/>
              </w:rPr>
              <w:t>The success of innovations is negatively impacted by organizational learning antecedents like market research and research and development efforts in organizations with higher levels of internationalization.</w:t>
            </w:r>
          </w:p>
        </w:tc>
        <w:tc>
          <w:tcPr>
            <w:tcW w:w="1067" w:type="pct"/>
          </w:tcPr>
          <w:p w14:paraId="25ABB3D1"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study added to the body of literature that views internationalization and innovation as complimentary tactics. Additionally, it delves deeply into the ongoing discussion about OI and its advantages for society at large. In particular, this study addressed a comprehensive role and described organizational learning differences through all three OI practices and varied among two levels of internationalization, in contrast to most studies that only explained organizational learning through one OI practice.</w:t>
            </w:r>
          </w:p>
          <w:p w14:paraId="471E31CA" w14:textId="77777777" w:rsidR="005976AB" w:rsidRPr="005635E7" w:rsidRDefault="005976AB" w:rsidP="009E2F41">
            <w:pPr>
              <w:rPr>
                <w:rFonts w:asciiTheme="majorBidi" w:hAnsiTheme="majorBidi" w:cstheme="majorBidi"/>
              </w:rPr>
            </w:pPr>
          </w:p>
          <w:p w14:paraId="6C68FC8E"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research makes a substantial contribution to emerging</w:t>
            </w:r>
            <w:r>
              <w:rPr>
                <w:rFonts w:asciiTheme="majorBidi" w:hAnsiTheme="majorBidi" w:cstheme="majorBidi"/>
              </w:rPr>
              <w:t>-</w:t>
            </w:r>
            <w:r w:rsidRPr="005635E7">
              <w:rPr>
                <w:rFonts w:asciiTheme="majorBidi" w:hAnsiTheme="majorBidi" w:cstheme="majorBidi"/>
              </w:rPr>
              <w:t>market enterprises that are both low- and high-internationalizing and are going through several market changes. Organizations that have adapted to working with international partners do so more readily than those that have not.</w:t>
            </w:r>
          </w:p>
        </w:tc>
        <w:tc>
          <w:tcPr>
            <w:tcW w:w="835" w:type="pct"/>
          </w:tcPr>
          <w:p w14:paraId="12ADBC30" w14:textId="77777777" w:rsidR="005976AB" w:rsidRPr="005635E7" w:rsidRDefault="005976AB" w:rsidP="009E2F41">
            <w:pPr>
              <w:rPr>
                <w:rFonts w:asciiTheme="majorBidi" w:hAnsiTheme="majorBidi" w:cstheme="majorBidi"/>
              </w:rPr>
            </w:pPr>
            <w:r w:rsidRPr="005635E7">
              <w:rPr>
                <w:rFonts w:asciiTheme="majorBidi" w:hAnsiTheme="majorBidi" w:cstheme="majorBidi"/>
              </w:rPr>
              <w:t>The contribution of this study is an understanding of how organizational learning practices and antecedents interact in organizations with varying levels of internationalization, where organizations with higher levels of internationalization already have a competitive advantage that organizations with lower levels of internationalization need to realize.</w:t>
            </w:r>
          </w:p>
        </w:tc>
      </w:tr>
      <w:tr w:rsidR="005976AB" w:rsidRPr="005635E7" w14:paraId="6343EDE8" w14:textId="77777777" w:rsidTr="009E2F41">
        <w:tc>
          <w:tcPr>
            <w:tcW w:w="489" w:type="pct"/>
          </w:tcPr>
          <w:p w14:paraId="1ABDACEB" w14:textId="77777777" w:rsidR="005976AB" w:rsidRPr="005635E7" w:rsidRDefault="005976AB" w:rsidP="009E2F41">
            <w:pPr>
              <w:rPr>
                <w:rFonts w:asciiTheme="majorBidi" w:hAnsiTheme="majorBidi" w:cstheme="majorBidi"/>
              </w:rPr>
            </w:pPr>
            <w:r w:rsidRPr="005635E7">
              <w:rPr>
                <w:rFonts w:asciiTheme="majorBidi" w:hAnsiTheme="majorBidi" w:cstheme="majorBidi"/>
              </w:rPr>
              <w:t>Naqshbandi &amp; Tabche (2018)</w:t>
            </w:r>
          </w:p>
        </w:tc>
        <w:tc>
          <w:tcPr>
            <w:tcW w:w="746" w:type="pct"/>
          </w:tcPr>
          <w:p w14:paraId="799F7EAC"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study created a model to describe how leadership interacts with organizational learning culture and absorptive capacity to affect OI results, building on the resource-based view of the company.</w:t>
            </w:r>
          </w:p>
        </w:tc>
        <w:tc>
          <w:tcPr>
            <w:tcW w:w="770" w:type="pct"/>
          </w:tcPr>
          <w:p w14:paraId="76CB7B60" w14:textId="77777777" w:rsidR="005976AB" w:rsidRPr="005635E7" w:rsidRDefault="005976AB" w:rsidP="009E2F41">
            <w:pPr>
              <w:rPr>
                <w:rFonts w:asciiTheme="majorBidi" w:hAnsiTheme="majorBidi" w:cstheme="majorBidi"/>
              </w:rPr>
            </w:pPr>
            <w:r w:rsidRPr="005635E7">
              <w:rPr>
                <w:rFonts w:asciiTheme="majorBidi" w:hAnsiTheme="majorBidi" w:cstheme="majorBidi"/>
              </w:rPr>
              <w:t xml:space="preserve">The industrial and service industries in India were the subjects of data collection from middle and upper managers working in 340 companies listed on the National Stock Exchange (NSE 500). </w:t>
            </w:r>
          </w:p>
        </w:tc>
        <w:tc>
          <w:tcPr>
            <w:tcW w:w="1093" w:type="pct"/>
          </w:tcPr>
          <w:p w14:paraId="77490B7B" w14:textId="77777777" w:rsidR="005976AB" w:rsidRPr="005635E7" w:rsidRDefault="005976AB" w:rsidP="009E2F41">
            <w:pPr>
              <w:rPr>
                <w:rFonts w:asciiTheme="majorBidi" w:hAnsiTheme="majorBidi" w:cstheme="majorBidi"/>
              </w:rPr>
            </w:pPr>
            <w:r w:rsidRPr="005635E7">
              <w:rPr>
                <w:rFonts w:asciiTheme="majorBidi" w:hAnsiTheme="majorBidi" w:cstheme="majorBidi"/>
              </w:rPr>
              <w:t xml:space="preserve">Results showed that by implementing an organizational learning culture, empowering leadership contributes to improved OI results. However, the findings do not support a significant interaction between organizational culture and both absorptive ability and OI. </w:t>
            </w:r>
          </w:p>
        </w:tc>
        <w:tc>
          <w:tcPr>
            <w:tcW w:w="1067" w:type="pct"/>
          </w:tcPr>
          <w:p w14:paraId="484A6665" w14:textId="77777777" w:rsidR="005976AB" w:rsidRPr="005635E7" w:rsidRDefault="005976AB" w:rsidP="009E2F41">
            <w:pPr>
              <w:rPr>
                <w:rFonts w:asciiTheme="majorBidi" w:hAnsiTheme="majorBidi" w:cstheme="majorBidi"/>
              </w:rPr>
            </w:pPr>
            <w:r w:rsidRPr="005635E7">
              <w:rPr>
                <w:rFonts w:asciiTheme="majorBidi" w:hAnsiTheme="majorBidi" w:cstheme="majorBidi"/>
              </w:rPr>
              <w:t>There were no models that linked leadership, organizational culture, and OI. Therefore, this study is a step toward highlighting the importance of academics' focus on this subject. By focusing on the organizational learning culture's mediating function, this study also clarified the relationship between leadership and organizational intelligence.</w:t>
            </w:r>
          </w:p>
        </w:tc>
        <w:tc>
          <w:tcPr>
            <w:tcW w:w="835" w:type="pct"/>
          </w:tcPr>
          <w:p w14:paraId="6946FC24" w14:textId="77777777" w:rsidR="005976AB" w:rsidRPr="005635E7" w:rsidRDefault="005976AB" w:rsidP="009E2F41">
            <w:pPr>
              <w:rPr>
                <w:rFonts w:asciiTheme="majorBidi" w:hAnsiTheme="majorBidi" w:cstheme="majorBidi"/>
              </w:rPr>
            </w:pPr>
            <w:r w:rsidRPr="005635E7">
              <w:rPr>
                <w:rFonts w:asciiTheme="majorBidi" w:hAnsiTheme="majorBidi" w:cstheme="majorBidi"/>
              </w:rPr>
              <w:t xml:space="preserve">Despite the fact that the literature already in existence has emphasized the importance of leadership in fostering innovation, this study is one of the first in the field of organizational innovation to make links with empowering leadership and empirically test them. </w:t>
            </w:r>
          </w:p>
        </w:tc>
      </w:tr>
      <w:tr w:rsidR="005976AB" w:rsidRPr="005635E7" w14:paraId="73831AF9" w14:textId="77777777" w:rsidTr="009E2F41">
        <w:tc>
          <w:tcPr>
            <w:tcW w:w="489" w:type="pct"/>
          </w:tcPr>
          <w:p w14:paraId="400ACEA6"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Peris-Ortiz et al. (2018)</w:t>
            </w:r>
          </w:p>
        </w:tc>
        <w:tc>
          <w:tcPr>
            <w:tcW w:w="746" w:type="pct"/>
          </w:tcPr>
          <w:p w14:paraId="79A68952"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 investigate the relationship between successful radical and incremental innovation in knowledge-based enterprises and OI. Human resources and organizational learning capacity of the company are viewed as the key connections in this relationship.</w:t>
            </w:r>
          </w:p>
        </w:tc>
        <w:tc>
          <w:tcPr>
            <w:tcW w:w="770" w:type="pct"/>
          </w:tcPr>
          <w:p w14:paraId="04EF18E3"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The research examines the relationships between OI and innovation success as well as dynamic capacities and OI at the conceptual level. To examine how innovation is applied in 29 businesses from Spain, France, and Portugal, fuzzy-set qualitative comparative analysis was used.</w:t>
            </w:r>
          </w:p>
        </w:tc>
        <w:tc>
          <w:tcPr>
            <w:tcW w:w="1093" w:type="pct"/>
          </w:tcPr>
          <w:p w14:paraId="639A66F3"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Fuzzy-set comparative evaluation that is qualitative identifies combinations of elements that support small-scale innovations. These combinations show how organizational policies that support both gradual and radical innovation can be put into place.</w:t>
            </w:r>
          </w:p>
        </w:tc>
        <w:tc>
          <w:tcPr>
            <w:tcW w:w="1067" w:type="pct"/>
          </w:tcPr>
          <w:p w14:paraId="356C51BE"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The characteristics of the study sample made it clear that caution should be taken when extrapolating the results. The finding of combinations of factors aiding corporations in managing innovation is the most significant implication.</w:t>
            </w:r>
          </w:p>
        </w:tc>
        <w:tc>
          <w:tcPr>
            <w:tcW w:w="835" w:type="pct"/>
          </w:tcPr>
          <w:p w14:paraId="1788BB38"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OI and organizational learning variables are rarely linked in literature to various forms of innovation. A significant advance in the field of innovation literature is also made by the application of fuzzy-set qualitative comparative analysis to assess the examples.</w:t>
            </w:r>
          </w:p>
        </w:tc>
      </w:tr>
      <w:tr w:rsidR="005976AB" w:rsidRPr="005635E7" w14:paraId="04B0E21A" w14:textId="77777777" w:rsidTr="009E2F41">
        <w:tc>
          <w:tcPr>
            <w:tcW w:w="489" w:type="pct"/>
          </w:tcPr>
          <w:p w14:paraId="07AEB52D"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Wang &amp; Xu (2018)</w:t>
            </w:r>
          </w:p>
        </w:tc>
        <w:tc>
          <w:tcPr>
            <w:tcW w:w="746" w:type="pct"/>
          </w:tcPr>
          <w:p w14:paraId="5469366B"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 investigate the connection between radical innovation, organizational learning, and customer knowledge management, as well as if organizational learning ability affects the influence of customer knowledge management on radical innovation.</w:t>
            </w:r>
          </w:p>
        </w:tc>
        <w:tc>
          <w:tcPr>
            <w:tcW w:w="770" w:type="pct"/>
          </w:tcPr>
          <w:p w14:paraId="6359941D"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A sample of 165 contemporary service businesses in the Yangtze River Delta, China's economic hub, were used to obtain the data. Utilizing SPSS and Mplus, an analysis of structural equation modeling was conducted.</w:t>
            </w:r>
          </w:p>
        </w:tc>
        <w:tc>
          <w:tcPr>
            <w:tcW w:w="1093" w:type="pct"/>
          </w:tcPr>
          <w:p w14:paraId="7E94164A"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While OP activities combined with organizational exploitative learning capacity had an indirect impact on radical innovation, IP activities had a direct impact on it. In a similar vein, the empirical findings supported the idea that CKM indirectly influenced radical innovation via the OLC, with a strong influence from exploratory learning.</w:t>
            </w:r>
          </w:p>
        </w:tc>
        <w:tc>
          <w:tcPr>
            <w:tcW w:w="1067" w:type="pct"/>
          </w:tcPr>
          <w:p w14:paraId="12281B75" w14:textId="77777777" w:rsidR="005976AB" w:rsidRPr="005635E7" w:rsidRDefault="005976AB" w:rsidP="009E2F41">
            <w:pPr>
              <w:rPr>
                <w:rFonts w:asciiTheme="majorBidi" w:hAnsiTheme="majorBidi" w:cstheme="majorBidi"/>
              </w:rPr>
            </w:pPr>
            <w:r w:rsidRPr="005635E7">
              <w:rPr>
                <w:rFonts w:asciiTheme="majorBidi" w:hAnsiTheme="majorBidi" w:cstheme="majorBidi"/>
              </w:rPr>
              <w:t>Because it may successfully encourage creativity and recognize valued new ideas, customer knowledge management is especially important.</w:t>
            </w:r>
          </w:p>
          <w:p w14:paraId="27B213AC" w14:textId="77777777" w:rsidR="005976AB" w:rsidRPr="005635E7" w:rsidRDefault="005976AB" w:rsidP="009E2F41">
            <w:pPr>
              <w:rPr>
                <w:rFonts w:asciiTheme="majorBidi" w:hAnsiTheme="majorBidi" w:cstheme="majorBidi"/>
              </w:rPr>
            </w:pPr>
            <w:r w:rsidRPr="005635E7">
              <w:rPr>
                <w:rFonts w:asciiTheme="majorBidi" w:hAnsiTheme="majorBidi" w:cstheme="majorBidi"/>
              </w:rPr>
              <w:t>Exploratory learning and exploitative learning work together to influence the radical innovation process that is influenced by OI and customer knowledge management. This collaboration may assist the organization apply information effectively and spread it around, hence facilitating radical innovation.</w:t>
            </w:r>
          </w:p>
          <w:p w14:paraId="75A981DA" w14:textId="77777777" w:rsidR="005976AB" w:rsidRPr="005635E7" w:rsidRDefault="005976AB" w:rsidP="009E2F41">
            <w:pPr>
              <w:rPr>
                <w:rFonts w:asciiTheme="majorBidi" w:hAnsiTheme="majorBidi" w:cstheme="majorBidi"/>
              </w:rPr>
            </w:pPr>
          </w:p>
        </w:tc>
        <w:tc>
          <w:tcPr>
            <w:tcW w:w="835" w:type="pct"/>
          </w:tcPr>
          <w:p w14:paraId="02E77645"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From the viewpoints of OI and customer knowledge management, this study investigates the impact mechanism of radical innovation. As a result, it is advised that organizations embrace OI practices to boost innovation performance, develop a strategy for customer-focused innovation, and make use of ICT to improve OLC.</w:t>
            </w:r>
          </w:p>
        </w:tc>
      </w:tr>
      <w:tr w:rsidR="005976AB" w:rsidRPr="005635E7" w14:paraId="510DFA4F" w14:textId="77777777" w:rsidTr="009E2F41">
        <w:tc>
          <w:tcPr>
            <w:tcW w:w="489" w:type="pct"/>
          </w:tcPr>
          <w:p w14:paraId="10DEB94C" w14:textId="77777777" w:rsidR="005976AB" w:rsidRPr="005635E7" w:rsidRDefault="005976AB" w:rsidP="009E2F41">
            <w:pPr>
              <w:rPr>
                <w:rFonts w:asciiTheme="majorBidi" w:hAnsiTheme="majorBidi" w:cstheme="majorBidi"/>
              </w:rPr>
            </w:pPr>
            <w:r w:rsidRPr="005635E7">
              <w:rPr>
                <w:rFonts w:asciiTheme="majorBidi" w:hAnsiTheme="majorBidi" w:cstheme="majorBidi"/>
              </w:rPr>
              <w:t>Martinez-Conesa et al., (2017)</w:t>
            </w:r>
          </w:p>
        </w:tc>
        <w:tc>
          <w:tcPr>
            <w:tcW w:w="746" w:type="pct"/>
          </w:tcPr>
          <w:p w14:paraId="4B774568"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 provide insight into the internal and external causes of OI in the context of SMEs, with an emphasis on the function of knowledge management competence. An integrative research model was created and tested in this study to evaluate the impact of organizational and external factors, specifically environmental dynamism and knowledge management capability, on OI. It also examined whether environmental dynamism moderates the relationship between knowledge management capability and OI.</w:t>
            </w:r>
          </w:p>
        </w:tc>
        <w:tc>
          <w:tcPr>
            <w:tcW w:w="770" w:type="pct"/>
          </w:tcPr>
          <w:p w14:paraId="39AE8933"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 xml:space="preserve">This study develops an integrative research model based on the social exchange, contingency, and knowledge-based view and theories. It applies covariance-based </w:t>
            </w:r>
            <w:r>
              <w:rPr>
                <w:rFonts w:asciiTheme="majorBidi" w:hAnsiTheme="majorBidi" w:cstheme="majorBidi"/>
                <w:shd w:val="clear" w:color="auto" w:fill="FFFFFF"/>
              </w:rPr>
              <w:t>SEM</w:t>
            </w:r>
            <w:r w:rsidRPr="005635E7">
              <w:rPr>
                <w:rFonts w:asciiTheme="majorBidi" w:hAnsiTheme="majorBidi" w:cstheme="majorBidi"/>
                <w:shd w:val="clear" w:color="auto" w:fill="FFFFFF"/>
              </w:rPr>
              <w:t xml:space="preserve"> to a data set of 3,000 manufacturing Spanish SMEs to examine several relationships between organizational antecedents of knowledge management capability and its effect on OI.</w:t>
            </w:r>
          </w:p>
        </w:tc>
        <w:tc>
          <w:tcPr>
            <w:tcW w:w="1093" w:type="pct"/>
          </w:tcPr>
          <w:p w14:paraId="77D24696"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Results show that commitment-based human resource practices and operations backed by information technology have a positive and significant impact on knowledge management capabilities. The data, on the other hand, show no indication of a link between interdepartmental connection and knowledge management capability, but both environmental dynamism and knowledge management capability have a direct impact on OI.</w:t>
            </w:r>
          </w:p>
        </w:tc>
        <w:tc>
          <w:tcPr>
            <w:tcW w:w="1067" w:type="pct"/>
          </w:tcPr>
          <w:p w14:paraId="58EAD942" w14:textId="77777777" w:rsidR="005976AB" w:rsidRPr="005635E7" w:rsidRDefault="005976AB" w:rsidP="009E2F41">
            <w:pPr>
              <w:rPr>
                <w:rFonts w:asciiTheme="majorBidi" w:hAnsiTheme="majorBidi" w:cstheme="majorBidi"/>
              </w:rPr>
            </w:pPr>
            <w:r w:rsidRPr="005635E7">
              <w:rPr>
                <w:rFonts w:asciiTheme="majorBidi" w:hAnsiTheme="majorBidi" w:cstheme="majorBidi"/>
              </w:rPr>
              <w:t>The importance of knowledge management skills as a requirement for OI was generally highlighted by this study. Managers should therefore view OI as a complicated process requiring efficient management of both internal and external knowledge.</w:t>
            </w:r>
          </w:p>
          <w:p w14:paraId="449DA10D" w14:textId="77777777" w:rsidR="005976AB" w:rsidRPr="005635E7" w:rsidRDefault="005976AB" w:rsidP="009E2F41">
            <w:pPr>
              <w:rPr>
                <w:rFonts w:asciiTheme="majorBidi" w:hAnsiTheme="majorBidi" w:cstheme="majorBidi"/>
              </w:rPr>
            </w:pPr>
          </w:p>
          <w:p w14:paraId="6E385506" w14:textId="77777777" w:rsidR="005976AB" w:rsidRPr="005635E7" w:rsidRDefault="005976AB" w:rsidP="009E2F41">
            <w:pPr>
              <w:rPr>
                <w:rFonts w:asciiTheme="majorBidi" w:hAnsiTheme="majorBidi" w:cstheme="majorBidi"/>
              </w:rPr>
            </w:pPr>
            <w:r w:rsidRPr="005635E7">
              <w:rPr>
                <w:rFonts w:asciiTheme="majorBidi" w:hAnsiTheme="majorBidi" w:cstheme="majorBidi"/>
              </w:rPr>
              <w:t>Due to the importance of these skills in pursuing competing needs for exploitation and exploration, businesses should make additional efforts to strengthen their information technology and knowledge management capabilities.</w:t>
            </w:r>
          </w:p>
          <w:p w14:paraId="0222B734" w14:textId="77777777" w:rsidR="005976AB" w:rsidRPr="005635E7" w:rsidRDefault="005976AB" w:rsidP="009E2F41">
            <w:pPr>
              <w:rPr>
                <w:rFonts w:asciiTheme="majorBidi" w:hAnsiTheme="majorBidi" w:cstheme="majorBidi"/>
              </w:rPr>
            </w:pPr>
            <w:r w:rsidRPr="005635E7">
              <w:rPr>
                <w:rFonts w:asciiTheme="majorBidi" w:hAnsiTheme="majorBidi" w:cstheme="majorBidi"/>
              </w:rPr>
              <w:t>Second, the findings demonstrated that organization’s capacity to implement exploratory and exploitative innovations in an ambidextrous manner is dependent not only on the growth of internal capacities but also on the ability to react quickly to external constraints, such as environmental dynamism.</w:t>
            </w:r>
          </w:p>
        </w:tc>
        <w:tc>
          <w:tcPr>
            <w:tcW w:w="835" w:type="pct"/>
          </w:tcPr>
          <w:p w14:paraId="08DAE849"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The fact that this study is the first to examine the crucial role that knowledge management competence plays in the implementation of OI adds to the body of existing research on the topic.</w:t>
            </w:r>
          </w:p>
        </w:tc>
      </w:tr>
    </w:tbl>
    <w:p w14:paraId="2048859A" w14:textId="77777777" w:rsidR="005976AB" w:rsidRPr="005635E7" w:rsidRDefault="005976AB" w:rsidP="005976AB"/>
    <w:p w14:paraId="193A387E" w14:textId="77777777" w:rsidR="005976AB" w:rsidRPr="005635E7" w:rsidRDefault="005976AB" w:rsidP="005976AB"/>
    <w:p w14:paraId="6996018D" w14:textId="77777777" w:rsidR="005976AB" w:rsidRPr="005635E7" w:rsidRDefault="005976AB" w:rsidP="005976AB">
      <w:pPr>
        <w:spacing w:after="240" w:line="480" w:lineRule="auto"/>
        <w:jc w:val="both"/>
      </w:pPr>
    </w:p>
    <w:p w14:paraId="3AC67EE0" w14:textId="77777777" w:rsidR="005976AB" w:rsidRPr="005635E7" w:rsidRDefault="005976AB" w:rsidP="005976AB">
      <w:pPr>
        <w:spacing w:after="240" w:line="480" w:lineRule="auto"/>
        <w:jc w:val="both"/>
        <w:rPr>
          <w:rFonts w:asciiTheme="majorBidi" w:hAnsiTheme="majorBidi" w:cstheme="majorBidi"/>
        </w:rPr>
        <w:sectPr w:rsidR="005976AB" w:rsidRPr="005635E7" w:rsidSect="004A2760">
          <w:pgSz w:w="16838" w:h="11906" w:orient="landscape"/>
          <w:pgMar w:top="1440" w:right="1440" w:bottom="1440" w:left="1440" w:header="708" w:footer="708" w:gutter="0"/>
          <w:cols w:space="708"/>
          <w:docGrid w:linePitch="360"/>
        </w:sectPr>
      </w:pPr>
    </w:p>
    <w:bookmarkEnd w:id="42"/>
    <w:bookmarkEnd w:id="43"/>
    <w:p w14:paraId="6BFE2C7E"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However, Dolfsma and Van der Eijk (2017) discovered that the fundamental elements that support an organization's overall learning capabilities influence</w:t>
      </w:r>
      <w:r>
        <w:rPr>
          <w:rFonts w:asciiTheme="majorBidi" w:hAnsiTheme="majorBidi" w:cstheme="majorBidi"/>
        </w:rPr>
        <w:t>d</w:t>
      </w:r>
      <w:r w:rsidRPr="005635E7">
        <w:rPr>
          <w:rFonts w:asciiTheme="majorBidi" w:hAnsiTheme="majorBidi" w:cstheme="majorBidi"/>
        </w:rPr>
        <w:t xml:space="preserve"> the efficiency of OI and</w:t>
      </w:r>
      <w:r w:rsidRPr="005635E7">
        <w:rPr>
          <w:rFonts w:ascii="Times New Roman" w:eastAsia="Calibri" w:hAnsi="Times New Roman" w:cs="Times New Roman"/>
        </w:rPr>
        <w:t xml:space="preserve">, therefore, overall innovation performance. </w:t>
      </w:r>
      <w:r w:rsidRPr="005635E7">
        <w:rPr>
          <w:rFonts w:asciiTheme="majorBidi" w:hAnsiTheme="majorBidi" w:cstheme="majorBidi"/>
        </w:rPr>
        <w:t>Severoni and Muldoon discovered a reverse relationship between IP and organizational learning processes in 2019. According to Naqshbandi and Tabche (2018)</w:t>
      </w:r>
      <w:r w:rsidRPr="005635E7">
        <w:rPr>
          <w:rFonts w:ascii="Times New Roman" w:eastAsia="Calibri" w:hAnsi="Times New Roman" w:cs="Times New Roman"/>
        </w:rPr>
        <w:t xml:space="preserve">, organizational learning and OI do not interact. </w:t>
      </w:r>
      <w:r w:rsidRPr="005635E7">
        <w:rPr>
          <w:rFonts w:asciiTheme="majorBidi" w:hAnsiTheme="majorBidi" w:cstheme="majorBidi"/>
        </w:rPr>
        <w:t>However, Greco et al. (2019) showed that IP d</w:t>
      </w:r>
      <w:r>
        <w:rPr>
          <w:rFonts w:asciiTheme="majorBidi" w:hAnsiTheme="majorBidi" w:cstheme="majorBidi"/>
        </w:rPr>
        <w:t>id</w:t>
      </w:r>
      <w:r w:rsidRPr="005635E7">
        <w:rPr>
          <w:rFonts w:asciiTheme="majorBidi" w:hAnsiTheme="majorBidi" w:cstheme="majorBidi"/>
        </w:rPr>
        <w:t xml:space="preserve"> not reduce costs or competitive advantages, and Milan et al. (2020) showed how innovation assets and competencies c</w:t>
      </w:r>
      <w:r>
        <w:rPr>
          <w:rFonts w:asciiTheme="majorBidi" w:hAnsiTheme="majorBidi" w:cstheme="majorBidi"/>
        </w:rPr>
        <w:t>ould</w:t>
      </w:r>
      <w:r w:rsidRPr="005635E7">
        <w:rPr>
          <w:rFonts w:asciiTheme="majorBidi" w:hAnsiTheme="majorBidi" w:cstheme="majorBidi"/>
        </w:rPr>
        <w:t xml:space="preserve"> turn into liabilities for technologically creative organizations. From an organizational learning viewpoint, OP is more effective in influencing innovation output through exploratory activities, whereas IP is more effective in doing so through exploitative actions (Sun et al., 2020). Focusing on the OLC as a key nexus for this relationship, Peris-Ortiz et al. (2018) identified a correlation between OI and incremental and radical innovation performance in knowledge-based businesses. Additionally, they provide scant research connecting OI and organizational learning elements to various forms of innovation. Therefore, OLC is considered that OLC has a favorable effect on OI. Consequently, the following two </w:t>
      </w:r>
      <w:r>
        <w:rPr>
          <w:rFonts w:asciiTheme="majorBidi" w:hAnsiTheme="majorBidi" w:cstheme="majorBidi"/>
        </w:rPr>
        <w:t>hypotheses</w:t>
      </w:r>
      <w:r w:rsidRPr="005635E7">
        <w:rPr>
          <w:rFonts w:asciiTheme="majorBidi" w:hAnsiTheme="majorBidi" w:cstheme="majorBidi"/>
        </w:rPr>
        <w:t xml:space="preserve"> have been developed:</w:t>
      </w:r>
    </w:p>
    <w:p w14:paraId="10FDC4CE" w14:textId="77777777" w:rsidR="005976AB" w:rsidRPr="00D73F8E" w:rsidRDefault="005976AB" w:rsidP="005976AB">
      <w:pPr>
        <w:spacing w:after="60" w:line="480" w:lineRule="auto"/>
        <w:jc w:val="both"/>
        <w:rPr>
          <w:rFonts w:asciiTheme="majorBidi" w:hAnsiTheme="majorBidi" w:cstheme="majorBidi"/>
        </w:rPr>
      </w:pPr>
      <w:r w:rsidRPr="005635E7">
        <w:rPr>
          <w:rFonts w:asciiTheme="majorBidi" w:hAnsiTheme="majorBidi" w:cstheme="majorBidi"/>
          <w:b/>
          <w:bCs/>
          <w:i/>
          <w:iCs/>
        </w:rPr>
        <w:t>H1a:</w:t>
      </w:r>
      <w:r w:rsidRPr="005635E7">
        <w:rPr>
          <w:rFonts w:asciiTheme="majorBidi" w:hAnsiTheme="majorBidi" w:cstheme="majorBidi"/>
        </w:rPr>
        <w:t xml:space="preserve"> OLC </w:t>
      </w:r>
      <w:r w:rsidRPr="00D73F8E">
        <w:rPr>
          <w:rFonts w:asciiTheme="majorBidi" w:hAnsiTheme="majorBidi" w:cstheme="majorBidi"/>
        </w:rPr>
        <w:t>positively related to IP.</w:t>
      </w:r>
    </w:p>
    <w:p w14:paraId="7273BD05" w14:textId="77777777" w:rsidR="005976AB" w:rsidRPr="005635E7" w:rsidRDefault="005976AB" w:rsidP="005976AB">
      <w:pPr>
        <w:spacing w:after="60" w:line="480" w:lineRule="auto"/>
        <w:jc w:val="both"/>
        <w:rPr>
          <w:rFonts w:asciiTheme="majorBidi" w:hAnsiTheme="majorBidi" w:cstheme="majorBidi"/>
        </w:rPr>
      </w:pPr>
      <w:r w:rsidRPr="00D73F8E">
        <w:rPr>
          <w:rFonts w:asciiTheme="majorBidi" w:hAnsiTheme="majorBidi" w:cstheme="majorBidi"/>
          <w:b/>
          <w:bCs/>
          <w:i/>
          <w:iCs/>
        </w:rPr>
        <w:t>H1b:</w:t>
      </w:r>
      <w:r w:rsidRPr="00D73F8E">
        <w:rPr>
          <w:rFonts w:asciiTheme="majorBidi" w:hAnsiTheme="majorBidi" w:cstheme="majorBidi"/>
        </w:rPr>
        <w:t xml:space="preserve"> OLC positively related to OP</w:t>
      </w:r>
      <w:r w:rsidRPr="005635E7">
        <w:rPr>
          <w:rFonts w:asciiTheme="majorBidi" w:hAnsiTheme="majorBidi" w:cstheme="majorBidi"/>
        </w:rPr>
        <w:t>.</w:t>
      </w:r>
    </w:p>
    <w:p w14:paraId="5D274CC5" w14:textId="77777777" w:rsidR="005976AB" w:rsidRPr="005635E7" w:rsidRDefault="005976AB" w:rsidP="005976AB">
      <w:pPr>
        <w:pStyle w:val="Heading3"/>
        <w:spacing w:before="0" w:line="480" w:lineRule="auto"/>
        <w:rPr>
          <w:rFonts w:asciiTheme="majorBidi" w:hAnsiTheme="majorBidi"/>
          <w:b/>
          <w:bCs/>
          <w:i/>
          <w:iCs/>
          <w:color w:val="auto"/>
        </w:rPr>
      </w:pPr>
      <w:bookmarkStart w:id="45" w:name="_Toc115310377"/>
      <w:r w:rsidRPr="005635E7">
        <w:rPr>
          <w:rFonts w:asciiTheme="majorBidi" w:hAnsiTheme="majorBidi"/>
          <w:b/>
          <w:bCs/>
          <w:i/>
          <w:iCs/>
          <w:color w:val="auto"/>
        </w:rPr>
        <w:t>2.3.2 Open Innovation and Firm Performance</w:t>
      </w:r>
      <w:bookmarkEnd w:id="45"/>
    </w:p>
    <w:p w14:paraId="47B90765" w14:textId="77777777" w:rsidR="005976AB" w:rsidRPr="005635E7" w:rsidRDefault="005976AB" w:rsidP="005976AB">
      <w:pPr>
        <w:spacing w:after="240" w:line="480" w:lineRule="auto"/>
        <w:jc w:val="both"/>
        <w:rPr>
          <w:rFonts w:asciiTheme="majorBidi" w:hAnsiTheme="majorBidi" w:cstheme="majorBidi"/>
          <w:shd w:val="clear" w:color="auto" w:fill="FFFFFF"/>
        </w:rPr>
      </w:pPr>
      <w:r w:rsidRPr="005635E7">
        <w:rPr>
          <w:rFonts w:asciiTheme="majorBidi" w:hAnsiTheme="majorBidi" w:cstheme="majorBidi"/>
        </w:rPr>
        <w:t xml:space="preserve">FP is defined as a </w:t>
      </w:r>
      <w:r w:rsidRPr="005635E7">
        <w:rPr>
          <w:rFonts w:ascii="Times New Roman" w:eastAsia="Calibri" w:hAnsi="Times New Roman" w:cs="Times New Roman"/>
        </w:rPr>
        <w:t>firm’s functioning in terms of</w:t>
      </w:r>
      <w:r w:rsidRPr="005635E7">
        <w:rPr>
          <w:rFonts w:asciiTheme="majorBidi" w:hAnsiTheme="majorBidi" w:cstheme="majorBidi"/>
        </w:rPr>
        <w:t xml:space="preserve"> the specific outcomes of its operations. Understanding the components by which </w:t>
      </w:r>
      <w:r>
        <w:rPr>
          <w:rFonts w:asciiTheme="majorBidi" w:hAnsiTheme="majorBidi" w:cstheme="majorBidi"/>
        </w:rPr>
        <w:t>FP</w:t>
      </w:r>
      <w:r w:rsidRPr="005635E7">
        <w:rPr>
          <w:rFonts w:asciiTheme="majorBidi" w:hAnsiTheme="majorBidi" w:cstheme="majorBidi"/>
        </w:rPr>
        <w:t xml:space="preserve"> is measured provides relevant insights into the financial stability and overall competitiveness of organizations (Carree, Lokshin, &amp; Alvarez, 2019). According to Tojeiro-Rivero &amp; Moreno (2019)</w:t>
      </w:r>
      <w:r>
        <w:rPr>
          <w:rFonts w:asciiTheme="majorBidi" w:hAnsiTheme="majorBidi" w:cstheme="majorBidi"/>
        </w:rPr>
        <w:t xml:space="preserve"> and</w:t>
      </w:r>
      <w:r w:rsidRPr="005635E7">
        <w:rPr>
          <w:rFonts w:asciiTheme="majorBidi" w:hAnsiTheme="majorBidi" w:cstheme="majorBidi"/>
        </w:rPr>
        <w:t xml:space="preserve"> Wu, Ma, Liu, &amp; Lei (2019), a company's performance is evaluated based on its domestic market share, profitability, total sales, and domestic sales growth in comparison to its rivals. Employee performance and productivity can be increased at the individual level by influencing each employee's capacity, incentive</w:t>
      </w:r>
      <w:r w:rsidRPr="005635E7">
        <w:rPr>
          <w:rFonts w:ascii="Times New Roman" w:eastAsia="Calibri" w:hAnsi="Times New Roman" w:cs="Times New Roman"/>
        </w:rPr>
        <w:t>s, and opportunit</w:t>
      </w:r>
      <w:r w:rsidRPr="005635E7">
        <w:rPr>
          <w:rFonts w:asciiTheme="majorBidi" w:hAnsiTheme="majorBidi" w:cstheme="majorBidi"/>
        </w:rPr>
        <w:t>ies to increase their level of performance (Bhatti et al., 2020; Rasheed et al., 2017; Shahzad et al., 2019; Tran et al., 2020).</w:t>
      </w:r>
      <w:r w:rsidRPr="005635E7">
        <w:rPr>
          <w:rFonts w:asciiTheme="majorBidi" w:hAnsiTheme="majorBidi" w:cstheme="majorBidi"/>
          <w:shd w:val="clear" w:color="auto" w:fill="FFFFFF"/>
        </w:rPr>
        <w:t xml:space="preserve"> However, at the organizational level</w:t>
      </w:r>
      <w:r w:rsidRPr="005635E7">
        <w:rPr>
          <w:rFonts w:ascii="Times New Roman" w:eastAsia="Calibri" w:hAnsi="Times New Roman" w:cs="Times New Roman"/>
        </w:rPr>
        <w:t>, other variables should be considered such as trust, commitment, and organizational capabilities (Kaufman, 2015; Saridakis, Lai, &amp; Cooper, 2017).</w:t>
      </w:r>
    </w:p>
    <w:p w14:paraId="205D81C3"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 xml:space="preserve">The number of customers and increases in market share (Altinay et al. 2016), profit levels (Birley &amp; Westhead 1990), sales volume (Fischer &amp; Reuber 2002), and employee count (Birley &amp; Westhead 1990) are just a few of the metrics used in empirical studies to measure small business growth. In this study, market effectiveness </w:t>
      </w:r>
      <w:r>
        <w:rPr>
          <w:rFonts w:asciiTheme="majorBidi" w:hAnsiTheme="majorBidi" w:cstheme="majorBidi"/>
        </w:rPr>
        <w:t xml:space="preserve">(ME) </w:t>
      </w:r>
      <w:r w:rsidRPr="005635E7">
        <w:rPr>
          <w:rFonts w:asciiTheme="majorBidi" w:hAnsiTheme="majorBidi" w:cstheme="majorBidi"/>
        </w:rPr>
        <w:t>and profitability are used to measure FP because they represent both non-financial performance indicators (e.g., acquiring new customers) and financial performance indicators (e.g., business unit profitability and sales growth)</w:t>
      </w:r>
      <w:r w:rsidRPr="005635E7">
        <w:rPr>
          <w:rFonts w:ascii="Times New Roman" w:eastAsia="Calibri" w:hAnsi="Times New Roman" w:cs="Times New Roman"/>
        </w:rPr>
        <w:t>, respectively (Arias-Pérez, Coronado-Medina &amp; Perdomo-Charry, 2022; Morgan, Vorhies &amp; Mason, 2009).</w:t>
      </w:r>
    </w:p>
    <w:p w14:paraId="3E47E809"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Initially, the literature on OI</w:t>
      </w:r>
      <w:r>
        <w:rPr>
          <w:rFonts w:asciiTheme="majorBidi" w:hAnsiTheme="majorBidi" w:cstheme="majorBidi"/>
        </w:rPr>
        <w:t xml:space="preserve"> has</w:t>
      </w:r>
      <w:r w:rsidRPr="005635E7">
        <w:rPr>
          <w:rFonts w:asciiTheme="majorBidi" w:hAnsiTheme="majorBidi" w:cstheme="majorBidi"/>
        </w:rPr>
        <w:t xml:space="preserve"> mainly focused on large firms (Brunswicker &amp; Chesbrough, 2018; Dodgson, Gann, &amp; Salter 2006; Remneland 2020; Remneland &amp; Styhre, 2019), </w:t>
      </w:r>
      <w:r w:rsidRPr="005635E7">
        <w:rPr>
          <w:rFonts w:ascii="Times New Roman" w:eastAsia="Calibri" w:hAnsi="Times New Roman" w:cs="Times New Roman"/>
        </w:rPr>
        <w:t xml:space="preserve">but since then, several authors have proposed that OI </w:t>
      </w:r>
      <w:r w:rsidRPr="005635E7">
        <w:rPr>
          <w:rFonts w:asciiTheme="majorBidi" w:hAnsiTheme="majorBidi" w:cstheme="majorBidi"/>
        </w:rPr>
        <w:t>practices can also be strategically advantageous to SMEs (Leckel, Veilleux &amp; Dana, 2020; Torchia, &amp; Calabrò, 2019; Usman et al., 2018). Torchia, Calabr, and Usman (2019) and Usman et al. (2018) addressed the possibility that SMEs c</w:t>
      </w:r>
      <w:r>
        <w:rPr>
          <w:rFonts w:asciiTheme="majorBidi" w:hAnsiTheme="majorBidi" w:cstheme="majorBidi"/>
        </w:rPr>
        <w:t>ould</w:t>
      </w:r>
      <w:r w:rsidRPr="005635E7">
        <w:rPr>
          <w:rFonts w:asciiTheme="majorBidi" w:hAnsiTheme="majorBidi" w:cstheme="majorBidi"/>
        </w:rPr>
        <w:t xml:space="preserve"> be motivated to start innovation processes to make the most of their resources. As Gassmann et al. (2010, p. 216) explain, OI is a way to overcome the "liability of smallness" for SMEs. A few recent studies using large-scale data suggest that the importance of OI in SMEs tends to increase with time in terms of financial performance (Leckel, Veilleux &amp; Dana, 2020; Torchia, &amp; Calabr, 2019; Usman et al., 2018; Van de Vrande et al. 2009), which may lag large businesses (Hochleitner et al., 2016).</w:t>
      </w:r>
    </w:p>
    <w:p w14:paraId="679D8512"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Businesses must abandon closed innovation to utilize both internal and external expertise. Popa et al. (2017) claim that both inbound and outbound OI have favorable impact</w:t>
      </w:r>
      <w:r w:rsidRPr="005635E7">
        <w:rPr>
          <w:rFonts w:ascii="Times New Roman" w:eastAsia="Calibri" w:hAnsi="Times New Roman" w:cs="Times New Roman"/>
        </w:rPr>
        <w:t xml:space="preserve">s on FP. OI refers to how businesses exchange innovative </w:t>
      </w:r>
      <w:r w:rsidRPr="005635E7">
        <w:rPr>
          <w:rFonts w:asciiTheme="majorBidi" w:hAnsiTheme="majorBidi" w:cstheme="majorBidi"/>
        </w:rPr>
        <w:t>practices or leverage internal and external sources as well as business strategies (Gassmann &amp; Enkel, 2004). These OI practices offer various advantages to provide (Hung &amp; Chou, 2013). Therefore, regardless of the method or whether the results are open or closed, organizations can operate in an OI paradigm (Huizingh, 2011). They require important links that support information flow and knowledge sharing in this situation (Oltra, Flor, &amp; Alfaro, 2018). Based on dynamic capability theory, the relationship between OI and FP can be effectively investigated.</w:t>
      </w:r>
    </w:p>
    <w:p w14:paraId="210701A5" w14:textId="6C23BDAA"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 OI paradigm describes how an organization can profit from modifications brought about by interactions with other businesses. Ahn et al. (2013) contend</w:t>
      </w:r>
      <w:r w:rsidRPr="005635E7">
        <w:rPr>
          <w:rFonts w:ascii="Times New Roman" w:eastAsia="Calibri" w:hAnsi="Times New Roman" w:cs="Times New Roman"/>
        </w:rPr>
        <w:t xml:space="preserve">ed that specific functions should be defined to enable such a study, even though it is uncertain how OI </w:t>
      </w:r>
      <w:r w:rsidRPr="005635E7">
        <w:rPr>
          <w:rFonts w:asciiTheme="majorBidi" w:hAnsiTheme="majorBidi" w:cstheme="majorBidi"/>
        </w:rPr>
        <w:t>affects performance given that little is known about its capabilities. Their research find</w:t>
      </w:r>
      <w:r w:rsidRPr="005635E7">
        <w:rPr>
          <w:rFonts w:ascii="Times New Roman" w:eastAsia="Calibri" w:hAnsi="Times New Roman" w:cs="Times New Roman"/>
        </w:rPr>
        <w:t xml:space="preserve">s strong correlations between performance and six distinct OI capacities: absorptive, connective, </w:t>
      </w:r>
      <w:r w:rsidRPr="005635E7">
        <w:rPr>
          <w:rFonts w:asciiTheme="majorBidi" w:hAnsiTheme="majorBidi" w:cstheme="majorBidi"/>
        </w:rPr>
        <w:t>des</w:t>
      </w:r>
      <w:r w:rsidR="00910E95">
        <w:rPr>
          <w:rFonts w:asciiTheme="majorBidi" w:hAnsiTheme="majorBidi" w:cstheme="majorBidi"/>
        </w:rPr>
        <w:t>orptive</w:t>
      </w:r>
      <w:r w:rsidRPr="005635E7">
        <w:rPr>
          <w:rFonts w:asciiTheme="majorBidi" w:hAnsiTheme="majorBidi" w:cstheme="majorBidi"/>
        </w:rPr>
        <w:t>, imaginative, innovative, and transformative. They stated that capacities should be considered individually to obtain the best results. Thus, businesses can concentrate on capabilities with greater potential while creating strategies to supplement weak capabilities. OI capacity may directly influence how an organization develops its strategy, which c</w:t>
      </w:r>
      <w:r>
        <w:rPr>
          <w:rFonts w:asciiTheme="majorBidi" w:hAnsiTheme="majorBidi" w:cstheme="majorBidi"/>
        </w:rPr>
        <w:t xml:space="preserve">an </w:t>
      </w:r>
      <w:r w:rsidRPr="005635E7">
        <w:rPr>
          <w:rFonts w:asciiTheme="majorBidi" w:hAnsiTheme="majorBidi" w:cstheme="majorBidi"/>
        </w:rPr>
        <w:t>impact performance (Ahn et al., 2013).</w:t>
      </w:r>
    </w:p>
    <w:p w14:paraId="24D6E552"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This study provides theoretical support for the benefits of implementing OI techniques on FP. Additionally, </w:t>
      </w:r>
      <w:r w:rsidRPr="005635E7">
        <w:rPr>
          <w:rFonts w:ascii="Times New Roman" w:eastAsia="Calibri" w:hAnsi="Times New Roman" w:cs="Times New Roman"/>
        </w:rPr>
        <w:t>it has the advantage</w:t>
      </w:r>
      <w:r w:rsidRPr="005635E7">
        <w:rPr>
          <w:rFonts w:asciiTheme="majorBidi" w:hAnsiTheme="majorBidi" w:cstheme="majorBidi"/>
        </w:rPr>
        <w:t xml:space="preserve"> of externally acquiring knowledge about an organization's success. The OI paradigm has become a crucial tactic for creating and maintaining an organization's competitive edge (Rasool et al., 2019). In particular, OI makes it easier to use tools that support management expertise outside the organization</w:t>
      </w:r>
      <w:r w:rsidRPr="005635E7">
        <w:rPr>
          <w:rFonts w:ascii="Times New Roman" w:eastAsia="Calibri" w:hAnsi="Times New Roman" w:cs="Times New Roman"/>
        </w:rPr>
        <w:t>’s confines</w:t>
      </w:r>
      <w:r w:rsidRPr="005635E7">
        <w:rPr>
          <w:rFonts w:asciiTheme="majorBidi" w:hAnsiTheme="majorBidi" w:cstheme="majorBidi"/>
        </w:rPr>
        <w:t>. Any of the following fields may be a source of such knowledge: technology, managerial duties, location, or industry. Based on this defen</w:t>
      </w:r>
      <w:r>
        <w:rPr>
          <w:rFonts w:asciiTheme="majorBidi" w:hAnsiTheme="majorBidi" w:cstheme="majorBidi"/>
        </w:rPr>
        <w:t>s</w:t>
      </w:r>
      <w:r w:rsidRPr="005635E7">
        <w:rPr>
          <w:rFonts w:asciiTheme="majorBidi" w:hAnsiTheme="majorBidi" w:cstheme="majorBidi"/>
        </w:rPr>
        <w:t>e, it is evident that OI plays a far larger role in advancing the pursuit of management knowledge for educational purposes and in increasing the possibility of producing practical innovation through the merger of external and internal expertise.</w:t>
      </w:r>
    </w:p>
    <w:p w14:paraId="63282E1D"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According to Cheng and Shiu (2015), IP</w:t>
      </w:r>
      <w:r>
        <w:rPr>
          <w:rFonts w:asciiTheme="majorBidi" w:hAnsiTheme="majorBidi" w:cstheme="majorBidi"/>
        </w:rPr>
        <w:t xml:space="preserve"> </w:t>
      </w:r>
      <w:r w:rsidRPr="005635E7">
        <w:rPr>
          <w:rFonts w:asciiTheme="majorBidi" w:hAnsiTheme="majorBidi" w:cstheme="majorBidi"/>
        </w:rPr>
        <w:t>are the exploitation and fusion of external knowledge to use, enhance, and utilize technology. An organization can create value for its consumers and compete in a competitive marketplace by fusing internal ideas with external knowledge. IP includes working with other companies or universities, including customers or end</w:t>
      </w:r>
      <w:r>
        <w:rPr>
          <w:rFonts w:asciiTheme="majorBidi" w:hAnsiTheme="majorBidi" w:cstheme="majorBidi"/>
        </w:rPr>
        <w:t>-</w:t>
      </w:r>
      <w:r w:rsidRPr="005635E7">
        <w:rPr>
          <w:rFonts w:asciiTheme="majorBidi" w:hAnsiTheme="majorBidi" w:cstheme="majorBidi"/>
        </w:rPr>
        <w:t>users</w:t>
      </w:r>
      <w:r w:rsidRPr="005635E7">
        <w:rPr>
          <w:rFonts w:ascii="Times New Roman" w:eastAsia="Calibri" w:hAnsi="Times New Roman" w:cs="Times New Roman"/>
        </w:rPr>
        <w:t xml:space="preserve">, in the development of products, involving </w:t>
      </w:r>
      <w:r w:rsidRPr="005635E7">
        <w:rPr>
          <w:rFonts w:asciiTheme="majorBidi" w:hAnsiTheme="majorBidi" w:cstheme="majorBidi"/>
        </w:rPr>
        <w:t>R&amp;D institutions in the process, and acquiring intellectual property rights from external sources (Cheng &amp; Shiu, 2015; Parida, Westerberg, &amp; Frishammar, 2012). These practices contribute</w:t>
      </w:r>
      <w:r w:rsidRPr="005635E7">
        <w:rPr>
          <w:rFonts w:ascii="Times New Roman" w:eastAsia="Calibri" w:hAnsi="Times New Roman" w:cs="Times New Roman"/>
        </w:rPr>
        <w:t xml:space="preserve"> to the improved FP. According to </w:t>
      </w:r>
      <w:r w:rsidRPr="005635E7">
        <w:rPr>
          <w:rFonts w:asciiTheme="majorBidi" w:hAnsiTheme="majorBidi" w:cstheme="majorBidi"/>
        </w:rPr>
        <w:t xml:space="preserve">Hochleitner et al. (2017), certain OI activities have a direct favorable effect on the non-financial outputs reached, such as the product portfolio range, quality of products/services, and market share. However, they discovered that some extracurricular activities, such as learning new things and participating in extracurricular R&amp;D related to IP, </w:t>
      </w:r>
      <w:r>
        <w:rPr>
          <w:rFonts w:asciiTheme="majorBidi" w:hAnsiTheme="majorBidi" w:cstheme="majorBidi"/>
        </w:rPr>
        <w:t>we</w:t>
      </w:r>
      <w:r w:rsidRPr="005635E7">
        <w:rPr>
          <w:rFonts w:asciiTheme="majorBidi" w:hAnsiTheme="majorBidi" w:cstheme="majorBidi"/>
        </w:rPr>
        <w:t>re not important. Overall, all the impacts shown to have a substantial beneficial effect point to the suitability of OI activities for SMEs' success.</w:t>
      </w:r>
    </w:p>
    <w:p w14:paraId="177DF8A3"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 xml:space="preserve">In contrast, outbound </w:t>
      </w:r>
      <w:r>
        <w:rPr>
          <w:rFonts w:asciiTheme="majorBidi" w:hAnsiTheme="majorBidi" w:cstheme="majorBidi"/>
        </w:rPr>
        <w:t>OI</w:t>
      </w:r>
      <w:r w:rsidRPr="005635E7">
        <w:rPr>
          <w:rFonts w:asciiTheme="majorBidi" w:hAnsiTheme="majorBidi" w:cstheme="majorBidi"/>
        </w:rPr>
        <w:t xml:space="preserve"> (OP) is the process of taking advantage of technical advancements (Cheng, Yang, &amp; Sheu, 2011). It </w:t>
      </w:r>
      <w:r w:rsidRPr="005635E7">
        <w:rPr>
          <w:rFonts w:ascii="Times New Roman" w:eastAsia="Calibri" w:hAnsi="Times New Roman" w:cs="Times New Roman"/>
        </w:rPr>
        <w:t xml:space="preserve">observes the transfer of technological ideas and information from the enterprise in which they are employed to other </w:t>
      </w:r>
      <w:r w:rsidRPr="005635E7">
        <w:rPr>
          <w:rFonts w:asciiTheme="majorBidi" w:hAnsiTheme="majorBidi" w:cstheme="majorBidi"/>
        </w:rPr>
        <w:t>organizations to generate financial gains. Cheng &amp; Shiu (2015) These activities include the company's involvement in new projects inspired by previously developed items or technology and product development</w:t>
      </w:r>
      <w:r w:rsidRPr="005635E7">
        <w:rPr>
          <w:rFonts w:ascii="Times New Roman" w:eastAsia="Calibri" w:hAnsi="Times New Roman" w:cs="Times New Roman"/>
        </w:rPr>
        <w:t xml:space="preserve">, supported by contributions from outside sources. Examples include </w:t>
      </w:r>
      <w:r w:rsidRPr="005635E7">
        <w:rPr>
          <w:rFonts w:asciiTheme="majorBidi" w:hAnsiTheme="majorBidi" w:cstheme="majorBidi"/>
        </w:rPr>
        <w:t>the sale of patents, award of licen</w:t>
      </w:r>
      <w:r>
        <w:rPr>
          <w:rFonts w:asciiTheme="majorBidi" w:hAnsiTheme="majorBidi" w:cstheme="majorBidi"/>
        </w:rPr>
        <w:t>s</w:t>
      </w:r>
      <w:r w:rsidRPr="005635E7">
        <w:rPr>
          <w:rFonts w:asciiTheme="majorBidi" w:hAnsiTheme="majorBidi" w:cstheme="majorBidi"/>
        </w:rPr>
        <w:t>es, multiplication of technology through knowledge, and steering of ideas to the outside technology market (Lichtenthaler 2009). They can be utilized in market-oriented activities</w:t>
      </w:r>
      <w:r w:rsidRPr="005635E7">
        <w:rPr>
          <w:rFonts w:ascii="Times New Roman" w:eastAsia="Calibri" w:hAnsi="Times New Roman" w:cs="Times New Roman"/>
        </w:rPr>
        <w:t>, including product and service improvements regarding market requirements, or for sustaining the competitiveness of the firm (Ba</w:t>
      </w:r>
      <w:r>
        <w:rPr>
          <w:rFonts w:ascii="Times New Roman" w:eastAsia="Calibri" w:hAnsi="Times New Roman" w:cs="Times New Roman"/>
        </w:rPr>
        <w:t>š</w:t>
      </w:r>
      <w:r w:rsidRPr="005635E7">
        <w:rPr>
          <w:rFonts w:ascii="Times New Roman" w:eastAsia="Calibri" w:hAnsi="Times New Roman" w:cs="Times New Roman"/>
        </w:rPr>
        <w:t>i</w:t>
      </w:r>
      <w:r>
        <w:rPr>
          <w:rFonts w:ascii="Times New Roman" w:eastAsia="Calibri" w:hAnsi="Times New Roman" w:cs="Times New Roman"/>
        </w:rPr>
        <w:t>ć</w:t>
      </w:r>
      <w:r w:rsidRPr="005635E7">
        <w:rPr>
          <w:rFonts w:ascii="Times New Roman" w:eastAsia="Calibri" w:hAnsi="Times New Roman" w:cs="Times New Roman"/>
        </w:rPr>
        <w:t xml:space="preserve"> 2021), thereby ME and P.</w:t>
      </w:r>
    </w:p>
    <w:p w14:paraId="56B8407B" w14:textId="77777777" w:rsidR="005976AB" w:rsidRPr="005635E7" w:rsidRDefault="005976AB" w:rsidP="005976AB">
      <w:pPr>
        <w:spacing w:after="240" w:line="480" w:lineRule="auto"/>
        <w:jc w:val="both"/>
        <w:rPr>
          <w:rFonts w:asciiTheme="majorBidi" w:hAnsiTheme="majorBidi" w:cstheme="majorBidi"/>
        </w:rPr>
      </w:pPr>
      <w:bookmarkStart w:id="46" w:name="_Hlk115304705"/>
      <w:r w:rsidRPr="005635E7">
        <w:rPr>
          <w:rFonts w:asciiTheme="majorBidi" w:hAnsiTheme="majorBidi" w:cstheme="majorBidi"/>
        </w:rPr>
        <w:t>Hung and Chou (2013) demonstrate that</w:t>
      </w:r>
      <w:r w:rsidRPr="005635E7">
        <w:rPr>
          <w:rFonts w:ascii="Times New Roman" w:eastAsia="Calibri" w:hAnsi="Times New Roman" w:cs="Times New Roman"/>
        </w:rPr>
        <w:t xml:space="preserve">, while the exploitation of external technology, which is related to OP, has a negative influence on FP, the purchase of foreign technology, which is covered by IP, has a favorable impact. However, their research demonstrates that the relationship between the exploitation of external technology and FP is strengthened by external technology acquisition. These </w:t>
      </w:r>
      <w:r w:rsidRPr="005635E7">
        <w:rPr>
          <w:rFonts w:asciiTheme="majorBidi" w:hAnsiTheme="majorBidi" w:cstheme="majorBidi"/>
        </w:rPr>
        <w:t>results indicate that FP is favorably affected by OP.</w:t>
      </w:r>
    </w:p>
    <w:p w14:paraId="758EA285" w14:textId="7FCCAFF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In addition, relatively few studies have examined the interactions between IP and FP as well as </w:t>
      </w:r>
      <w:r w:rsidRPr="005635E7">
        <w:rPr>
          <w:rFonts w:ascii="Times New Roman" w:eastAsia="Calibri" w:hAnsi="Times New Roman" w:cs="Times New Roman"/>
        </w:rPr>
        <w:t>between OP and FP</w:t>
      </w:r>
      <w:r w:rsidRPr="005635E7">
        <w:rPr>
          <w:rFonts w:asciiTheme="majorBidi" w:hAnsiTheme="majorBidi" w:cstheme="majorBidi"/>
        </w:rPr>
        <w:t xml:space="preserve"> in a single study. Table 2.3 lists the varying conclusions of many studies examining OI and FP in various settings. For instance, Motohashi (2016) revealed a favorable correlation between OI, FP</w:t>
      </w:r>
      <w:r w:rsidRPr="005635E7">
        <w:rPr>
          <w:rFonts w:ascii="Times New Roman" w:eastAsia="Calibri" w:hAnsi="Times New Roman" w:cs="Times New Roman"/>
        </w:rPr>
        <w:t>, and innovative behavior</w:t>
      </w:r>
      <w:r w:rsidRPr="005635E7">
        <w:rPr>
          <w:rFonts w:asciiTheme="majorBidi" w:hAnsiTheme="majorBidi" w:cstheme="majorBidi"/>
        </w:rPr>
        <w:t xml:space="preserve"> as evaluated by patenting. Despite the paucity of data on OP, it has been asserted that this practice supports businesses' competitive advantage and innovation (Popa et al., 2017</w:t>
      </w:r>
      <w:r w:rsidRPr="00D73F8E">
        <w:rPr>
          <w:rFonts w:asciiTheme="majorBidi" w:hAnsiTheme="majorBidi" w:cstheme="majorBidi"/>
        </w:rPr>
        <w:t xml:space="preserve">). Finally, </w:t>
      </w:r>
      <w:r w:rsidR="0081057A" w:rsidRPr="00D73F8E">
        <w:rPr>
          <w:rFonts w:asciiTheme="majorBidi" w:hAnsiTheme="majorBidi" w:cstheme="majorBidi"/>
        </w:rPr>
        <w:t>T</w:t>
      </w:r>
      <w:r w:rsidRPr="00D73F8E">
        <w:rPr>
          <w:rFonts w:asciiTheme="majorBidi" w:hAnsiTheme="majorBidi" w:cstheme="majorBidi"/>
        </w:rPr>
        <w:t xml:space="preserve">able 2.3 synthesizes </w:t>
      </w:r>
      <w:r w:rsidRPr="00D73F8E">
        <w:rPr>
          <w:rFonts w:ascii="Times New Roman" w:eastAsia="Calibri" w:hAnsi="Times New Roman" w:cs="Times New Roman"/>
        </w:rPr>
        <w:t>the critical extant literature on the link</w:t>
      </w:r>
      <w:r w:rsidRPr="00D73F8E">
        <w:rPr>
          <w:rFonts w:asciiTheme="majorBidi" w:hAnsiTheme="majorBidi" w:cstheme="majorBidi"/>
        </w:rPr>
        <w:t>s between open innovation and firm performance.</w:t>
      </w:r>
    </w:p>
    <w:p w14:paraId="7BFDC179" w14:textId="77777777" w:rsidR="005976AB" w:rsidRPr="005635E7" w:rsidRDefault="005976AB" w:rsidP="005976AB">
      <w:pPr>
        <w:spacing w:after="240" w:line="480" w:lineRule="auto"/>
        <w:jc w:val="both"/>
        <w:rPr>
          <w:rFonts w:asciiTheme="majorBidi" w:hAnsiTheme="majorBidi" w:cstheme="majorBidi"/>
        </w:rPr>
        <w:sectPr w:rsidR="005976AB" w:rsidRPr="005635E7" w:rsidSect="000B01DE">
          <w:pgSz w:w="11906" w:h="16838"/>
          <w:pgMar w:top="1440" w:right="1440" w:bottom="1440" w:left="1440" w:header="708" w:footer="708" w:gutter="0"/>
          <w:cols w:space="708"/>
          <w:docGrid w:linePitch="360"/>
        </w:sectPr>
      </w:pPr>
    </w:p>
    <w:p w14:paraId="50F43438" w14:textId="77777777" w:rsidR="005976AB" w:rsidRPr="005635E7" w:rsidRDefault="005976AB" w:rsidP="005976AB">
      <w:pPr>
        <w:pStyle w:val="Caption"/>
        <w:rPr>
          <w:rFonts w:asciiTheme="majorBidi" w:hAnsiTheme="majorBidi" w:cstheme="majorBidi"/>
          <w:i w:val="0"/>
          <w:iCs w:val="0"/>
          <w:color w:val="auto"/>
          <w:sz w:val="24"/>
          <w:szCs w:val="24"/>
        </w:rPr>
      </w:pPr>
      <w:bookmarkStart w:id="47" w:name="_Toc126377953"/>
      <w:r w:rsidRPr="005635E7">
        <w:rPr>
          <w:rFonts w:asciiTheme="majorBidi" w:hAnsiTheme="majorBidi" w:cstheme="majorBidi"/>
          <w:i w:val="0"/>
          <w:iCs w:val="0"/>
          <w:color w:val="auto"/>
          <w:sz w:val="24"/>
          <w:szCs w:val="24"/>
        </w:rPr>
        <w:t>Table 2.</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3</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xml:space="preserve">: Literature synthesis </w:t>
      </w:r>
      <w:r>
        <w:rPr>
          <w:rFonts w:asciiTheme="majorBidi" w:hAnsiTheme="majorBidi" w:cstheme="majorBidi"/>
          <w:i w:val="0"/>
          <w:iCs w:val="0"/>
          <w:color w:val="auto"/>
          <w:sz w:val="24"/>
          <w:szCs w:val="24"/>
        </w:rPr>
        <w:t>regarding</w:t>
      </w:r>
      <w:r w:rsidRPr="005635E7">
        <w:rPr>
          <w:rFonts w:asciiTheme="majorBidi" w:hAnsiTheme="majorBidi" w:cstheme="majorBidi"/>
          <w:i w:val="0"/>
          <w:iCs w:val="0"/>
          <w:color w:val="auto"/>
          <w:sz w:val="24"/>
          <w:szCs w:val="24"/>
        </w:rPr>
        <w:t xml:space="preserve"> open innovation and firm performance</w:t>
      </w:r>
      <w:bookmarkEnd w:id="47"/>
    </w:p>
    <w:tbl>
      <w:tblPr>
        <w:tblStyle w:val="TableGrid"/>
        <w:tblW w:w="5000" w:type="pct"/>
        <w:tblLook w:val="04A0" w:firstRow="1" w:lastRow="0" w:firstColumn="1" w:lastColumn="0" w:noHBand="0" w:noVBand="1"/>
      </w:tblPr>
      <w:tblGrid>
        <w:gridCol w:w="1283"/>
        <w:gridCol w:w="2003"/>
        <w:gridCol w:w="2159"/>
        <w:gridCol w:w="2787"/>
        <w:gridCol w:w="3108"/>
        <w:gridCol w:w="2608"/>
      </w:tblGrid>
      <w:tr w:rsidR="005976AB" w:rsidRPr="005635E7" w14:paraId="2F1B2427" w14:textId="77777777" w:rsidTr="009E2F41">
        <w:tc>
          <w:tcPr>
            <w:tcW w:w="460" w:type="pct"/>
          </w:tcPr>
          <w:p w14:paraId="43842C86"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Author(s)</w:t>
            </w:r>
          </w:p>
        </w:tc>
        <w:tc>
          <w:tcPr>
            <w:tcW w:w="718" w:type="pct"/>
          </w:tcPr>
          <w:p w14:paraId="40ACE4E6"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 xml:space="preserve">Purpose </w:t>
            </w:r>
          </w:p>
        </w:tc>
        <w:tc>
          <w:tcPr>
            <w:tcW w:w="774" w:type="pct"/>
          </w:tcPr>
          <w:p w14:paraId="43D62BB0"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 xml:space="preserve">Method </w:t>
            </w:r>
          </w:p>
        </w:tc>
        <w:tc>
          <w:tcPr>
            <w:tcW w:w="999" w:type="pct"/>
          </w:tcPr>
          <w:p w14:paraId="0A56DA81"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Findings</w:t>
            </w:r>
          </w:p>
        </w:tc>
        <w:tc>
          <w:tcPr>
            <w:tcW w:w="1114" w:type="pct"/>
          </w:tcPr>
          <w:p w14:paraId="410938FE"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 xml:space="preserve">Implications </w:t>
            </w:r>
          </w:p>
        </w:tc>
        <w:tc>
          <w:tcPr>
            <w:tcW w:w="935" w:type="pct"/>
          </w:tcPr>
          <w:p w14:paraId="19DC2F9C" w14:textId="77777777" w:rsidR="005976AB" w:rsidRPr="009E2F41" w:rsidRDefault="005976AB" w:rsidP="009E2F41">
            <w:pPr>
              <w:pStyle w:val="Heading3"/>
              <w:shd w:val="clear" w:color="auto" w:fill="FFFFFF"/>
              <w:spacing w:after="160"/>
              <w:outlineLvl w:val="2"/>
              <w:rPr>
                <w:rFonts w:asciiTheme="majorBidi" w:hAnsiTheme="majorBidi"/>
                <w:b/>
                <w:bCs/>
                <w:color w:val="auto"/>
                <w:kern w:val="2"/>
                <w:lang w:val="en-US"/>
                <w14:ligatures w14:val="standardContextual"/>
              </w:rPr>
            </w:pPr>
            <w:r w:rsidRPr="005635E7">
              <w:rPr>
                <w:rFonts w:asciiTheme="majorBidi" w:hAnsiTheme="majorBidi"/>
                <w:b/>
                <w:bCs/>
                <w:color w:val="auto"/>
              </w:rPr>
              <w:t>Originality/value</w:t>
            </w:r>
          </w:p>
        </w:tc>
      </w:tr>
      <w:tr w:rsidR="005976AB" w:rsidRPr="005635E7" w14:paraId="08853DC9" w14:textId="77777777" w:rsidTr="009E2F41">
        <w:tc>
          <w:tcPr>
            <w:tcW w:w="460" w:type="pct"/>
          </w:tcPr>
          <w:p w14:paraId="3F46B3A6"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 xml:space="preserve">Arias-Pérez, </w:t>
            </w:r>
            <w:r w:rsidRPr="005635E7">
              <w:rPr>
                <w:rFonts w:asciiTheme="majorBidi" w:hAnsiTheme="majorBidi" w:cstheme="majorBidi"/>
              </w:rPr>
              <w:t>et al. (2022)</w:t>
            </w:r>
          </w:p>
        </w:tc>
        <w:tc>
          <w:tcPr>
            <w:tcW w:w="718" w:type="pct"/>
          </w:tcPr>
          <w:p w14:paraId="1666CC16"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To investigate how big data analytics might mediate the interaction between FP and OI, especially customer involvement.</w:t>
            </w:r>
          </w:p>
        </w:tc>
        <w:tc>
          <w:tcPr>
            <w:tcW w:w="774" w:type="pct"/>
          </w:tcPr>
          <w:p w14:paraId="00B0273C"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The proposed model was examined using SEM and survey information from a sample of 112 businesses.</w:t>
            </w:r>
          </w:p>
        </w:tc>
        <w:tc>
          <w:tcPr>
            <w:tcW w:w="999" w:type="pct"/>
          </w:tcPr>
          <w:p w14:paraId="00DDE7F7"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The link between OI and FP as well as between OI and non-financial performance is somewhat mediated by big data analytics capacity.</w:t>
            </w:r>
          </w:p>
        </w:tc>
        <w:tc>
          <w:tcPr>
            <w:tcW w:w="1114" w:type="pct"/>
          </w:tcPr>
          <w:p w14:paraId="5C18A6ED" w14:textId="77777777" w:rsidR="005976AB" w:rsidRPr="005635E7" w:rsidRDefault="005976AB" w:rsidP="009E2F41">
            <w:pPr>
              <w:pStyle w:val="Heading3"/>
              <w:shd w:val="clear" w:color="auto" w:fill="FFFFFF"/>
              <w:spacing w:after="160"/>
              <w:outlineLvl w:val="2"/>
              <w:rPr>
                <w:rFonts w:asciiTheme="majorBidi" w:hAnsiTheme="majorBidi"/>
                <w:color w:val="auto"/>
                <w:shd w:val="clear" w:color="auto" w:fill="FFFFFF"/>
              </w:rPr>
            </w:pPr>
            <w:r w:rsidRPr="005635E7">
              <w:rPr>
                <w:rFonts w:asciiTheme="majorBidi" w:hAnsiTheme="majorBidi"/>
                <w:color w:val="auto"/>
                <w:shd w:val="clear" w:color="auto" w:fill="FFFFFF"/>
              </w:rPr>
              <w:t>To fully utilize the large flow of data originating from the primary OI activity of low and medium-technology organizations, big data analytics capability is primarily an organizational skill that must be articulated with key processes, including customer involvement.</w:t>
            </w:r>
          </w:p>
        </w:tc>
        <w:tc>
          <w:tcPr>
            <w:tcW w:w="935" w:type="pct"/>
          </w:tcPr>
          <w:p w14:paraId="38C8C047"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This study provided a more comprehensive research viewpoint on the function of big data analytics in the relationship between OI and FP.</w:t>
            </w:r>
          </w:p>
        </w:tc>
      </w:tr>
      <w:tr w:rsidR="005976AB" w:rsidRPr="005635E7" w14:paraId="0AA64AC9" w14:textId="77777777" w:rsidTr="009E2F41">
        <w:tc>
          <w:tcPr>
            <w:tcW w:w="460" w:type="pct"/>
          </w:tcPr>
          <w:p w14:paraId="7AA00143"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Cheah &amp; Yuen-Ping (2021)</w:t>
            </w:r>
          </w:p>
        </w:tc>
        <w:tc>
          <w:tcPr>
            <w:tcW w:w="718" w:type="pct"/>
          </w:tcPr>
          <w:p w14:paraId="675D5ED9"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rPr>
              <w:t>To inquire into the relationship between 189 OP projects involving public research organizations and businesses' innovation potentials and commercialization results.</w:t>
            </w:r>
          </w:p>
        </w:tc>
        <w:tc>
          <w:tcPr>
            <w:tcW w:w="774" w:type="pct"/>
          </w:tcPr>
          <w:p w14:paraId="040CA040"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We gathered information from the project managers of all 189 finished projects involving 14 PROs in Singapore that had worked with businesses on innovation projects between 2006 and 2013.</w:t>
            </w:r>
          </w:p>
        </w:tc>
        <w:tc>
          <w:tcPr>
            <w:tcW w:w="999" w:type="pct"/>
          </w:tcPr>
          <w:p w14:paraId="736C5C90"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rPr>
              <w:t>Results show that initiatives with high potential for innovation from public research organizations were more likely to fare well in terms of commercialization. Furthermore, the study empirically demonstrated that projects with technologies that had a high potential for innovation were more likely to succeed commercially if they had a good resource allocation quality. </w:t>
            </w:r>
          </w:p>
        </w:tc>
        <w:tc>
          <w:tcPr>
            <w:tcW w:w="1114" w:type="pct"/>
          </w:tcPr>
          <w:p w14:paraId="1F27EBB0" w14:textId="77777777" w:rsidR="005976AB" w:rsidRPr="005635E7" w:rsidRDefault="005976AB" w:rsidP="009E2F41">
            <w:pPr>
              <w:pStyle w:val="Heading3"/>
              <w:shd w:val="clear" w:color="auto" w:fill="FFFFFF"/>
              <w:spacing w:after="160"/>
              <w:outlineLvl w:val="2"/>
              <w:rPr>
                <w:rFonts w:asciiTheme="majorBidi" w:hAnsiTheme="majorBidi"/>
                <w:color w:val="auto"/>
                <w:shd w:val="clear" w:color="auto" w:fill="FFFFFF"/>
              </w:rPr>
            </w:pPr>
            <w:r w:rsidRPr="005635E7">
              <w:rPr>
                <w:rFonts w:asciiTheme="majorBidi" w:hAnsiTheme="majorBidi"/>
                <w:color w:val="auto"/>
              </w:rPr>
              <w:t>The findings show that projects with high innovation potential technologies were more likely to have excellent commercialization performance if there was a high chance of opportunity discovery via networks.</w:t>
            </w:r>
          </w:p>
        </w:tc>
        <w:tc>
          <w:tcPr>
            <w:tcW w:w="935" w:type="pct"/>
          </w:tcPr>
          <w:p w14:paraId="59897DA7"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rPr>
              <w:t>Despite the necessity of understanding OP to enhance the effectiveness of public research organizations, the current literature on OI has been restricted to organization-level analyses on IP. The results of this study contribute to this dearth of empirical data.</w:t>
            </w:r>
          </w:p>
        </w:tc>
      </w:tr>
      <w:tr w:rsidR="005976AB" w:rsidRPr="005635E7" w14:paraId="5901F1BE" w14:textId="77777777" w:rsidTr="009E2F41">
        <w:tc>
          <w:tcPr>
            <w:tcW w:w="460" w:type="pct"/>
          </w:tcPr>
          <w:p w14:paraId="288FAFB4"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rPr>
              <w:t>Liao et al. (2020)</w:t>
            </w:r>
          </w:p>
        </w:tc>
        <w:tc>
          <w:tcPr>
            <w:tcW w:w="718" w:type="pct"/>
          </w:tcPr>
          <w:p w14:paraId="2B544616"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To examine the impact that market information management capability and technology capability play in the interaction between two types of OI and performance, with a focus on how these two play a moderating role.</w:t>
            </w:r>
          </w:p>
        </w:tc>
        <w:tc>
          <w:tcPr>
            <w:tcW w:w="774" w:type="pct"/>
          </w:tcPr>
          <w:p w14:paraId="5B118E96"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 xml:space="preserve">238 high-tech businesses in China provided survey information. The data were put to the test with </w:t>
            </w:r>
            <w:r>
              <w:rPr>
                <w:rFonts w:asciiTheme="majorBidi" w:hAnsiTheme="majorBidi" w:cstheme="majorBidi"/>
                <w:shd w:val="clear" w:color="auto" w:fill="FFFFFF"/>
              </w:rPr>
              <w:t>SEM</w:t>
            </w:r>
            <w:r w:rsidRPr="005635E7">
              <w:rPr>
                <w:rFonts w:asciiTheme="majorBidi" w:hAnsiTheme="majorBidi" w:cstheme="majorBidi"/>
                <w:shd w:val="clear" w:color="auto" w:fill="FFFFFF"/>
              </w:rPr>
              <w:t>.</w:t>
            </w:r>
          </w:p>
        </w:tc>
        <w:tc>
          <w:tcPr>
            <w:tcW w:w="999" w:type="pct"/>
          </w:tcPr>
          <w:p w14:paraId="4B97ED1A"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Results from empirical research showed that the ability to use technology enhances the impact of IP on FP. The relationship between OP and FP does not appear to be moderately impacted by technological capabilities, though.</w:t>
            </w:r>
          </w:p>
        </w:tc>
        <w:tc>
          <w:tcPr>
            <w:tcW w:w="1114" w:type="pct"/>
          </w:tcPr>
          <w:p w14:paraId="1E6FEBC5" w14:textId="77777777" w:rsidR="005976AB" w:rsidRPr="005635E7" w:rsidRDefault="005976AB" w:rsidP="009E2F41">
            <w:pPr>
              <w:pStyle w:val="Heading3"/>
              <w:shd w:val="clear" w:color="auto" w:fill="FFFFFF"/>
              <w:spacing w:after="160"/>
              <w:outlineLvl w:val="2"/>
              <w:rPr>
                <w:rFonts w:asciiTheme="majorBidi" w:hAnsiTheme="majorBidi"/>
                <w:color w:val="auto"/>
                <w:shd w:val="clear" w:color="auto" w:fill="FFFFFF"/>
              </w:rPr>
            </w:pPr>
            <w:r w:rsidRPr="005635E7">
              <w:rPr>
                <w:rFonts w:asciiTheme="majorBidi" w:hAnsiTheme="majorBidi"/>
                <w:color w:val="auto"/>
                <w:shd w:val="clear" w:color="auto" w:fill="FFFFFF"/>
              </w:rPr>
              <w:t>The effectiveness of OP in achieving higher performance is increased by a higher technological competence with a growing level of market information management capability.</w:t>
            </w:r>
          </w:p>
          <w:p w14:paraId="46B49891" w14:textId="77777777" w:rsidR="005976AB" w:rsidRPr="005635E7" w:rsidRDefault="005976AB" w:rsidP="009E2F41">
            <w:pPr>
              <w:pStyle w:val="Heading3"/>
              <w:shd w:val="clear" w:color="auto" w:fill="FFFFFF"/>
              <w:spacing w:after="160"/>
              <w:outlineLvl w:val="2"/>
              <w:rPr>
                <w:rFonts w:asciiTheme="majorBidi" w:hAnsiTheme="majorBidi"/>
                <w:color w:val="auto"/>
                <w:shd w:val="clear" w:color="auto" w:fill="FFFFFF"/>
              </w:rPr>
            </w:pPr>
            <w:r w:rsidRPr="005635E7">
              <w:rPr>
                <w:rFonts w:asciiTheme="majorBidi" w:hAnsiTheme="majorBidi"/>
                <w:color w:val="auto"/>
                <w:shd w:val="clear" w:color="auto" w:fill="FFFFFF"/>
              </w:rPr>
              <w:t>Organizations that execute inbound activities and possess strong technological capabilities perform better when they have a moderate level of market information management competence as opposed to a low or high level.</w:t>
            </w:r>
          </w:p>
        </w:tc>
        <w:tc>
          <w:tcPr>
            <w:tcW w:w="935" w:type="pct"/>
          </w:tcPr>
          <w:p w14:paraId="194DCEC4"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This study added to the body of knowledge regarding the advantages of various OI methods for FP and, more importantly, the particular firm-level conditions, such as technological aptitude and market information management aptitude, that are more likely to enhance these advantages.</w:t>
            </w:r>
          </w:p>
        </w:tc>
      </w:tr>
      <w:tr w:rsidR="005976AB" w:rsidRPr="005635E7" w14:paraId="6D51913E" w14:textId="77777777" w:rsidTr="009E2F41">
        <w:tc>
          <w:tcPr>
            <w:tcW w:w="460" w:type="pct"/>
          </w:tcPr>
          <w:p w14:paraId="3AA3FD3C"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Valdez-Juárez &amp; Castillo-Vergara (2021)</w:t>
            </w:r>
          </w:p>
        </w:tc>
        <w:tc>
          <w:tcPr>
            <w:tcW w:w="718" w:type="pct"/>
          </w:tcPr>
          <w:p w14:paraId="4036C043"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rPr>
              <w:t xml:space="preserve">To look into the relationship between technological innovation, </w:t>
            </w:r>
            <w:r>
              <w:rPr>
                <w:rFonts w:asciiTheme="majorBidi" w:hAnsiTheme="majorBidi" w:cstheme="majorBidi"/>
              </w:rPr>
              <w:t>OI</w:t>
            </w:r>
            <w:r w:rsidRPr="005635E7">
              <w:rPr>
                <w:rFonts w:asciiTheme="majorBidi" w:hAnsiTheme="majorBidi" w:cstheme="majorBidi"/>
              </w:rPr>
              <w:t>, and eco-innovation in business performance.</w:t>
            </w:r>
          </w:p>
        </w:tc>
        <w:tc>
          <w:tcPr>
            <w:tcW w:w="774" w:type="pct"/>
          </w:tcPr>
          <w:p w14:paraId="0F7A9F89"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rPr>
              <w:t>With a sample size of 684 SMEs in Mexico, a SEM was advocated using SmartPLS.</w:t>
            </w:r>
          </w:p>
        </w:tc>
        <w:tc>
          <w:tcPr>
            <w:tcW w:w="999" w:type="pct"/>
          </w:tcPr>
          <w:p w14:paraId="6E471266"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rPr>
              <w:t xml:space="preserve">Though not directly on company financial performance, technological capability has a substantial impact on practices related to </w:t>
            </w:r>
            <w:r>
              <w:rPr>
                <w:rFonts w:asciiTheme="majorBidi" w:hAnsiTheme="majorBidi" w:cstheme="majorBidi"/>
              </w:rPr>
              <w:t>OI</w:t>
            </w:r>
            <w:r w:rsidRPr="005635E7">
              <w:rPr>
                <w:rFonts w:asciiTheme="majorBidi" w:hAnsiTheme="majorBidi" w:cstheme="majorBidi"/>
              </w:rPr>
              <w:t xml:space="preserve"> and eco-innovation. </w:t>
            </w:r>
          </w:p>
        </w:tc>
        <w:tc>
          <w:tcPr>
            <w:tcW w:w="1114" w:type="pct"/>
          </w:tcPr>
          <w:p w14:paraId="3799C5C5" w14:textId="77777777" w:rsidR="005976AB" w:rsidRPr="005635E7" w:rsidRDefault="005976AB" w:rsidP="009E2F41">
            <w:pPr>
              <w:pStyle w:val="Heading3"/>
              <w:shd w:val="clear" w:color="auto" w:fill="FFFFFF"/>
              <w:spacing w:after="160"/>
              <w:outlineLvl w:val="2"/>
              <w:rPr>
                <w:rFonts w:asciiTheme="majorBidi" w:hAnsiTheme="majorBidi"/>
                <w:color w:val="auto"/>
                <w:shd w:val="clear" w:color="auto" w:fill="FFFFFF"/>
              </w:rPr>
            </w:pPr>
            <w:r w:rsidRPr="005635E7">
              <w:rPr>
                <w:rFonts w:asciiTheme="majorBidi" w:hAnsiTheme="majorBidi"/>
                <w:color w:val="auto"/>
              </w:rPr>
              <w:t>It was confirmed that eco-innovation and OI have a positive impact on the corporate performance of SMEs.</w:t>
            </w:r>
          </w:p>
        </w:tc>
        <w:tc>
          <w:tcPr>
            <w:tcW w:w="935" w:type="pct"/>
          </w:tcPr>
          <w:p w14:paraId="2144F401"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rPr>
              <w:t>It was determined that it is yet unknown whether the conclusions and presumptions of the literature on dynamic capacities in developed markets, where the majority of the study in this area has been centered, have been similarly applicable for enterprises in developing markets.</w:t>
            </w:r>
          </w:p>
        </w:tc>
      </w:tr>
      <w:tr w:rsidR="005976AB" w:rsidRPr="005635E7" w14:paraId="1524369C" w14:textId="77777777" w:rsidTr="009E2F41">
        <w:tc>
          <w:tcPr>
            <w:tcW w:w="460" w:type="pct"/>
          </w:tcPr>
          <w:p w14:paraId="6D3DF148"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Lim et al., (2020)</w:t>
            </w:r>
          </w:p>
        </w:tc>
        <w:tc>
          <w:tcPr>
            <w:tcW w:w="718" w:type="pct"/>
          </w:tcPr>
          <w:p w14:paraId="7C5E3770"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One needs to carefully consider how OI practices inside cultural tourist content enterprises affect FP.</w:t>
            </w:r>
          </w:p>
        </w:tc>
        <w:tc>
          <w:tcPr>
            <w:tcW w:w="774" w:type="pct"/>
          </w:tcPr>
          <w:p w14:paraId="4581AD43"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An online survey of workers at companies in South Korea that specialize in cutting-edge cultural tourism was undertaken.</w:t>
            </w:r>
          </w:p>
        </w:tc>
        <w:tc>
          <w:tcPr>
            <w:tcW w:w="999" w:type="pct"/>
          </w:tcPr>
          <w:p w14:paraId="1AE0BAA2"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The results of this study showed a positive correlation between OI activities and non-financial performance. Innovation-related activities in particular have a bigger impact on non-financial performance that is external than that which is internal. External non-financial success is substantially impacted by internal non-financial performance as well.</w:t>
            </w:r>
          </w:p>
        </w:tc>
        <w:tc>
          <w:tcPr>
            <w:tcW w:w="1114" w:type="pct"/>
          </w:tcPr>
          <w:p w14:paraId="3A64A3C8" w14:textId="77777777" w:rsidR="005976AB" w:rsidRPr="005635E7" w:rsidRDefault="005976AB" w:rsidP="009E2F41">
            <w:pPr>
              <w:autoSpaceDE w:val="0"/>
              <w:autoSpaceDN w:val="0"/>
              <w:adjustRightInd w:val="0"/>
              <w:rPr>
                <w:rFonts w:asciiTheme="majorBidi" w:hAnsiTheme="majorBidi" w:cstheme="majorBidi"/>
              </w:rPr>
            </w:pPr>
            <w:r w:rsidRPr="005635E7">
              <w:rPr>
                <w:rFonts w:asciiTheme="majorBidi" w:hAnsiTheme="majorBidi" w:cstheme="majorBidi"/>
              </w:rPr>
              <w:t>Information search, external cooperation, and innovation capability are three OI actions that may further raise potential clients' knowledge of the company, boost the company's image, and foster client loyalty.</w:t>
            </w:r>
          </w:p>
        </w:tc>
        <w:tc>
          <w:tcPr>
            <w:tcW w:w="935" w:type="pct"/>
          </w:tcPr>
          <w:p w14:paraId="41EBFBB5"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By examining the effect of OI practi</w:t>
            </w:r>
            <w:r>
              <w:rPr>
                <w:rFonts w:asciiTheme="majorBidi" w:hAnsiTheme="majorBidi" w:cstheme="majorBidi"/>
                <w:shd w:val="clear" w:color="auto" w:fill="FFFFFF"/>
              </w:rPr>
              <w:t>c</w:t>
            </w:r>
            <w:r w:rsidRPr="005635E7">
              <w:rPr>
                <w:rFonts w:asciiTheme="majorBidi" w:hAnsiTheme="majorBidi" w:cstheme="majorBidi"/>
                <w:shd w:val="clear" w:color="auto" w:fill="FFFFFF"/>
              </w:rPr>
              <w:t>es on internal and external non-financial performance metrics in the tourist content enterprises, this study made a significant contribution to the creation of a comprehensive theoretical framework for tourism contents.</w:t>
            </w:r>
          </w:p>
        </w:tc>
      </w:tr>
      <w:tr w:rsidR="005976AB" w:rsidRPr="005635E7" w14:paraId="28747497" w14:textId="77777777" w:rsidTr="009E2F41">
        <w:tc>
          <w:tcPr>
            <w:tcW w:w="460" w:type="pct"/>
          </w:tcPr>
          <w:p w14:paraId="294FA8B5"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Oduro et al. (2020)</w:t>
            </w:r>
          </w:p>
        </w:tc>
        <w:tc>
          <w:tcPr>
            <w:tcW w:w="718" w:type="pct"/>
          </w:tcPr>
          <w:p w14:paraId="7007FDC5"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To present the first meta-analysis on the OI-FP nexus by combining the theory of dynamic capabilities with empirical data.</w:t>
            </w:r>
          </w:p>
        </w:tc>
        <w:tc>
          <w:tcPr>
            <w:tcW w:w="774" w:type="pct"/>
          </w:tcPr>
          <w:p w14:paraId="7D9F5C7C" w14:textId="77777777" w:rsidR="005976AB" w:rsidRPr="005635E7" w:rsidRDefault="005976AB" w:rsidP="009E2F41">
            <w:pPr>
              <w:rPr>
                <w:rFonts w:asciiTheme="majorBidi" w:hAnsiTheme="majorBidi" w:cstheme="majorBidi"/>
                <w:highlight w:val="yellow"/>
                <w:shd w:val="clear" w:color="auto" w:fill="FFFFFF"/>
              </w:rPr>
            </w:pPr>
            <w:r w:rsidRPr="005635E7">
              <w:rPr>
                <w:rFonts w:asciiTheme="majorBidi" w:hAnsiTheme="majorBidi" w:cstheme="majorBidi"/>
                <w:shd w:val="clear" w:color="auto" w:fill="FFFFFF"/>
              </w:rPr>
              <w:t>106 independent peer-reviewed articles encompassing 557,642 enterprises and 138 effects were analyzed using subgroup and meta-analytic regression techniques from 2003 to 2020.</w:t>
            </w:r>
          </w:p>
        </w:tc>
        <w:tc>
          <w:tcPr>
            <w:tcW w:w="999" w:type="pct"/>
          </w:tcPr>
          <w:p w14:paraId="65ABECDE"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 xml:space="preserve">While the disaggregated data showed that IP has the biggest impact on FP, followed by OP and linked OI, the effect of OI on non-financial performance is greater than that on financial success. </w:t>
            </w:r>
          </w:p>
        </w:tc>
        <w:tc>
          <w:tcPr>
            <w:tcW w:w="1114" w:type="pct"/>
          </w:tcPr>
          <w:p w14:paraId="0FAAE92D" w14:textId="77777777" w:rsidR="005976AB" w:rsidRPr="005635E7" w:rsidRDefault="005976AB" w:rsidP="009E2F41">
            <w:pPr>
              <w:pStyle w:val="Heading3"/>
              <w:shd w:val="clear" w:color="auto" w:fill="FFFFFF"/>
              <w:spacing w:after="160"/>
              <w:outlineLvl w:val="2"/>
              <w:rPr>
                <w:rFonts w:asciiTheme="majorBidi" w:hAnsiTheme="majorBidi"/>
                <w:color w:val="auto"/>
              </w:rPr>
            </w:pPr>
            <w:r w:rsidRPr="005635E7">
              <w:rPr>
                <w:rFonts w:asciiTheme="majorBidi" w:hAnsiTheme="majorBidi"/>
                <w:color w:val="auto"/>
                <w:shd w:val="clear" w:color="auto" w:fill="FFFFFF"/>
              </w:rPr>
              <w:t>The contradictory findings on OI-FP are caused by both measurement modifiers (such as research measures and data type) and contextual factors (such as business size, culture, study region, sector, and industry intensity).</w:t>
            </w:r>
          </w:p>
        </w:tc>
        <w:tc>
          <w:tcPr>
            <w:tcW w:w="935" w:type="pct"/>
          </w:tcPr>
          <w:p w14:paraId="2AC025BC"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This is the first meta-analysis on the relationship between OI and FP that uses the dynamic capacities theory and empirical data.</w:t>
            </w:r>
          </w:p>
        </w:tc>
      </w:tr>
      <w:tr w:rsidR="005976AB" w:rsidRPr="005635E7" w14:paraId="0745E9B2" w14:textId="77777777" w:rsidTr="009E2F41">
        <w:tc>
          <w:tcPr>
            <w:tcW w:w="460" w:type="pct"/>
          </w:tcPr>
          <w:p w14:paraId="16A98FC9"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Wang (2018)</w:t>
            </w:r>
          </w:p>
        </w:tc>
        <w:tc>
          <w:tcPr>
            <w:tcW w:w="718" w:type="pct"/>
          </w:tcPr>
          <w:p w14:paraId="01FDDE13"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 take a look at the FP and IP for various time periods and inside various organizations.</w:t>
            </w:r>
          </w:p>
        </w:tc>
        <w:tc>
          <w:tcPr>
            <w:tcW w:w="774" w:type="pct"/>
          </w:tcPr>
          <w:p w14:paraId="033D4065"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Based on a literature review, a conceptual model at the firm</w:t>
            </w:r>
            <w:r>
              <w:rPr>
                <w:rFonts w:asciiTheme="majorBidi" w:hAnsiTheme="majorBidi" w:cstheme="majorBidi"/>
                <w:shd w:val="clear" w:color="auto" w:fill="FFFFFF"/>
              </w:rPr>
              <w:t>-</w:t>
            </w:r>
            <w:r w:rsidRPr="005635E7">
              <w:rPr>
                <w:rFonts w:asciiTheme="majorBidi" w:hAnsiTheme="majorBidi" w:cstheme="majorBidi"/>
                <w:shd w:val="clear" w:color="auto" w:fill="FFFFFF"/>
              </w:rPr>
              <w:t>level analysis was carried out. Using empirical data gathered from 62 business unit projects and 60 research center projects in the Japanese manufacturing industry in 2008, the model was tested using SEM.</w:t>
            </w:r>
          </w:p>
        </w:tc>
        <w:tc>
          <w:tcPr>
            <w:tcW w:w="999" w:type="pct"/>
          </w:tcPr>
          <w:p w14:paraId="5FDC0CBA"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Results showed that the adoption of IP and FP in the research center and business unit were causally related.</w:t>
            </w:r>
          </w:p>
        </w:tc>
        <w:tc>
          <w:tcPr>
            <w:tcW w:w="1114" w:type="pct"/>
          </w:tcPr>
          <w:p w14:paraId="17E12897" w14:textId="77777777" w:rsidR="005976AB" w:rsidRPr="005635E7" w:rsidRDefault="005976AB" w:rsidP="009E2F41">
            <w:pPr>
              <w:pStyle w:val="Heading3"/>
              <w:shd w:val="clear" w:color="auto" w:fill="FFFFFF"/>
              <w:spacing w:after="160"/>
              <w:outlineLvl w:val="2"/>
              <w:rPr>
                <w:rFonts w:asciiTheme="majorBidi" w:hAnsiTheme="majorBidi"/>
                <w:color w:val="auto"/>
              </w:rPr>
            </w:pPr>
            <w:r w:rsidRPr="005635E7">
              <w:rPr>
                <w:rFonts w:asciiTheme="majorBidi" w:hAnsiTheme="majorBidi"/>
                <w:color w:val="auto"/>
              </w:rPr>
              <w:t>In comparison to the research center, the business units seem to be more sensitive to the need to update their technologies. For the practices of IP to have the most interactive effects on FP, they must be implemented and integrated with their own capacities.</w:t>
            </w:r>
          </w:p>
          <w:p w14:paraId="33DEDFB4" w14:textId="77777777" w:rsidR="005976AB" w:rsidRPr="009E2F41" w:rsidRDefault="005976AB" w:rsidP="009E2F41">
            <w:pPr>
              <w:pStyle w:val="Heading3"/>
              <w:shd w:val="clear" w:color="auto" w:fill="FFFFFF"/>
              <w:spacing w:after="160"/>
              <w:outlineLvl w:val="2"/>
              <w:rPr>
                <w:rFonts w:asciiTheme="majorBidi" w:hAnsiTheme="majorBidi"/>
                <w:color w:val="auto"/>
                <w:kern w:val="2"/>
                <w:lang w:val="en-US"/>
                <w14:ligatures w14:val="standardContextual"/>
              </w:rPr>
            </w:pPr>
            <w:r w:rsidRPr="005635E7">
              <w:rPr>
                <w:rFonts w:asciiTheme="majorBidi" w:hAnsiTheme="majorBidi"/>
                <w:color w:val="auto"/>
              </w:rPr>
              <w:t>The information overloads the research centers experienced when looking for outside knowledge led to ineffective decision-making that halted the innovation processes.</w:t>
            </w:r>
          </w:p>
        </w:tc>
        <w:tc>
          <w:tcPr>
            <w:tcW w:w="935" w:type="pct"/>
          </w:tcPr>
          <w:p w14:paraId="0838D4BC"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study adds to our current knowledge of the unresolved problem of inbound OI at research centers and/or commercial units and its effects on FP.</w:t>
            </w:r>
          </w:p>
        </w:tc>
      </w:tr>
      <w:tr w:rsidR="005976AB" w:rsidRPr="005635E7" w14:paraId="0AFFE0B1" w14:textId="77777777" w:rsidTr="009E2F41">
        <w:tc>
          <w:tcPr>
            <w:tcW w:w="460" w:type="pct"/>
          </w:tcPr>
          <w:p w14:paraId="20230A63"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Motohashi (2016)</w:t>
            </w:r>
          </w:p>
        </w:tc>
        <w:tc>
          <w:tcPr>
            <w:tcW w:w="718" w:type="pct"/>
          </w:tcPr>
          <w:p w14:paraId="7B523EB2" w14:textId="77777777" w:rsidR="005976AB" w:rsidRPr="005635E7" w:rsidRDefault="005976AB" w:rsidP="009E2F41">
            <w:pPr>
              <w:rPr>
                <w:rFonts w:asciiTheme="majorBidi" w:hAnsiTheme="majorBidi" w:cstheme="majorBidi"/>
              </w:rPr>
            </w:pPr>
            <w:r w:rsidRPr="005635E7">
              <w:rPr>
                <w:rFonts w:asciiTheme="majorBidi" w:hAnsiTheme="majorBidi" w:cstheme="majorBidi"/>
              </w:rPr>
              <w:t>To inquire into how OI, FP, and innovation as measured by patenting are related.</w:t>
            </w:r>
          </w:p>
        </w:tc>
        <w:tc>
          <w:tcPr>
            <w:tcW w:w="774" w:type="pct"/>
          </w:tcPr>
          <w:p w14:paraId="1D3C1E7D" w14:textId="77777777" w:rsidR="005976AB" w:rsidRPr="005635E7" w:rsidRDefault="005976AB" w:rsidP="009E2F41">
            <w:pPr>
              <w:rPr>
                <w:rFonts w:asciiTheme="majorBidi" w:hAnsiTheme="majorBidi" w:cstheme="majorBidi"/>
              </w:rPr>
            </w:pPr>
            <w:r w:rsidRPr="005635E7">
              <w:rPr>
                <w:rFonts w:asciiTheme="majorBidi" w:hAnsiTheme="majorBidi" w:cstheme="majorBidi"/>
              </w:rPr>
              <w:t>Utilizing a connected dataset from the Institute of Intellectual Property Patent Database and the Establishment and Enterprise Census from 2001 to 2006, statistical analysis using the complete population of Japanese enterprises.</w:t>
            </w:r>
          </w:p>
          <w:p w14:paraId="266A6393" w14:textId="77777777" w:rsidR="005976AB" w:rsidRPr="005635E7" w:rsidRDefault="005976AB" w:rsidP="009E2F41">
            <w:pPr>
              <w:rPr>
                <w:rFonts w:asciiTheme="majorBidi" w:hAnsiTheme="majorBidi" w:cstheme="majorBidi"/>
              </w:rPr>
            </w:pPr>
          </w:p>
          <w:p w14:paraId="5A7AC0CA" w14:textId="77777777" w:rsidR="005976AB" w:rsidRPr="005635E7" w:rsidRDefault="005976AB" w:rsidP="009E2F41">
            <w:pPr>
              <w:rPr>
                <w:rFonts w:asciiTheme="majorBidi" w:hAnsiTheme="majorBidi" w:cstheme="majorBidi"/>
              </w:rPr>
            </w:pPr>
            <w:r w:rsidRPr="005635E7">
              <w:rPr>
                <w:rFonts w:asciiTheme="majorBidi" w:hAnsiTheme="majorBidi" w:cstheme="majorBidi"/>
              </w:rPr>
              <w:t xml:space="preserve">Additionally, patenting and OI had a negative impact on survival and growth. </w:t>
            </w:r>
          </w:p>
        </w:tc>
        <w:tc>
          <w:tcPr>
            <w:tcW w:w="999" w:type="pct"/>
          </w:tcPr>
          <w:p w14:paraId="3242DCAD" w14:textId="77777777" w:rsidR="005976AB" w:rsidRPr="005635E7" w:rsidRDefault="005976AB" w:rsidP="009E2F41">
            <w:pPr>
              <w:rPr>
                <w:rFonts w:asciiTheme="majorBidi" w:hAnsiTheme="majorBidi" w:cstheme="majorBidi"/>
              </w:rPr>
            </w:pPr>
            <w:r w:rsidRPr="005635E7">
              <w:rPr>
                <w:rFonts w:asciiTheme="majorBidi" w:hAnsiTheme="majorBidi" w:cstheme="majorBidi"/>
              </w:rPr>
              <w:t>Results revealed a positive correlation between innovative activities as evaluated by patenting and company performance. Additionally, patenting has a strong correlation with large company survival rates while having a strong correlation with small company business growth.</w:t>
            </w:r>
          </w:p>
          <w:p w14:paraId="4A18A3C7" w14:textId="77777777" w:rsidR="005976AB" w:rsidRPr="005635E7" w:rsidRDefault="005976AB" w:rsidP="009E2F41">
            <w:pPr>
              <w:rPr>
                <w:rFonts w:asciiTheme="majorBidi" w:hAnsiTheme="majorBidi" w:cstheme="majorBidi"/>
              </w:rPr>
            </w:pPr>
          </w:p>
        </w:tc>
        <w:tc>
          <w:tcPr>
            <w:tcW w:w="1114" w:type="pct"/>
          </w:tcPr>
          <w:p w14:paraId="2E4FD559" w14:textId="77777777" w:rsidR="005976AB" w:rsidRPr="005635E7" w:rsidRDefault="005976AB" w:rsidP="009E2F41">
            <w:pPr>
              <w:autoSpaceDE w:val="0"/>
              <w:autoSpaceDN w:val="0"/>
              <w:adjustRightInd w:val="0"/>
              <w:rPr>
                <w:rFonts w:asciiTheme="majorBidi" w:eastAsia="*HCI-Bellflower-Identity-H" w:hAnsiTheme="majorBidi" w:cstheme="majorBidi"/>
              </w:rPr>
            </w:pPr>
            <w:r w:rsidRPr="005635E7">
              <w:rPr>
                <w:rFonts w:asciiTheme="majorBidi" w:eastAsia="*HCI-Bellflower-Identity-H" w:hAnsiTheme="majorBidi" w:cstheme="majorBidi"/>
              </w:rPr>
              <w:t>When it comes to patenting, small businesses are more vulnerable than large ones. A high-risk investment might be indicated by a patent application, and as a result, the survival rate of those applications suffers.</w:t>
            </w:r>
          </w:p>
        </w:tc>
        <w:tc>
          <w:tcPr>
            <w:tcW w:w="935" w:type="pct"/>
          </w:tcPr>
          <w:p w14:paraId="47B878D2" w14:textId="77777777" w:rsidR="005976AB" w:rsidRPr="005635E7" w:rsidRDefault="005976AB" w:rsidP="009E2F41">
            <w:pPr>
              <w:rPr>
                <w:rFonts w:asciiTheme="majorBidi" w:hAnsiTheme="majorBidi" w:cstheme="majorBidi"/>
              </w:rPr>
            </w:pPr>
            <w:r w:rsidRPr="005635E7">
              <w:rPr>
                <w:rFonts w:asciiTheme="majorBidi" w:hAnsiTheme="majorBidi" w:cstheme="majorBidi"/>
              </w:rPr>
              <w:t xml:space="preserve">With the aid of a linked dataset from the Establishment and Enterprise Census and the intellectual property Patent Database, this study presents, for the first time, an extensive analysis of the innovation activities of the entire population of Japanese companies, distinguishing between small and large firms. </w:t>
            </w:r>
          </w:p>
        </w:tc>
      </w:tr>
    </w:tbl>
    <w:p w14:paraId="155B95F5" w14:textId="77777777" w:rsidR="005976AB" w:rsidRPr="005635E7" w:rsidRDefault="005976AB" w:rsidP="005976AB"/>
    <w:p w14:paraId="75949F8F" w14:textId="77777777" w:rsidR="005976AB" w:rsidRPr="005635E7" w:rsidRDefault="005976AB" w:rsidP="005976AB">
      <w:pPr>
        <w:spacing w:after="240" w:line="480" w:lineRule="auto"/>
        <w:jc w:val="both"/>
        <w:rPr>
          <w:rFonts w:asciiTheme="majorBidi" w:hAnsiTheme="majorBidi" w:cstheme="majorBidi"/>
        </w:rPr>
      </w:pPr>
    </w:p>
    <w:p w14:paraId="61BA1CB2" w14:textId="77777777" w:rsidR="005976AB" w:rsidRPr="005635E7" w:rsidRDefault="005976AB" w:rsidP="005976AB">
      <w:pPr>
        <w:spacing w:after="240" w:line="480" w:lineRule="auto"/>
        <w:jc w:val="both"/>
        <w:rPr>
          <w:rFonts w:asciiTheme="majorBidi" w:hAnsiTheme="majorBidi" w:cstheme="majorBidi"/>
        </w:rPr>
        <w:sectPr w:rsidR="005976AB" w:rsidRPr="005635E7" w:rsidSect="000B01DE">
          <w:pgSz w:w="16838" w:h="11906" w:orient="landscape"/>
          <w:pgMar w:top="1440" w:right="1440" w:bottom="1440" w:left="1440" w:header="708" w:footer="708" w:gutter="0"/>
          <w:cols w:space="708"/>
          <w:docGrid w:linePitch="360"/>
        </w:sectPr>
      </w:pPr>
    </w:p>
    <w:p w14:paraId="3BEBBA4C"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In their first meta-analysis of the OI-FP relationship from 2003 to 2020, Oduro et al. (2020) drew on dynamic capabilities theory and evidence-based research to demonstrate that the impact of OP on non-financial performance is greater than that of IP and coupled OIs. The commercialized performance of OP projects in public research organizations was discovered by Chöng and Yuen-Ping (2021), who emphasized the necessity for greater OP at the project level. Few studies have examined FP in terms of both financial and non-financial measures (Hung &amp; Chou, 2013; Lee et al., 2015; Motohashi, 2016). In light of this, this study is the first to look at the relationship between SMEs' IP and FP and OP and FP in terms of both financial and non-financial performance in a single study. As a result, the following </w:t>
      </w:r>
      <w:r>
        <w:rPr>
          <w:rFonts w:asciiTheme="majorBidi" w:hAnsiTheme="majorBidi" w:cstheme="majorBidi"/>
        </w:rPr>
        <w:t>hypotheses</w:t>
      </w:r>
      <w:r w:rsidRPr="005635E7">
        <w:rPr>
          <w:rFonts w:asciiTheme="majorBidi" w:hAnsiTheme="majorBidi" w:cstheme="majorBidi"/>
        </w:rPr>
        <w:t xml:space="preserve"> were proposed:</w:t>
      </w:r>
    </w:p>
    <w:bookmarkEnd w:id="46"/>
    <w:p w14:paraId="5D56C315" w14:textId="77777777" w:rsidR="005976AB" w:rsidRPr="00D73F8E" w:rsidRDefault="005976AB" w:rsidP="005976AB">
      <w:pPr>
        <w:spacing w:after="60" w:line="480" w:lineRule="auto"/>
        <w:rPr>
          <w:rFonts w:asciiTheme="majorBidi" w:hAnsiTheme="majorBidi" w:cstheme="majorBidi"/>
        </w:rPr>
      </w:pPr>
      <w:r w:rsidRPr="005635E7">
        <w:rPr>
          <w:rFonts w:asciiTheme="majorBidi" w:hAnsiTheme="majorBidi" w:cstheme="majorBidi"/>
          <w:b/>
          <w:bCs/>
          <w:i/>
          <w:iCs/>
        </w:rPr>
        <w:t>H2a:</w:t>
      </w:r>
      <w:r w:rsidRPr="005635E7">
        <w:rPr>
          <w:rFonts w:asciiTheme="majorBidi" w:hAnsiTheme="majorBidi" w:cstheme="majorBidi"/>
        </w:rPr>
        <w:t xml:space="preserve"> IP </w:t>
      </w:r>
      <w:r w:rsidRPr="00D73F8E">
        <w:rPr>
          <w:rFonts w:asciiTheme="majorBidi" w:hAnsiTheme="majorBidi" w:cstheme="majorBidi"/>
        </w:rPr>
        <w:t>positively related to ME of the firm.</w:t>
      </w:r>
    </w:p>
    <w:p w14:paraId="6486F5C9" w14:textId="77777777" w:rsidR="005976AB" w:rsidRPr="00D73F8E" w:rsidRDefault="005976AB" w:rsidP="005976AB">
      <w:pPr>
        <w:spacing w:after="60" w:line="480" w:lineRule="auto"/>
        <w:rPr>
          <w:rFonts w:asciiTheme="majorBidi" w:hAnsiTheme="majorBidi" w:cstheme="majorBidi"/>
        </w:rPr>
      </w:pPr>
      <w:r w:rsidRPr="00D73F8E">
        <w:rPr>
          <w:rFonts w:asciiTheme="majorBidi" w:hAnsiTheme="majorBidi" w:cstheme="majorBidi"/>
          <w:b/>
          <w:bCs/>
          <w:i/>
          <w:iCs/>
        </w:rPr>
        <w:t>H2b:</w:t>
      </w:r>
      <w:r w:rsidRPr="00D73F8E">
        <w:rPr>
          <w:rFonts w:asciiTheme="majorBidi" w:hAnsiTheme="majorBidi" w:cstheme="majorBidi"/>
        </w:rPr>
        <w:t xml:space="preserve"> IP positively related to profitability of the firm.</w:t>
      </w:r>
    </w:p>
    <w:p w14:paraId="28901536" w14:textId="77777777" w:rsidR="005976AB" w:rsidRPr="00D73F8E" w:rsidRDefault="005976AB" w:rsidP="005976AB">
      <w:pPr>
        <w:spacing w:after="60" w:line="480" w:lineRule="auto"/>
        <w:rPr>
          <w:rFonts w:asciiTheme="majorBidi" w:hAnsiTheme="majorBidi" w:cstheme="majorBidi"/>
        </w:rPr>
      </w:pPr>
      <w:r w:rsidRPr="00D73F8E">
        <w:rPr>
          <w:rFonts w:asciiTheme="majorBidi" w:hAnsiTheme="majorBidi" w:cstheme="majorBidi"/>
          <w:b/>
          <w:bCs/>
          <w:i/>
          <w:iCs/>
        </w:rPr>
        <w:t>H2c:</w:t>
      </w:r>
      <w:r w:rsidRPr="00D73F8E">
        <w:rPr>
          <w:rFonts w:asciiTheme="majorBidi" w:hAnsiTheme="majorBidi" w:cstheme="majorBidi"/>
        </w:rPr>
        <w:t xml:space="preserve"> OP positively related to ME of the firm.</w:t>
      </w:r>
    </w:p>
    <w:p w14:paraId="3A8A6F64" w14:textId="77777777" w:rsidR="005976AB" w:rsidRPr="005635E7" w:rsidRDefault="005976AB" w:rsidP="005976AB">
      <w:pPr>
        <w:spacing w:after="60" w:line="480" w:lineRule="auto"/>
        <w:rPr>
          <w:rFonts w:asciiTheme="majorBidi" w:hAnsiTheme="majorBidi" w:cstheme="majorBidi"/>
        </w:rPr>
      </w:pPr>
      <w:r w:rsidRPr="00D73F8E">
        <w:rPr>
          <w:rFonts w:asciiTheme="majorBidi" w:hAnsiTheme="majorBidi" w:cstheme="majorBidi"/>
          <w:b/>
          <w:bCs/>
          <w:i/>
          <w:iCs/>
        </w:rPr>
        <w:t>H2d:</w:t>
      </w:r>
      <w:r w:rsidRPr="00D73F8E">
        <w:rPr>
          <w:rFonts w:asciiTheme="majorBidi" w:hAnsiTheme="majorBidi" w:cstheme="majorBidi"/>
        </w:rPr>
        <w:t xml:space="preserve"> OP positively related to profitability of the firm</w:t>
      </w:r>
      <w:r w:rsidRPr="005635E7">
        <w:rPr>
          <w:rFonts w:asciiTheme="majorBidi" w:hAnsiTheme="majorBidi" w:cstheme="majorBidi"/>
        </w:rPr>
        <w:t>.</w:t>
      </w:r>
    </w:p>
    <w:p w14:paraId="6BE020B3" w14:textId="77777777" w:rsidR="005976AB" w:rsidRPr="005635E7" w:rsidRDefault="005976AB" w:rsidP="005976AB">
      <w:pPr>
        <w:pStyle w:val="Heading3"/>
        <w:spacing w:before="0" w:line="480" w:lineRule="auto"/>
        <w:rPr>
          <w:rFonts w:asciiTheme="majorBidi" w:hAnsiTheme="majorBidi"/>
          <w:b/>
          <w:bCs/>
          <w:i/>
          <w:iCs/>
          <w:color w:val="auto"/>
          <w:lang w:bidi="en-US"/>
        </w:rPr>
      </w:pPr>
      <w:bookmarkStart w:id="48" w:name="_Toc115310378"/>
      <w:r w:rsidRPr="005635E7">
        <w:rPr>
          <w:rFonts w:asciiTheme="majorBidi" w:hAnsiTheme="majorBidi"/>
          <w:b/>
          <w:bCs/>
          <w:i/>
          <w:iCs/>
          <w:color w:val="auto"/>
        </w:rPr>
        <w:t>2.3.3 Organizational Learning Capabilities and Firm Performance</w:t>
      </w:r>
      <w:bookmarkEnd w:id="48"/>
    </w:p>
    <w:p w14:paraId="105356E9" w14:textId="77777777" w:rsidR="005976AB" w:rsidRPr="005635E7" w:rsidRDefault="005976AB" w:rsidP="005976AB">
      <w:pPr>
        <w:spacing w:after="240" w:line="480" w:lineRule="auto"/>
        <w:jc w:val="both"/>
        <w:rPr>
          <w:rFonts w:asciiTheme="majorBidi" w:hAnsiTheme="majorBidi" w:cstheme="majorBidi"/>
          <w:lang w:bidi="en-US"/>
        </w:rPr>
      </w:pPr>
      <w:r w:rsidRPr="005635E7">
        <w:rPr>
          <w:rFonts w:asciiTheme="majorBidi" w:hAnsiTheme="majorBidi" w:cstheme="majorBidi"/>
          <w:lang w:bidi="en-US"/>
        </w:rPr>
        <w:t>An organization</w:t>
      </w:r>
      <w:r w:rsidRPr="005635E7">
        <w:rPr>
          <w:rFonts w:ascii="Times New Roman" w:eastAsia="Calibri" w:hAnsi="Times New Roman" w:cs="Times New Roman"/>
        </w:rPr>
        <w:t xml:space="preserve">’s capability to process knowledge plays an important role in determining </w:t>
      </w:r>
      <w:r w:rsidRPr="005635E7">
        <w:rPr>
          <w:rFonts w:asciiTheme="majorBidi" w:hAnsiTheme="majorBidi" w:cstheme="majorBidi"/>
          <w:lang w:bidi="en-US"/>
        </w:rPr>
        <w:t>FP. For example, Hooi (2019) illustrates that incentive reward</w:t>
      </w:r>
      <w:r w:rsidRPr="005635E7">
        <w:rPr>
          <w:rFonts w:ascii="Times New Roman" w:eastAsia="Calibri" w:hAnsi="Times New Roman" w:cs="Times New Roman"/>
        </w:rPr>
        <w:t xml:space="preserve">s positively </w:t>
      </w:r>
      <w:r w:rsidRPr="005635E7">
        <w:rPr>
          <w:rFonts w:asciiTheme="majorBidi" w:hAnsiTheme="majorBidi" w:cstheme="majorBidi"/>
          <w:lang w:bidi="en-US"/>
        </w:rPr>
        <w:t xml:space="preserve">affect </w:t>
      </w:r>
      <w:r>
        <w:rPr>
          <w:rFonts w:asciiTheme="majorBidi" w:hAnsiTheme="majorBidi" w:cstheme="majorBidi"/>
          <w:lang w:bidi="en-US"/>
        </w:rPr>
        <w:t>FP</w:t>
      </w:r>
      <w:r w:rsidRPr="005635E7">
        <w:rPr>
          <w:rFonts w:asciiTheme="majorBidi" w:hAnsiTheme="majorBidi" w:cstheme="majorBidi"/>
          <w:lang w:bidi="en-US"/>
        </w:rPr>
        <w:t xml:space="preserve">. In this context, the importance of performance appraisal in representing </w:t>
      </w:r>
      <w:r>
        <w:rPr>
          <w:rFonts w:asciiTheme="majorBidi" w:hAnsiTheme="majorBidi" w:cstheme="majorBidi"/>
          <w:lang w:bidi="en-US"/>
        </w:rPr>
        <w:t>OLC</w:t>
      </w:r>
      <w:r w:rsidRPr="005635E7">
        <w:rPr>
          <w:rFonts w:asciiTheme="majorBidi" w:hAnsiTheme="majorBidi" w:cstheme="majorBidi"/>
          <w:lang w:bidi="en-US"/>
        </w:rPr>
        <w:t xml:space="preserve"> has been emphasized (Onag, Tepeci, &amp; Basalp, 2014; Ricciardi, Zardini, &amp; Rossignoli, 2018). The most important dimensions pertaining to OLC are usually identified as knowledge sharing, open communication, openness, knowledge transfer, and risk</w:t>
      </w:r>
      <w:r>
        <w:rPr>
          <w:rFonts w:asciiTheme="majorBidi" w:hAnsiTheme="majorBidi" w:cstheme="majorBidi"/>
          <w:lang w:bidi="en-US"/>
        </w:rPr>
        <w:t>-</w:t>
      </w:r>
      <w:r w:rsidRPr="005635E7">
        <w:rPr>
          <w:rFonts w:asciiTheme="majorBidi" w:hAnsiTheme="majorBidi" w:cstheme="majorBidi"/>
          <w:lang w:bidi="en-US"/>
        </w:rPr>
        <w:t xml:space="preserve">taking (Arranz, Arroyabe, Li, &amp; de Arroyabe, 2019; Giniuniene &amp; Jurksiene, 2015). Thus, </w:t>
      </w:r>
      <w:r>
        <w:rPr>
          <w:rFonts w:asciiTheme="majorBidi" w:hAnsiTheme="majorBidi" w:cstheme="majorBidi"/>
          <w:lang w:bidi="en-US"/>
        </w:rPr>
        <w:t xml:space="preserve">it </w:t>
      </w:r>
      <w:r w:rsidRPr="005635E7">
        <w:rPr>
          <w:rFonts w:asciiTheme="majorBidi" w:hAnsiTheme="majorBidi" w:cstheme="majorBidi"/>
          <w:lang w:bidi="en-US"/>
        </w:rPr>
        <w:t>can be expected that FP will improve by embedding these components into organizations.</w:t>
      </w:r>
    </w:p>
    <w:p w14:paraId="6839E110" w14:textId="77777777" w:rsidR="005976AB" w:rsidRPr="005635E7" w:rsidRDefault="005976AB" w:rsidP="005976AB">
      <w:pPr>
        <w:spacing w:after="240" w:line="480" w:lineRule="auto"/>
        <w:jc w:val="both"/>
        <w:rPr>
          <w:rFonts w:asciiTheme="majorBidi" w:hAnsiTheme="majorBidi" w:cstheme="majorBidi"/>
        </w:rPr>
      </w:pPr>
      <w:bookmarkStart w:id="49" w:name="_Hlk109707892"/>
      <w:r w:rsidRPr="005635E7">
        <w:rPr>
          <w:rFonts w:asciiTheme="majorBidi" w:hAnsiTheme="majorBidi" w:cstheme="majorBidi"/>
        </w:rPr>
        <w:t xml:space="preserve">Although studies (e.g., Gomes &amp; Wojahn, 2017; Do &amp; Mai, 2022; Goh et al., 2012; Pham &amp; Hoang et al., 2019) </w:t>
      </w:r>
      <w:r w:rsidRPr="005635E7">
        <w:rPr>
          <w:rFonts w:ascii="Times New Roman" w:eastAsia="Calibri" w:hAnsi="Times New Roman" w:cs="Times New Roman"/>
        </w:rPr>
        <w:t>have show</w:t>
      </w:r>
      <w:r w:rsidRPr="005635E7">
        <w:rPr>
          <w:rFonts w:asciiTheme="majorBidi" w:hAnsiTheme="majorBidi" w:cstheme="majorBidi"/>
        </w:rPr>
        <w:t>n a substantial connection between OLC and FP, they were also inconsistent and conducted in various situations. For instance, while Do and Mai (2022) highlighted the crucial role that the OLC plays in enhancing organizational performance, Gomes and Wojahn (2017) demonstrated the opposite in the context of Brazil's textile industry. Furthermore, it is unclear from both studies which elements of organizational performance are influenced by OLC.</w:t>
      </w:r>
    </w:p>
    <w:p w14:paraId="0F7C1A67" w14:textId="608756D8"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Nevertheless, earlier empirical studies have been unable to definitively link OLC to FP (Table 2.3). For instance, Yang et al. (2004) contended that there </w:t>
      </w:r>
      <w:r>
        <w:rPr>
          <w:rFonts w:asciiTheme="majorBidi" w:hAnsiTheme="majorBidi" w:cstheme="majorBidi"/>
        </w:rPr>
        <w:t>was</w:t>
      </w:r>
      <w:r w:rsidRPr="005635E7">
        <w:rPr>
          <w:rFonts w:asciiTheme="majorBidi" w:hAnsiTheme="majorBidi" w:cstheme="majorBidi"/>
        </w:rPr>
        <w:t xml:space="preserve"> a positive correlation, whereas Goh (2001) claimed that there </w:t>
      </w:r>
      <w:r>
        <w:rPr>
          <w:rFonts w:asciiTheme="majorBidi" w:hAnsiTheme="majorBidi" w:cstheme="majorBidi"/>
        </w:rPr>
        <w:t>wa</w:t>
      </w:r>
      <w:r w:rsidRPr="005635E7">
        <w:rPr>
          <w:rFonts w:asciiTheme="majorBidi" w:hAnsiTheme="majorBidi" w:cstheme="majorBidi"/>
        </w:rPr>
        <w:t xml:space="preserve">s no significant relationship between </w:t>
      </w:r>
      <w:r w:rsidRPr="005635E7">
        <w:rPr>
          <w:rFonts w:ascii="Times New Roman" w:eastAsia="Calibri" w:hAnsi="Times New Roman" w:cs="Times New Roman"/>
        </w:rPr>
        <w:t>the OLC and financial performance</w:t>
      </w:r>
      <w:r w:rsidRPr="005635E7">
        <w:rPr>
          <w:rFonts w:asciiTheme="majorBidi" w:hAnsiTheme="majorBidi" w:cstheme="majorBidi"/>
        </w:rPr>
        <w:t xml:space="preserve"> despite the fact that private sector firms outperform</w:t>
      </w:r>
      <w:r>
        <w:rPr>
          <w:rFonts w:asciiTheme="majorBidi" w:hAnsiTheme="majorBidi" w:cstheme="majorBidi"/>
        </w:rPr>
        <w:t>ed</w:t>
      </w:r>
      <w:r w:rsidRPr="005635E7">
        <w:rPr>
          <w:rFonts w:asciiTheme="majorBidi" w:hAnsiTheme="majorBidi" w:cstheme="majorBidi"/>
        </w:rPr>
        <w:t xml:space="preserve"> public sector firms in terms of learning organization</w:t>
      </w:r>
      <w:r w:rsidRPr="005635E7">
        <w:rPr>
          <w:rFonts w:ascii="Times New Roman" w:eastAsia="Calibri" w:hAnsi="Times New Roman" w:cs="Times New Roman"/>
        </w:rPr>
        <w:t>al attributes. Goh et al. (2012) provide</w:t>
      </w:r>
      <w:r>
        <w:rPr>
          <w:rFonts w:ascii="Times New Roman" w:eastAsia="Calibri" w:hAnsi="Times New Roman" w:cs="Times New Roman"/>
        </w:rPr>
        <w:t>d</w:t>
      </w:r>
      <w:r w:rsidRPr="005635E7">
        <w:rPr>
          <w:rFonts w:ascii="Times New Roman" w:eastAsia="Calibri" w:hAnsi="Times New Roman" w:cs="Times New Roman"/>
        </w:rPr>
        <w:t xml:space="preserve"> evidence through a meta-analytic analysis that there is a positive relationship between OLC and FP, with non-financial success having a </w:t>
      </w:r>
      <w:r w:rsidRPr="005635E7">
        <w:rPr>
          <w:rFonts w:asciiTheme="majorBidi" w:hAnsiTheme="majorBidi" w:cstheme="majorBidi"/>
        </w:rPr>
        <w:t>greater impact than financial performance. By evaluating both operational and market-based performance, Pham et al. (2019) confirm</w:t>
      </w:r>
      <w:r w:rsidRPr="005635E7">
        <w:rPr>
          <w:rFonts w:ascii="Times New Roman" w:eastAsia="Calibri" w:hAnsi="Times New Roman" w:cs="Times New Roman"/>
        </w:rPr>
        <w:t>ed that the OLC ha</w:t>
      </w:r>
      <w:r>
        <w:rPr>
          <w:rFonts w:ascii="Times New Roman" w:eastAsia="Calibri" w:hAnsi="Times New Roman" w:cs="Times New Roman"/>
        </w:rPr>
        <w:t>d</w:t>
      </w:r>
      <w:r w:rsidRPr="005635E7">
        <w:rPr>
          <w:rFonts w:ascii="Times New Roman" w:eastAsia="Calibri" w:hAnsi="Times New Roman" w:cs="Times New Roman"/>
        </w:rPr>
        <w:t xml:space="preserve"> a favorable impact on business performance in </w:t>
      </w:r>
      <w:r w:rsidRPr="00D73F8E">
        <w:rPr>
          <w:rFonts w:ascii="Times New Roman" w:eastAsia="Calibri" w:hAnsi="Times New Roman" w:cs="Times New Roman"/>
        </w:rPr>
        <w:t>Vietnam.</w:t>
      </w:r>
      <w:r w:rsidRPr="00D73F8E">
        <w:rPr>
          <w:rFonts w:asciiTheme="majorBidi" w:hAnsiTheme="majorBidi" w:cstheme="majorBidi"/>
        </w:rPr>
        <w:t xml:space="preserve"> Finally, </w:t>
      </w:r>
      <w:r w:rsidR="006D7B0A" w:rsidRPr="00D73F8E">
        <w:rPr>
          <w:rFonts w:asciiTheme="majorBidi" w:hAnsiTheme="majorBidi" w:cstheme="majorBidi"/>
        </w:rPr>
        <w:t>T</w:t>
      </w:r>
      <w:r w:rsidRPr="00D73F8E">
        <w:rPr>
          <w:rFonts w:asciiTheme="majorBidi" w:hAnsiTheme="majorBidi" w:cstheme="majorBidi"/>
        </w:rPr>
        <w:t>able 2.4 synthesizes critical the literature on the linkage between open innovation and firm performance.</w:t>
      </w:r>
    </w:p>
    <w:p w14:paraId="270D9100" w14:textId="77777777" w:rsidR="005976AB" w:rsidRPr="005635E7" w:rsidRDefault="005976AB" w:rsidP="005976AB">
      <w:pPr>
        <w:spacing w:after="240" w:line="480" w:lineRule="auto"/>
        <w:jc w:val="both"/>
        <w:rPr>
          <w:rFonts w:asciiTheme="majorBidi" w:hAnsiTheme="majorBidi" w:cstheme="majorBidi"/>
        </w:rPr>
        <w:sectPr w:rsidR="005976AB" w:rsidRPr="005635E7" w:rsidSect="000B01DE">
          <w:pgSz w:w="11906" w:h="16838"/>
          <w:pgMar w:top="1440" w:right="1440" w:bottom="1440" w:left="1440" w:header="708" w:footer="708" w:gutter="0"/>
          <w:cols w:space="708"/>
          <w:docGrid w:linePitch="360"/>
        </w:sectPr>
      </w:pPr>
    </w:p>
    <w:p w14:paraId="4E806D96" w14:textId="77777777" w:rsidR="005976AB" w:rsidRPr="005635E7" w:rsidRDefault="005976AB" w:rsidP="005976AB">
      <w:pPr>
        <w:pStyle w:val="Caption"/>
        <w:rPr>
          <w:rFonts w:asciiTheme="majorBidi" w:hAnsiTheme="majorBidi" w:cstheme="majorBidi"/>
          <w:i w:val="0"/>
          <w:iCs w:val="0"/>
          <w:color w:val="auto"/>
          <w:sz w:val="24"/>
          <w:szCs w:val="24"/>
        </w:rPr>
      </w:pPr>
      <w:bookmarkStart w:id="50" w:name="_Toc126377954"/>
      <w:r w:rsidRPr="005635E7">
        <w:rPr>
          <w:rFonts w:asciiTheme="majorBidi" w:hAnsiTheme="majorBidi" w:cstheme="majorBidi"/>
          <w:i w:val="0"/>
          <w:iCs w:val="0"/>
          <w:color w:val="auto"/>
          <w:sz w:val="24"/>
          <w:szCs w:val="24"/>
        </w:rPr>
        <w:t>Table 2.</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4</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Literature synthesis as to organizational learning capabilities and firm performance</w:t>
      </w:r>
      <w:bookmarkEnd w:id="50"/>
    </w:p>
    <w:tbl>
      <w:tblPr>
        <w:tblStyle w:val="TableGrid"/>
        <w:tblW w:w="5000" w:type="pct"/>
        <w:tblLook w:val="04A0" w:firstRow="1" w:lastRow="0" w:firstColumn="1" w:lastColumn="0" w:noHBand="0" w:noVBand="1"/>
      </w:tblPr>
      <w:tblGrid>
        <w:gridCol w:w="1282"/>
        <w:gridCol w:w="2009"/>
        <w:gridCol w:w="2159"/>
        <w:gridCol w:w="2787"/>
        <w:gridCol w:w="3108"/>
        <w:gridCol w:w="2603"/>
      </w:tblGrid>
      <w:tr w:rsidR="005976AB" w:rsidRPr="005635E7" w14:paraId="0241432A" w14:textId="77777777" w:rsidTr="009E2F41">
        <w:tc>
          <w:tcPr>
            <w:tcW w:w="460" w:type="pct"/>
          </w:tcPr>
          <w:p w14:paraId="2FF9035D"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Author(s)</w:t>
            </w:r>
          </w:p>
        </w:tc>
        <w:tc>
          <w:tcPr>
            <w:tcW w:w="720" w:type="pct"/>
          </w:tcPr>
          <w:p w14:paraId="7F02C187"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 xml:space="preserve">Purpose </w:t>
            </w:r>
          </w:p>
        </w:tc>
        <w:tc>
          <w:tcPr>
            <w:tcW w:w="774" w:type="pct"/>
          </w:tcPr>
          <w:p w14:paraId="27C74178"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 xml:space="preserve">Method </w:t>
            </w:r>
          </w:p>
        </w:tc>
        <w:tc>
          <w:tcPr>
            <w:tcW w:w="999" w:type="pct"/>
          </w:tcPr>
          <w:p w14:paraId="222761F3"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Findings</w:t>
            </w:r>
          </w:p>
        </w:tc>
        <w:tc>
          <w:tcPr>
            <w:tcW w:w="1114" w:type="pct"/>
          </w:tcPr>
          <w:p w14:paraId="5BE57A72" w14:textId="77777777" w:rsidR="005976AB" w:rsidRPr="009E2F41" w:rsidRDefault="005976AB" w:rsidP="009E2F41">
            <w:pPr>
              <w:rPr>
                <w:rFonts w:asciiTheme="majorBidi" w:hAnsiTheme="majorBidi" w:cstheme="majorBidi"/>
                <w:b/>
                <w:bCs/>
                <w:lang w:val="en-US"/>
              </w:rPr>
            </w:pPr>
            <w:r w:rsidRPr="009E2F41">
              <w:rPr>
                <w:rFonts w:asciiTheme="majorBidi" w:hAnsiTheme="majorBidi" w:cstheme="majorBidi"/>
                <w:b/>
                <w:bCs/>
                <w:lang w:val="en-US"/>
              </w:rPr>
              <w:t xml:space="preserve">Implications </w:t>
            </w:r>
          </w:p>
        </w:tc>
        <w:tc>
          <w:tcPr>
            <w:tcW w:w="933" w:type="pct"/>
          </w:tcPr>
          <w:p w14:paraId="0D975915" w14:textId="77777777" w:rsidR="005976AB" w:rsidRPr="009E2F41" w:rsidRDefault="005976AB" w:rsidP="009E2F41">
            <w:pPr>
              <w:pStyle w:val="Heading3"/>
              <w:shd w:val="clear" w:color="auto" w:fill="FFFFFF"/>
              <w:spacing w:after="160"/>
              <w:outlineLvl w:val="2"/>
              <w:rPr>
                <w:rFonts w:asciiTheme="majorBidi" w:hAnsiTheme="majorBidi"/>
                <w:b/>
                <w:bCs/>
                <w:color w:val="auto"/>
                <w:kern w:val="2"/>
                <w:lang w:val="en-US"/>
                <w14:ligatures w14:val="standardContextual"/>
              </w:rPr>
            </w:pPr>
            <w:r w:rsidRPr="005635E7">
              <w:rPr>
                <w:rFonts w:asciiTheme="majorBidi" w:hAnsiTheme="majorBidi"/>
                <w:b/>
                <w:bCs/>
                <w:color w:val="auto"/>
              </w:rPr>
              <w:t>Originality/value</w:t>
            </w:r>
          </w:p>
        </w:tc>
      </w:tr>
      <w:tr w:rsidR="005976AB" w:rsidRPr="005635E7" w14:paraId="34ED04DF" w14:textId="77777777" w:rsidTr="009E2F41">
        <w:tc>
          <w:tcPr>
            <w:tcW w:w="460" w:type="pct"/>
          </w:tcPr>
          <w:p w14:paraId="1CBA4F24" w14:textId="77777777" w:rsidR="005976AB" w:rsidRPr="005635E7" w:rsidRDefault="005976AB" w:rsidP="009E2F41">
            <w:pPr>
              <w:rPr>
                <w:rFonts w:asciiTheme="majorBidi" w:hAnsiTheme="majorBidi" w:cstheme="majorBidi"/>
              </w:rPr>
            </w:pPr>
            <w:r w:rsidRPr="005635E7">
              <w:rPr>
                <w:rFonts w:asciiTheme="majorBidi" w:hAnsiTheme="majorBidi" w:cstheme="majorBidi"/>
              </w:rPr>
              <w:t>Do &amp; Mai (2022)</w:t>
            </w:r>
          </w:p>
        </w:tc>
        <w:tc>
          <w:tcPr>
            <w:tcW w:w="720" w:type="pct"/>
          </w:tcPr>
          <w:p w14:paraId="327AEA5A"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 evaluate the development of the topic by thoroughly reviewing empirical studies on the connection between FP and organizational learning.</w:t>
            </w:r>
          </w:p>
        </w:tc>
        <w:tc>
          <w:tcPr>
            <w:tcW w:w="774" w:type="pct"/>
          </w:tcPr>
          <w:p w14:paraId="307D5A1C"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This study conducts a systematic review in a methodical, repeatable, and open manner. 52 empirical papers that were published between 1999 and 2019 in total were gathered and examined.</w:t>
            </w:r>
          </w:p>
        </w:tc>
        <w:tc>
          <w:tcPr>
            <w:tcW w:w="999" w:type="pct"/>
          </w:tcPr>
          <w:p w14:paraId="53F6AEBA"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The systematic review revealed three major themes related to the organizational learning-FP relationship. First, quantitative research on organizational learning and FP has been done in a number of nations and industries. Second, through their interactions and combinations, organizational learning aspects enhance both financial and non-financial performance of organizations. Third, organizational innovation mediates the link between organizational learning and FP.</w:t>
            </w:r>
          </w:p>
        </w:tc>
        <w:tc>
          <w:tcPr>
            <w:tcW w:w="1114" w:type="pct"/>
          </w:tcPr>
          <w:p w14:paraId="3999E525" w14:textId="77777777" w:rsidR="005976AB" w:rsidRPr="005635E7" w:rsidRDefault="005976AB" w:rsidP="009E2F41">
            <w:pPr>
              <w:rPr>
                <w:rFonts w:asciiTheme="majorBidi" w:hAnsiTheme="majorBidi" w:cstheme="majorBidi"/>
                <w:shd w:val="clear" w:color="auto" w:fill="FFFFFF"/>
              </w:rPr>
            </w:pPr>
            <w:r w:rsidRPr="005635E7">
              <w:rPr>
                <w:rFonts w:asciiTheme="majorBidi" w:hAnsiTheme="majorBidi" w:cstheme="majorBidi"/>
                <w:shd w:val="clear" w:color="auto" w:fill="FFFFFF"/>
              </w:rPr>
              <w:t>Only quantitative studies on organizational learning and FP were found in the literature search, which was considered as fitting the review's parameters. Future studies were urged to carefully examine qualitative research and case studies on FP and organizational learning.</w:t>
            </w:r>
          </w:p>
          <w:p w14:paraId="5FF89288"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The research presented in this publication further added to the fragmented understanding of FP and organizational learning that existed earlier.</w:t>
            </w:r>
          </w:p>
        </w:tc>
        <w:tc>
          <w:tcPr>
            <w:tcW w:w="933" w:type="pct"/>
          </w:tcPr>
          <w:p w14:paraId="5E1A604B" w14:textId="77777777" w:rsidR="005976AB" w:rsidRPr="005635E7" w:rsidRDefault="005976AB" w:rsidP="009E2F41">
            <w:pPr>
              <w:pStyle w:val="Heading3"/>
              <w:shd w:val="clear" w:color="auto" w:fill="FFFFFF"/>
              <w:spacing w:after="160"/>
              <w:outlineLvl w:val="2"/>
              <w:rPr>
                <w:rFonts w:asciiTheme="majorBidi" w:hAnsiTheme="majorBidi"/>
                <w:b/>
                <w:bCs/>
                <w:color w:val="auto"/>
              </w:rPr>
            </w:pPr>
            <w:r w:rsidRPr="005635E7">
              <w:rPr>
                <w:rFonts w:asciiTheme="majorBidi" w:hAnsiTheme="majorBidi"/>
                <w:color w:val="auto"/>
                <w:shd w:val="clear" w:color="auto" w:fill="FFFFFF"/>
              </w:rPr>
              <w:t>This is one of the first comprehensive assessments of the literature on FP and organizational learning.</w:t>
            </w:r>
          </w:p>
        </w:tc>
      </w:tr>
      <w:tr w:rsidR="005976AB" w:rsidRPr="005635E7" w14:paraId="55EA45E0" w14:textId="77777777" w:rsidTr="009E2F41">
        <w:tc>
          <w:tcPr>
            <w:tcW w:w="460" w:type="pct"/>
          </w:tcPr>
          <w:p w14:paraId="03E0C0DF"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Soomro et al. (2021)</w:t>
            </w:r>
          </w:p>
        </w:tc>
        <w:tc>
          <w:tcPr>
            <w:tcW w:w="720" w:type="pct"/>
          </w:tcPr>
          <w:p w14:paraId="6053E707"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 have a look at the impact and experience of strategic elements on organizational innovation and learning. The study also looks at how FP is affected by organizational innovation and learning.</w:t>
            </w:r>
          </w:p>
        </w:tc>
        <w:tc>
          <w:tcPr>
            <w:tcW w:w="774" w:type="pct"/>
          </w:tcPr>
          <w:p w14:paraId="0DD2E458" w14:textId="77777777" w:rsidR="005976AB" w:rsidRPr="005635E7" w:rsidRDefault="005976AB" w:rsidP="009E2F41">
            <w:pPr>
              <w:rPr>
                <w:rFonts w:asciiTheme="majorBidi" w:hAnsiTheme="majorBidi" w:cstheme="majorBidi"/>
              </w:rPr>
            </w:pPr>
            <w:r w:rsidRPr="005635E7">
              <w:rPr>
                <w:rFonts w:asciiTheme="majorBidi" w:hAnsiTheme="majorBidi" w:cstheme="majorBidi"/>
              </w:rPr>
              <w:t>Chief Executive Officers from businesses in Pakistan's agriculture, construction, manufacturing, and services industries provided the data for this study.</w:t>
            </w:r>
          </w:p>
        </w:tc>
        <w:tc>
          <w:tcPr>
            <w:tcW w:w="999" w:type="pct"/>
          </w:tcPr>
          <w:p w14:paraId="6E8EAD8D"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Results showed that strategic elements, such as personal mastery, a shared vision, proactivity, transformational leadership, and the environment, had a positive and significant impact on organizational innovation and organizational learning. Additionally, organizational learning and innovation have a positive and considerable impact on FP.</w:t>
            </w:r>
          </w:p>
        </w:tc>
        <w:tc>
          <w:tcPr>
            <w:tcW w:w="1114" w:type="pct"/>
          </w:tcPr>
          <w:p w14:paraId="72A4F327"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Understanding the many strategic elements and competencies required to obtain an acceptable level of organizational capabilities helps boost FP and encourage entrepreneurship.</w:t>
            </w:r>
          </w:p>
        </w:tc>
        <w:tc>
          <w:tcPr>
            <w:tcW w:w="933" w:type="pct"/>
          </w:tcPr>
          <w:p w14:paraId="3D1125F7" w14:textId="77777777" w:rsidR="005976AB" w:rsidRPr="005635E7" w:rsidRDefault="005976AB" w:rsidP="009E2F41">
            <w:pPr>
              <w:pStyle w:val="Heading3"/>
              <w:shd w:val="clear" w:color="auto" w:fill="FFFFFF"/>
              <w:spacing w:after="160"/>
              <w:outlineLvl w:val="2"/>
              <w:rPr>
                <w:rFonts w:asciiTheme="majorBidi" w:hAnsiTheme="majorBidi"/>
                <w:b/>
                <w:bCs/>
                <w:color w:val="auto"/>
              </w:rPr>
            </w:pPr>
            <w:r w:rsidRPr="005635E7">
              <w:rPr>
                <w:rFonts w:asciiTheme="majorBidi" w:hAnsiTheme="majorBidi"/>
                <w:color w:val="auto"/>
                <w:shd w:val="clear" w:color="auto" w:fill="FFFFFF"/>
              </w:rPr>
              <w:t>The results of this study contribute to a deeper understanding of FP, organizational innovation, organizational learning, and strategic issues, especially in the context of developing nations.</w:t>
            </w:r>
          </w:p>
        </w:tc>
      </w:tr>
      <w:tr w:rsidR="005976AB" w:rsidRPr="005635E7" w14:paraId="5C4D524D" w14:textId="77777777" w:rsidTr="009E2F41">
        <w:tc>
          <w:tcPr>
            <w:tcW w:w="460" w:type="pct"/>
          </w:tcPr>
          <w:p w14:paraId="178797B7"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Tortorella et al. (2020)</w:t>
            </w:r>
          </w:p>
        </w:tc>
        <w:tc>
          <w:tcPr>
            <w:tcW w:w="720" w:type="pct"/>
          </w:tcPr>
          <w:p w14:paraId="47D40C31" w14:textId="77777777" w:rsidR="005976AB" w:rsidRPr="005635E7" w:rsidRDefault="005976AB" w:rsidP="009E2F41">
            <w:pPr>
              <w:rPr>
                <w:rFonts w:asciiTheme="majorBidi" w:hAnsiTheme="majorBidi" w:cstheme="majorBidi"/>
              </w:rPr>
            </w:pPr>
            <w:r w:rsidRPr="005635E7">
              <w:rPr>
                <w:rFonts w:asciiTheme="majorBidi" w:hAnsiTheme="majorBidi" w:cstheme="majorBidi"/>
              </w:rPr>
              <w:t>To inquire into how Industry 4.0 (I4.0) technology and operational performance relate to one another, and how OLC mediates this relationship at various contextualization levels.</w:t>
            </w:r>
          </w:p>
        </w:tc>
        <w:tc>
          <w:tcPr>
            <w:tcW w:w="774" w:type="pct"/>
          </w:tcPr>
          <w:p w14:paraId="2CE47CEF" w14:textId="77777777" w:rsidR="005976AB" w:rsidRPr="005635E7" w:rsidRDefault="005976AB" w:rsidP="009E2F41">
            <w:pPr>
              <w:rPr>
                <w:rFonts w:asciiTheme="majorBidi" w:hAnsiTheme="majorBidi" w:cstheme="majorBidi"/>
              </w:rPr>
            </w:pPr>
            <w:r w:rsidRPr="005635E7">
              <w:rPr>
                <w:rFonts w:asciiTheme="majorBidi" w:hAnsiTheme="majorBidi" w:cstheme="majorBidi"/>
              </w:rPr>
              <w:t>Data were gathered from 135 Brazilian manufacturing companies that had undergone digital transformation in preparation for industry 4.0.</w:t>
            </w:r>
          </w:p>
        </w:tc>
        <w:tc>
          <w:tcPr>
            <w:tcW w:w="999" w:type="pct"/>
          </w:tcPr>
          <w:p w14:paraId="54999B17" w14:textId="77777777" w:rsidR="005976AB" w:rsidRPr="005635E7" w:rsidRDefault="005976AB" w:rsidP="009E2F41">
            <w:pPr>
              <w:rPr>
                <w:rFonts w:asciiTheme="majorBidi" w:hAnsiTheme="majorBidi" w:cstheme="majorBidi"/>
              </w:rPr>
            </w:pPr>
            <w:r w:rsidRPr="005635E7">
              <w:rPr>
                <w:rFonts w:asciiTheme="majorBidi" w:hAnsiTheme="majorBidi" w:cstheme="majorBidi"/>
              </w:rPr>
              <w:t>Results indicated that I4.0 had a good mediating influence on OLC at the organizational level for achieving greater operational performance levels. However, OL at the team and individual levels could not have a big effect on this kind of mediation.</w:t>
            </w:r>
          </w:p>
        </w:tc>
        <w:tc>
          <w:tcPr>
            <w:tcW w:w="1114" w:type="pct"/>
          </w:tcPr>
          <w:p w14:paraId="23DF9906"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study provided empirical evidence to show that firms that consistently promote learning and knowledge sharing at an organizational level can reap greater benefits from the adoption of industry 4.0 (I4.0) technologies. Industry 4.0 (I4.0) technologies are said to enable a faster and more effective recognition and solution of manufacturing problems.</w:t>
            </w:r>
          </w:p>
        </w:tc>
        <w:tc>
          <w:tcPr>
            <w:tcW w:w="933" w:type="pct"/>
          </w:tcPr>
          <w:p w14:paraId="53FE4296" w14:textId="77777777" w:rsidR="005976AB" w:rsidRPr="005635E7" w:rsidRDefault="005976AB" w:rsidP="009E2F41">
            <w:pPr>
              <w:pStyle w:val="Heading3"/>
              <w:shd w:val="clear" w:color="auto" w:fill="FFFFFF"/>
              <w:spacing w:after="160"/>
              <w:outlineLvl w:val="2"/>
              <w:rPr>
                <w:rFonts w:asciiTheme="majorBidi" w:hAnsiTheme="majorBidi"/>
                <w:b/>
                <w:bCs/>
                <w:color w:val="auto"/>
              </w:rPr>
            </w:pPr>
            <w:r w:rsidRPr="005635E7">
              <w:rPr>
                <w:rFonts w:asciiTheme="majorBidi" w:hAnsiTheme="majorBidi"/>
                <w:color w:val="auto"/>
              </w:rPr>
              <w:t>This study is one of the first to examine how the I4.0 technologies interact with the process of generating, transferring, and preserving knowledge within businesses.</w:t>
            </w:r>
          </w:p>
        </w:tc>
      </w:tr>
      <w:tr w:rsidR="005976AB" w:rsidRPr="005635E7" w14:paraId="1932A24E" w14:textId="77777777" w:rsidTr="009E2F41">
        <w:tc>
          <w:tcPr>
            <w:tcW w:w="460" w:type="pct"/>
          </w:tcPr>
          <w:p w14:paraId="1D5B3DB3" w14:textId="77777777" w:rsidR="005976AB" w:rsidRPr="005635E7" w:rsidRDefault="005976AB" w:rsidP="009E2F41">
            <w:pPr>
              <w:rPr>
                <w:rFonts w:asciiTheme="majorBidi" w:hAnsiTheme="majorBidi" w:cstheme="majorBidi"/>
              </w:rPr>
            </w:pPr>
            <w:r w:rsidRPr="005635E7">
              <w:rPr>
                <w:rFonts w:asciiTheme="majorBidi" w:hAnsiTheme="majorBidi" w:cstheme="majorBidi"/>
              </w:rPr>
              <w:t>Pham &amp; Hoang et al. (2019)</w:t>
            </w:r>
          </w:p>
        </w:tc>
        <w:tc>
          <w:tcPr>
            <w:tcW w:w="720" w:type="pct"/>
          </w:tcPr>
          <w:p w14:paraId="505ABAD1"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 find out the relationship between OLC and the financial success of Vietnamese businesses.</w:t>
            </w:r>
          </w:p>
        </w:tc>
        <w:tc>
          <w:tcPr>
            <w:tcW w:w="774" w:type="pct"/>
          </w:tcPr>
          <w:p w14:paraId="43BDC602"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Data were gathered from a survey of 160 Master of Business Administration students in Vietnam who were employed by various businesses.</w:t>
            </w:r>
          </w:p>
        </w:tc>
        <w:tc>
          <w:tcPr>
            <w:tcW w:w="999" w:type="pct"/>
          </w:tcPr>
          <w:p w14:paraId="62620BA6"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According to the findings, OLC has a favorable effect on business performance. Additionally, corporate success was positively correlated with two of the OLC's four aspects, such as management commitment to learning and knowledge transfer and integration.</w:t>
            </w:r>
          </w:p>
        </w:tc>
        <w:tc>
          <w:tcPr>
            <w:tcW w:w="1114" w:type="pct"/>
          </w:tcPr>
          <w:p w14:paraId="6665BFBC"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The study offered several suggestions on how organizations might boost OLC and hence improve their business success.</w:t>
            </w:r>
          </w:p>
        </w:tc>
        <w:tc>
          <w:tcPr>
            <w:tcW w:w="933" w:type="pct"/>
          </w:tcPr>
          <w:p w14:paraId="687986BB" w14:textId="77777777" w:rsidR="005976AB" w:rsidRPr="005635E7" w:rsidRDefault="005976AB" w:rsidP="009E2F41">
            <w:pPr>
              <w:pStyle w:val="Heading3"/>
              <w:shd w:val="clear" w:color="auto" w:fill="FFFFFF"/>
              <w:spacing w:after="160"/>
              <w:outlineLvl w:val="2"/>
              <w:rPr>
                <w:rFonts w:asciiTheme="majorBidi" w:hAnsiTheme="majorBidi"/>
                <w:b/>
                <w:bCs/>
                <w:color w:val="auto"/>
              </w:rPr>
            </w:pPr>
            <w:r w:rsidRPr="005635E7">
              <w:rPr>
                <w:rFonts w:asciiTheme="majorBidi" w:hAnsiTheme="majorBidi"/>
                <w:color w:val="auto"/>
                <w:shd w:val="clear" w:color="auto" w:fill="FFFFFF"/>
              </w:rPr>
              <w:t>This study demonstrated that OLC has a favorable impact on business performance in the context of Vietnam and provided significant insights into the established but understudied relationship between OLC and business performance.</w:t>
            </w:r>
          </w:p>
        </w:tc>
      </w:tr>
      <w:tr w:rsidR="005976AB" w:rsidRPr="005635E7" w14:paraId="62E36778" w14:textId="77777777" w:rsidTr="009E2F41">
        <w:tc>
          <w:tcPr>
            <w:tcW w:w="460" w:type="pct"/>
          </w:tcPr>
          <w:p w14:paraId="4689532B" w14:textId="77777777" w:rsidR="005976AB" w:rsidRPr="005635E7" w:rsidRDefault="005976AB" w:rsidP="009E2F41">
            <w:pPr>
              <w:rPr>
                <w:rFonts w:asciiTheme="majorBidi" w:hAnsiTheme="majorBidi" w:cstheme="majorBidi"/>
              </w:rPr>
            </w:pPr>
            <w:r w:rsidRPr="005635E7">
              <w:rPr>
                <w:rFonts w:asciiTheme="majorBidi" w:hAnsiTheme="majorBidi" w:cstheme="majorBidi"/>
              </w:rPr>
              <w:t>Gomes &amp; Wojahn (2017)</w:t>
            </w:r>
          </w:p>
        </w:tc>
        <w:tc>
          <w:tcPr>
            <w:tcW w:w="720" w:type="pct"/>
          </w:tcPr>
          <w:p w14:paraId="1D486161" w14:textId="77777777" w:rsidR="005976AB" w:rsidRPr="005635E7" w:rsidRDefault="005976AB" w:rsidP="009E2F41">
            <w:pPr>
              <w:rPr>
                <w:rFonts w:asciiTheme="majorBidi" w:hAnsiTheme="majorBidi" w:cstheme="majorBidi"/>
              </w:rPr>
            </w:pPr>
            <w:r w:rsidRPr="005635E7">
              <w:rPr>
                <w:rFonts w:asciiTheme="majorBidi" w:hAnsiTheme="majorBidi" w:cstheme="majorBidi"/>
              </w:rPr>
              <w:t>To determine how OLC affects FP and inventive performance.</w:t>
            </w:r>
          </w:p>
        </w:tc>
        <w:tc>
          <w:tcPr>
            <w:tcW w:w="774" w:type="pct"/>
          </w:tcPr>
          <w:p w14:paraId="7CCC8806" w14:textId="77777777" w:rsidR="005976AB" w:rsidRPr="005635E7" w:rsidRDefault="005976AB" w:rsidP="009E2F41">
            <w:pPr>
              <w:rPr>
                <w:rFonts w:asciiTheme="majorBidi" w:hAnsiTheme="majorBidi" w:cstheme="majorBidi"/>
              </w:rPr>
            </w:pPr>
            <w:r w:rsidRPr="005635E7">
              <w:rPr>
                <w:rFonts w:asciiTheme="majorBidi" w:hAnsiTheme="majorBidi" w:cstheme="majorBidi"/>
              </w:rPr>
              <w:t> A cross-sectional survey was carried out employing a sample size of 92 SMEs in the textile industry utilizing a quantitative methodology, descriptive and causal.</w:t>
            </w:r>
          </w:p>
        </w:tc>
        <w:tc>
          <w:tcPr>
            <w:tcW w:w="999" w:type="pct"/>
          </w:tcPr>
          <w:p w14:paraId="4D8B3A73" w14:textId="77777777" w:rsidR="005976AB" w:rsidRPr="005635E7" w:rsidRDefault="005976AB" w:rsidP="009E2F41">
            <w:pPr>
              <w:rPr>
                <w:rFonts w:asciiTheme="majorBidi" w:hAnsiTheme="majorBidi" w:cstheme="majorBidi"/>
              </w:rPr>
            </w:pPr>
            <w:r w:rsidRPr="005635E7">
              <w:rPr>
                <w:rFonts w:asciiTheme="majorBidi" w:hAnsiTheme="majorBidi" w:cstheme="majorBidi"/>
              </w:rPr>
              <w:t>OLC influences SMEs' ability to innovate, although it had little impact on financial performance.</w:t>
            </w:r>
          </w:p>
        </w:tc>
        <w:tc>
          <w:tcPr>
            <w:tcW w:w="1114" w:type="pct"/>
          </w:tcPr>
          <w:p w14:paraId="714E39BF" w14:textId="77777777" w:rsidR="005976AB" w:rsidRPr="005635E7" w:rsidRDefault="005976AB" w:rsidP="009E2F41">
            <w:pPr>
              <w:rPr>
                <w:rFonts w:asciiTheme="majorBidi" w:hAnsiTheme="majorBidi" w:cstheme="majorBidi"/>
              </w:rPr>
            </w:pPr>
            <w:r w:rsidRPr="005635E7">
              <w:rPr>
                <w:rFonts w:asciiTheme="majorBidi" w:hAnsiTheme="majorBidi" w:cstheme="majorBidi"/>
              </w:rPr>
              <w:t>In the context of SMEs in the textile industry, a sector with a notable dearth of empirical research, the study provided evidence for the influence of OLC on inventive performance and FP and demonstrated that these effects were considerable and favorable.</w:t>
            </w:r>
          </w:p>
        </w:tc>
        <w:tc>
          <w:tcPr>
            <w:tcW w:w="933" w:type="pct"/>
          </w:tcPr>
          <w:p w14:paraId="610A4AC6" w14:textId="77777777" w:rsidR="005976AB" w:rsidRPr="005635E7" w:rsidRDefault="005976AB" w:rsidP="009E2F41">
            <w:pPr>
              <w:pStyle w:val="Heading3"/>
              <w:shd w:val="clear" w:color="auto" w:fill="FFFFFF"/>
              <w:spacing w:after="160"/>
              <w:outlineLvl w:val="2"/>
              <w:rPr>
                <w:rFonts w:asciiTheme="majorBidi" w:hAnsiTheme="majorBidi"/>
                <w:color w:val="auto"/>
              </w:rPr>
            </w:pPr>
            <w:r w:rsidRPr="005635E7">
              <w:rPr>
                <w:rFonts w:asciiTheme="majorBidi" w:hAnsiTheme="majorBidi"/>
                <w:color w:val="auto"/>
              </w:rPr>
              <w:t>The study made a contribution to the literature by attempting to model the links among organizational learning, performance, and innovation using measurements that had already received international validation.</w:t>
            </w:r>
          </w:p>
        </w:tc>
      </w:tr>
      <w:tr w:rsidR="005976AB" w:rsidRPr="005635E7" w14:paraId="0BA6A822" w14:textId="77777777" w:rsidTr="009E2F41">
        <w:tc>
          <w:tcPr>
            <w:tcW w:w="460" w:type="pct"/>
          </w:tcPr>
          <w:p w14:paraId="490542C1" w14:textId="77777777" w:rsidR="005976AB" w:rsidRPr="005635E7" w:rsidRDefault="005976AB" w:rsidP="009E2F41">
            <w:pPr>
              <w:rPr>
                <w:rFonts w:asciiTheme="majorBidi" w:hAnsiTheme="majorBidi" w:cstheme="majorBidi"/>
              </w:rPr>
            </w:pPr>
            <w:r w:rsidRPr="005635E7">
              <w:rPr>
                <w:rFonts w:asciiTheme="majorBidi" w:hAnsiTheme="majorBidi" w:cstheme="majorBidi"/>
              </w:rPr>
              <w:t>Oh (2019)</w:t>
            </w:r>
          </w:p>
        </w:tc>
        <w:tc>
          <w:tcPr>
            <w:tcW w:w="720" w:type="pct"/>
          </w:tcPr>
          <w:p w14:paraId="69DECFFC"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To be aware of how organizational learning processes affect how well an organization performs, and to examine how organizational fairness and manager trust affect this.</w:t>
            </w:r>
          </w:p>
        </w:tc>
        <w:tc>
          <w:tcPr>
            <w:tcW w:w="774" w:type="pct"/>
          </w:tcPr>
          <w:p w14:paraId="23DDE9A4" w14:textId="77777777" w:rsidR="005976AB" w:rsidRPr="005635E7" w:rsidRDefault="005976AB" w:rsidP="009E2F41">
            <w:pPr>
              <w:rPr>
                <w:rFonts w:asciiTheme="majorBidi" w:hAnsiTheme="majorBidi" w:cstheme="majorBidi"/>
              </w:rPr>
            </w:pPr>
            <w:r w:rsidRPr="005635E7">
              <w:rPr>
                <w:rFonts w:asciiTheme="majorBidi" w:hAnsiTheme="majorBidi" w:cstheme="majorBidi"/>
              </w:rPr>
              <w:t>515 staff members of 24 businesses ranked among Korea's top 500 corporations were gathered via a self-reported online survey.</w:t>
            </w:r>
          </w:p>
        </w:tc>
        <w:tc>
          <w:tcPr>
            <w:tcW w:w="999" w:type="pct"/>
          </w:tcPr>
          <w:p w14:paraId="1358EC0F" w14:textId="77777777" w:rsidR="005976AB" w:rsidRPr="005635E7" w:rsidRDefault="005976AB" w:rsidP="009E2F41">
            <w:pPr>
              <w:rPr>
                <w:rFonts w:asciiTheme="majorBidi" w:hAnsiTheme="majorBidi" w:cstheme="majorBidi"/>
              </w:rPr>
            </w:pPr>
            <w:r w:rsidRPr="005635E7">
              <w:rPr>
                <w:rFonts w:asciiTheme="majorBidi" w:hAnsiTheme="majorBidi" w:cstheme="majorBidi"/>
                <w:shd w:val="clear" w:color="auto" w:fill="FFFFFF"/>
              </w:rPr>
              <w:t>This study discovered that learning stocks and FP were a significant mediator of feedback</w:t>
            </w:r>
            <w:r>
              <w:rPr>
                <w:rFonts w:asciiTheme="majorBidi" w:hAnsiTheme="majorBidi" w:cstheme="majorBidi"/>
                <w:shd w:val="clear" w:color="auto" w:fill="FFFFFF"/>
              </w:rPr>
              <w:t>-</w:t>
            </w:r>
            <w:r w:rsidRPr="005635E7">
              <w:rPr>
                <w:rFonts w:asciiTheme="majorBidi" w:hAnsiTheme="majorBidi" w:cstheme="majorBidi"/>
                <w:shd w:val="clear" w:color="auto" w:fill="FFFFFF"/>
              </w:rPr>
              <w:t>learning flows. Additionally, it was discovered that confidence in the management moderates the influence of learning stocks on FP through feedback</w:t>
            </w:r>
            <w:r>
              <w:rPr>
                <w:rFonts w:asciiTheme="majorBidi" w:hAnsiTheme="majorBidi" w:cstheme="majorBidi"/>
                <w:shd w:val="clear" w:color="auto" w:fill="FFFFFF"/>
              </w:rPr>
              <w:t>-</w:t>
            </w:r>
            <w:r w:rsidRPr="005635E7">
              <w:rPr>
                <w:rFonts w:asciiTheme="majorBidi" w:hAnsiTheme="majorBidi" w:cstheme="majorBidi"/>
                <w:shd w:val="clear" w:color="auto" w:fill="FFFFFF"/>
              </w:rPr>
              <w:t>learning flows, whereas organizational fairness moderates the impact through feed-forward learning flows.</w:t>
            </w:r>
          </w:p>
        </w:tc>
        <w:tc>
          <w:tcPr>
            <w:tcW w:w="1114" w:type="pct"/>
          </w:tcPr>
          <w:p w14:paraId="5564A6C2"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study provided empirical proof that learning stocks, feed-forward and feedback</w:t>
            </w:r>
            <w:r>
              <w:rPr>
                <w:rFonts w:asciiTheme="majorBidi" w:hAnsiTheme="majorBidi" w:cstheme="majorBidi"/>
              </w:rPr>
              <w:t>-</w:t>
            </w:r>
            <w:r w:rsidRPr="005635E7">
              <w:rPr>
                <w:rFonts w:asciiTheme="majorBidi" w:hAnsiTheme="majorBidi" w:cstheme="majorBidi"/>
              </w:rPr>
              <w:t>learning flows, and FP in the Korean corporate context interact.</w:t>
            </w:r>
          </w:p>
          <w:p w14:paraId="115E39DF" w14:textId="77777777" w:rsidR="005976AB" w:rsidRPr="005635E7" w:rsidRDefault="005976AB" w:rsidP="009E2F41">
            <w:pPr>
              <w:rPr>
                <w:rFonts w:asciiTheme="majorBidi" w:hAnsiTheme="majorBidi" w:cstheme="majorBidi"/>
              </w:rPr>
            </w:pPr>
            <w:r w:rsidRPr="005635E7">
              <w:rPr>
                <w:rFonts w:asciiTheme="majorBidi" w:hAnsiTheme="majorBidi" w:cstheme="majorBidi"/>
              </w:rPr>
              <w:t>Higher levels of distributive and procedural fairness have a greater mediation effect on feed-forward learning flows, whereas higher levels of leader trust have a greater mediating effect on feedback-learning flows.</w:t>
            </w:r>
          </w:p>
        </w:tc>
        <w:tc>
          <w:tcPr>
            <w:tcW w:w="933" w:type="pct"/>
          </w:tcPr>
          <w:p w14:paraId="66DEC7DF" w14:textId="77777777" w:rsidR="005976AB" w:rsidRPr="005635E7" w:rsidRDefault="005976AB" w:rsidP="009E2F41">
            <w:pPr>
              <w:pStyle w:val="Heading3"/>
              <w:shd w:val="clear" w:color="auto" w:fill="FFFFFF"/>
              <w:spacing w:after="160"/>
              <w:outlineLvl w:val="2"/>
              <w:rPr>
                <w:rFonts w:asciiTheme="majorBidi" w:hAnsiTheme="majorBidi"/>
                <w:b/>
                <w:bCs/>
                <w:color w:val="auto"/>
              </w:rPr>
            </w:pPr>
            <w:r w:rsidRPr="005635E7">
              <w:rPr>
                <w:rFonts w:asciiTheme="majorBidi" w:hAnsiTheme="majorBidi"/>
                <w:color w:val="auto"/>
                <w:shd w:val="clear" w:color="auto" w:fill="FFFFFF"/>
              </w:rPr>
              <w:t>This work added to the understanding of how justice and trust facilitate learning activities within organizations by fusing critical and functionalist approaches and building a theoretical model.</w:t>
            </w:r>
          </w:p>
        </w:tc>
      </w:tr>
    </w:tbl>
    <w:p w14:paraId="138CC5F8" w14:textId="77777777" w:rsidR="005976AB" w:rsidRPr="005635E7" w:rsidRDefault="005976AB" w:rsidP="005976AB">
      <w:pPr>
        <w:spacing w:after="240" w:line="480" w:lineRule="auto"/>
        <w:jc w:val="both"/>
        <w:rPr>
          <w:rFonts w:asciiTheme="majorBidi" w:hAnsiTheme="majorBidi" w:cstheme="majorBidi"/>
        </w:rPr>
      </w:pPr>
    </w:p>
    <w:p w14:paraId="1A93759E" w14:textId="77777777" w:rsidR="005976AB" w:rsidRPr="005635E7" w:rsidRDefault="005976AB" w:rsidP="005976AB">
      <w:pPr>
        <w:spacing w:after="240" w:line="480" w:lineRule="auto"/>
        <w:jc w:val="both"/>
        <w:rPr>
          <w:rFonts w:asciiTheme="majorBidi" w:hAnsiTheme="majorBidi" w:cstheme="majorBidi"/>
        </w:rPr>
      </w:pPr>
    </w:p>
    <w:p w14:paraId="2613DC8E" w14:textId="77777777" w:rsidR="005976AB" w:rsidRPr="005635E7" w:rsidRDefault="005976AB" w:rsidP="005976AB">
      <w:pPr>
        <w:spacing w:after="240" w:line="480" w:lineRule="auto"/>
        <w:jc w:val="both"/>
        <w:rPr>
          <w:rFonts w:asciiTheme="majorBidi" w:hAnsiTheme="majorBidi" w:cstheme="majorBidi"/>
        </w:rPr>
        <w:sectPr w:rsidR="005976AB" w:rsidRPr="005635E7" w:rsidSect="000B01DE">
          <w:pgSz w:w="16838" w:h="11906" w:orient="landscape"/>
          <w:pgMar w:top="1440" w:right="1440" w:bottom="1440" w:left="1440" w:header="708" w:footer="708" w:gutter="0"/>
          <w:cols w:space="708"/>
          <w:docGrid w:linePitch="360"/>
        </w:sectPr>
      </w:pPr>
    </w:p>
    <w:p w14:paraId="6301093A" w14:textId="77777777" w:rsidR="005976AB" w:rsidRPr="005635E7" w:rsidRDefault="005976AB" w:rsidP="005976AB">
      <w:pPr>
        <w:spacing w:after="240" w:line="480" w:lineRule="auto"/>
        <w:jc w:val="both"/>
        <w:rPr>
          <w:rFonts w:ascii="Georgia" w:hAnsi="Georgia"/>
        </w:rPr>
      </w:pPr>
      <w:r w:rsidRPr="005635E7">
        <w:rPr>
          <w:rFonts w:ascii="Times New Roman" w:eastAsia="Calibri" w:hAnsi="Times New Roman" w:cs="Times New Roman"/>
        </w:rPr>
        <w:t>By contrast</w:t>
      </w:r>
      <w:r w:rsidRPr="005635E7">
        <w:rPr>
          <w:rFonts w:asciiTheme="majorBidi" w:hAnsiTheme="majorBidi" w:cstheme="majorBidi"/>
        </w:rPr>
        <w:t xml:space="preserve">, research on OL and FP has been found to be quantitative in a variety of nations and industries, whereas organizational learning dimensions foster both </w:t>
      </w:r>
      <w:r w:rsidRPr="005635E7">
        <w:rPr>
          <w:rFonts w:ascii="Times New Roman" w:eastAsia="Calibri" w:hAnsi="Times New Roman" w:cs="Times New Roman"/>
        </w:rPr>
        <w:t xml:space="preserve">the financial and non-financial performance of organizations through their interactions and combinations. According to Tortorella et al. (2020), learning capacities at the organizational level favorably mediate the impact of industry 4.0's digital transformation on achieving greater operational performance for Brazilian manufacturing enterprises. </w:t>
      </w:r>
      <w:r w:rsidRPr="005635E7">
        <w:rPr>
          <w:rFonts w:asciiTheme="majorBidi" w:hAnsiTheme="majorBidi" w:cstheme="majorBidi"/>
        </w:rPr>
        <w:t xml:space="preserve">However, </w:t>
      </w:r>
      <w:r w:rsidRPr="005635E7">
        <w:rPr>
          <w:rFonts w:ascii="Times New Roman" w:eastAsia="Calibri" w:hAnsi="Times New Roman" w:cs="Times New Roman"/>
        </w:rPr>
        <w:t xml:space="preserve">they demonstrated that OLC at both the team and individual levels </w:t>
      </w:r>
      <w:r w:rsidRPr="005635E7">
        <w:rPr>
          <w:rFonts w:asciiTheme="majorBidi" w:hAnsiTheme="majorBidi" w:cstheme="majorBidi"/>
        </w:rPr>
        <w:t>did not have a meaningful impact on such mediation. The literature that is currently available, however, has few studies that illuminate the OLC-FP nexus in the context of SMEs in developing countries (Soomro et al., 2021).</w:t>
      </w:r>
    </w:p>
    <w:p w14:paraId="39CBE783" w14:textId="77777777" w:rsidR="005976AB" w:rsidRPr="005635E7" w:rsidRDefault="005976AB" w:rsidP="005976AB">
      <w:pPr>
        <w:pStyle w:val="Heading3"/>
        <w:spacing w:before="0" w:line="480" w:lineRule="auto"/>
        <w:rPr>
          <w:rFonts w:asciiTheme="majorBidi" w:hAnsiTheme="majorBidi"/>
          <w:b/>
          <w:bCs/>
          <w:i/>
          <w:iCs/>
          <w:color w:val="auto"/>
        </w:rPr>
      </w:pPr>
      <w:bookmarkStart w:id="51" w:name="_Toc115310379"/>
      <w:bookmarkEnd w:id="49"/>
      <w:r w:rsidRPr="005635E7">
        <w:rPr>
          <w:rFonts w:asciiTheme="majorBidi" w:hAnsiTheme="majorBidi"/>
          <w:b/>
          <w:bCs/>
          <w:i/>
          <w:iCs/>
          <w:color w:val="auto"/>
        </w:rPr>
        <w:t>2.3.4 Organizational Learning Capabilities and Firm Performance: The Mediating Role of Open Innovation</w:t>
      </w:r>
      <w:bookmarkEnd w:id="51"/>
    </w:p>
    <w:p w14:paraId="5E7D6694" w14:textId="77777777" w:rsidR="005976AB" w:rsidRPr="005635E7" w:rsidRDefault="005976AB" w:rsidP="005976AB">
      <w:pPr>
        <w:spacing w:after="60" w:line="480" w:lineRule="auto"/>
        <w:jc w:val="both"/>
        <w:rPr>
          <w:rFonts w:asciiTheme="majorBidi" w:hAnsiTheme="majorBidi" w:cstheme="majorBidi"/>
          <w:lang w:bidi="en-US"/>
        </w:rPr>
      </w:pPr>
      <w:r w:rsidRPr="005635E7">
        <w:rPr>
          <w:rFonts w:asciiTheme="majorBidi" w:hAnsiTheme="majorBidi" w:cstheme="majorBidi"/>
          <w:lang w:bidi="en-US"/>
        </w:rPr>
        <w:t xml:space="preserve">It is crucial to demonstrate how </w:t>
      </w:r>
      <w:r>
        <w:rPr>
          <w:rFonts w:asciiTheme="majorBidi" w:hAnsiTheme="majorBidi" w:cstheme="majorBidi"/>
          <w:lang w:bidi="en-US"/>
        </w:rPr>
        <w:t>OI</w:t>
      </w:r>
      <w:r w:rsidRPr="005635E7">
        <w:rPr>
          <w:rFonts w:asciiTheme="majorBidi" w:hAnsiTheme="majorBidi" w:cstheme="majorBidi"/>
          <w:lang w:bidi="en-US"/>
        </w:rPr>
        <w:t xml:space="preserve"> influences the development of organizational learning capacity and business performance. Since </w:t>
      </w:r>
      <w:r>
        <w:rPr>
          <w:rFonts w:asciiTheme="majorBidi" w:hAnsiTheme="majorBidi" w:cstheme="majorBidi"/>
          <w:lang w:bidi="en-US"/>
        </w:rPr>
        <w:t>OI</w:t>
      </w:r>
      <w:r w:rsidRPr="005635E7">
        <w:rPr>
          <w:rFonts w:asciiTheme="majorBidi" w:hAnsiTheme="majorBidi" w:cstheme="majorBidi"/>
          <w:lang w:bidi="en-US"/>
        </w:rPr>
        <w:t xml:space="preserve"> necessitates cooperation with outside parties, it is thought that this kind of collaboration typically enhances an organization's capacity for learning (Chang, Chang, Chang, Chi, Chen, &amp; Deng, 2012; Giniuniene &amp; Jurksiene, 2015). This is because organizations frequently expand their capacity to redefine their knowledge base and innovative parameters (Arranz, Arroyabe, Li, &amp; de Arroyabe, 2019). It is possible to measure the adjustments required to undertake </w:t>
      </w:r>
      <w:r>
        <w:rPr>
          <w:rFonts w:asciiTheme="majorBidi" w:hAnsiTheme="majorBidi" w:cstheme="majorBidi"/>
          <w:lang w:bidi="en-US"/>
        </w:rPr>
        <w:t>OI</w:t>
      </w:r>
      <w:r w:rsidRPr="005635E7">
        <w:rPr>
          <w:rFonts w:asciiTheme="majorBidi" w:hAnsiTheme="majorBidi" w:cstheme="majorBidi"/>
          <w:lang w:bidi="en-US"/>
        </w:rPr>
        <w:t xml:space="preserve"> efforts more accurately from a comprehensive perspective of the relationship between organizational learning capacities and business performance (Kalmuk &amp; Acar, 2015; Mousavi, Bossink, &amp; van Vliet, 2018). Such adjustments must be made in accordance with the precise level of </w:t>
      </w:r>
      <w:r w:rsidRPr="005635E7">
        <w:rPr>
          <w:rFonts w:ascii="Times New Roman" w:eastAsia="Calibri" w:hAnsi="Times New Roman" w:cs="Times New Roman"/>
        </w:rPr>
        <w:t>strategic organizational</w:t>
      </w:r>
      <w:r w:rsidRPr="005635E7">
        <w:rPr>
          <w:rFonts w:asciiTheme="majorBidi" w:hAnsiTheme="majorBidi" w:cstheme="majorBidi"/>
          <w:lang w:bidi="en-US"/>
        </w:rPr>
        <w:t xml:space="preserve"> preparation. The study's theoretical framework, which uses dynamic capacity theory, reveals how prepared organizations are for </w:t>
      </w:r>
      <w:r>
        <w:rPr>
          <w:rFonts w:asciiTheme="majorBidi" w:hAnsiTheme="majorBidi" w:cstheme="majorBidi"/>
          <w:lang w:bidi="en-US"/>
        </w:rPr>
        <w:t>OI</w:t>
      </w:r>
      <w:r w:rsidRPr="005635E7">
        <w:rPr>
          <w:rFonts w:ascii="Times New Roman" w:eastAsia="Calibri" w:hAnsi="Times New Roman" w:cs="Times New Roman"/>
        </w:rPr>
        <w:t>, and how this will impact their long-term success</w:t>
      </w:r>
      <w:r w:rsidRPr="005635E7">
        <w:rPr>
          <w:rFonts w:asciiTheme="majorBidi" w:hAnsiTheme="majorBidi" w:cstheme="majorBidi"/>
          <w:lang w:bidi="en-US"/>
        </w:rPr>
        <w:t>.</w:t>
      </w:r>
    </w:p>
    <w:p w14:paraId="0BD51B61"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rPr>
        <w:t>This study applies dynamic capabilities theory to describe how learning capacities may lead to a potential improvement in FP and OI to address the mediation effect of OI on the relationship between OLC and FP. The dynamic capability theory focuses on organizations’ abilities to integrate both internal and external competencies (Teece, 2014). The underlying idea is that firms are always engaged in modifying their respective resource bases with the primary goal of achieving higher performance outcomes.</w:t>
      </w:r>
    </w:p>
    <w:p w14:paraId="09880307" w14:textId="77777777" w:rsidR="005976AB" w:rsidRPr="005635E7" w:rsidRDefault="005976AB" w:rsidP="005976AB">
      <w:pPr>
        <w:spacing w:after="240" w:line="480" w:lineRule="auto"/>
        <w:jc w:val="both"/>
        <w:rPr>
          <w:rFonts w:asciiTheme="majorBidi" w:hAnsiTheme="majorBidi" w:cstheme="majorBidi"/>
        </w:rPr>
      </w:pPr>
      <w:bookmarkStart w:id="52" w:name="_Hlk119297628"/>
      <w:r w:rsidRPr="005635E7">
        <w:rPr>
          <w:rFonts w:asciiTheme="majorBidi" w:hAnsiTheme="majorBidi" w:cstheme="majorBidi"/>
        </w:rPr>
        <w:t xml:space="preserve">Dynamic capabilities theory stresses that organizational learning can be treated as an approach to incorporate dynamic capabilities into firms’ internal processes </w:t>
      </w:r>
      <w:r w:rsidRPr="005635E7">
        <w:rPr>
          <w:rFonts w:asciiTheme="majorBidi" w:hAnsiTheme="majorBidi" w:cstheme="majorBidi"/>
          <w:shd w:val="clear" w:color="auto" w:fill="FFFFFF"/>
        </w:rPr>
        <w:t>(Zhou et al., 2019)</w:t>
      </w:r>
      <w:r w:rsidRPr="005635E7">
        <w:rPr>
          <w:rFonts w:asciiTheme="majorBidi" w:hAnsiTheme="majorBidi" w:cstheme="majorBidi"/>
        </w:rPr>
        <w:t>. Organizational learning is well</w:t>
      </w:r>
      <w:r>
        <w:rPr>
          <w:rFonts w:asciiTheme="majorBidi" w:hAnsiTheme="majorBidi" w:cstheme="majorBidi"/>
        </w:rPr>
        <w:t>-</w:t>
      </w:r>
      <w:r w:rsidRPr="005635E7">
        <w:rPr>
          <w:rFonts w:asciiTheme="majorBidi" w:hAnsiTheme="majorBidi" w:cstheme="majorBidi"/>
        </w:rPr>
        <w:t>known as a vital element in fostering sustained competitiveness (</w:t>
      </w:r>
      <w:r w:rsidRPr="005635E7">
        <w:rPr>
          <w:rFonts w:asciiTheme="majorBidi" w:hAnsiTheme="majorBidi" w:cstheme="majorBidi"/>
          <w:shd w:val="clear" w:color="auto" w:fill="FFFFFF"/>
        </w:rPr>
        <w:t>Giniuniene &amp; Jurksiene, 2015)</w:t>
      </w:r>
      <w:r w:rsidRPr="005635E7">
        <w:rPr>
          <w:rFonts w:asciiTheme="majorBidi" w:hAnsiTheme="majorBidi" w:cstheme="majorBidi"/>
        </w:rPr>
        <w:t xml:space="preserve">. Researchers (Do &amp; Mai, 2022; Pham &amp; Hoang et al., 2019) have found that organizational learning has positive </w:t>
      </w:r>
      <w:r>
        <w:rPr>
          <w:rFonts w:asciiTheme="majorBidi" w:hAnsiTheme="majorBidi" w:cstheme="majorBidi"/>
        </w:rPr>
        <w:t>effects</w:t>
      </w:r>
      <w:r w:rsidRPr="005635E7">
        <w:rPr>
          <w:rFonts w:asciiTheme="majorBidi" w:hAnsiTheme="majorBidi" w:cstheme="majorBidi"/>
        </w:rPr>
        <w:t xml:space="preserve"> on FP.</w:t>
      </w:r>
    </w:p>
    <w:p w14:paraId="41E8CC2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Acting mainly within the firm’s internal environment of organization</w:t>
      </w:r>
      <w:r w:rsidRPr="005635E7">
        <w:rPr>
          <w:rFonts w:ascii="Times New Roman" w:eastAsia="Calibri" w:hAnsi="Times New Roman" w:cs="Times New Roman"/>
        </w:rPr>
        <w:t xml:space="preserve">al learning could be viewed as </w:t>
      </w:r>
      <w:r w:rsidRPr="005635E7">
        <w:rPr>
          <w:rFonts w:asciiTheme="majorBidi" w:hAnsiTheme="majorBidi" w:cstheme="majorBidi"/>
        </w:rPr>
        <w:t>a vital internal process; therefore, it may mediate the relationship between dynamic capabilities and FP (</w:t>
      </w:r>
      <w:r w:rsidRPr="005635E7">
        <w:rPr>
          <w:rFonts w:asciiTheme="majorBidi" w:hAnsiTheme="majorBidi" w:cstheme="majorBidi"/>
          <w:shd w:val="clear" w:color="auto" w:fill="FFFFFF"/>
        </w:rPr>
        <w:t>Giniuniene &amp; Jurksiene, 2015)</w:t>
      </w:r>
      <w:r w:rsidRPr="005635E7">
        <w:rPr>
          <w:rFonts w:asciiTheme="majorBidi" w:hAnsiTheme="majorBidi" w:cstheme="majorBidi"/>
        </w:rPr>
        <w:t xml:space="preserve">. Although researchers </w:t>
      </w:r>
      <w:r w:rsidRPr="005635E7">
        <w:rPr>
          <w:rFonts w:ascii="Times New Roman" w:eastAsia="Calibri" w:hAnsi="Times New Roman" w:cs="Times New Roman"/>
        </w:rPr>
        <w:t xml:space="preserve">have confirmed the impact of the OLC on FP (Gomes &amp; Wojahn, 2017; Pham &amp; Hoang et al., 2019), it </w:t>
      </w:r>
      <w:r w:rsidRPr="005635E7">
        <w:rPr>
          <w:rFonts w:asciiTheme="majorBidi" w:hAnsiTheme="majorBidi" w:cstheme="majorBidi"/>
        </w:rPr>
        <w:t>has been argued that this relation</w:t>
      </w:r>
      <w:r w:rsidRPr="005635E7">
        <w:rPr>
          <w:rFonts w:ascii="Times New Roman" w:eastAsia="Calibri" w:hAnsi="Times New Roman" w:cs="Times New Roman"/>
        </w:rPr>
        <w:t>ship can</w:t>
      </w:r>
      <w:r w:rsidRPr="005635E7">
        <w:rPr>
          <w:rFonts w:asciiTheme="majorBidi" w:hAnsiTheme="majorBidi" w:cstheme="majorBidi"/>
        </w:rPr>
        <w:t xml:space="preserve"> be mediated by innovation (Gomes &amp; Wojahn, 2017). A small number of studies indicate that </w:t>
      </w:r>
      <w:r w:rsidRPr="005635E7">
        <w:rPr>
          <w:rFonts w:ascii="Times New Roman" w:eastAsia="Calibri" w:hAnsi="Times New Roman" w:cs="Times New Roman"/>
        </w:rPr>
        <w:t>the OLC indirectly influences FP through innovation (a mediator) (</w:t>
      </w:r>
      <w:r w:rsidRPr="005635E7">
        <w:rPr>
          <w:rFonts w:asciiTheme="majorBidi" w:hAnsiTheme="majorBidi" w:cstheme="majorBidi"/>
        </w:rPr>
        <w:t>Migdadi, 2021)</w:t>
      </w:r>
      <w:r>
        <w:rPr>
          <w:rFonts w:asciiTheme="majorBidi" w:hAnsiTheme="majorBidi" w:cstheme="majorBidi"/>
        </w:rPr>
        <w:t>.</w:t>
      </w:r>
      <w:r w:rsidRPr="005635E7">
        <w:rPr>
          <w:rFonts w:asciiTheme="majorBidi" w:hAnsiTheme="majorBidi" w:cstheme="majorBidi"/>
        </w:rPr>
        <w:t xml:space="preserve"> </w:t>
      </w:r>
      <w:r>
        <w:rPr>
          <w:rFonts w:asciiTheme="majorBidi" w:hAnsiTheme="majorBidi" w:cstheme="majorBidi"/>
        </w:rPr>
        <w:t>H</w:t>
      </w:r>
      <w:r w:rsidRPr="005635E7">
        <w:rPr>
          <w:rFonts w:asciiTheme="majorBidi" w:hAnsiTheme="majorBidi" w:cstheme="majorBidi"/>
        </w:rPr>
        <w:t xml:space="preserve">owever no studies have identified the mediating effect of OI, IP, or OP on the relationship between </w:t>
      </w:r>
      <w:r w:rsidRPr="005635E7">
        <w:rPr>
          <w:rFonts w:ascii="Times New Roman" w:eastAsia="Calibri" w:hAnsi="Times New Roman" w:cs="Times New Roman"/>
        </w:rPr>
        <w:t>the OLC and FP.</w:t>
      </w:r>
    </w:p>
    <w:bookmarkEnd w:id="52"/>
    <w:p w14:paraId="1AECDF3E"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OI tends to mediate the relationship between OLC and FP. Organizations are concentrating on increasing their use of IP and OP to gain access to fresh knowledge gleaned from a wide range of external sources in this way (Kianto, Saenz, &amp; Aramburu, 2017; Zhang, et al., 2016). Consequently, the variety of goods and services tends to grow, as does their internal knowledge base</w:t>
      </w:r>
      <w:r w:rsidRPr="005635E7">
        <w:rPr>
          <w:rFonts w:ascii="Times New Roman" w:eastAsia="Calibri" w:hAnsi="Times New Roman" w:cs="Times New Roman"/>
        </w:rPr>
        <w:t>s (</w:t>
      </w:r>
      <w:r w:rsidRPr="005635E7">
        <w:rPr>
          <w:rFonts w:asciiTheme="majorBidi" w:hAnsiTheme="majorBidi" w:cstheme="majorBidi"/>
        </w:rPr>
        <w:t>Wikhamn, 2019). According to Eriksson, Qin, and Wang (2014), innovation processes occur within certain organizational limits; hence</w:t>
      </w:r>
      <w:r w:rsidRPr="005635E7">
        <w:rPr>
          <w:rFonts w:ascii="Times New Roman" w:eastAsia="Calibri" w:hAnsi="Times New Roman" w:cs="Times New Roman"/>
        </w:rPr>
        <w:t xml:space="preserve">, the </w:t>
      </w:r>
      <w:r w:rsidRPr="005635E7">
        <w:rPr>
          <w:rFonts w:asciiTheme="majorBidi" w:hAnsiTheme="majorBidi" w:cstheme="majorBidi"/>
        </w:rPr>
        <w:t>OLC, which can be mediated by OI practices, is significant for FP.</w:t>
      </w:r>
    </w:p>
    <w:p w14:paraId="0C3D16A8" w14:textId="77777777" w:rsidR="005976AB" w:rsidRPr="005635E7" w:rsidRDefault="005976AB" w:rsidP="005976AB">
      <w:pPr>
        <w:spacing w:after="240" w:line="480" w:lineRule="auto"/>
        <w:jc w:val="both"/>
        <w:rPr>
          <w:rFonts w:asciiTheme="majorBidi" w:hAnsiTheme="majorBidi" w:cstheme="majorBidi"/>
          <w:lang w:bidi="en-US"/>
        </w:rPr>
      </w:pPr>
      <w:r w:rsidRPr="005635E7">
        <w:rPr>
          <w:rFonts w:asciiTheme="majorBidi" w:hAnsiTheme="majorBidi" w:cstheme="majorBidi"/>
        </w:rPr>
        <w:t>The interaction between OLC and FP may have been mediated by OI in accordance with the aforementioned theories. This leads to the following four hypotheses proposed for empirical data testing:</w:t>
      </w:r>
    </w:p>
    <w:p w14:paraId="1E9AE94D"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b/>
          <w:bCs/>
          <w:i/>
          <w:iCs/>
        </w:rPr>
        <w:t>H3a:</w:t>
      </w:r>
      <w:r w:rsidRPr="005635E7">
        <w:rPr>
          <w:rFonts w:asciiTheme="majorBidi" w:hAnsiTheme="majorBidi" w:cstheme="majorBidi"/>
        </w:rPr>
        <w:t xml:space="preserve"> IP mediates the relationship between OLC and ME.</w:t>
      </w:r>
    </w:p>
    <w:p w14:paraId="37F4E047"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b/>
          <w:bCs/>
          <w:i/>
          <w:iCs/>
        </w:rPr>
        <w:t>H3b:</w:t>
      </w:r>
      <w:r w:rsidRPr="005635E7">
        <w:rPr>
          <w:rFonts w:asciiTheme="majorBidi" w:hAnsiTheme="majorBidi" w:cstheme="majorBidi"/>
        </w:rPr>
        <w:t xml:space="preserve"> IP mediates the association between OLC and profitability of the firm.</w:t>
      </w:r>
    </w:p>
    <w:p w14:paraId="484CCB33"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b/>
          <w:bCs/>
          <w:i/>
          <w:iCs/>
        </w:rPr>
        <w:t>H3c:</w:t>
      </w:r>
      <w:r w:rsidRPr="005635E7">
        <w:rPr>
          <w:rFonts w:asciiTheme="majorBidi" w:hAnsiTheme="majorBidi" w:cstheme="majorBidi"/>
        </w:rPr>
        <w:t xml:space="preserve"> OP mediates the relationship between OLC and ME.</w:t>
      </w:r>
    </w:p>
    <w:p w14:paraId="451C4156" w14:textId="77777777" w:rsidR="005976AB" w:rsidRPr="005635E7" w:rsidRDefault="005976AB" w:rsidP="005976AB">
      <w:pPr>
        <w:spacing w:after="60" w:line="480" w:lineRule="auto"/>
        <w:jc w:val="both"/>
        <w:rPr>
          <w:rFonts w:asciiTheme="majorBidi" w:hAnsiTheme="majorBidi" w:cstheme="majorBidi"/>
        </w:rPr>
      </w:pPr>
      <w:r w:rsidRPr="005635E7">
        <w:rPr>
          <w:rFonts w:asciiTheme="majorBidi" w:hAnsiTheme="majorBidi" w:cstheme="majorBidi"/>
          <w:b/>
          <w:bCs/>
          <w:i/>
          <w:iCs/>
        </w:rPr>
        <w:t>H3d:</w:t>
      </w:r>
      <w:r w:rsidRPr="005635E7">
        <w:rPr>
          <w:rFonts w:asciiTheme="majorBidi" w:hAnsiTheme="majorBidi" w:cstheme="majorBidi"/>
        </w:rPr>
        <w:t xml:space="preserve"> OP mediates the relationship between OLC and profitability of the firm.</w:t>
      </w:r>
    </w:p>
    <w:p w14:paraId="680369F7" w14:textId="77777777" w:rsidR="005976AB" w:rsidRPr="005635E7" w:rsidRDefault="005976AB" w:rsidP="005976AB">
      <w:pPr>
        <w:pStyle w:val="Heading2"/>
        <w:spacing w:before="0" w:after="60" w:line="480" w:lineRule="auto"/>
        <w:rPr>
          <w:rFonts w:asciiTheme="majorBidi" w:hAnsiTheme="majorBidi"/>
          <w:b/>
          <w:bCs/>
          <w:color w:val="auto"/>
          <w:sz w:val="28"/>
          <w:szCs w:val="28"/>
          <w:lang w:bidi="en-US"/>
        </w:rPr>
      </w:pPr>
      <w:bookmarkStart w:id="53" w:name="_Toc115310380"/>
      <w:r w:rsidRPr="005635E7">
        <w:rPr>
          <w:rFonts w:asciiTheme="majorBidi" w:hAnsiTheme="majorBidi"/>
          <w:b/>
          <w:bCs/>
          <w:color w:val="auto"/>
          <w:sz w:val="28"/>
          <w:szCs w:val="28"/>
          <w:lang w:bidi="en-US"/>
        </w:rPr>
        <w:t>2.4 The Conceptual Research Framework</w:t>
      </w:r>
      <w:bookmarkEnd w:id="53"/>
    </w:p>
    <w:p w14:paraId="66050DE2" w14:textId="77777777" w:rsidR="005976AB" w:rsidRPr="005635E7" w:rsidRDefault="005976AB" w:rsidP="005976AB">
      <w:pPr>
        <w:spacing w:after="60" w:line="480" w:lineRule="auto"/>
        <w:jc w:val="both"/>
        <w:rPr>
          <w:rFonts w:asciiTheme="majorBidi" w:hAnsiTheme="majorBidi" w:cstheme="majorBidi"/>
          <w:lang w:bidi="en-US"/>
        </w:rPr>
      </w:pPr>
      <w:r w:rsidRPr="005635E7">
        <w:rPr>
          <w:rFonts w:asciiTheme="majorBidi" w:hAnsiTheme="majorBidi" w:cstheme="majorBidi"/>
          <w:bCs/>
        </w:rPr>
        <w:t>After reviewing prior studies, the literature finally supported the develop</w:t>
      </w:r>
      <w:r w:rsidRPr="005635E7">
        <w:rPr>
          <w:rFonts w:ascii="Times New Roman" w:eastAsia="Calibri" w:hAnsi="Times New Roman" w:cs="Times New Roman"/>
          <w:bCs/>
        </w:rPr>
        <w:t xml:space="preserve">ment of several hypotheses relating to the impact of the OLC on IP and OP (reflected by OI), </w:t>
      </w:r>
      <w:r w:rsidRPr="005635E7">
        <w:rPr>
          <w:rFonts w:asciiTheme="majorBidi" w:hAnsiTheme="majorBidi" w:cstheme="majorBidi"/>
          <w:bCs/>
        </w:rPr>
        <w:t xml:space="preserve">the effect of IP </w:t>
      </w:r>
      <w:r w:rsidRPr="00D73F8E">
        <w:rPr>
          <w:rFonts w:asciiTheme="majorBidi" w:hAnsiTheme="majorBidi" w:cstheme="majorBidi"/>
          <w:bCs/>
        </w:rPr>
        <w:t>and OP on ME and P (reflected by FP), and the mediating effect of IP and OP on OLC-ME and OLC-P relationships.</w:t>
      </w:r>
      <w:r w:rsidRPr="00D73F8E">
        <w:rPr>
          <w:rFonts w:asciiTheme="majorBidi" w:hAnsiTheme="majorBidi" w:cstheme="majorBidi"/>
          <w:lang w:bidi="en-US"/>
        </w:rPr>
        <w:t xml:space="preserve"> The</w:t>
      </w:r>
      <w:r w:rsidRPr="005635E7">
        <w:rPr>
          <w:rFonts w:asciiTheme="majorBidi" w:hAnsiTheme="majorBidi" w:cstheme="majorBidi"/>
          <w:lang w:bidi="en-US"/>
        </w:rPr>
        <w:t xml:space="preserve"> conceptual research framework tested in this study is shown in Figure 2.2.</w:t>
      </w:r>
    </w:p>
    <w:p w14:paraId="6AF2792E" w14:textId="77777777" w:rsidR="005976AB" w:rsidRPr="005635E7" w:rsidRDefault="005976AB" w:rsidP="005976AB">
      <w:pPr>
        <w:spacing w:after="60" w:line="480" w:lineRule="auto"/>
        <w:jc w:val="both"/>
        <w:rPr>
          <w:rFonts w:asciiTheme="majorBidi" w:hAnsiTheme="majorBidi" w:cstheme="majorBidi"/>
          <w:lang w:bidi="en-US"/>
        </w:rPr>
      </w:pPr>
    </w:p>
    <w:p w14:paraId="731FD0FE" w14:textId="77777777" w:rsidR="005976AB" w:rsidRPr="005635E7" w:rsidRDefault="005976AB" w:rsidP="005976AB">
      <w:pPr>
        <w:spacing w:after="60" w:line="480" w:lineRule="auto"/>
        <w:jc w:val="both"/>
        <w:rPr>
          <w:rFonts w:asciiTheme="majorBidi" w:hAnsiTheme="majorBidi" w:cstheme="majorBidi"/>
          <w:lang w:bidi="en-US"/>
        </w:rPr>
      </w:pPr>
    </w:p>
    <w:p w14:paraId="26A1A712" w14:textId="77777777" w:rsidR="005976AB" w:rsidRPr="005635E7" w:rsidRDefault="005976AB" w:rsidP="005976AB">
      <w:pPr>
        <w:spacing w:after="60" w:line="480" w:lineRule="auto"/>
        <w:jc w:val="both"/>
        <w:rPr>
          <w:rFonts w:asciiTheme="majorBidi" w:hAnsiTheme="majorBidi" w:cstheme="majorBidi"/>
          <w:lang w:bidi="en-US"/>
        </w:rPr>
      </w:pPr>
    </w:p>
    <w:p w14:paraId="22932EB0" w14:textId="77777777" w:rsidR="005976AB" w:rsidRPr="005635E7" w:rsidRDefault="005976AB" w:rsidP="005976AB">
      <w:pPr>
        <w:spacing w:after="60" w:line="480" w:lineRule="auto"/>
        <w:jc w:val="both"/>
        <w:rPr>
          <w:rFonts w:asciiTheme="majorBidi" w:hAnsiTheme="majorBidi" w:cstheme="majorBidi"/>
          <w:lang w:bidi="en-US"/>
        </w:rPr>
      </w:pPr>
    </w:p>
    <w:p w14:paraId="0372E4EA" w14:textId="77777777" w:rsidR="005976AB" w:rsidRPr="005635E7" w:rsidRDefault="005976AB" w:rsidP="005976AB">
      <w:pPr>
        <w:spacing w:after="60" w:line="480" w:lineRule="auto"/>
        <w:jc w:val="both"/>
        <w:rPr>
          <w:rFonts w:asciiTheme="majorBidi" w:hAnsiTheme="majorBidi" w:cstheme="majorBidi"/>
          <w:lang w:bidi="en-US"/>
        </w:rPr>
      </w:pPr>
    </w:p>
    <w:p w14:paraId="69C4A9B7" w14:textId="77777777" w:rsidR="005976AB" w:rsidRDefault="005976AB" w:rsidP="005976AB">
      <w:pPr>
        <w:spacing w:after="60" w:line="480" w:lineRule="auto"/>
        <w:jc w:val="both"/>
        <w:rPr>
          <w:rFonts w:asciiTheme="majorBidi" w:hAnsiTheme="majorBidi" w:cstheme="majorBidi"/>
          <w:lang w:bidi="en-US"/>
        </w:rPr>
      </w:pPr>
    </w:p>
    <w:p w14:paraId="3289106C" w14:textId="77777777" w:rsidR="00772E15" w:rsidRDefault="00772E15" w:rsidP="005976AB">
      <w:pPr>
        <w:spacing w:after="60" w:line="480" w:lineRule="auto"/>
        <w:jc w:val="both"/>
        <w:rPr>
          <w:rFonts w:asciiTheme="majorBidi" w:hAnsiTheme="majorBidi" w:cstheme="majorBidi"/>
          <w:lang w:bidi="en-US"/>
        </w:rPr>
      </w:pPr>
    </w:p>
    <w:p w14:paraId="10F54FDF" w14:textId="77777777" w:rsidR="00772E15" w:rsidRDefault="00772E15" w:rsidP="005976AB">
      <w:pPr>
        <w:spacing w:after="60" w:line="480" w:lineRule="auto"/>
        <w:jc w:val="both"/>
        <w:rPr>
          <w:rFonts w:asciiTheme="majorBidi" w:hAnsiTheme="majorBidi" w:cstheme="majorBidi"/>
          <w:lang w:bidi="en-US"/>
        </w:rPr>
      </w:pPr>
    </w:p>
    <w:p w14:paraId="3344D76C" w14:textId="77777777" w:rsidR="00772E15" w:rsidRDefault="00772E15" w:rsidP="005976AB">
      <w:pPr>
        <w:spacing w:after="60" w:line="480" w:lineRule="auto"/>
        <w:jc w:val="both"/>
        <w:rPr>
          <w:rFonts w:asciiTheme="majorBidi" w:hAnsiTheme="majorBidi" w:cstheme="majorBidi"/>
          <w:lang w:bidi="en-US"/>
        </w:rPr>
      </w:pPr>
    </w:p>
    <w:p w14:paraId="41DEF162" w14:textId="77777777" w:rsidR="00772E15" w:rsidRDefault="00772E15" w:rsidP="005976AB">
      <w:pPr>
        <w:spacing w:after="60" w:line="480" w:lineRule="auto"/>
        <w:jc w:val="both"/>
        <w:rPr>
          <w:rFonts w:asciiTheme="majorBidi" w:hAnsiTheme="majorBidi" w:cstheme="majorBidi"/>
          <w:lang w:bidi="en-US"/>
        </w:rPr>
      </w:pPr>
    </w:p>
    <w:p w14:paraId="498AF516" w14:textId="77777777" w:rsidR="005976AB" w:rsidRPr="005635E7" w:rsidRDefault="005976AB" w:rsidP="005976AB">
      <w:pPr>
        <w:spacing w:after="60" w:line="480" w:lineRule="auto"/>
        <w:jc w:val="both"/>
        <w:rPr>
          <w:rFonts w:asciiTheme="majorBidi" w:hAnsiTheme="majorBidi" w:cstheme="majorBidi"/>
          <w:lang w:bidi="en-US"/>
        </w:rPr>
      </w:pPr>
    </w:p>
    <w:p w14:paraId="72E924A8" w14:textId="77777777" w:rsidR="005976AB" w:rsidRPr="005635E7" w:rsidRDefault="005976AB" w:rsidP="005976AB">
      <w:pPr>
        <w:pStyle w:val="Caption"/>
        <w:rPr>
          <w:rFonts w:asciiTheme="majorBidi" w:hAnsiTheme="majorBidi" w:cstheme="majorBidi"/>
          <w:i w:val="0"/>
          <w:iCs w:val="0"/>
          <w:color w:val="auto"/>
          <w:sz w:val="24"/>
          <w:szCs w:val="24"/>
          <w:lang w:bidi="en-US"/>
        </w:rPr>
      </w:pPr>
      <w:bookmarkStart w:id="54" w:name="_Toc126432342"/>
      <w:r w:rsidRPr="005635E7">
        <w:rPr>
          <w:rFonts w:asciiTheme="majorBidi" w:hAnsiTheme="majorBidi" w:cstheme="majorBidi"/>
          <w:i w:val="0"/>
          <w:iCs w:val="0"/>
          <w:color w:val="auto"/>
          <w:sz w:val="24"/>
          <w:szCs w:val="24"/>
        </w:rPr>
        <w:t>Figure 2.</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Figure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2</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Conceptual research framework</w:t>
      </w:r>
      <w:bookmarkEnd w:id="54"/>
    </w:p>
    <w:bookmarkStart w:id="55" w:name="_Toc109962223"/>
    <w:p w14:paraId="75302ECC" w14:textId="77777777" w:rsidR="005976AB" w:rsidRPr="005635E7" w:rsidRDefault="005976AB" w:rsidP="005976AB">
      <w:pPr>
        <w:pStyle w:val="Caption"/>
        <w:jc w:val="both"/>
        <w:rPr>
          <w:rFonts w:asciiTheme="majorBidi" w:hAnsiTheme="majorBidi" w:cstheme="majorBidi"/>
          <w:i w:val="0"/>
          <w:iCs w:val="0"/>
          <w:color w:val="auto"/>
          <w:sz w:val="24"/>
          <w:szCs w:val="24"/>
        </w:rPr>
      </w:pPr>
      <w:r w:rsidRPr="005635E7">
        <w:rPr>
          <w:rFonts w:asciiTheme="majorBidi" w:hAnsiTheme="majorBidi" w:cstheme="majorBidi"/>
          <w:noProof/>
          <w:color w:val="auto"/>
        </w:rPr>
        <mc:AlternateContent>
          <mc:Choice Requires="wps">
            <w:drawing>
              <wp:anchor distT="0" distB="0" distL="114300" distR="114300" simplePos="0" relativeHeight="251674624" behindDoc="0" locked="0" layoutInCell="1" allowOverlap="1" wp14:anchorId="2E3BE500" wp14:editId="4ACCF40F">
                <wp:simplePos x="0" y="0"/>
                <wp:positionH relativeFrom="column">
                  <wp:posOffset>3703914</wp:posOffset>
                </wp:positionH>
                <wp:positionV relativeFrom="paragraph">
                  <wp:posOffset>184785</wp:posOffset>
                </wp:positionV>
                <wp:extent cx="419100" cy="21907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419100" cy="219075"/>
                        </a:xfrm>
                        <a:prstGeom prst="rect">
                          <a:avLst/>
                        </a:prstGeom>
                        <a:noFill/>
                        <a:ln w="6350">
                          <a:noFill/>
                        </a:ln>
                      </wps:spPr>
                      <wps:txbx>
                        <w:txbxContent>
                          <w:p w14:paraId="0E088283" w14:textId="77777777" w:rsidR="005976AB" w:rsidRPr="001D4FBB" w:rsidRDefault="005976AB" w:rsidP="005976AB">
                            <w:pPr>
                              <w:rPr>
                                <w:sz w:val="18"/>
                                <w:szCs w:val="18"/>
                              </w:rPr>
                            </w:pPr>
                            <w:r w:rsidRPr="001D4FBB">
                              <w:rPr>
                                <w:sz w:val="18"/>
                                <w:szCs w:val="18"/>
                              </w:rPr>
                              <w:t>H</w:t>
                            </w:r>
                            <w:r>
                              <w:rPr>
                                <w:sz w:val="18"/>
                                <w:szCs w:val="18"/>
                              </w:rPr>
                              <w:t>3</w:t>
                            </w:r>
                            <w:r w:rsidRPr="001D4FBB">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E3BE500" id="Text Box 95" o:spid="_x0000_s1044" type="#_x0000_t202" style="position:absolute;left:0;text-align:left;margin-left:291.65pt;margin-top:14.55pt;width:33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" filled="f" stroked="f" strokeweight=".5pt">
                <v:textbox>
                  <w:txbxContent>
                    <w:p w14:paraId="0E088283" w14:textId="77777777" w:rsidR="005976AB" w:rsidRPr="001D4FBB" w:rsidRDefault="005976AB" w:rsidP="005976AB">
                      <w:pPr>
                        <w:rPr>
                          <w:sz w:val="18"/>
                          <w:szCs w:val="18"/>
                        </w:rPr>
                      </w:pPr>
                      <w:r w:rsidRPr="001D4FBB">
                        <w:rPr>
                          <w:sz w:val="18"/>
                          <w:szCs w:val="18"/>
                        </w:rPr>
                        <w:t>H</w:t>
                      </w:r>
                      <w:r>
                        <w:rPr>
                          <w:sz w:val="18"/>
                          <w:szCs w:val="18"/>
                        </w:rPr>
                        <w:t>3</w:t>
                      </w:r>
                      <w:r w:rsidRPr="001D4FBB">
                        <w:rPr>
                          <w:sz w:val="18"/>
                          <w:szCs w:val="18"/>
                        </w:rPr>
                        <w:t>a</w:t>
                      </w:r>
                    </w:p>
                  </w:txbxContent>
                </v:textbox>
              </v:shape>
            </w:pict>
          </mc:Fallback>
        </mc:AlternateContent>
      </w:r>
      <w:r w:rsidRPr="005635E7">
        <w:rPr>
          <w:rFonts w:asciiTheme="majorBidi" w:hAnsiTheme="majorBidi" w:cstheme="majorBidi"/>
          <w:noProof/>
          <w:color w:val="auto"/>
        </w:rPr>
        <mc:AlternateContent>
          <mc:Choice Requires="wpg">
            <w:drawing>
              <wp:anchor distT="0" distB="0" distL="114300" distR="114300" simplePos="0" relativeHeight="251659264" behindDoc="0" locked="0" layoutInCell="1" allowOverlap="1" wp14:anchorId="33BBD318" wp14:editId="479E0BEC">
                <wp:simplePos x="0" y="0"/>
                <wp:positionH relativeFrom="margin">
                  <wp:align>left</wp:align>
                </wp:positionH>
                <wp:positionV relativeFrom="paragraph">
                  <wp:posOffset>276861</wp:posOffset>
                </wp:positionV>
                <wp:extent cx="5791200" cy="2628900"/>
                <wp:effectExtent l="0" t="0" r="19050" b="19050"/>
                <wp:wrapNone/>
                <wp:docPr id="63" name="Group 22"/>
                <wp:cNvGraphicFramePr/>
                <a:graphic xmlns:a="http://schemas.openxmlformats.org/drawingml/2006/main">
                  <a:graphicData uri="http://schemas.microsoft.com/office/word/2010/wordprocessingGroup">
                    <wpg:wgp>
                      <wpg:cNvGrpSpPr/>
                      <wpg:grpSpPr>
                        <a:xfrm>
                          <a:off x="0" y="0"/>
                          <a:ext cx="5791200" cy="2628900"/>
                          <a:chOff x="0" y="0"/>
                          <a:chExt cx="5943600" cy="1816100"/>
                        </a:xfrm>
                      </wpg:grpSpPr>
                      <wps:wsp>
                        <wps:cNvPr id="64" name="Rectangle 64"/>
                        <wps:cNvSpPr/>
                        <wps:spPr>
                          <a:xfrm>
                            <a:off x="0" y="673100"/>
                            <a:ext cx="1543050" cy="520700"/>
                          </a:xfrm>
                          <a:prstGeom prst="rect">
                            <a:avLst/>
                          </a:prstGeom>
                        </wps:spPr>
                        <wps:style>
                          <a:lnRef idx="2">
                            <a:schemeClr val="dk1"/>
                          </a:lnRef>
                          <a:fillRef idx="1">
                            <a:schemeClr val="lt1"/>
                          </a:fillRef>
                          <a:effectRef idx="0">
                            <a:schemeClr val="dk1"/>
                          </a:effectRef>
                          <a:fontRef idx="minor">
                            <a:schemeClr val="dk1"/>
                          </a:fontRef>
                        </wps:style>
                        <wps:txbx>
                          <w:txbxContent>
                            <w:p w14:paraId="0C147C5C" w14:textId="77777777" w:rsidR="005976AB" w:rsidRPr="00761B86" w:rsidRDefault="005976AB" w:rsidP="005976AB">
                              <w:pPr>
                                <w:jc w:val="center"/>
                                <w:rPr>
                                  <w:rFonts w:hAnsi="Calibri"/>
                                  <w:color w:val="000000" w:themeColor="text1"/>
                                  <w:sz w:val="22"/>
                                  <w:szCs w:val="22"/>
                                </w:rPr>
                              </w:pPr>
                              <w:r w:rsidRPr="00761B86">
                                <w:rPr>
                                  <w:rFonts w:hAnsi="Calibri"/>
                                  <w:color w:val="000000" w:themeColor="text1"/>
                                  <w:sz w:val="22"/>
                                  <w:szCs w:val="22"/>
                                </w:rPr>
                                <w:t>Organizational Learning Culture</w:t>
                              </w:r>
                            </w:p>
                          </w:txbxContent>
                        </wps:txbx>
                        <wps:bodyPr rtlCol="0" anchor="ctr"/>
                      </wps:wsp>
                      <wps:wsp>
                        <wps:cNvPr id="65" name="Rectangle 65"/>
                        <wps:cNvSpPr/>
                        <wps:spPr>
                          <a:xfrm>
                            <a:off x="2139949" y="6350"/>
                            <a:ext cx="1543050" cy="520700"/>
                          </a:xfrm>
                          <a:prstGeom prst="rect">
                            <a:avLst/>
                          </a:prstGeom>
                        </wps:spPr>
                        <wps:style>
                          <a:lnRef idx="2">
                            <a:schemeClr val="dk1"/>
                          </a:lnRef>
                          <a:fillRef idx="1">
                            <a:schemeClr val="lt1"/>
                          </a:fillRef>
                          <a:effectRef idx="0">
                            <a:schemeClr val="dk1"/>
                          </a:effectRef>
                          <a:fontRef idx="minor">
                            <a:schemeClr val="dk1"/>
                          </a:fontRef>
                        </wps:style>
                        <wps:txbx>
                          <w:txbxContent>
                            <w:p w14:paraId="05024CC3" w14:textId="77777777" w:rsidR="005976AB" w:rsidRPr="00761B86" w:rsidRDefault="005976AB" w:rsidP="005976AB">
                              <w:pPr>
                                <w:jc w:val="center"/>
                                <w:rPr>
                                  <w:rFonts w:hAnsi="Calibri"/>
                                  <w:color w:val="000000" w:themeColor="text1"/>
                                  <w:sz w:val="22"/>
                                  <w:szCs w:val="22"/>
                                </w:rPr>
                              </w:pPr>
                              <w:r w:rsidRPr="00761B86">
                                <w:rPr>
                                  <w:rFonts w:hAnsi="Calibri"/>
                                  <w:color w:val="000000" w:themeColor="text1"/>
                                  <w:sz w:val="22"/>
                                  <w:szCs w:val="22"/>
                                </w:rPr>
                                <w:t>Inbound Open Innovation</w:t>
                              </w:r>
                            </w:p>
                          </w:txbxContent>
                        </wps:txbx>
                        <wps:bodyPr rtlCol="0" anchor="ctr"/>
                      </wps:wsp>
                      <wps:wsp>
                        <wps:cNvPr id="66" name="Rectangle 66"/>
                        <wps:cNvSpPr/>
                        <wps:spPr>
                          <a:xfrm>
                            <a:off x="2171700" y="1295400"/>
                            <a:ext cx="1543050" cy="520700"/>
                          </a:xfrm>
                          <a:prstGeom prst="rect">
                            <a:avLst/>
                          </a:prstGeom>
                        </wps:spPr>
                        <wps:style>
                          <a:lnRef idx="2">
                            <a:schemeClr val="dk1"/>
                          </a:lnRef>
                          <a:fillRef idx="1">
                            <a:schemeClr val="lt1"/>
                          </a:fillRef>
                          <a:effectRef idx="0">
                            <a:schemeClr val="dk1"/>
                          </a:effectRef>
                          <a:fontRef idx="minor">
                            <a:schemeClr val="dk1"/>
                          </a:fontRef>
                        </wps:style>
                        <wps:txbx>
                          <w:txbxContent>
                            <w:p w14:paraId="0584F147" w14:textId="77777777" w:rsidR="005976AB" w:rsidRPr="00761B86" w:rsidRDefault="005976AB" w:rsidP="005976AB">
                              <w:pPr>
                                <w:jc w:val="center"/>
                                <w:rPr>
                                  <w:rFonts w:hAnsi="Calibri"/>
                                  <w:color w:val="000000" w:themeColor="dark1"/>
                                  <w:sz w:val="22"/>
                                  <w:szCs w:val="22"/>
                                </w:rPr>
                              </w:pPr>
                              <w:r w:rsidRPr="00761B86">
                                <w:rPr>
                                  <w:rFonts w:hAnsi="Calibri"/>
                                  <w:color w:val="000000" w:themeColor="dark1"/>
                                  <w:sz w:val="22"/>
                                  <w:szCs w:val="22"/>
                                </w:rPr>
                                <w:t>Outbound Open Innovation</w:t>
                              </w:r>
                            </w:p>
                          </w:txbxContent>
                        </wps:txbx>
                        <wps:bodyPr rtlCol="0" anchor="ctr"/>
                      </wps:wsp>
                      <wps:wsp>
                        <wps:cNvPr id="67" name="Rectangle 67"/>
                        <wps:cNvSpPr/>
                        <wps:spPr>
                          <a:xfrm>
                            <a:off x="4419600" y="0"/>
                            <a:ext cx="1524000" cy="520700"/>
                          </a:xfrm>
                          <a:prstGeom prst="rect">
                            <a:avLst/>
                          </a:prstGeom>
                        </wps:spPr>
                        <wps:style>
                          <a:lnRef idx="2">
                            <a:schemeClr val="dk1"/>
                          </a:lnRef>
                          <a:fillRef idx="1">
                            <a:schemeClr val="lt1"/>
                          </a:fillRef>
                          <a:effectRef idx="0">
                            <a:schemeClr val="dk1"/>
                          </a:effectRef>
                          <a:fontRef idx="minor">
                            <a:schemeClr val="dk1"/>
                          </a:fontRef>
                        </wps:style>
                        <wps:txbx>
                          <w:txbxContent>
                            <w:p w14:paraId="32544D8D" w14:textId="77777777" w:rsidR="005976AB" w:rsidRPr="00761B86" w:rsidRDefault="005976AB" w:rsidP="005976AB">
                              <w:pPr>
                                <w:jc w:val="center"/>
                                <w:rPr>
                                  <w:rFonts w:hAnsi="Calibri"/>
                                  <w:color w:val="000000" w:themeColor="text1"/>
                                  <w:sz w:val="22"/>
                                  <w:szCs w:val="22"/>
                                </w:rPr>
                              </w:pPr>
                              <w:r w:rsidRPr="00761B86">
                                <w:rPr>
                                  <w:rFonts w:hAnsi="Calibri"/>
                                  <w:color w:val="000000" w:themeColor="text1"/>
                                  <w:sz w:val="22"/>
                                  <w:szCs w:val="22"/>
                                </w:rPr>
                                <w:t>Market Effectiveness</w:t>
                              </w:r>
                            </w:p>
                          </w:txbxContent>
                        </wps:txbx>
                        <wps:bodyPr rtlCol="0" anchor="ctr"/>
                      </wps:wsp>
                      <wps:wsp>
                        <wps:cNvPr id="68" name="Rectangle 68"/>
                        <wps:cNvSpPr/>
                        <wps:spPr>
                          <a:xfrm>
                            <a:off x="4394200" y="1282700"/>
                            <a:ext cx="1511300" cy="520700"/>
                          </a:xfrm>
                          <a:prstGeom prst="rect">
                            <a:avLst/>
                          </a:prstGeom>
                        </wps:spPr>
                        <wps:style>
                          <a:lnRef idx="2">
                            <a:schemeClr val="dk1"/>
                          </a:lnRef>
                          <a:fillRef idx="1">
                            <a:schemeClr val="lt1"/>
                          </a:fillRef>
                          <a:effectRef idx="0">
                            <a:schemeClr val="dk1"/>
                          </a:effectRef>
                          <a:fontRef idx="minor">
                            <a:schemeClr val="dk1"/>
                          </a:fontRef>
                        </wps:style>
                        <wps:txbx>
                          <w:txbxContent>
                            <w:p w14:paraId="356DDE97" w14:textId="77777777" w:rsidR="005976AB" w:rsidRPr="00761B86" w:rsidRDefault="005976AB" w:rsidP="005976AB">
                              <w:pPr>
                                <w:jc w:val="center"/>
                                <w:rPr>
                                  <w:rFonts w:hAnsi="Calibri"/>
                                  <w:color w:val="000000" w:themeColor="text1"/>
                                  <w:sz w:val="22"/>
                                  <w:szCs w:val="22"/>
                                </w:rPr>
                              </w:pPr>
                              <w:r w:rsidRPr="00761B86">
                                <w:rPr>
                                  <w:rFonts w:hAnsi="Calibri"/>
                                  <w:color w:val="000000" w:themeColor="text1"/>
                                  <w:sz w:val="22"/>
                                  <w:szCs w:val="22"/>
                                </w:rPr>
                                <w:t>Profitability</w:t>
                              </w:r>
                            </w:p>
                          </w:txbxContent>
                        </wps:txbx>
                        <wps:bodyPr rtlCol="0" anchor="ctr"/>
                      </wps:wsp>
                      <wps:wsp>
                        <wps:cNvPr id="69" name="Straight Arrow Connector 69"/>
                        <wps:cNvCnPr>
                          <a:stCxn id="64" idx="3"/>
                          <a:endCxn id="65" idx="1"/>
                        </wps:cNvCnPr>
                        <wps:spPr>
                          <a:xfrm flipV="1">
                            <a:off x="1543050" y="266700"/>
                            <a:ext cx="596899" cy="666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 name="Straight Arrow Connector 70"/>
                        <wps:cNvCnPr/>
                        <wps:spPr>
                          <a:xfrm>
                            <a:off x="1543050" y="933450"/>
                            <a:ext cx="628650" cy="622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 name="Straight Arrow Connector 71"/>
                        <wps:cNvCnPr/>
                        <wps:spPr>
                          <a:xfrm flipV="1">
                            <a:off x="3683000" y="260350"/>
                            <a:ext cx="73660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2" name="Straight Arrow Connector 72"/>
                        <wps:cNvCnPr/>
                        <wps:spPr>
                          <a:xfrm flipV="1">
                            <a:off x="3714750" y="1657153"/>
                            <a:ext cx="702213" cy="13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3" name="Straight Arrow Connector 73"/>
                        <wps:cNvCnPr/>
                        <wps:spPr>
                          <a:xfrm>
                            <a:off x="3683000" y="266700"/>
                            <a:ext cx="711200" cy="127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4" name="Straight Arrow Connector 74"/>
                        <wps:cNvCnPr/>
                        <wps:spPr>
                          <a:xfrm flipV="1">
                            <a:off x="3714750" y="260350"/>
                            <a:ext cx="704850" cy="1295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3BBD318" id="Group 22" o:spid="_x0000_s1045" style="position:absolute;left:0;text-align:left;margin-left:0;margin-top:21.8pt;width:456pt;height:207pt;z-index:251659264;mso-position-horizontal:left;mso-position-horizontal-relative:margin;mso-position-vertical-relative:text;mso-width-relative:margin;mso-height-relative:margin" coordsize="59436,18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">
                <v:rect id="Rectangle 64" o:spid="_x0000_s1046" style="position:absolute;top:6731;width:15430;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0aiwwAAANsAAAAPAAAAZHJzL2Rvd25yZXYueG1sRI9Ba8JA&#10;FITvBf/D8oTe6kYp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WI9GosMAAADbAAAADwAA&#10;AAAAAAAAAAAAAAAHAgAAZHJzL2Rvd25yZXYueG1sUEsFBgAAAAADAAMAtwAAAPcCAAAAAA==&#10;" fillcolor="white [3201]" strokecolor="black [3200]" strokeweight="1pt">
                  <v:textbox>
                    <w:txbxContent>
                      <w:p w14:paraId="0C147C5C" w14:textId="77777777" w:rsidR="005976AB" w:rsidRPr="00761B86" w:rsidRDefault="005976AB" w:rsidP="005976AB">
                        <w:pPr>
                          <w:jc w:val="center"/>
                          <w:rPr>
                            <w:rFonts w:hAnsi="Calibri"/>
                            <w:color w:val="000000" w:themeColor="text1"/>
                            <w:sz w:val="22"/>
                            <w:szCs w:val="22"/>
                          </w:rPr>
                        </w:pPr>
                        <w:r w:rsidRPr="00761B86">
                          <w:rPr>
                            <w:rFonts w:hAnsi="Calibri"/>
                            <w:color w:val="000000" w:themeColor="text1"/>
                            <w:sz w:val="22"/>
                            <w:szCs w:val="22"/>
                          </w:rPr>
                          <w:t>Organizational Learning Culture</w:t>
                        </w:r>
                      </w:p>
                    </w:txbxContent>
                  </v:textbox>
                </v:rect>
                <v:rect id="Rectangle 65" o:spid="_x0000_s1047" style="position:absolute;left:21399;top:63;width:15430;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M5wwAAANsAAAAPAAAAZHJzL2Rvd25yZXYueG1sRI9Ba8JA&#10;FITvBf/D8oTe6kah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N8PjOcMAAADbAAAADwAA&#10;AAAAAAAAAAAAAAAHAgAAZHJzL2Rvd25yZXYueG1sUEsFBgAAAAADAAMAtwAAAPcCAAAAAA==&#10;" fillcolor="white [3201]" strokecolor="black [3200]" strokeweight="1pt">
                  <v:textbox>
                    <w:txbxContent>
                      <w:p w14:paraId="05024CC3" w14:textId="77777777" w:rsidR="005976AB" w:rsidRPr="00761B86" w:rsidRDefault="005976AB" w:rsidP="005976AB">
                        <w:pPr>
                          <w:jc w:val="center"/>
                          <w:rPr>
                            <w:rFonts w:hAnsi="Calibri"/>
                            <w:color w:val="000000" w:themeColor="text1"/>
                            <w:sz w:val="22"/>
                            <w:szCs w:val="22"/>
                          </w:rPr>
                        </w:pPr>
                        <w:r w:rsidRPr="00761B86">
                          <w:rPr>
                            <w:rFonts w:hAnsi="Calibri"/>
                            <w:color w:val="000000" w:themeColor="text1"/>
                            <w:sz w:val="22"/>
                            <w:szCs w:val="22"/>
                          </w:rPr>
                          <w:t>Inbound Open Innovation</w:t>
                        </w:r>
                      </w:p>
                    </w:txbxContent>
                  </v:textbox>
                </v:rect>
                <v:rect id="Rectangle 66" o:spid="_x0000_s1048" style="position:absolute;left:21717;top:12954;width:15430;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" fillcolor="white [3201]" strokecolor="black [3200]" strokeweight="1pt">
                  <v:textbox>
                    <w:txbxContent>
                      <w:p w14:paraId="0584F147" w14:textId="77777777" w:rsidR="005976AB" w:rsidRPr="00761B86" w:rsidRDefault="005976AB" w:rsidP="005976AB">
                        <w:pPr>
                          <w:jc w:val="center"/>
                          <w:rPr>
                            <w:rFonts w:hAnsi="Calibri"/>
                            <w:color w:val="000000" w:themeColor="dark1"/>
                            <w:sz w:val="22"/>
                            <w:szCs w:val="22"/>
                          </w:rPr>
                        </w:pPr>
                        <w:r w:rsidRPr="00761B86">
                          <w:rPr>
                            <w:rFonts w:hAnsi="Calibri"/>
                            <w:color w:val="000000" w:themeColor="dark1"/>
                            <w:sz w:val="22"/>
                            <w:szCs w:val="22"/>
                          </w:rPr>
                          <w:t>Outbound Open Innovation</w:t>
                        </w:r>
                      </w:p>
                    </w:txbxContent>
                  </v:textbox>
                </v:rect>
                <v:rect id="Rectangle 67" o:spid="_x0000_s1049" style="position:absolute;left:44196;width:15240;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" fillcolor="white [3201]" strokecolor="black [3200]" strokeweight="1pt">
                  <v:textbox>
                    <w:txbxContent>
                      <w:p w14:paraId="32544D8D" w14:textId="77777777" w:rsidR="005976AB" w:rsidRPr="00761B86" w:rsidRDefault="005976AB" w:rsidP="005976AB">
                        <w:pPr>
                          <w:jc w:val="center"/>
                          <w:rPr>
                            <w:rFonts w:hAnsi="Calibri"/>
                            <w:color w:val="000000" w:themeColor="text1"/>
                            <w:sz w:val="22"/>
                            <w:szCs w:val="22"/>
                          </w:rPr>
                        </w:pPr>
                        <w:r w:rsidRPr="00761B86">
                          <w:rPr>
                            <w:rFonts w:hAnsi="Calibri"/>
                            <w:color w:val="000000" w:themeColor="text1"/>
                            <w:sz w:val="22"/>
                            <w:szCs w:val="22"/>
                          </w:rPr>
                          <w:t>Market Effectiveness</w:t>
                        </w:r>
                      </w:p>
                    </w:txbxContent>
                  </v:textbox>
                </v:rect>
                <v:rect id="Rectangle 68" o:spid="_x0000_s1050" style="position:absolute;left:43942;top:12827;width:15113;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" fillcolor="white [3201]" strokecolor="black [3200]" strokeweight="1pt">
                  <v:textbox>
                    <w:txbxContent>
                      <w:p w14:paraId="356DDE97" w14:textId="77777777" w:rsidR="005976AB" w:rsidRPr="00761B86" w:rsidRDefault="005976AB" w:rsidP="005976AB">
                        <w:pPr>
                          <w:jc w:val="center"/>
                          <w:rPr>
                            <w:rFonts w:hAnsi="Calibri"/>
                            <w:color w:val="000000" w:themeColor="text1"/>
                            <w:sz w:val="22"/>
                            <w:szCs w:val="22"/>
                          </w:rPr>
                        </w:pPr>
                        <w:r w:rsidRPr="00761B86">
                          <w:rPr>
                            <w:rFonts w:hAnsi="Calibri"/>
                            <w:color w:val="000000" w:themeColor="text1"/>
                            <w:sz w:val="22"/>
                            <w:szCs w:val="22"/>
                          </w:rPr>
                          <w:t>Profitability</w:t>
                        </w:r>
                      </w:p>
                    </w:txbxContent>
                  </v:textbox>
                </v:rect>
                <v:shape id="Straight Arrow Connector 69" o:spid="_x0000_s1051" type="#_x0000_t32" style="position:absolute;left:15430;top:2667;width:5969;height:6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" strokecolor="black [3200]" strokeweight=".5pt">
                  <v:stroke endarrow="block" joinstyle="miter"/>
                </v:shape>
                <v:shape id="Straight Arrow Connector 70" o:spid="_x0000_s1052" type="#_x0000_t32" style="position:absolute;left:15430;top:9334;width:6287;height:6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" strokecolor="black [3200]" strokeweight=".5pt">
                  <v:stroke endarrow="block" joinstyle="miter"/>
                </v:shape>
                <v:shape id="Straight Arrow Connector 71" o:spid="_x0000_s1053" type="#_x0000_t32" style="position:absolute;left:36830;top:2603;width:7366;height: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" strokecolor="black [3200]" strokeweight=".5pt">
                  <v:stroke endarrow="block" joinstyle="miter"/>
                </v:shape>
                <v:shape id="Straight Arrow Connector 72" o:spid="_x0000_s1054" type="#_x0000_t32" style="position:absolute;left:37147;top:16571;width:7022;height: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" strokecolor="black [3200]" strokeweight=".5pt">
                  <v:stroke endarrow="block" joinstyle="miter"/>
                </v:shape>
                <v:shape id="Straight Arrow Connector 73" o:spid="_x0000_s1055" type="#_x0000_t32" style="position:absolute;left:36830;top:2667;width:7112;height:1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" strokecolor="black [3200]" strokeweight=".5pt">
                  <v:stroke endarrow="block" joinstyle="miter"/>
                </v:shape>
                <v:shape id="Straight Arrow Connector 74" o:spid="_x0000_s1056" type="#_x0000_t32" style="position:absolute;left:37147;top:2603;width:7049;height:129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" strokecolor="black [3200]" strokeweight=".5pt">
                  <v:stroke endarrow="block" joinstyle="miter"/>
                </v:shape>
                <w10:wrap anchorx="margin"/>
              </v:group>
            </w:pict>
          </mc:Fallback>
        </mc:AlternateContent>
      </w:r>
      <w:bookmarkStart w:id="56" w:name="_Toc23628321"/>
      <w:bookmarkEnd w:id="55"/>
      <w:bookmarkEnd w:id="56"/>
    </w:p>
    <w:p w14:paraId="54804C5B" w14:textId="77777777" w:rsidR="005976AB" w:rsidRPr="005635E7" w:rsidRDefault="005976AB" w:rsidP="005976AB">
      <w:pPr>
        <w:rPr>
          <w:rFonts w:asciiTheme="majorBidi" w:hAnsiTheme="majorBidi" w:cstheme="majorBidi"/>
        </w:rPr>
      </w:pPr>
      <w:r w:rsidRPr="005635E7">
        <w:rPr>
          <w:rFonts w:asciiTheme="majorBidi" w:hAnsiTheme="majorBidi" w:cstheme="majorBidi"/>
          <w:noProof/>
        </w:rPr>
        <mc:AlternateContent>
          <mc:Choice Requires="wps">
            <w:drawing>
              <wp:anchor distT="0" distB="0" distL="114300" distR="114300" simplePos="0" relativeHeight="251668480" behindDoc="0" locked="0" layoutInCell="1" allowOverlap="1" wp14:anchorId="153C2C29" wp14:editId="4076E90D">
                <wp:simplePos x="0" y="0"/>
                <wp:positionH relativeFrom="column">
                  <wp:posOffset>3600450</wp:posOffset>
                </wp:positionH>
                <wp:positionV relativeFrom="paragraph">
                  <wp:posOffset>88900</wp:posOffset>
                </wp:positionV>
                <wp:extent cx="705827" cy="0"/>
                <wp:effectExtent l="0" t="76200" r="18415" b="95250"/>
                <wp:wrapNone/>
                <wp:docPr id="86" name="Straight Arrow Connector 86"/>
                <wp:cNvGraphicFramePr/>
                <a:graphic xmlns:a="http://schemas.openxmlformats.org/drawingml/2006/main">
                  <a:graphicData uri="http://schemas.microsoft.com/office/word/2010/wordprocessingShape">
                    <wps:wsp>
                      <wps:cNvCnPr/>
                      <wps:spPr>
                        <a:xfrm>
                          <a:off x="0" y="0"/>
                          <a:ext cx="705827" cy="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192CC59" id="Straight Arrow Connector 86" o:spid="_x0000_s1026" type="#_x0000_t32" style="position:absolute;margin-left:283.5pt;margin-top:7pt;width:55.6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" strokecolor="black [3213]" strokeweight="1pt">
                <v:stroke dashstyle="dash" endarrow="block" joinstyle="miter"/>
              </v:shape>
            </w:pict>
          </mc:Fallback>
        </mc:AlternateContent>
      </w:r>
      <w:r w:rsidRPr="005635E7">
        <w:rPr>
          <w:rFonts w:asciiTheme="majorBidi" w:hAnsiTheme="majorBidi" w:cstheme="majorBidi"/>
          <w:noProof/>
        </w:rPr>
        <mc:AlternateContent>
          <mc:Choice Requires="wps">
            <w:drawing>
              <wp:anchor distT="0" distB="0" distL="114300" distR="114300" simplePos="0" relativeHeight="251667456" behindDoc="0" locked="0" layoutInCell="1" allowOverlap="1" wp14:anchorId="2CD76E7E" wp14:editId="5FB69849">
                <wp:simplePos x="0" y="0"/>
                <wp:positionH relativeFrom="column">
                  <wp:posOffset>1504950</wp:posOffset>
                </wp:positionH>
                <wp:positionV relativeFrom="paragraph">
                  <wp:posOffset>174625</wp:posOffset>
                </wp:positionV>
                <wp:extent cx="561975" cy="895350"/>
                <wp:effectExtent l="0" t="38100" r="47625" b="19050"/>
                <wp:wrapNone/>
                <wp:docPr id="82" name="Straight Arrow Connector 82"/>
                <wp:cNvGraphicFramePr/>
                <a:graphic xmlns:a="http://schemas.openxmlformats.org/drawingml/2006/main">
                  <a:graphicData uri="http://schemas.microsoft.com/office/word/2010/wordprocessingShape">
                    <wps:wsp>
                      <wps:cNvCnPr/>
                      <wps:spPr>
                        <a:xfrm flipV="1">
                          <a:off x="0" y="0"/>
                          <a:ext cx="561975" cy="89535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C944155" id="Straight Arrow Connector 82" o:spid="_x0000_s1026" type="#_x0000_t32" style="position:absolute;margin-left:118.5pt;margin-top:13.75pt;width:44.25pt;height:7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" strokecolor="black [3213]" strokeweight="1pt">
                <v:stroke dashstyle="dash" endarrow="block" joinstyle="miter"/>
              </v:shape>
            </w:pict>
          </mc:Fallback>
        </mc:AlternateContent>
      </w:r>
    </w:p>
    <w:p w14:paraId="58FE2FD3" w14:textId="77777777" w:rsidR="005976AB" w:rsidRPr="005635E7" w:rsidRDefault="005976AB" w:rsidP="005976AB">
      <w:pPr>
        <w:rPr>
          <w:rFonts w:asciiTheme="majorBidi" w:hAnsiTheme="majorBidi" w:cstheme="majorBidi"/>
        </w:rPr>
      </w:pPr>
      <w:r w:rsidRPr="005635E7">
        <w:rPr>
          <w:rFonts w:asciiTheme="majorBidi" w:hAnsiTheme="majorBidi" w:cstheme="majorBidi"/>
          <w:noProof/>
        </w:rPr>
        <mc:AlternateContent>
          <mc:Choice Requires="wps">
            <w:drawing>
              <wp:anchor distT="0" distB="0" distL="114300" distR="114300" simplePos="0" relativeHeight="251692032" behindDoc="0" locked="0" layoutInCell="1" allowOverlap="1" wp14:anchorId="7AFD116A" wp14:editId="59921B19">
                <wp:simplePos x="0" y="0"/>
                <wp:positionH relativeFrom="column">
                  <wp:posOffset>6012378</wp:posOffset>
                </wp:positionH>
                <wp:positionV relativeFrom="paragraph">
                  <wp:posOffset>211917</wp:posOffset>
                </wp:positionV>
                <wp:extent cx="20287" cy="2778826"/>
                <wp:effectExtent l="0" t="0" r="37465" b="21590"/>
                <wp:wrapNone/>
                <wp:docPr id="25" name="Straight Connector 25"/>
                <wp:cNvGraphicFramePr/>
                <a:graphic xmlns:a="http://schemas.openxmlformats.org/drawingml/2006/main">
                  <a:graphicData uri="http://schemas.microsoft.com/office/word/2010/wordprocessingShape">
                    <wps:wsp>
                      <wps:cNvCnPr/>
                      <wps:spPr>
                        <a:xfrm flipH="1" flipV="1">
                          <a:off x="0" y="0"/>
                          <a:ext cx="20287" cy="2778826"/>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9AC610D" id="Straight Connector 25" o:spid="_x0000_s1026" style="position:absolute;flip:x y;z-index:251692032;visibility:visible;mso-wrap-style:square;mso-wrap-distance-left:9pt;mso-wrap-distance-top:0;mso-wrap-distance-right:9pt;mso-wrap-distance-bottom:0;mso-position-horizontal:absolute;mso-position-horizontal-relative:text;mso-position-vertical:absolute;mso-position-vertical-relative:text" from="473.4pt,16.7pt" to="4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" strokecolor="black [3200]" strokeweight="1pt">
                <v:stroke dashstyle="dash" joinstyle="miter"/>
              </v:line>
            </w:pict>
          </mc:Fallback>
        </mc:AlternateContent>
      </w:r>
    </w:p>
    <w:p w14:paraId="2A7D99A8" w14:textId="77777777" w:rsidR="005976AB" w:rsidRPr="005635E7" w:rsidRDefault="005976AB" w:rsidP="005976AB">
      <w:pPr>
        <w:jc w:val="both"/>
        <w:rPr>
          <w:rFonts w:asciiTheme="majorBidi" w:hAnsiTheme="majorBidi" w:cstheme="majorBidi"/>
          <w:lang w:bidi="en-US"/>
        </w:rPr>
      </w:pPr>
      <w:r w:rsidRPr="005635E7">
        <w:rPr>
          <w:rFonts w:asciiTheme="majorBidi" w:hAnsiTheme="majorBidi" w:cstheme="majorBidi"/>
          <w:noProof/>
        </w:rPr>
        <mc:AlternateContent>
          <mc:Choice Requires="wps">
            <w:drawing>
              <wp:anchor distT="0" distB="0" distL="114300" distR="114300" simplePos="0" relativeHeight="251693056" behindDoc="0" locked="0" layoutInCell="1" allowOverlap="1" wp14:anchorId="55267735" wp14:editId="3FB80006">
                <wp:simplePos x="0" y="0"/>
                <wp:positionH relativeFrom="column">
                  <wp:posOffset>5791200</wp:posOffset>
                </wp:positionH>
                <wp:positionV relativeFrom="paragraph">
                  <wp:posOffset>60407</wp:posOffset>
                </wp:positionV>
                <wp:extent cx="217714" cy="0"/>
                <wp:effectExtent l="38100" t="76200" r="0" b="95250"/>
                <wp:wrapNone/>
                <wp:docPr id="26" name="Straight Arrow Connector 26"/>
                <wp:cNvGraphicFramePr/>
                <a:graphic xmlns:a="http://schemas.openxmlformats.org/drawingml/2006/main">
                  <a:graphicData uri="http://schemas.microsoft.com/office/word/2010/wordprocessingShape">
                    <wps:wsp>
                      <wps:cNvCnPr/>
                      <wps:spPr>
                        <a:xfrm flipH="1">
                          <a:off x="0" y="0"/>
                          <a:ext cx="217714" cy="0"/>
                        </a:xfrm>
                        <a:prstGeom prst="straightConnector1">
                          <a:avLst/>
                        </a:prstGeom>
                        <a:ln w="12700">
                          <a:solidFill>
                            <a:schemeClr val="tx1">
                              <a:lumMod val="95000"/>
                              <a:lumOff val="5000"/>
                            </a:schemeClr>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6CD91D1" id="Straight Arrow Connector 26" o:spid="_x0000_s1026" type="#_x0000_t32" style="position:absolute;margin-left:456pt;margin-top:4.75pt;width:17.15pt;height:0;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" strokecolor="#0d0d0d [3069]" strokeweight="1pt">
                <v:stroke dashstyle="dash" endarrow="block" joinstyle="miter"/>
              </v:shape>
            </w:pict>
          </mc:Fallback>
        </mc:AlternateContent>
      </w:r>
      <w:r w:rsidRPr="005635E7">
        <w:rPr>
          <w:rFonts w:asciiTheme="majorBidi" w:hAnsiTheme="majorBidi" w:cstheme="majorBidi"/>
          <w:noProof/>
        </w:rPr>
        <mc:AlternateContent>
          <mc:Choice Requires="wps">
            <w:drawing>
              <wp:anchor distT="0" distB="0" distL="114300" distR="114300" simplePos="0" relativeHeight="251662336" behindDoc="0" locked="0" layoutInCell="1" allowOverlap="1" wp14:anchorId="10E5C2DF" wp14:editId="59718C93">
                <wp:simplePos x="0" y="0"/>
                <wp:positionH relativeFrom="column">
                  <wp:posOffset>3733800</wp:posOffset>
                </wp:positionH>
                <wp:positionV relativeFrom="paragraph">
                  <wp:posOffset>1905</wp:posOffset>
                </wp:positionV>
                <wp:extent cx="419100" cy="22860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419100" cy="228600"/>
                        </a:xfrm>
                        <a:prstGeom prst="rect">
                          <a:avLst/>
                        </a:prstGeom>
                        <a:noFill/>
                        <a:ln w="6350">
                          <a:noFill/>
                        </a:ln>
                      </wps:spPr>
                      <wps:txbx>
                        <w:txbxContent>
                          <w:p w14:paraId="6AD1FB0B" w14:textId="77777777" w:rsidR="005976AB" w:rsidRPr="001D4FBB" w:rsidRDefault="005976AB" w:rsidP="005976AB">
                            <w:pPr>
                              <w:rPr>
                                <w:sz w:val="18"/>
                                <w:szCs w:val="18"/>
                              </w:rPr>
                            </w:pPr>
                            <w:r w:rsidRPr="001D4FBB">
                              <w:rPr>
                                <w:sz w:val="18"/>
                                <w:szCs w:val="18"/>
                              </w:rPr>
                              <w:t>H</w:t>
                            </w:r>
                            <w:r>
                              <w:rPr>
                                <w:sz w:val="18"/>
                                <w:szCs w:val="18"/>
                              </w:rPr>
                              <w:t>2</w:t>
                            </w:r>
                            <w:r w:rsidRPr="001D4FBB">
                              <w:rPr>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E5C2DF" id="Text Box 77" o:spid="_x0000_s1057" type="#_x0000_t202" style="position:absolute;left:0;text-align:left;margin-left:294pt;margin-top:.15pt;width:33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" filled="f" stroked="f" strokeweight=".5pt">
                <v:textbox>
                  <w:txbxContent>
                    <w:p w14:paraId="6AD1FB0B" w14:textId="77777777" w:rsidR="005976AB" w:rsidRPr="001D4FBB" w:rsidRDefault="005976AB" w:rsidP="005976AB">
                      <w:pPr>
                        <w:rPr>
                          <w:sz w:val="18"/>
                          <w:szCs w:val="18"/>
                        </w:rPr>
                      </w:pPr>
                      <w:r w:rsidRPr="001D4FBB">
                        <w:rPr>
                          <w:sz w:val="18"/>
                          <w:szCs w:val="18"/>
                        </w:rPr>
                        <w:t>H</w:t>
                      </w:r>
                      <w:r>
                        <w:rPr>
                          <w:sz w:val="18"/>
                          <w:szCs w:val="18"/>
                        </w:rPr>
                        <w:t>2</w:t>
                      </w:r>
                      <w:r w:rsidRPr="001D4FBB">
                        <w:rPr>
                          <w:sz w:val="18"/>
                          <w:szCs w:val="18"/>
                        </w:rPr>
                        <w:t>a</w:t>
                      </w:r>
                    </w:p>
                  </w:txbxContent>
                </v:textbox>
              </v:shape>
            </w:pict>
          </mc:Fallback>
        </mc:AlternateContent>
      </w:r>
    </w:p>
    <w:bookmarkStart w:id="57" w:name="_Toc115310381"/>
    <w:p w14:paraId="2F7C7A01" w14:textId="77777777" w:rsidR="005976AB" w:rsidRPr="005635E7" w:rsidRDefault="005976AB" w:rsidP="005976AB">
      <w:pPr>
        <w:pStyle w:val="Heading1"/>
        <w:spacing w:before="0"/>
        <w:jc w:val="both"/>
        <w:rPr>
          <w:rFonts w:asciiTheme="majorBidi" w:hAnsiTheme="majorBidi"/>
          <w:color w:val="auto"/>
          <w:sz w:val="24"/>
          <w:szCs w:val="24"/>
        </w:rPr>
      </w:pPr>
      <w:r w:rsidRPr="005635E7">
        <w:rPr>
          <w:rFonts w:asciiTheme="majorBidi" w:hAnsiTheme="majorBidi"/>
          <w:noProof/>
          <w:color w:val="auto"/>
        </w:rPr>
        <mc:AlternateContent>
          <mc:Choice Requires="wps">
            <w:drawing>
              <wp:anchor distT="0" distB="0" distL="114300" distR="114300" simplePos="0" relativeHeight="251679744" behindDoc="0" locked="0" layoutInCell="1" allowOverlap="1" wp14:anchorId="742AB9A4" wp14:editId="2620CB68">
                <wp:simplePos x="0" y="0"/>
                <wp:positionH relativeFrom="column">
                  <wp:posOffset>895350</wp:posOffset>
                </wp:positionH>
                <wp:positionV relativeFrom="paragraph">
                  <wp:posOffset>2782570</wp:posOffset>
                </wp:positionV>
                <wp:extent cx="1485900" cy="23812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1485900" cy="238125"/>
                        </a:xfrm>
                        <a:prstGeom prst="rect">
                          <a:avLst/>
                        </a:prstGeom>
                        <a:noFill/>
                        <a:ln w="6350">
                          <a:noFill/>
                        </a:ln>
                      </wps:spPr>
                      <wps:txbx>
                        <w:txbxContent>
                          <w:p w14:paraId="45466223" w14:textId="77777777" w:rsidR="005976AB" w:rsidRPr="001D4FBB" w:rsidRDefault="005976AB" w:rsidP="005976AB">
                            <w:pPr>
                              <w:rPr>
                                <w:sz w:val="18"/>
                                <w:szCs w:val="18"/>
                              </w:rPr>
                            </w:pPr>
                            <w:r>
                              <w:rPr>
                                <w:sz w:val="18"/>
                                <w:szCs w:val="18"/>
                              </w:rPr>
                              <w:t xml:space="preserve"> Mediation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42AB9A4" id="Text Box 101" o:spid="_x0000_s1058" type="#_x0000_t202" style="position:absolute;left:0;text-align:left;margin-left:70.5pt;margin-top:219.1pt;width:117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" filled="f" stroked="f" strokeweight=".5pt">
                <v:textbox>
                  <w:txbxContent>
                    <w:p w14:paraId="45466223" w14:textId="77777777" w:rsidR="005976AB" w:rsidRPr="001D4FBB" w:rsidRDefault="005976AB" w:rsidP="005976AB">
                      <w:pPr>
                        <w:rPr>
                          <w:sz w:val="18"/>
                          <w:szCs w:val="18"/>
                        </w:rPr>
                      </w:pPr>
                      <w:r>
                        <w:rPr>
                          <w:sz w:val="18"/>
                          <w:szCs w:val="18"/>
                        </w:rPr>
                        <w:t xml:space="preserve"> Mediation effect</w:t>
                      </w:r>
                    </w:p>
                  </w:txbxContent>
                </v:textbox>
              </v:shape>
            </w:pict>
          </mc:Fallback>
        </mc:AlternateContent>
      </w:r>
      <w:r w:rsidRPr="005635E7">
        <w:rPr>
          <w:rFonts w:asciiTheme="majorBidi" w:hAnsiTheme="majorBidi"/>
          <w:noProof/>
          <w:color w:val="auto"/>
        </w:rPr>
        <mc:AlternateContent>
          <mc:Choice Requires="wps">
            <w:drawing>
              <wp:anchor distT="0" distB="0" distL="114300" distR="114300" simplePos="0" relativeHeight="251678720" behindDoc="0" locked="0" layoutInCell="1" allowOverlap="1" wp14:anchorId="53280DF3" wp14:editId="42AC13D2">
                <wp:simplePos x="0" y="0"/>
                <wp:positionH relativeFrom="column">
                  <wp:posOffset>285750</wp:posOffset>
                </wp:positionH>
                <wp:positionV relativeFrom="paragraph">
                  <wp:posOffset>2885440</wp:posOffset>
                </wp:positionV>
                <wp:extent cx="705827" cy="0"/>
                <wp:effectExtent l="0" t="76200" r="18415" b="95250"/>
                <wp:wrapNone/>
                <wp:docPr id="100" name="Straight Arrow Connector 100"/>
                <wp:cNvGraphicFramePr/>
                <a:graphic xmlns:a="http://schemas.openxmlformats.org/drawingml/2006/main">
                  <a:graphicData uri="http://schemas.microsoft.com/office/word/2010/wordprocessingShape">
                    <wps:wsp>
                      <wps:cNvCnPr/>
                      <wps:spPr>
                        <a:xfrm>
                          <a:off x="0" y="0"/>
                          <a:ext cx="705827" cy="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B602B56" id="Straight Arrow Connector 100" o:spid="_x0000_s1026" type="#_x0000_t32" style="position:absolute;margin-left:22.5pt;margin-top:227.2pt;width:55.6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" strokecolor="black [3213]" strokeweight="1pt">
                <v:stroke dashstyle="dash" endarrow="block" joinstyle="miter"/>
              </v:shape>
            </w:pict>
          </mc:Fallback>
        </mc:AlternateContent>
      </w:r>
      <w:r w:rsidRPr="005635E7">
        <w:rPr>
          <w:rFonts w:asciiTheme="majorBidi" w:hAnsiTheme="majorBidi"/>
          <w:noProof/>
          <w:color w:val="auto"/>
        </w:rPr>
        <mc:AlternateContent>
          <mc:Choice Requires="wps">
            <w:drawing>
              <wp:anchor distT="0" distB="0" distL="114300" distR="114300" simplePos="0" relativeHeight="251677696" behindDoc="0" locked="0" layoutInCell="1" allowOverlap="1" wp14:anchorId="5E813262" wp14:editId="1D76C44D">
                <wp:simplePos x="0" y="0"/>
                <wp:positionH relativeFrom="column">
                  <wp:posOffset>5076825</wp:posOffset>
                </wp:positionH>
                <wp:positionV relativeFrom="paragraph">
                  <wp:posOffset>2228215</wp:posOffset>
                </wp:positionV>
                <wp:extent cx="419100" cy="228600"/>
                <wp:effectExtent l="0" t="0" r="0" b="0"/>
                <wp:wrapNone/>
                <wp:docPr id="98" name="Text Box 98"/>
                <wp:cNvGraphicFramePr/>
                <a:graphic xmlns:a="http://schemas.openxmlformats.org/drawingml/2006/main">
                  <a:graphicData uri="http://schemas.microsoft.com/office/word/2010/wordprocessingShape">
                    <wps:wsp>
                      <wps:cNvSpPr txBox="1"/>
                      <wps:spPr>
                        <a:xfrm>
                          <a:off x="0" y="0"/>
                          <a:ext cx="419100" cy="228600"/>
                        </a:xfrm>
                        <a:prstGeom prst="rect">
                          <a:avLst/>
                        </a:prstGeom>
                        <a:noFill/>
                        <a:ln w="6350">
                          <a:noFill/>
                        </a:ln>
                      </wps:spPr>
                      <wps:txbx>
                        <w:txbxContent>
                          <w:p w14:paraId="19FE5675" w14:textId="77777777" w:rsidR="005976AB" w:rsidRPr="001D4FBB" w:rsidRDefault="005976AB" w:rsidP="005976AB">
                            <w:pPr>
                              <w:rPr>
                                <w:sz w:val="18"/>
                                <w:szCs w:val="18"/>
                              </w:rPr>
                            </w:pPr>
                            <w:r w:rsidRPr="001D4FBB">
                              <w:rPr>
                                <w:sz w:val="18"/>
                                <w:szCs w:val="18"/>
                              </w:rPr>
                              <w:t>H</w:t>
                            </w:r>
                            <w:r>
                              <w:rPr>
                                <w:sz w:val="18"/>
                                <w:szCs w:val="18"/>
                              </w:rPr>
                              <w:t>3d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E813262" id="Text Box 98" o:spid="_x0000_s1059" type="#_x0000_t202" style="position:absolute;left:0;text-align:left;margin-left:399.75pt;margin-top:175.45pt;width:33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" filled="f" stroked="f" strokeweight=".5pt">
                <v:textbox>
                  <w:txbxContent>
                    <w:p w14:paraId="19FE5675" w14:textId="77777777" w:rsidR="005976AB" w:rsidRPr="001D4FBB" w:rsidRDefault="005976AB" w:rsidP="005976AB">
                      <w:pPr>
                        <w:rPr>
                          <w:sz w:val="18"/>
                          <w:szCs w:val="18"/>
                        </w:rPr>
                      </w:pPr>
                      <w:r w:rsidRPr="001D4FBB">
                        <w:rPr>
                          <w:sz w:val="18"/>
                          <w:szCs w:val="18"/>
                        </w:rPr>
                        <w:t>H</w:t>
                      </w:r>
                      <w:r>
                        <w:rPr>
                          <w:sz w:val="18"/>
                          <w:szCs w:val="18"/>
                        </w:rPr>
                        <w:t>3d</w:t>
                      </w:r>
                    </w:p>
                  </w:txbxContent>
                </v:textbox>
              </v:shape>
            </w:pict>
          </mc:Fallback>
        </mc:AlternateContent>
      </w:r>
      <w:r w:rsidRPr="005635E7">
        <w:rPr>
          <w:rFonts w:asciiTheme="majorBidi" w:hAnsiTheme="majorBidi"/>
          <w:noProof/>
          <w:color w:val="auto"/>
        </w:rPr>
        <mc:AlternateContent>
          <mc:Choice Requires="wps">
            <w:drawing>
              <wp:anchor distT="0" distB="0" distL="114300" distR="114300" simplePos="0" relativeHeight="251675648" behindDoc="0" locked="0" layoutInCell="1" allowOverlap="1" wp14:anchorId="70558A9F" wp14:editId="1CB3EF00">
                <wp:simplePos x="0" y="0"/>
                <wp:positionH relativeFrom="column">
                  <wp:posOffset>4972050</wp:posOffset>
                </wp:positionH>
                <wp:positionV relativeFrom="paragraph">
                  <wp:posOffset>837565</wp:posOffset>
                </wp:positionV>
                <wp:extent cx="419100" cy="22860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419100" cy="228600"/>
                        </a:xfrm>
                        <a:prstGeom prst="rect">
                          <a:avLst/>
                        </a:prstGeom>
                        <a:noFill/>
                        <a:ln w="6350">
                          <a:noFill/>
                        </a:ln>
                      </wps:spPr>
                      <wps:txbx>
                        <w:txbxContent>
                          <w:p w14:paraId="4C27AC72" w14:textId="77777777" w:rsidR="005976AB" w:rsidRPr="001D4FBB" w:rsidRDefault="005976AB" w:rsidP="005976AB">
                            <w:pPr>
                              <w:rPr>
                                <w:sz w:val="18"/>
                                <w:szCs w:val="18"/>
                              </w:rPr>
                            </w:pPr>
                            <w:r w:rsidRPr="001D4FBB">
                              <w:rPr>
                                <w:sz w:val="18"/>
                                <w:szCs w:val="18"/>
                              </w:rPr>
                              <w:t>H</w:t>
                            </w:r>
                            <w:r>
                              <w:rPr>
                                <w:sz w:val="18"/>
                                <w:szCs w:val="18"/>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0558A9F" id="Text Box 96" o:spid="_x0000_s1060" type="#_x0000_t202" style="position:absolute;left:0;text-align:left;margin-left:391.5pt;margin-top:65.95pt;width:33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" filled="f" stroked="f" strokeweight=".5pt">
                <v:textbox>
                  <w:txbxContent>
                    <w:p w14:paraId="4C27AC72" w14:textId="77777777" w:rsidR="005976AB" w:rsidRPr="001D4FBB" w:rsidRDefault="005976AB" w:rsidP="005976AB">
                      <w:pPr>
                        <w:rPr>
                          <w:sz w:val="18"/>
                          <w:szCs w:val="18"/>
                        </w:rPr>
                      </w:pPr>
                      <w:r w:rsidRPr="001D4FBB">
                        <w:rPr>
                          <w:sz w:val="18"/>
                          <w:szCs w:val="18"/>
                        </w:rPr>
                        <w:t>H</w:t>
                      </w:r>
                      <w:r>
                        <w:rPr>
                          <w:sz w:val="18"/>
                          <w:szCs w:val="18"/>
                        </w:rPr>
                        <w:t>3b</w:t>
                      </w:r>
                    </w:p>
                  </w:txbxContent>
                </v:textbox>
              </v:shape>
            </w:pict>
          </mc:Fallback>
        </mc:AlternateContent>
      </w:r>
      <w:r w:rsidRPr="005635E7">
        <w:rPr>
          <w:rFonts w:asciiTheme="majorBidi" w:hAnsiTheme="majorBidi"/>
          <w:noProof/>
          <w:color w:val="auto"/>
        </w:rPr>
        <mc:AlternateContent>
          <mc:Choice Requires="wps">
            <w:drawing>
              <wp:anchor distT="0" distB="0" distL="114300" distR="114300" simplePos="0" relativeHeight="251669504" behindDoc="0" locked="0" layoutInCell="1" allowOverlap="1" wp14:anchorId="3DE48294" wp14:editId="02724EB9">
                <wp:simplePos x="0" y="0"/>
                <wp:positionH relativeFrom="column">
                  <wp:posOffset>2819400</wp:posOffset>
                </wp:positionH>
                <wp:positionV relativeFrom="paragraph">
                  <wp:posOffset>229870</wp:posOffset>
                </wp:positionV>
                <wp:extent cx="9525" cy="400050"/>
                <wp:effectExtent l="0" t="0" r="28575" b="0"/>
                <wp:wrapNone/>
                <wp:docPr id="87" name="Straight Connector 87"/>
                <wp:cNvGraphicFramePr/>
                <a:graphic xmlns:a="http://schemas.openxmlformats.org/drawingml/2006/main">
                  <a:graphicData uri="http://schemas.microsoft.com/office/word/2010/wordprocessingShape">
                    <wps:wsp>
                      <wps:cNvCnPr/>
                      <wps:spPr>
                        <a:xfrm>
                          <a:off x="0" y="0"/>
                          <a:ext cx="9525" cy="40005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A0F9736" id="Straight Connector 8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pt,18.1pt" to="222.7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" strokecolor="black [3213]" strokeweight="1pt">
                <v:stroke dashstyle="dash" joinstyle="miter"/>
              </v:line>
            </w:pict>
          </mc:Fallback>
        </mc:AlternateContent>
      </w:r>
      <w:r w:rsidRPr="005635E7">
        <w:rPr>
          <w:rFonts w:asciiTheme="majorBidi" w:hAnsiTheme="majorBidi"/>
          <w:noProof/>
          <w:color w:val="auto"/>
        </w:rPr>
        <mc:AlternateContent>
          <mc:Choice Requires="wps">
            <w:drawing>
              <wp:anchor distT="0" distB="0" distL="114300" distR="114300" simplePos="0" relativeHeight="251670528" behindDoc="0" locked="0" layoutInCell="1" allowOverlap="1" wp14:anchorId="7642B258" wp14:editId="77C0E170">
                <wp:simplePos x="0" y="0"/>
                <wp:positionH relativeFrom="column">
                  <wp:posOffset>2838450</wp:posOffset>
                </wp:positionH>
                <wp:positionV relativeFrom="paragraph">
                  <wp:posOffset>629920</wp:posOffset>
                </wp:positionV>
                <wp:extent cx="2171700" cy="0"/>
                <wp:effectExtent l="0" t="0" r="0" b="0"/>
                <wp:wrapNone/>
                <wp:docPr id="88" name="Straight Connector 88"/>
                <wp:cNvGraphicFramePr/>
                <a:graphic xmlns:a="http://schemas.openxmlformats.org/drawingml/2006/main">
                  <a:graphicData uri="http://schemas.microsoft.com/office/word/2010/wordprocessingShape">
                    <wps:wsp>
                      <wps:cNvCnPr/>
                      <wps:spPr>
                        <a:xfrm>
                          <a:off x="0" y="0"/>
                          <a:ext cx="217170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16BE3E8" id="Straight Connector 8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pt,49.6pt" to="394.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" strokecolor="black [3213]" strokeweight="1pt">
                <v:stroke dashstyle="dash" joinstyle="miter"/>
              </v:line>
            </w:pict>
          </mc:Fallback>
        </mc:AlternateContent>
      </w:r>
      <w:r w:rsidRPr="005635E7">
        <w:rPr>
          <w:rFonts w:asciiTheme="majorBidi" w:hAnsiTheme="majorBidi"/>
          <w:noProof/>
          <w:color w:val="auto"/>
        </w:rPr>
        <mc:AlternateContent>
          <mc:Choice Requires="wps">
            <w:drawing>
              <wp:anchor distT="0" distB="0" distL="114300" distR="114300" simplePos="0" relativeHeight="251671552" behindDoc="0" locked="0" layoutInCell="1" allowOverlap="1" wp14:anchorId="3D958631" wp14:editId="2C49CD0F">
                <wp:simplePos x="0" y="0"/>
                <wp:positionH relativeFrom="column">
                  <wp:posOffset>4991100</wp:posOffset>
                </wp:positionH>
                <wp:positionV relativeFrom="paragraph">
                  <wp:posOffset>639445</wp:posOffset>
                </wp:positionV>
                <wp:extent cx="9525" cy="619125"/>
                <wp:effectExtent l="38100" t="0" r="66675" b="47625"/>
                <wp:wrapNone/>
                <wp:docPr id="90" name="Straight Arrow Connector 90"/>
                <wp:cNvGraphicFramePr/>
                <a:graphic xmlns:a="http://schemas.openxmlformats.org/drawingml/2006/main">
                  <a:graphicData uri="http://schemas.microsoft.com/office/word/2010/wordprocessingShape">
                    <wps:wsp>
                      <wps:cNvCnPr/>
                      <wps:spPr>
                        <a:xfrm>
                          <a:off x="0" y="0"/>
                          <a:ext cx="9525" cy="619125"/>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B9F99FB" id="Straight Arrow Connector 90" o:spid="_x0000_s1026" type="#_x0000_t32" style="position:absolute;margin-left:393pt;margin-top:50.35pt;width:.75pt;height:48.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" strokecolor="black [3213]" strokeweight="1pt">
                <v:stroke dashstyle="dash" endarrow="block" joinstyle="miter"/>
              </v:shape>
            </w:pict>
          </mc:Fallback>
        </mc:AlternateContent>
      </w:r>
      <w:r w:rsidRPr="005635E7">
        <w:rPr>
          <w:rFonts w:asciiTheme="majorBidi" w:hAnsiTheme="majorBidi"/>
          <w:noProof/>
          <w:color w:val="auto"/>
        </w:rPr>
        <mc:AlternateContent>
          <mc:Choice Requires="wps">
            <w:drawing>
              <wp:anchor distT="0" distB="0" distL="114300" distR="114300" simplePos="0" relativeHeight="251665408" behindDoc="0" locked="0" layoutInCell="1" allowOverlap="1" wp14:anchorId="264C8853" wp14:editId="6116A3C1">
                <wp:simplePos x="0" y="0"/>
                <wp:positionH relativeFrom="column">
                  <wp:posOffset>4105275</wp:posOffset>
                </wp:positionH>
                <wp:positionV relativeFrom="paragraph">
                  <wp:posOffset>1003935</wp:posOffset>
                </wp:positionV>
                <wp:extent cx="419100" cy="2286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419100" cy="228600"/>
                        </a:xfrm>
                        <a:prstGeom prst="rect">
                          <a:avLst/>
                        </a:prstGeom>
                        <a:noFill/>
                        <a:ln w="6350">
                          <a:noFill/>
                        </a:ln>
                      </wps:spPr>
                      <wps:txbx>
                        <w:txbxContent>
                          <w:p w14:paraId="52B46A34" w14:textId="77777777" w:rsidR="005976AB" w:rsidRPr="001D4FBB" w:rsidRDefault="005976AB" w:rsidP="005976AB">
                            <w:pPr>
                              <w:rPr>
                                <w:sz w:val="18"/>
                                <w:szCs w:val="18"/>
                              </w:rPr>
                            </w:pPr>
                            <w:r w:rsidRPr="001D4FBB">
                              <w:rPr>
                                <w:sz w:val="18"/>
                                <w:szCs w:val="18"/>
                              </w:rPr>
                              <w:t>H</w:t>
                            </w:r>
                            <w:r>
                              <w:rPr>
                                <w:sz w:val="18"/>
                                <w:szCs w:val="18"/>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64C8853" id="Text Box 80" o:spid="_x0000_s1061" type="#_x0000_t202" style="position:absolute;left:0;text-align:left;margin-left:323.25pt;margin-top:79.05pt;width:33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" filled="f" stroked="f" strokeweight=".5pt">
                <v:textbox>
                  <w:txbxContent>
                    <w:p w14:paraId="52B46A34" w14:textId="77777777" w:rsidR="005976AB" w:rsidRPr="001D4FBB" w:rsidRDefault="005976AB" w:rsidP="005976AB">
                      <w:pPr>
                        <w:rPr>
                          <w:sz w:val="18"/>
                          <w:szCs w:val="18"/>
                        </w:rPr>
                      </w:pPr>
                      <w:r w:rsidRPr="001D4FBB">
                        <w:rPr>
                          <w:sz w:val="18"/>
                          <w:szCs w:val="18"/>
                        </w:rPr>
                        <w:t>H</w:t>
                      </w:r>
                      <w:r>
                        <w:rPr>
                          <w:sz w:val="18"/>
                          <w:szCs w:val="18"/>
                        </w:rPr>
                        <w:t>2b</w:t>
                      </w:r>
                    </w:p>
                  </w:txbxContent>
                </v:textbox>
              </v:shape>
            </w:pict>
          </mc:Fallback>
        </mc:AlternateContent>
      </w:r>
      <w:r w:rsidRPr="005635E7">
        <w:rPr>
          <w:rFonts w:asciiTheme="majorBidi" w:hAnsiTheme="majorBidi"/>
          <w:noProof/>
          <w:color w:val="auto"/>
        </w:rPr>
        <mc:AlternateContent>
          <mc:Choice Requires="wps">
            <w:drawing>
              <wp:anchor distT="0" distB="0" distL="114300" distR="114300" simplePos="0" relativeHeight="251664384" behindDoc="0" locked="0" layoutInCell="1" allowOverlap="1" wp14:anchorId="3C950785" wp14:editId="3C4E3C14">
                <wp:simplePos x="0" y="0"/>
                <wp:positionH relativeFrom="column">
                  <wp:posOffset>4114800</wp:posOffset>
                </wp:positionH>
                <wp:positionV relativeFrom="paragraph">
                  <wp:posOffset>170815</wp:posOffset>
                </wp:positionV>
                <wp:extent cx="419100" cy="22860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419100" cy="228600"/>
                        </a:xfrm>
                        <a:prstGeom prst="rect">
                          <a:avLst/>
                        </a:prstGeom>
                        <a:noFill/>
                        <a:ln w="6350">
                          <a:noFill/>
                        </a:ln>
                      </wps:spPr>
                      <wps:txbx>
                        <w:txbxContent>
                          <w:p w14:paraId="3A038471" w14:textId="77777777" w:rsidR="005976AB" w:rsidRPr="001D4FBB" w:rsidRDefault="005976AB" w:rsidP="005976AB">
                            <w:pPr>
                              <w:rPr>
                                <w:sz w:val="18"/>
                                <w:szCs w:val="18"/>
                              </w:rPr>
                            </w:pPr>
                            <w:r w:rsidRPr="001D4FBB">
                              <w:rPr>
                                <w:sz w:val="18"/>
                                <w:szCs w:val="18"/>
                              </w:rPr>
                              <w:t>H</w:t>
                            </w:r>
                            <w:r>
                              <w:rPr>
                                <w:sz w:val="18"/>
                                <w:szCs w:val="18"/>
                              </w:rPr>
                              <w:t>2c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C950785" id="Text Box 79" o:spid="_x0000_s1062" type="#_x0000_t202" style="position:absolute;left:0;text-align:left;margin-left:324pt;margin-top:13.45pt;width:33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" filled="f" stroked="f" strokeweight=".5pt">
                <v:textbox>
                  <w:txbxContent>
                    <w:p w14:paraId="3A038471" w14:textId="77777777" w:rsidR="005976AB" w:rsidRPr="001D4FBB" w:rsidRDefault="005976AB" w:rsidP="005976AB">
                      <w:pPr>
                        <w:rPr>
                          <w:sz w:val="18"/>
                          <w:szCs w:val="18"/>
                        </w:rPr>
                      </w:pPr>
                      <w:r w:rsidRPr="001D4FBB">
                        <w:rPr>
                          <w:sz w:val="18"/>
                          <w:szCs w:val="18"/>
                        </w:rPr>
                        <w:t>H</w:t>
                      </w:r>
                      <w:r>
                        <w:rPr>
                          <w:sz w:val="18"/>
                          <w:szCs w:val="18"/>
                        </w:rPr>
                        <w:t>2c</w:t>
                      </w:r>
                    </w:p>
                  </w:txbxContent>
                </v:textbox>
              </v:shape>
            </w:pict>
          </mc:Fallback>
        </mc:AlternateContent>
      </w:r>
      <w:r w:rsidRPr="005635E7">
        <w:rPr>
          <w:rFonts w:asciiTheme="majorBidi" w:hAnsiTheme="majorBidi"/>
          <w:noProof/>
          <w:color w:val="auto"/>
        </w:rPr>
        <mc:AlternateContent>
          <mc:Choice Requires="wps">
            <w:drawing>
              <wp:anchor distT="0" distB="0" distL="114300" distR="114300" simplePos="0" relativeHeight="251666432" behindDoc="0" locked="0" layoutInCell="1" allowOverlap="1" wp14:anchorId="20639F0A" wp14:editId="28D8F8F5">
                <wp:simplePos x="0" y="0"/>
                <wp:positionH relativeFrom="column">
                  <wp:posOffset>1514475</wp:posOffset>
                </wp:positionH>
                <wp:positionV relativeFrom="paragraph">
                  <wp:posOffset>1096645</wp:posOffset>
                </wp:positionV>
                <wp:extent cx="570604" cy="828675"/>
                <wp:effectExtent l="0" t="0" r="77470" b="47625"/>
                <wp:wrapNone/>
                <wp:docPr id="81" name="Straight Arrow Connector 81"/>
                <wp:cNvGraphicFramePr/>
                <a:graphic xmlns:a="http://schemas.openxmlformats.org/drawingml/2006/main">
                  <a:graphicData uri="http://schemas.microsoft.com/office/word/2010/wordprocessingShape">
                    <wps:wsp>
                      <wps:cNvCnPr/>
                      <wps:spPr>
                        <a:xfrm>
                          <a:off x="0" y="0"/>
                          <a:ext cx="570604" cy="828675"/>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8C709BA" id="Straight Arrow Connector 81" o:spid="_x0000_s1026" type="#_x0000_t32" style="position:absolute;margin-left:119.25pt;margin-top:86.35pt;width:44.95pt;height:6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" strokecolor="black [3213]" strokeweight="1pt">
                <v:stroke dashstyle="dash" endarrow="block" joinstyle="miter"/>
              </v:shape>
            </w:pict>
          </mc:Fallback>
        </mc:AlternateContent>
      </w:r>
      <w:r w:rsidRPr="005635E7">
        <w:rPr>
          <w:rFonts w:asciiTheme="majorBidi" w:hAnsiTheme="majorBidi"/>
          <w:noProof/>
          <w:color w:val="auto"/>
        </w:rPr>
        <mc:AlternateContent>
          <mc:Choice Requires="wps">
            <w:drawing>
              <wp:anchor distT="0" distB="0" distL="114300" distR="114300" simplePos="0" relativeHeight="251661312" behindDoc="0" locked="0" layoutInCell="1" allowOverlap="1" wp14:anchorId="26D39CEE" wp14:editId="1F382CB5">
                <wp:simplePos x="0" y="0"/>
                <wp:positionH relativeFrom="column">
                  <wp:posOffset>1781175</wp:posOffset>
                </wp:positionH>
                <wp:positionV relativeFrom="paragraph">
                  <wp:posOffset>999490</wp:posOffset>
                </wp:positionV>
                <wp:extent cx="419100" cy="22860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419100" cy="228600"/>
                        </a:xfrm>
                        <a:prstGeom prst="rect">
                          <a:avLst/>
                        </a:prstGeom>
                        <a:noFill/>
                        <a:ln w="6350">
                          <a:noFill/>
                        </a:ln>
                      </wps:spPr>
                      <wps:txbx>
                        <w:txbxContent>
                          <w:p w14:paraId="0209C6F4" w14:textId="77777777" w:rsidR="005976AB" w:rsidRPr="001D4FBB" w:rsidRDefault="005976AB" w:rsidP="005976AB">
                            <w:pPr>
                              <w:rPr>
                                <w:sz w:val="18"/>
                                <w:szCs w:val="18"/>
                              </w:rPr>
                            </w:pPr>
                            <w:r w:rsidRPr="001D4FBB">
                              <w:rPr>
                                <w:sz w:val="18"/>
                                <w:szCs w:val="18"/>
                              </w:rPr>
                              <w:t>H1</w:t>
                            </w:r>
                            <w:r>
                              <w:rPr>
                                <w:sz w:val="18"/>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6D39CEE" id="Text Box 76" o:spid="_x0000_s1063" type="#_x0000_t202" style="position:absolute;left:0;text-align:left;margin-left:140.25pt;margin-top:78.7pt;width:33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" filled="f" stroked="f" strokeweight=".5pt">
                <v:textbox>
                  <w:txbxContent>
                    <w:p w14:paraId="0209C6F4" w14:textId="77777777" w:rsidR="005976AB" w:rsidRPr="001D4FBB" w:rsidRDefault="005976AB" w:rsidP="005976AB">
                      <w:pPr>
                        <w:rPr>
                          <w:sz w:val="18"/>
                          <w:szCs w:val="18"/>
                        </w:rPr>
                      </w:pPr>
                      <w:r w:rsidRPr="001D4FBB">
                        <w:rPr>
                          <w:sz w:val="18"/>
                          <w:szCs w:val="18"/>
                        </w:rPr>
                        <w:t>H1</w:t>
                      </w:r>
                      <w:r>
                        <w:rPr>
                          <w:sz w:val="18"/>
                          <w:szCs w:val="18"/>
                        </w:rPr>
                        <w:t>b</w:t>
                      </w:r>
                    </w:p>
                  </w:txbxContent>
                </v:textbox>
              </v:shape>
            </w:pict>
          </mc:Fallback>
        </mc:AlternateContent>
      </w:r>
      <w:r w:rsidRPr="005635E7">
        <w:rPr>
          <w:rFonts w:asciiTheme="majorBidi" w:hAnsiTheme="majorBidi"/>
          <w:noProof/>
          <w:color w:val="auto"/>
        </w:rPr>
        <mc:AlternateContent>
          <mc:Choice Requires="wps">
            <w:drawing>
              <wp:anchor distT="0" distB="0" distL="114300" distR="114300" simplePos="0" relativeHeight="251660288" behindDoc="0" locked="0" layoutInCell="1" allowOverlap="1" wp14:anchorId="4917D1DA" wp14:editId="31DA7795">
                <wp:simplePos x="0" y="0"/>
                <wp:positionH relativeFrom="column">
                  <wp:posOffset>1790700</wp:posOffset>
                </wp:positionH>
                <wp:positionV relativeFrom="paragraph">
                  <wp:posOffset>306070</wp:posOffset>
                </wp:positionV>
                <wp:extent cx="419100" cy="22860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419100" cy="228600"/>
                        </a:xfrm>
                        <a:prstGeom prst="rect">
                          <a:avLst/>
                        </a:prstGeom>
                        <a:noFill/>
                        <a:ln w="6350">
                          <a:noFill/>
                        </a:ln>
                      </wps:spPr>
                      <wps:txbx>
                        <w:txbxContent>
                          <w:p w14:paraId="552ECE7D" w14:textId="77777777" w:rsidR="005976AB" w:rsidRPr="001D4FBB" w:rsidRDefault="005976AB" w:rsidP="005976AB">
                            <w:pPr>
                              <w:rPr>
                                <w:sz w:val="18"/>
                                <w:szCs w:val="18"/>
                              </w:rPr>
                            </w:pPr>
                            <w:r w:rsidRPr="001D4FBB">
                              <w:rPr>
                                <w:sz w:val="18"/>
                                <w:szCs w:val="18"/>
                              </w:rPr>
                              <w:t>H1a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917D1DA" id="Text Box 75" o:spid="_x0000_s1064" type="#_x0000_t202" style="position:absolute;left:0;text-align:left;margin-left:141pt;margin-top:24.1pt;width:33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" filled="f" stroked="f" strokeweight=".5pt">
                <v:textbox>
                  <w:txbxContent>
                    <w:p w14:paraId="552ECE7D" w14:textId="77777777" w:rsidR="005976AB" w:rsidRPr="001D4FBB" w:rsidRDefault="005976AB" w:rsidP="005976AB">
                      <w:pPr>
                        <w:rPr>
                          <w:sz w:val="18"/>
                          <w:szCs w:val="18"/>
                        </w:rPr>
                      </w:pPr>
                      <w:r w:rsidRPr="001D4FBB">
                        <w:rPr>
                          <w:sz w:val="18"/>
                          <w:szCs w:val="18"/>
                        </w:rPr>
                        <w:t>H1a</w:t>
                      </w:r>
                    </w:p>
                  </w:txbxContent>
                </v:textbox>
              </v:shape>
            </w:pict>
          </mc:Fallback>
        </mc:AlternateContent>
      </w:r>
      <w:bookmarkEnd w:id="57"/>
    </w:p>
    <w:p w14:paraId="55614623" w14:textId="77777777" w:rsidR="005976AB" w:rsidRPr="005635E7" w:rsidRDefault="005976AB" w:rsidP="005976AB">
      <w:pPr>
        <w:rPr>
          <w:rFonts w:asciiTheme="majorBidi" w:hAnsiTheme="majorBidi" w:cstheme="majorBidi"/>
          <w:lang w:bidi="en-US"/>
        </w:rPr>
      </w:pPr>
      <w:r w:rsidRPr="005635E7">
        <w:rPr>
          <w:rFonts w:asciiTheme="majorBidi" w:hAnsiTheme="majorBidi" w:cstheme="majorBidi"/>
          <w:noProof/>
        </w:rPr>
        <mc:AlternateContent>
          <mc:Choice Requires="wps">
            <w:drawing>
              <wp:anchor distT="0" distB="0" distL="114300" distR="114300" simplePos="0" relativeHeight="251676672" behindDoc="0" locked="0" layoutInCell="1" allowOverlap="1" wp14:anchorId="252A4B60" wp14:editId="629A56D9">
                <wp:simplePos x="0" y="0"/>
                <wp:positionH relativeFrom="column">
                  <wp:posOffset>5637786</wp:posOffset>
                </wp:positionH>
                <wp:positionV relativeFrom="paragraph">
                  <wp:posOffset>92323</wp:posOffset>
                </wp:positionV>
                <wp:extent cx="419100" cy="2286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419100" cy="228600"/>
                        </a:xfrm>
                        <a:prstGeom prst="rect">
                          <a:avLst/>
                        </a:prstGeom>
                        <a:noFill/>
                        <a:ln w="6350">
                          <a:noFill/>
                        </a:ln>
                      </wps:spPr>
                      <wps:txbx>
                        <w:txbxContent>
                          <w:p w14:paraId="4843DF42" w14:textId="77777777" w:rsidR="005976AB" w:rsidRPr="001D4FBB" w:rsidRDefault="005976AB" w:rsidP="005976AB">
                            <w:pPr>
                              <w:rPr>
                                <w:sz w:val="18"/>
                                <w:szCs w:val="18"/>
                              </w:rPr>
                            </w:pPr>
                            <w:r w:rsidRPr="001D4FBB">
                              <w:rPr>
                                <w:sz w:val="18"/>
                                <w:szCs w:val="18"/>
                              </w:rPr>
                              <w:t>H</w:t>
                            </w:r>
                            <w:r>
                              <w:rPr>
                                <w:sz w:val="18"/>
                                <w:szCs w:val="18"/>
                              </w:rPr>
                              <w:t>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52A4B60" id="Text Box 97" o:spid="_x0000_s1065" type="#_x0000_t202" style="position:absolute;margin-left:443.9pt;margin-top:7.25pt;width:33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" filled="f" stroked="f" strokeweight=".5pt">
                <v:textbox>
                  <w:txbxContent>
                    <w:p w14:paraId="4843DF42" w14:textId="77777777" w:rsidR="005976AB" w:rsidRPr="001D4FBB" w:rsidRDefault="005976AB" w:rsidP="005976AB">
                      <w:pPr>
                        <w:rPr>
                          <w:sz w:val="18"/>
                          <w:szCs w:val="18"/>
                        </w:rPr>
                      </w:pPr>
                      <w:r w:rsidRPr="001D4FBB">
                        <w:rPr>
                          <w:sz w:val="18"/>
                          <w:szCs w:val="18"/>
                        </w:rPr>
                        <w:t>H</w:t>
                      </w:r>
                      <w:r>
                        <w:rPr>
                          <w:sz w:val="18"/>
                          <w:szCs w:val="18"/>
                        </w:rPr>
                        <w:t>3c</w:t>
                      </w:r>
                    </w:p>
                  </w:txbxContent>
                </v:textbox>
              </v:shape>
            </w:pict>
          </mc:Fallback>
        </mc:AlternateContent>
      </w:r>
    </w:p>
    <w:p w14:paraId="0FCC9B63" w14:textId="77777777" w:rsidR="005976AB" w:rsidRPr="005635E7" w:rsidRDefault="005976AB" w:rsidP="005976AB">
      <w:pPr>
        <w:rPr>
          <w:rFonts w:asciiTheme="majorBidi" w:hAnsiTheme="majorBidi" w:cstheme="majorBidi"/>
          <w:lang w:bidi="en-US"/>
        </w:rPr>
      </w:pPr>
    </w:p>
    <w:p w14:paraId="3771E34E" w14:textId="77777777" w:rsidR="005976AB" w:rsidRPr="005635E7" w:rsidRDefault="005976AB" w:rsidP="005976AB">
      <w:pPr>
        <w:rPr>
          <w:rFonts w:asciiTheme="majorBidi" w:hAnsiTheme="majorBidi" w:cstheme="majorBidi"/>
          <w:lang w:bidi="en-US"/>
        </w:rPr>
      </w:pPr>
    </w:p>
    <w:p w14:paraId="272A05F9" w14:textId="77777777" w:rsidR="005976AB" w:rsidRPr="005635E7" w:rsidRDefault="005976AB" w:rsidP="005976AB">
      <w:pPr>
        <w:rPr>
          <w:rFonts w:asciiTheme="majorBidi" w:hAnsiTheme="majorBidi" w:cstheme="majorBidi"/>
          <w:lang w:bidi="en-US"/>
        </w:rPr>
      </w:pPr>
    </w:p>
    <w:p w14:paraId="1233E4BF" w14:textId="77777777" w:rsidR="005976AB" w:rsidRPr="005635E7" w:rsidRDefault="005976AB" w:rsidP="005976AB">
      <w:pPr>
        <w:rPr>
          <w:rFonts w:asciiTheme="majorBidi" w:hAnsiTheme="majorBidi" w:cstheme="majorBidi"/>
          <w:lang w:bidi="en-US"/>
        </w:rPr>
      </w:pPr>
    </w:p>
    <w:p w14:paraId="6BDB2B35" w14:textId="77777777" w:rsidR="005976AB" w:rsidRPr="005635E7" w:rsidRDefault="005976AB" w:rsidP="005976AB">
      <w:pPr>
        <w:rPr>
          <w:rFonts w:asciiTheme="majorBidi" w:hAnsiTheme="majorBidi" w:cstheme="majorBidi"/>
          <w:lang w:bidi="en-US"/>
        </w:rPr>
      </w:pPr>
    </w:p>
    <w:p w14:paraId="52157675" w14:textId="77777777" w:rsidR="005976AB" w:rsidRPr="005635E7" w:rsidRDefault="005976AB" w:rsidP="005976AB">
      <w:pPr>
        <w:rPr>
          <w:rFonts w:asciiTheme="majorBidi" w:hAnsiTheme="majorBidi" w:cstheme="majorBidi"/>
          <w:lang w:bidi="en-US"/>
        </w:rPr>
      </w:pPr>
    </w:p>
    <w:p w14:paraId="1C6E370E" w14:textId="77777777" w:rsidR="005976AB" w:rsidRPr="005635E7" w:rsidRDefault="005976AB" w:rsidP="005976AB">
      <w:pPr>
        <w:rPr>
          <w:rFonts w:asciiTheme="majorBidi" w:hAnsiTheme="majorBidi" w:cstheme="majorBidi"/>
          <w:lang w:bidi="en-US"/>
        </w:rPr>
      </w:pPr>
    </w:p>
    <w:p w14:paraId="4B42D1AD" w14:textId="77777777" w:rsidR="005976AB" w:rsidRPr="005635E7" w:rsidRDefault="005976AB" w:rsidP="005976AB">
      <w:pPr>
        <w:rPr>
          <w:rFonts w:asciiTheme="majorBidi" w:hAnsiTheme="majorBidi" w:cstheme="majorBidi"/>
          <w:lang w:bidi="en-US"/>
        </w:rPr>
      </w:pPr>
      <w:r w:rsidRPr="005635E7">
        <w:rPr>
          <w:rFonts w:asciiTheme="majorBidi" w:hAnsiTheme="majorBidi" w:cstheme="majorBidi"/>
          <w:noProof/>
        </w:rPr>
        <mc:AlternateContent>
          <mc:Choice Requires="wps">
            <w:drawing>
              <wp:anchor distT="0" distB="0" distL="114300" distR="114300" simplePos="0" relativeHeight="251663360" behindDoc="0" locked="0" layoutInCell="1" allowOverlap="1" wp14:anchorId="5602ACC8" wp14:editId="3FAB485A">
                <wp:simplePos x="0" y="0"/>
                <wp:positionH relativeFrom="column">
                  <wp:posOffset>3752150</wp:posOffset>
                </wp:positionH>
                <wp:positionV relativeFrom="paragraph">
                  <wp:posOffset>17120</wp:posOffset>
                </wp:positionV>
                <wp:extent cx="450850" cy="24892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450850" cy="248920"/>
                        </a:xfrm>
                        <a:prstGeom prst="rect">
                          <a:avLst/>
                        </a:prstGeom>
                        <a:noFill/>
                        <a:ln w="6350">
                          <a:noFill/>
                        </a:ln>
                      </wps:spPr>
                      <wps:txbx>
                        <w:txbxContent>
                          <w:p w14:paraId="0B39314F" w14:textId="77777777" w:rsidR="005976AB" w:rsidRPr="001D4FBB" w:rsidRDefault="005976AB" w:rsidP="005976AB">
                            <w:pPr>
                              <w:rPr>
                                <w:sz w:val="18"/>
                                <w:szCs w:val="18"/>
                              </w:rPr>
                            </w:pPr>
                            <w:r w:rsidRPr="001D4FBB">
                              <w:rPr>
                                <w:sz w:val="18"/>
                                <w:szCs w:val="18"/>
                              </w:rPr>
                              <w:t>H</w:t>
                            </w:r>
                            <w:r>
                              <w:rPr>
                                <w:sz w:val="18"/>
                                <w:szCs w:val="18"/>
                              </w:rPr>
                              <w:t>2d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602ACC8" id="Text Box 78" o:spid="_x0000_s1066" type="#_x0000_t202" style="position:absolute;margin-left:295.45pt;margin-top:1.35pt;width:35.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" filled="f" stroked="f" strokeweight=".5pt">
                <v:textbox>
                  <w:txbxContent>
                    <w:p w14:paraId="0B39314F" w14:textId="77777777" w:rsidR="005976AB" w:rsidRPr="001D4FBB" w:rsidRDefault="005976AB" w:rsidP="005976AB">
                      <w:pPr>
                        <w:rPr>
                          <w:sz w:val="18"/>
                          <w:szCs w:val="18"/>
                        </w:rPr>
                      </w:pPr>
                      <w:r w:rsidRPr="001D4FBB">
                        <w:rPr>
                          <w:sz w:val="18"/>
                          <w:szCs w:val="18"/>
                        </w:rPr>
                        <w:t>H</w:t>
                      </w:r>
                      <w:r>
                        <w:rPr>
                          <w:sz w:val="18"/>
                          <w:szCs w:val="18"/>
                        </w:rPr>
                        <w:t>2d</w:t>
                      </w:r>
                    </w:p>
                  </w:txbxContent>
                </v:textbox>
              </v:shape>
            </w:pict>
          </mc:Fallback>
        </mc:AlternateContent>
      </w:r>
    </w:p>
    <w:p w14:paraId="5D72BF86" w14:textId="77777777" w:rsidR="005976AB" w:rsidRPr="005635E7" w:rsidRDefault="005976AB" w:rsidP="005976AB">
      <w:pPr>
        <w:rPr>
          <w:rFonts w:asciiTheme="majorBidi" w:hAnsiTheme="majorBidi" w:cstheme="majorBidi"/>
          <w:lang w:bidi="en-US"/>
        </w:rPr>
      </w:pPr>
    </w:p>
    <w:p w14:paraId="162A642E" w14:textId="77777777" w:rsidR="005976AB" w:rsidRPr="005635E7" w:rsidRDefault="005976AB" w:rsidP="005976AB">
      <w:pPr>
        <w:rPr>
          <w:rFonts w:asciiTheme="majorBidi" w:hAnsiTheme="majorBidi" w:cstheme="majorBidi"/>
          <w:lang w:bidi="en-US"/>
        </w:rPr>
      </w:pPr>
      <w:r w:rsidRPr="005635E7">
        <w:rPr>
          <w:rFonts w:asciiTheme="majorBidi" w:hAnsiTheme="majorBidi" w:cstheme="majorBidi"/>
          <w:noProof/>
          <w:lang w:bidi="en-US"/>
        </w:rPr>
        <mc:AlternateContent>
          <mc:Choice Requires="wps">
            <w:drawing>
              <wp:anchor distT="0" distB="0" distL="114300" distR="114300" simplePos="0" relativeHeight="251688960" behindDoc="0" locked="0" layoutInCell="1" allowOverlap="1" wp14:anchorId="29037A6A" wp14:editId="057C068F">
                <wp:simplePos x="0" y="0"/>
                <wp:positionH relativeFrom="margin">
                  <wp:posOffset>3111327</wp:posOffset>
                </wp:positionH>
                <wp:positionV relativeFrom="paragraph">
                  <wp:posOffset>142240</wp:posOffset>
                </wp:positionV>
                <wp:extent cx="0" cy="577092"/>
                <wp:effectExtent l="0" t="0" r="38100" b="33020"/>
                <wp:wrapNone/>
                <wp:docPr id="20" name="Straight Connector 20"/>
                <wp:cNvGraphicFramePr/>
                <a:graphic xmlns:a="http://schemas.openxmlformats.org/drawingml/2006/main">
                  <a:graphicData uri="http://schemas.microsoft.com/office/word/2010/wordprocessingShape">
                    <wps:wsp>
                      <wps:cNvCnPr/>
                      <wps:spPr>
                        <a:xfrm flipH="1">
                          <a:off x="0" y="0"/>
                          <a:ext cx="0" cy="577092"/>
                        </a:xfrm>
                        <a:prstGeom prst="line">
                          <a:avLst/>
                        </a:prstGeom>
                        <a:ln w="12700">
                          <a:solidFill>
                            <a:schemeClr val="tx1">
                              <a:lumMod val="95000"/>
                              <a:lumOff val="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FC1403B" id="Straight Connector 20" o:spid="_x0000_s1026" style="position:absolute;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pt,11.2pt" to="245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" strokecolor="#0d0d0d [3069]" strokeweight="1pt">
                <v:stroke dashstyle="dash" joinstyle="miter"/>
                <w10:wrap anchorx="margin"/>
              </v:line>
            </w:pict>
          </mc:Fallback>
        </mc:AlternateContent>
      </w:r>
      <w:r w:rsidRPr="005635E7">
        <w:rPr>
          <w:rFonts w:asciiTheme="majorBidi" w:hAnsiTheme="majorBidi" w:cstheme="majorBidi"/>
          <w:noProof/>
        </w:rPr>
        <mc:AlternateContent>
          <mc:Choice Requires="wps">
            <w:drawing>
              <wp:anchor distT="0" distB="0" distL="114300" distR="114300" simplePos="0" relativeHeight="251672576" behindDoc="0" locked="0" layoutInCell="1" allowOverlap="1" wp14:anchorId="02144B75" wp14:editId="5F9F811F">
                <wp:simplePos x="0" y="0"/>
                <wp:positionH relativeFrom="column">
                  <wp:posOffset>3407772</wp:posOffset>
                </wp:positionH>
                <wp:positionV relativeFrom="paragraph">
                  <wp:posOffset>142346</wp:posOffset>
                </wp:positionV>
                <wp:extent cx="445" cy="290385"/>
                <wp:effectExtent l="0" t="0" r="38100" b="33655"/>
                <wp:wrapNone/>
                <wp:docPr id="91" name="Straight Connector 91"/>
                <wp:cNvGraphicFramePr/>
                <a:graphic xmlns:a="http://schemas.openxmlformats.org/drawingml/2006/main">
                  <a:graphicData uri="http://schemas.microsoft.com/office/word/2010/wordprocessingShape">
                    <wps:wsp>
                      <wps:cNvCnPr/>
                      <wps:spPr>
                        <a:xfrm flipH="1">
                          <a:off x="0" y="0"/>
                          <a:ext cx="445" cy="29038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E78B496" id="Straight Connector 9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35pt,11.2pt" to="268.4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" strokecolor="black [3213]" strokeweight="1pt">
                <v:stroke dashstyle="dash" joinstyle="miter"/>
              </v:line>
            </w:pict>
          </mc:Fallback>
        </mc:AlternateContent>
      </w:r>
      <w:r w:rsidRPr="005635E7">
        <w:rPr>
          <w:rFonts w:asciiTheme="majorBidi" w:hAnsiTheme="majorBidi" w:cstheme="majorBidi"/>
          <w:noProof/>
        </w:rPr>
        <mc:AlternateContent>
          <mc:Choice Requires="wps">
            <w:drawing>
              <wp:anchor distT="0" distB="0" distL="114300" distR="114300" simplePos="0" relativeHeight="251691008" behindDoc="0" locked="0" layoutInCell="1" allowOverlap="1" wp14:anchorId="05297642" wp14:editId="22AA6CFD">
                <wp:simplePos x="0" y="0"/>
                <wp:positionH relativeFrom="column">
                  <wp:posOffset>5061997</wp:posOffset>
                </wp:positionH>
                <wp:positionV relativeFrom="paragraph">
                  <wp:posOffset>87210</wp:posOffset>
                </wp:positionV>
                <wp:extent cx="0" cy="326011"/>
                <wp:effectExtent l="76200" t="38100" r="57150" b="17145"/>
                <wp:wrapNone/>
                <wp:docPr id="24" name="Straight Arrow Connector 24"/>
                <wp:cNvGraphicFramePr/>
                <a:graphic xmlns:a="http://schemas.openxmlformats.org/drawingml/2006/main">
                  <a:graphicData uri="http://schemas.microsoft.com/office/word/2010/wordprocessingShape">
                    <wps:wsp>
                      <wps:cNvCnPr/>
                      <wps:spPr>
                        <a:xfrm flipV="1">
                          <a:off x="0" y="0"/>
                          <a:ext cx="0" cy="326011"/>
                        </a:xfrm>
                        <a:prstGeom prst="straightConnector1">
                          <a:avLst/>
                        </a:prstGeom>
                        <a:ln w="12700">
                          <a:solidFill>
                            <a:schemeClr val="tx1">
                              <a:lumMod val="95000"/>
                              <a:lumOff val="5000"/>
                            </a:schemeClr>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6284169" id="Straight Arrow Connector 24" o:spid="_x0000_s1026" type="#_x0000_t32" style="position:absolute;margin-left:398.6pt;margin-top:6.85pt;width:0;height:25.6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" strokecolor="#0d0d0d [3069]" strokeweight="1pt">
                <v:stroke dashstyle="dash" endarrow="block" joinstyle="miter"/>
              </v:shape>
            </w:pict>
          </mc:Fallback>
        </mc:AlternateContent>
      </w:r>
    </w:p>
    <w:p w14:paraId="7351ECC9" w14:textId="77777777" w:rsidR="005976AB" w:rsidRPr="005635E7" w:rsidRDefault="005976AB" w:rsidP="005976AB">
      <w:pPr>
        <w:rPr>
          <w:rFonts w:asciiTheme="majorBidi" w:hAnsiTheme="majorBidi" w:cstheme="majorBidi"/>
          <w:lang w:bidi="en-US"/>
        </w:rPr>
      </w:pPr>
    </w:p>
    <w:p w14:paraId="28F5BE14" w14:textId="77777777" w:rsidR="005976AB" w:rsidRPr="005635E7" w:rsidRDefault="005976AB" w:rsidP="005976AB">
      <w:pPr>
        <w:rPr>
          <w:rFonts w:asciiTheme="majorBidi" w:hAnsiTheme="majorBidi" w:cstheme="majorBidi"/>
          <w:lang w:bidi="en-US"/>
        </w:rPr>
      </w:pPr>
      <w:r w:rsidRPr="005635E7">
        <w:rPr>
          <w:rFonts w:asciiTheme="majorBidi" w:hAnsiTheme="majorBidi" w:cstheme="majorBidi"/>
          <w:noProof/>
        </w:rPr>
        <mc:AlternateContent>
          <mc:Choice Requires="wps">
            <w:drawing>
              <wp:anchor distT="0" distB="0" distL="114300" distR="114300" simplePos="0" relativeHeight="251673600" behindDoc="0" locked="0" layoutInCell="1" allowOverlap="1" wp14:anchorId="7F23E36C" wp14:editId="1ED8AB4F">
                <wp:simplePos x="0" y="0"/>
                <wp:positionH relativeFrom="column">
                  <wp:posOffset>3407599</wp:posOffset>
                </wp:positionH>
                <wp:positionV relativeFrom="paragraph">
                  <wp:posOffset>64572</wp:posOffset>
                </wp:positionV>
                <wp:extent cx="1642134" cy="17813"/>
                <wp:effectExtent l="0" t="0" r="34290" b="20320"/>
                <wp:wrapNone/>
                <wp:docPr id="92" name="Straight Connector 92"/>
                <wp:cNvGraphicFramePr/>
                <a:graphic xmlns:a="http://schemas.openxmlformats.org/drawingml/2006/main">
                  <a:graphicData uri="http://schemas.microsoft.com/office/word/2010/wordprocessingShape">
                    <wps:wsp>
                      <wps:cNvCnPr/>
                      <wps:spPr>
                        <a:xfrm flipV="1">
                          <a:off x="0" y="0"/>
                          <a:ext cx="1642134" cy="17813"/>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C484C76" id="Straight Connector 9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3pt,5.1pt" to="397.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" strokecolor="black [3213]" strokeweight="1pt">
                <v:stroke dashstyle="dash" joinstyle="miter"/>
              </v:line>
            </w:pict>
          </mc:Fallback>
        </mc:AlternateContent>
      </w:r>
    </w:p>
    <w:p w14:paraId="7689BDD5" w14:textId="77777777" w:rsidR="005976AB" w:rsidRPr="005635E7" w:rsidRDefault="005976AB" w:rsidP="005976AB">
      <w:pPr>
        <w:rPr>
          <w:rFonts w:asciiTheme="majorBidi" w:hAnsiTheme="majorBidi" w:cstheme="majorBidi"/>
          <w:lang w:bidi="en-US"/>
        </w:rPr>
      </w:pPr>
    </w:p>
    <w:p w14:paraId="1D4499E7" w14:textId="77777777" w:rsidR="005976AB" w:rsidRPr="005635E7" w:rsidRDefault="005976AB" w:rsidP="005976AB">
      <w:pPr>
        <w:rPr>
          <w:rFonts w:asciiTheme="majorBidi" w:hAnsiTheme="majorBidi" w:cstheme="majorBidi"/>
          <w:lang w:bidi="en-US"/>
        </w:rPr>
      </w:pPr>
      <w:r w:rsidRPr="005635E7">
        <w:rPr>
          <w:rFonts w:asciiTheme="majorBidi" w:hAnsiTheme="majorBidi" w:cstheme="majorBidi"/>
          <w:noProof/>
          <w:lang w:bidi="en-US"/>
        </w:rPr>
        <mc:AlternateContent>
          <mc:Choice Requires="wps">
            <w:drawing>
              <wp:anchor distT="0" distB="0" distL="114300" distR="114300" simplePos="0" relativeHeight="251689984" behindDoc="0" locked="0" layoutInCell="1" allowOverlap="1" wp14:anchorId="7930BFF3" wp14:editId="5E40CDB4">
                <wp:simplePos x="0" y="0"/>
                <wp:positionH relativeFrom="column">
                  <wp:posOffset>3098800</wp:posOffset>
                </wp:positionH>
                <wp:positionV relativeFrom="paragraph">
                  <wp:posOffset>6350</wp:posOffset>
                </wp:positionV>
                <wp:extent cx="2921000" cy="16510"/>
                <wp:effectExtent l="0" t="0" r="12700" b="21590"/>
                <wp:wrapNone/>
                <wp:docPr id="23" name="Straight Connector 23"/>
                <wp:cNvGraphicFramePr/>
                <a:graphic xmlns:a="http://schemas.openxmlformats.org/drawingml/2006/main">
                  <a:graphicData uri="http://schemas.microsoft.com/office/word/2010/wordprocessingShape">
                    <wps:wsp>
                      <wps:cNvCnPr/>
                      <wps:spPr>
                        <a:xfrm flipV="1">
                          <a:off x="0" y="0"/>
                          <a:ext cx="2921000" cy="16510"/>
                        </a:xfrm>
                        <a:prstGeom prst="line">
                          <a:avLst/>
                        </a:prstGeom>
                        <a:ln w="12700">
                          <a:solidFill>
                            <a:schemeClr val="tx1">
                              <a:lumMod val="95000"/>
                              <a:lumOff val="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25F442C" id="Straight Connector 23"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244pt,.5pt" to="47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" strokecolor="#0d0d0d [3069]" strokeweight="1pt">
                <v:stroke dashstyle="dash" joinstyle="miter"/>
              </v:line>
            </w:pict>
          </mc:Fallback>
        </mc:AlternateContent>
      </w:r>
    </w:p>
    <w:p w14:paraId="6BD100C4" w14:textId="77777777" w:rsidR="005976AB" w:rsidRPr="005635E7" w:rsidRDefault="005976AB" w:rsidP="005976AB">
      <w:pPr>
        <w:rPr>
          <w:rFonts w:asciiTheme="majorBidi" w:hAnsiTheme="majorBidi" w:cstheme="majorBidi"/>
          <w:lang w:bidi="en-US"/>
        </w:rPr>
      </w:pPr>
    </w:p>
    <w:p w14:paraId="4C1754D7" w14:textId="77777777" w:rsidR="005976AB" w:rsidRPr="005635E7" w:rsidRDefault="005976AB" w:rsidP="005976AB">
      <w:pPr>
        <w:rPr>
          <w:rFonts w:asciiTheme="majorBidi" w:hAnsiTheme="majorBidi" w:cstheme="majorBidi"/>
          <w:b/>
          <w:bCs/>
          <w:kern w:val="2"/>
          <w:lang w:bidi="en-US"/>
        </w:rPr>
      </w:pPr>
    </w:p>
    <w:p w14:paraId="361E9CD7" w14:textId="77777777" w:rsidR="005976AB" w:rsidRPr="005635E7" w:rsidRDefault="005976AB" w:rsidP="005976AB">
      <w:pPr>
        <w:rPr>
          <w:rFonts w:asciiTheme="majorBidi" w:hAnsiTheme="majorBidi" w:cstheme="majorBidi"/>
          <w:b/>
          <w:bCs/>
          <w:kern w:val="2"/>
          <w:lang w:bidi="en-US"/>
        </w:rPr>
      </w:pPr>
    </w:p>
    <w:p w14:paraId="4F73AAB0" w14:textId="77777777" w:rsidR="005976AB" w:rsidRPr="005635E7" w:rsidRDefault="005976AB" w:rsidP="005976AB">
      <w:pPr>
        <w:pStyle w:val="Heading2"/>
        <w:rPr>
          <w:rFonts w:asciiTheme="majorBidi" w:hAnsiTheme="majorBidi"/>
          <w:b/>
          <w:bCs/>
          <w:color w:val="auto"/>
          <w:sz w:val="28"/>
          <w:szCs w:val="28"/>
          <w:lang w:bidi="en-US"/>
        </w:rPr>
      </w:pPr>
      <w:bookmarkStart w:id="58" w:name="_Toc115310382"/>
      <w:r w:rsidRPr="005635E7">
        <w:rPr>
          <w:rFonts w:asciiTheme="majorBidi" w:hAnsiTheme="majorBidi"/>
          <w:b/>
          <w:bCs/>
          <w:color w:val="auto"/>
          <w:sz w:val="28"/>
          <w:szCs w:val="28"/>
          <w:lang w:bidi="en-US"/>
        </w:rPr>
        <w:t>2.5 Chapter Summary</w:t>
      </w:r>
      <w:bookmarkEnd w:id="58"/>
    </w:p>
    <w:p w14:paraId="2367FFD3" w14:textId="77777777" w:rsidR="005976AB" w:rsidRPr="005635E7" w:rsidRDefault="005976AB" w:rsidP="005976AB">
      <w:pPr>
        <w:rPr>
          <w:rFonts w:asciiTheme="majorBidi" w:hAnsiTheme="majorBidi" w:cstheme="majorBidi"/>
          <w:b/>
          <w:bCs/>
          <w:lang w:bidi="en-US"/>
        </w:rPr>
      </w:pPr>
    </w:p>
    <w:p w14:paraId="67CE0BFB" w14:textId="77777777" w:rsidR="005976AB" w:rsidRPr="005635E7" w:rsidRDefault="005976AB" w:rsidP="005976AB">
      <w:pPr>
        <w:spacing w:after="240" w:line="480" w:lineRule="auto"/>
        <w:jc w:val="both"/>
        <w:rPr>
          <w:rFonts w:asciiTheme="majorBidi" w:hAnsiTheme="majorBidi" w:cstheme="majorBidi"/>
          <w:bCs/>
        </w:rPr>
      </w:pPr>
      <w:r w:rsidRPr="005635E7">
        <w:rPr>
          <w:rFonts w:asciiTheme="majorBidi" w:hAnsiTheme="majorBidi" w:cstheme="majorBidi"/>
        </w:rPr>
        <w:t xml:space="preserve">This chapter reviews </w:t>
      </w:r>
      <w:r w:rsidRPr="005635E7">
        <w:rPr>
          <w:rFonts w:ascii="Times New Roman" w:eastAsia="Calibri" w:hAnsi="Times New Roman" w:cs="Times New Roman"/>
        </w:rPr>
        <w:t xml:space="preserve">the literature </w:t>
      </w:r>
      <w:r w:rsidRPr="005635E7">
        <w:rPr>
          <w:rFonts w:asciiTheme="majorBidi" w:hAnsiTheme="majorBidi" w:cstheme="majorBidi"/>
        </w:rPr>
        <w:t xml:space="preserve">on </w:t>
      </w:r>
      <w:r w:rsidRPr="005635E7">
        <w:rPr>
          <w:rFonts w:ascii="Times New Roman" w:eastAsia="Calibri" w:hAnsi="Times New Roman" w:cs="Times New Roman"/>
        </w:rPr>
        <w:t>the OLC, OI, and FP</w:t>
      </w:r>
      <w:r w:rsidRPr="005635E7">
        <w:rPr>
          <w:rFonts w:asciiTheme="majorBidi" w:hAnsiTheme="majorBidi" w:cstheme="majorBidi"/>
        </w:rPr>
        <w:t xml:space="preserve">. The dynamic capabilities theory was drawn to the possible associations between OLC, OI, OP, ME, and P. Accordingly, </w:t>
      </w:r>
      <w:r w:rsidRPr="005635E7">
        <w:rPr>
          <w:rFonts w:asciiTheme="majorBidi" w:hAnsiTheme="majorBidi" w:cstheme="majorBidi"/>
          <w:bCs/>
        </w:rPr>
        <w:t>how OLC can lead to the development of dynamic capabilities and enhance OI and FP was reviewed to develop different hypotheses.</w:t>
      </w:r>
    </w:p>
    <w:p w14:paraId="66AE7D37"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Very few studies have been </w:t>
      </w:r>
      <w:r>
        <w:rPr>
          <w:rFonts w:asciiTheme="majorBidi" w:hAnsiTheme="majorBidi" w:cstheme="majorBidi"/>
        </w:rPr>
        <w:t>conducted</w:t>
      </w:r>
      <w:r w:rsidRPr="005635E7">
        <w:rPr>
          <w:rFonts w:asciiTheme="majorBidi" w:hAnsiTheme="majorBidi" w:cstheme="majorBidi"/>
        </w:rPr>
        <w:t xml:space="preserve"> on the relationship between OLC and OI, though there are a few that do (Dolfsma &amp; Van der Eijk, 2017; Martinez-Conesa et al., 2017; Naqshbandi &amp; Tabche, 2018; Peris-Ortiz et al., 2018). These studies focused on the impact of </w:t>
      </w:r>
      <w:r w:rsidRPr="005635E7">
        <w:rPr>
          <w:rFonts w:ascii="Times New Roman" w:eastAsia="Calibri" w:hAnsi="Times New Roman" w:cs="Times New Roman"/>
        </w:rPr>
        <w:t xml:space="preserve">the OLC on IP and OP. It </w:t>
      </w:r>
      <w:r>
        <w:rPr>
          <w:rFonts w:ascii="Times New Roman" w:eastAsia="Calibri" w:hAnsi="Times New Roman" w:cs="Times New Roman"/>
        </w:rPr>
        <w:t>has</w:t>
      </w:r>
      <w:r w:rsidRPr="005635E7">
        <w:rPr>
          <w:rFonts w:ascii="Times New Roman" w:eastAsia="Calibri" w:hAnsi="Times New Roman" w:cs="Times New Roman"/>
        </w:rPr>
        <w:t xml:space="preserve"> also </w:t>
      </w:r>
      <w:r>
        <w:rPr>
          <w:rFonts w:ascii="Times New Roman" w:eastAsia="Calibri" w:hAnsi="Times New Roman" w:cs="Times New Roman"/>
        </w:rPr>
        <w:t xml:space="preserve">been </w:t>
      </w:r>
      <w:r w:rsidRPr="005635E7">
        <w:rPr>
          <w:rFonts w:ascii="Times New Roman" w:eastAsia="Calibri" w:hAnsi="Times New Roman" w:cs="Times New Roman"/>
        </w:rPr>
        <w:t xml:space="preserve">acknowledged that there is little literature connecting organizational learning and OI </w:t>
      </w:r>
      <w:r w:rsidRPr="005635E7">
        <w:rPr>
          <w:rFonts w:asciiTheme="majorBidi" w:hAnsiTheme="majorBidi" w:cstheme="majorBidi"/>
        </w:rPr>
        <w:t>with various forms of innovation.</w:t>
      </w:r>
    </w:p>
    <w:p w14:paraId="4F068970"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According to a literature review of the IO-FP relationship, only a few studies have examined how IP, FP, OP</w:t>
      </w:r>
      <w:r w:rsidRPr="005635E7">
        <w:rPr>
          <w:rFonts w:ascii="Times New Roman" w:eastAsia="Calibri" w:hAnsi="Times New Roman" w:cs="Times New Roman"/>
        </w:rPr>
        <w:t xml:space="preserve">, and FP interact with one another. Studies </w:t>
      </w:r>
      <w:r w:rsidRPr="005635E7">
        <w:rPr>
          <w:rFonts w:asciiTheme="majorBidi" w:hAnsiTheme="majorBidi" w:cstheme="majorBidi"/>
        </w:rPr>
        <w:t>examining the relationship between OI and FP have been found to only use</w:t>
      </w:r>
      <w:r w:rsidRPr="005635E7">
        <w:rPr>
          <w:rFonts w:ascii="Times New Roman" w:eastAsia="Calibri" w:hAnsi="Times New Roman" w:cs="Times New Roman"/>
        </w:rPr>
        <w:t>d financial</w:t>
      </w:r>
      <w:r w:rsidRPr="005635E7">
        <w:rPr>
          <w:rFonts w:asciiTheme="majorBidi" w:hAnsiTheme="majorBidi" w:cstheme="majorBidi"/>
        </w:rPr>
        <w:t xml:space="preserve"> (Arias-Pérez et al., 2022; Lee et al., 2015; Motohashi 2016) or non-financial measures (Hochleitner et al., 2017; Lim et al., 2020) as performance indicators. This indicates the dearth of studies examining FP in terms of both financial and non-financial measures.</w:t>
      </w:r>
    </w:p>
    <w:p w14:paraId="48D35B17"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Additionally, researchers have discovered that organizational learning has a favorable effect on FP (e.g., Do &amp; Mai, 2022; Pham &amp; Hoang et al., 2019). Few studies </w:t>
      </w:r>
      <w:r w:rsidRPr="005635E7">
        <w:rPr>
          <w:rFonts w:ascii="Times New Roman" w:eastAsia="Calibri" w:hAnsi="Times New Roman" w:cs="Times New Roman"/>
        </w:rPr>
        <w:t>have demonstrate</w:t>
      </w:r>
      <w:r w:rsidRPr="005635E7">
        <w:rPr>
          <w:rFonts w:asciiTheme="majorBidi" w:hAnsiTheme="majorBidi" w:cstheme="majorBidi"/>
        </w:rPr>
        <w:t xml:space="preserve">d that </w:t>
      </w:r>
      <w:r w:rsidRPr="005635E7">
        <w:rPr>
          <w:rFonts w:ascii="Times New Roman" w:eastAsia="Calibri" w:hAnsi="Times New Roman" w:cs="Times New Roman"/>
        </w:rPr>
        <w:t>the OLC indirectly influences FP through organizational innovation (mediator) (</w:t>
      </w:r>
      <w:r w:rsidRPr="005635E7">
        <w:rPr>
          <w:rFonts w:asciiTheme="majorBidi" w:hAnsiTheme="majorBidi" w:cstheme="majorBidi"/>
        </w:rPr>
        <w:t>Migdadi, 2021). However, no study has identified the mediating effect of OI on the links between OLC and ME</w:t>
      </w:r>
      <w:r w:rsidRPr="005635E7">
        <w:rPr>
          <w:rFonts w:ascii="Times New Roman" w:eastAsia="Calibri" w:hAnsi="Times New Roman" w:cs="Times New Roman"/>
        </w:rPr>
        <w:t>, or between OLC and P</w:t>
      </w:r>
      <w:r w:rsidRPr="005635E7">
        <w:rPr>
          <w:rFonts w:asciiTheme="majorBidi" w:hAnsiTheme="majorBidi" w:cstheme="majorBidi"/>
          <w:shd w:val="clear" w:color="auto" w:fill="FFFFFF"/>
        </w:rPr>
        <w:t>.</w:t>
      </w:r>
    </w:p>
    <w:p w14:paraId="6F5A4D2E" w14:textId="77777777" w:rsidR="005976AB" w:rsidRPr="005635E7" w:rsidRDefault="005976AB" w:rsidP="005976AB">
      <w:pPr>
        <w:spacing w:after="240" w:line="480" w:lineRule="auto"/>
        <w:jc w:val="both"/>
        <w:rPr>
          <w:rFonts w:asciiTheme="majorBidi" w:hAnsiTheme="majorBidi" w:cstheme="majorBidi"/>
        </w:rPr>
      </w:pPr>
    </w:p>
    <w:p w14:paraId="764FD704" w14:textId="77777777" w:rsidR="005976AB" w:rsidRPr="005635E7" w:rsidRDefault="005976AB" w:rsidP="005976AB">
      <w:pPr>
        <w:spacing w:after="240" w:line="480" w:lineRule="auto"/>
        <w:jc w:val="both"/>
        <w:rPr>
          <w:rFonts w:asciiTheme="majorBidi" w:hAnsiTheme="majorBidi" w:cstheme="majorBidi"/>
        </w:rPr>
      </w:pPr>
    </w:p>
    <w:p w14:paraId="6FF8B7A6" w14:textId="77777777" w:rsidR="005976AB" w:rsidRPr="005635E7" w:rsidRDefault="005976AB" w:rsidP="005976AB">
      <w:pPr>
        <w:spacing w:after="240" w:line="480" w:lineRule="auto"/>
        <w:jc w:val="both"/>
        <w:rPr>
          <w:rFonts w:asciiTheme="majorBidi" w:hAnsiTheme="majorBidi" w:cstheme="majorBidi"/>
        </w:rPr>
      </w:pPr>
    </w:p>
    <w:p w14:paraId="33AA5D9B" w14:textId="77777777" w:rsidR="005976AB" w:rsidRPr="005635E7" w:rsidRDefault="005976AB" w:rsidP="005976AB">
      <w:pPr>
        <w:spacing w:after="240" w:line="480" w:lineRule="auto"/>
        <w:jc w:val="both"/>
        <w:rPr>
          <w:rFonts w:asciiTheme="majorBidi" w:hAnsiTheme="majorBidi" w:cstheme="majorBidi"/>
          <w:bCs/>
        </w:rPr>
      </w:pPr>
    </w:p>
    <w:p w14:paraId="29D5D85B" w14:textId="77777777" w:rsidR="005976AB" w:rsidRPr="005635E7" w:rsidRDefault="005976AB" w:rsidP="005976AB">
      <w:pPr>
        <w:rPr>
          <w:rFonts w:asciiTheme="majorBidi" w:hAnsiTheme="majorBidi" w:cstheme="majorBidi"/>
          <w:bCs/>
        </w:rPr>
      </w:pPr>
      <w:r w:rsidRPr="005635E7">
        <w:rPr>
          <w:rFonts w:asciiTheme="majorBidi" w:hAnsiTheme="majorBidi" w:cstheme="majorBidi"/>
          <w:bCs/>
        </w:rPr>
        <w:br w:type="page"/>
      </w:r>
    </w:p>
    <w:p w14:paraId="0BD9D4C2" w14:textId="77777777" w:rsidR="005976AB" w:rsidRPr="005635E7" w:rsidRDefault="005976AB" w:rsidP="005976AB">
      <w:pPr>
        <w:pStyle w:val="Heading1"/>
        <w:spacing w:after="240" w:line="480" w:lineRule="auto"/>
        <w:jc w:val="center"/>
        <w:rPr>
          <w:rFonts w:asciiTheme="majorBidi" w:hAnsiTheme="majorBidi"/>
          <w:b/>
          <w:bCs/>
          <w:color w:val="auto"/>
          <w:sz w:val="28"/>
          <w:szCs w:val="28"/>
        </w:rPr>
      </w:pPr>
      <w:bookmarkStart w:id="59" w:name="_Toc115310383"/>
      <w:bookmarkStart w:id="60" w:name="_Toc27015060"/>
      <w:r w:rsidRPr="005635E7">
        <w:rPr>
          <w:rFonts w:asciiTheme="majorBidi" w:hAnsiTheme="majorBidi"/>
          <w:b/>
          <w:bCs/>
          <w:color w:val="auto"/>
          <w:sz w:val="28"/>
          <w:szCs w:val="28"/>
        </w:rPr>
        <w:t>CHAPTER 3</w:t>
      </w:r>
      <w:bookmarkEnd w:id="59"/>
    </w:p>
    <w:p w14:paraId="3EC3C4B5" w14:textId="77777777" w:rsidR="005976AB" w:rsidRPr="005635E7" w:rsidRDefault="005976AB" w:rsidP="005976AB">
      <w:pPr>
        <w:pStyle w:val="Heading1"/>
        <w:spacing w:after="240" w:line="480" w:lineRule="auto"/>
        <w:jc w:val="center"/>
        <w:rPr>
          <w:rFonts w:asciiTheme="majorBidi" w:hAnsiTheme="majorBidi"/>
          <w:b/>
          <w:bCs/>
          <w:color w:val="auto"/>
          <w:sz w:val="28"/>
          <w:szCs w:val="28"/>
        </w:rPr>
      </w:pPr>
      <w:bookmarkStart w:id="61" w:name="_Toc115310384"/>
      <w:r w:rsidRPr="005635E7">
        <w:rPr>
          <w:rFonts w:asciiTheme="majorBidi" w:hAnsiTheme="majorBidi"/>
          <w:b/>
          <w:bCs/>
          <w:color w:val="auto"/>
          <w:sz w:val="28"/>
          <w:szCs w:val="28"/>
        </w:rPr>
        <w:t>RESEARCH METHODOLOGY</w:t>
      </w:r>
      <w:bookmarkEnd w:id="61"/>
    </w:p>
    <w:p w14:paraId="775E305D"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62" w:name="_Toc115310385"/>
      <w:r w:rsidRPr="005635E7">
        <w:rPr>
          <w:rFonts w:asciiTheme="majorBidi" w:hAnsiTheme="majorBidi"/>
          <w:b/>
          <w:bCs/>
          <w:color w:val="auto"/>
          <w:sz w:val="28"/>
          <w:szCs w:val="28"/>
        </w:rPr>
        <w:t>3.1 Introduction</w:t>
      </w:r>
      <w:bookmarkEnd w:id="62"/>
    </w:p>
    <w:p w14:paraId="73724D1A" w14:textId="77777777" w:rsidR="005976AB" w:rsidRPr="005635E7" w:rsidRDefault="005976AB" w:rsidP="005976AB">
      <w:pPr>
        <w:spacing w:after="240" w:line="480" w:lineRule="auto"/>
        <w:jc w:val="both"/>
        <w:rPr>
          <w:rFonts w:asciiTheme="majorBidi" w:hAnsiTheme="majorBidi" w:cstheme="majorBidi"/>
        </w:rPr>
      </w:pPr>
      <w:r w:rsidRPr="00D73F8E">
        <w:rPr>
          <w:rFonts w:asciiTheme="majorBidi" w:hAnsiTheme="majorBidi" w:cstheme="majorBidi"/>
        </w:rPr>
        <w:t>This section explain</w:t>
      </w:r>
      <w:r w:rsidRPr="00D73F8E">
        <w:rPr>
          <w:rFonts w:ascii="Times New Roman" w:eastAsia="Calibri" w:hAnsi="Times New Roman" w:cs="Times New Roman"/>
        </w:rPr>
        <w:t>s the research</w:t>
      </w:r>
      <w:r w:rsidRPr="00D73F8E">
        <w:rPr>
          <w:rFonts w:asciiTheme="majorBidi" w:hAnsiTheme="majorBidi" w:cstheme="majorBidi"/>
        </w:rPr>
        <w:t xml:space="preserve"> techniques. It explains and discusses the philosophical views </w:t>
      </w:r>
      <w:r w:rsidRPr="00D73F8E">
        <w:rPr>
          <w:rFonts w:ascii="Times New Roman" w:eastAsia="Calibri" w:hAnsi="Times New Roman" w:cs="Times New Roman"/>
        </w:rPr>
        <w:t>of the research before moving on to the choices made for the research approach</w:t>
      </w:r>
      <w:r w:rsidRPr="005635E7">
        <w:rPr>
          <w:rFonts w:ascii="Times New Roman" w:eastAsia="Calibri" w:hAnsi="Times New Roman" w:cs="Times New Roman"/>
        </w:rPr>
        <w:t xml:space="preserve"> and strategy. The research design is then discussed, covering the demographics, sample size, sample composition, data collection strategy, and data processing approach. This chapter also discusses the development of instruments for measuring the variables (questionnaire scales) related to the constructs of </w:t>
      </w:r>
      <w:r w:rsidRPr="005635E7">
        <w:rPr>
          <w:rFonts w:asciiTheme="majorBidi" w:hAnsiTheme="majorBidi" w:cstheme="majorBidi"/>
        </w:rPr>
        <w:t>this study: OLC, OI, and FP. A summary in Chapter 3 completes this chapter.</w:t>
      </w:r>
    </w:p>
    <w:p w14:paraId="0304DF40"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63" w:name="_Toc115310386"/>
      <w:r w:rsidRPr="005635E7">
        <w:rPr>
          <w:rFonts w:asciiTheme="majorBidi" w:hAnsiTheme="majorBidi"/>
          <w:b/>
          <w:bCs/>
          <w:color w:val="auto"/>
          <w:sz w:val="28"/>
          <w:szCs w:val="28"/>
        </w:rPr>
        <w:t>3.2 Research P</w:t>
      </w:r>
      <w:bookmarkEnd w:id="60"/>
      <w:r w:rsidRPr="005635E7">
        <w:rPr>
          <w:rFonts w:asciiTheme="majorBidi" w:hAnsiTheme="majorBidi"/>
          <w:b/>
          <w:bCs/>
          <w:color w:val="auto"/>
          <w:sz w:val="28"/>
          <w:szCs w:val="28"/>
        </w:rPr>
        <w:t>hilosophy</w:t>
      </w:r>
      <w:bookmarkEnd w:id="63"/>
    </w:p>
    <w:p w14:paraId="6CF55704"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Saunders, Lewis, and Thornhill (2016) elaborate that a research philosophy consists of presumptions about how a researcher sees the world. It denotes the researcher's perspective on the world, ontology, their relationship to the study's subject and goals or epistemology, and the approach they take to gather and analyze data or methodology (Collis &amp; Hussey, 2017). T</w:t>
      </w:r>
      <w:r w:rsidRPr="005635E7">
        <w:rPr>
          <w:rFonts w:ascii="Times New Roman" w:eastAsia="Calibri" w:hAnsi="Times New Roman" w:cs="Times New Roman"/>
        </w:rPr>
        <w:t xml:space="preserve">he three </w:t>
      </w:r>
      <w:r w:rsidRPr="005635E7">
        <w:rPr>
          <w:rFonts w:asciiTheme="majorBidi" w:hAnsiTheme="majorBidi" w:cstheme="majorBidi"/>
        </w:rPr>
        <w:t>philosophies frequently used in business management are positivism, interpretivism, and realism (Saunders et al., 2016).</w:t>
      </w:r>
    </w:p>
    <w:p w14:paraId="1B181A36" w14:textId="77777777" w:rsidR="005976AB" w:rsidRPr="005635E7" w:rsidRDefault="005976AB" w:rsidP="005976AB">
      <w:pPr>
        <w:spacing w:after="240" w:line="480" w:lineRule="auto"/>
        <w:jc w:val="both"/>
        <w:rPr>
          <w:rFonts w:asciiTheme="majorBidi" w:hAnsiTheme="majorBidi" w:cstheme="majorBidi"/>
          <w:shd w:val="clear" w:color="auto" w:fill="FFFFFF"/>
        </w:rPr>
      </w:pPr>
      <w:r w:rsidRPr="005635E7">
        <w:rPr>
          <w:rFonts w:asciiTheme="majorBidi" w:hAnsiTheme="majorBidi" w:cstheme="majorBidi"/>
        </w:rPr>
        <w:t>According to quantitative research technique</w:t>
      </w:r>
      <w:r w:rsidRPr="005635E7">
        <w:rPr>
          <w:rFonts w:ascii="Times New Roman" w:eastAsia="Calibri" w:hAnsi="Times New Roman" w:cs="Times New Roman"/>
        </w:rPr>
        <w:t>s</w:t>
      </w:r>
      <w:r w:rsidRPr="005635E7">
        <w:rPr>
          <w:rFonts w:asciiTheme="majorBidi" w:hAnsiTheme="majorBidi" w:cstheme="majorBidi"/>
        </w:rPr>
        <w:t xml:space="preserve"> that assume there is only one true reality that can be determined through solid empirical studies, positivism is a philosophy (Creswell, 2009). Positivist philosophy is linked with objectivism and thus allow</w:t>
      </w:r>
      <w:r w:rsidRPr="005635E7">
        <w:rPr>
          <w:rFonts w:ascii="Times New Roman" w:eastAsia="Calibri" w:hAnsi="Times New Roman" w:cs="Times New Roman"/>
        </w:rPr>
        <w:t xml:space="preserve">s hypothesis testing (Bryman &amp; Bell, 2015). Conversely, interpretivism is based on the evaluation of </w:t>
      </w:r>
      <w:r w:rsidRPr="005635E7">
        <w:rPr>
          <w:rFonts w:asciiTheme="majorBidi" w:hAnsiTheme="majorBidi" w:cstheme="majorBidi"/>
        </w:rPr>
        <w:t xml:space="preserve">subjective meanings from individuals’ experiences. </w:t>
      </w:r>
      <w:r>
        <w:rPr>
          <w:rFonts w:ascii="Times New Roman" w:eastAsia="Calibri" w:hAnsi="Times New Roman" w:cs="Times New Roman"/>
        </w:rPr>
        <w:t>T</w:t>
      </w:r>
      <w:r w:rsidRPr="005635E7">
        <w:rPr>
          <w:rFonts w:ascii="Times New Roman" w:eastAsia="Calibri" w:hAnsi="Times New Roman" w:cs="Times New Roman"/>
        </w:rPr>
        <w:t xml:space="preserve">his </w:t>
      </w:r>
      <w:r w:rsidRPr="005635E7">
        <w:rPr>
          <w:rFonts w:asciiTheme="majorBidi" w:hAnsiTheme="majorBidi" w:cstheme="majorBidi"/>
        </w:rPr>
        <w:t xml:space="preserve">philosophy is more often related to a qualitative research approach (Creswell 2009). Hence, </w:t>
      </w:r>
      <w:r>
        <w:rPr>
          <w:rFonts w:asciiTheme="majorBidi" w:hAnsiTheme="majorBidi" w:cstheme="majorBidi"/>
        </w:rPr>
        <w:t>it</w:t>
      </w:r>
      <w:r w:rsidRPr="005635E7">
        <w:rPr>
          <w:rFonts w:asciiTheme="majorBidi" w:hAnsiTheme="majorBidi" w:cstheme="majorBidi"/>
        </w:rPr>
        <w:t xml:space="preserve"> is directly related to the theory developing/building approach. Finally, realist philosophy accepts that reality is claimed to possess the features of both interpretivism and positivism (Saunders et al. 2016) and it</w:t>
      </w:r>
      <w:r w:rsidRPr="005635E7">
        <w:rPr>
          <w:rFonts w:asciiTheme="majorBidi" w:hAnsiTheme="majorBidi" w:cstheme="majorBidi"/>
          <w:shd w:val="clear" w:color="auto" w:fill="FFFFFF"/>
        </w:rPr>
        <w:t xml:space="preserve"> often tends to utilize </w:t>
      </w:r>
      <w:r w:rsidRPr="005635E7">
        <w:rPr>
          <w:rFonts w:ascii="Times New Roman" w:eastAsia="Calibri" w:hAnsi="Times New Roman" w:cs="Times New Roman"/>
        </w:rPr>
        <w:t>a qualitative approach for data collection.</w:t>
      </w:r>
    </w:p>
    <w:p w14:paraId="06B24770"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 positivist research philosophy was used in this study</w:t>
      </w:r>
      <w:r w:rsidRPr="005635E7">
        <w:rPr>
          <w:rFonts w:ascii="Times New Roman" w:eastAsia="Calibri" w:hAnsi="Times New Roman" w:cs="Times New Roman"/>
        </w:rPr>
        <w:t>, as it could be the most appropriate research philosophy enabling t</w:t>
      </w:r>
      <w:r w:rsidRPr="005635E7">
        <w:rPr>
          <w:rFonts w:asciiTheme="majorBidi" w:hAnsiTheme="majorBidi" w:cstheme="majorBidi"/>
        </w:rPr>
        <w:t xml:space="preserve">he use </w:t>
      </w:r>
      <w:r w:rsidRPr="005635E7">
        <w:rPr>
          <w:rFonts w:ascii="Times New Roman" w:eastAsia="Calibri" w:hAnsi="Times New Roman" w:cs="Times New Roman"/>
        </w:rPr>
        <w:t xml:space="preserve">of a quantitative research approach (Bryman &amp; Bell, 2015) </w:t>
      </w:r>
      <w:r w:rsidRPr="005635E7">
        <w:rPr>
          <w:rFonts w:asciiTheme="majorBidi" w:hAnsiTheme="majorBidi" w:cstheme="majorBidi"/>
        </w:rPr>
        <w:t xml:space="preserve">to investigate the associations between the variables of the study, such as OLC, OI, </w:t>
      </w:r>
      <w:r w:rsidRPr="005635E7">
        <w:rPr>
          <w:rFonts w:ascii="Times New Roman" w:eastAsia="Calibri" w:hAnsi="Times New Roman" w:cs="Times New Roman"/>
        </w:rPr>
        <w:t xml:space="preserve">and FP. It was chosen on the grounds that this study </w:t>
      </w:r>
      <w:r w:rsidRPr="005635E7">
        <w:rPr>
          <w:rFonts w:asciiTheme="majorBidi" w:hAnsiTheme="majorBidi" w:cstheme="majorBidi"/>
        </w:rPr>
        <w:t>ha</w:t>
      </w:r>
      <w:r>
        <w:rPr>
          <w:rFonts w:asciiTheme="majorBidi" w:hAnsiTheme="majorBidi" w:cstheme="majorBidi"/>
        </w:rPr>
        <w:t>d</w:t>
      </w:r>
      <w:r w:rsidRPr="005635E7">
        <w:rPr>
          <w:rFonts w:asciiTheme="majorBidi" w:hAnsiTheme="majorBidi" w:cstheme="majorBidi"/>
        </w:rPr>
        <w:t xml:space="preserve"> reliability and validity</w:t>
      </w:r>
      <w:r w:rsidRPr="005635E7">
        <w:rPr>
          <w:rFonts w:ascii="Times New Roman" w:eastAsia="Calibri" w:hAnsi="Times New Roman" w:cs="Times New Roman"/>
        </w:rPr>
        <w:t>, provided that the existing range of knowledge on OLC, OI, and FP</w:t>
      </w:r>
      <w:r w:rsidRPr="005635E7">
        <w:rPr>
          <w:rFonts w:asciiTheme="majorBidi" w:hAnsiTheme="majorBidi" w:cstheme="majorBidi"/>
        </w:rPr>
        <w:t xml:space="preserve"> being studied c</w:t>
      </w:r>
      <w:r>
        <w:rPr>
          <w:rFonts w:asciiTheme="majorBidi" w:hAnsiTheme="majorBidi" w:cstheme="majorBidi"/>
        </w:rPr>
        <w:t>ould</w:t>
      </w:r>
      <w:r w:rsidRPr="005635E7">
        <w:rPr>
          <w:rFonts w:asciiTheme="majorBidi" w:hAnsiTheme="majorBidi" w:cstheme="majorBidi"/>
        </w:rPr>
        <w:t xml:space="preserve"> be reached through </w:t>
      </w:r>
      <w:r w:rsidRPr="005635E7">
        <w:rPr>
          <w:rFonts w:ascii="Times New Roman" w:eastAsia="Calibri" w:hAnsi="Times New Roman" w:cs="Times New Roman"/>
        </w:rPr>
        <w:t>both</w:t>
      </w:r>
      <w:r w:rsidRPr="005635E7">
        <w:rPr>
          <w:rFonts w:asciiTheme="majorBidi" w:hAnsiTheme="majorBidi" w:cstheme="majorBidi"/>
        </w:rPr>
        <w:t xml:space="preserve"> measurable and objective observations. Therefore, </w:t>
      </w:r>
      <w:r>
        <w:rPr>
          <w:rFonts w:ascii="Times New Roman" w:eastAsia="Calibri" w:hAnsi="Times New Roman" w:cs="Times New Roman"/>
        </w:rPr>
        <w:t>this study</w:t>
      </w:r>
      <w:r w:rsidRPr="005635E7">
        <w:rPr>
          <w:rFonts w:ascii="Times New Roman" w:eastAsia="Calibri" w:hAnsi="Times New Roman" w:cs="Times New Roman"/>
        </w:rPr>
        <w:t xml:space="preserve"> is based on </w:t>
      </w:r>
      <w:r w:rsidRPr="005635E7">
        <w:rPr>
          <w:rFonts w:asciiTheme="majorBidi" w:hAnsiTheme="majorBidi" w:cstheme="majorBidi"/>
        </w:rPr>
        <w:t>scrutinized facts, hard data, and objective views (Saunders et al., 2016).</w:t>
      </w:r>
    </w:p>
    <w:p w14:paraId="006B418C"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People’s objective views relating </w:t>
      </w:r>
      <w:r w:rsidRPr="005635E7">
        <w:rPr>
          <w:rFonts w:ascii="Times New Roman" w:eastAsia="Calibri" w:hAnsi="Times New Roman" w:cs="Times New Roman"/>
        </w:rPr>
        <w:t>to OLC, OI, and FP in the SMEs sector can effectively permit statistical</w:t>
      </w:r>
      <w:r w:rsidRPr="005635E7">
        <w:rPr>
          <w:rFonts w:asciiTheme="majorBidi" w:hAnsiTheme="majorBidi" w:cstheme="majorBidi"/>
        </w:rPr>
        <w:t xml:space="preserve"> testing </w:t>
      </w:r>
      <w:r w:rsidRPr="005635E7">
        <w:rPr>
          <w:rFonts w:ascii="Times New Roman" w:eastAsia="Calibri" w:hAnsi="Times New Roman" w:cs="Times New Roman"/>
        </w:rPr>
        <w:t xml:space="preserve">of the research model and hypotheses </w:t>
      </w:r>
      <w:r w:rsidRPr="005635E7">
        <w:rPr>
          <w:rFonts w:asciiTheme="majorBidi" w:hAnsiTheme="majorBidi" w:cstheme="majorBidi"/>
        </w:rPr>
        <w:t xml:space="preserve">developed in Chapter 2. In adapting the positivist philosophy, this study accepted the following methods: deductive reasoning and a choice of quantitative methodologies, such as the gathering of quantitative data and </w:t>
      </w:r>
      <w:r w:rsidRPr="005635E7">
        <w:rPr>
          <w:rFonts w:ascii="Times New Roman" w:eastAsia="Calibri" w:hAnsi="Times New Roman" w:cs="Times New Roman"/>
        </w:rPr>
        <w:t>the use of</w:t>
      </w:r>
      <w:r w:rsidRPr="005635E7">
        <w:rPr>
          <w:rFonts w:asciiTheme="majorBidi" w:hAnsiTheme="majorBidi" w:cstheme="majorBidi"/>
        </w:rPr>
        <w:t xml:space="preserve"> statistical analyses. The literature indicates that research studies based on the positivist philosophy can be supported by facts established via statistical analyses, so that the result is identifiable as an exact pattern and knowledge of fact-based data (Saunders, et al., 2016).</w:t>
      </w:r>
    </w:p>
    <w:p w14:paraId="2DBE51A1"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64" w:name="_Toc115310387"/>
      <w:r w:rsidRPr="005635E7">
        <w:rPr>
          <w:rFonts w:asciiTheme="majorBidi" w:hAnsiTheme="majorBidi"/>
          <w:b/>
          <w:bCs/>
          <w:color w:val="auto"/>
          <w:sz w:val="28"/>
          <w:szCs w:val="28"/>
        </w:rPr>
        <w:t>3.3 Research Approach</w:t>
      </w:r>
      <w:bookmarkEnd w:id="64"/>
    </w:p>
    <w:p w14:paraId="794E690C"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In the field of business management research, deductive and inductive research methodologies are widely accepted (Collis &amp; Hussey, 2017). The inductive technique is based on gathering data and developing a theory from data analysis, whereas </w:t>
      </w:r>
      <w:r w:rsidRPr="005635E7">
        <w:rPr>
          <w:rFonts w:ascii="Times New Roman" w:eastAsia="Calibri" w:hAnsi="Times New Roman" w:cs="Times New Roman"/>
        </w:rPr>
        <w:t xml:space="preserve">the deductive strategy employs a theory to lead the design of </w:t>
      </w:r>
      <w:r w:rsidRPr="005635E7">
        <w:rPr>
          <w:rFonts w:asciiTheme="majorBidi" w:hAnsiTheme="majorBidi" w:cstheme="majorBidi"/>
        </w:rPr>
        <w:t xml:space="preserve">a research project and interpret its results. Table 3.1 compares the features of both </w:t>
      </w:r>
      <w:r w:rsidRPr="005635E7">
        <w:rPr>
          <w:rFonts w:ascii="Times New Roman" w:eastAsia="Calibri" w:hAnsi="Times New Roman" w:cs="Times New Roman"/>
        </w:rPr>
        <w:t>the deductive and inductive approaches.</w:t>
      </w:r>
    </w:p>
    <w:p w14:paraId="5020FBB7" w14:textId="77777777" w:rsidR="005976AB" w:rsidRPr="005635E7" w:rsidRDefault="005976AB" w:rsidP="005976AB">
      <w:pPr>
        <w:pStyle w:val="Caption"/>
        <w:rPr>
          <w:rFonts w:asciiTheme="majorBidi" w:hAnsiTheme="majorBidi" w:cstheme="majorBidi"/>
          <w:i w:val="0"/>
          <w:iCs w:val="0"/>
          <w:color w:val="auto"/>
          <w:sz w:val="24"/>
          <w:szCs w:val="24"/>
        </w:rPr>
      </w:pPr>
      <w:bookmarkStart w:id="65" w:name="_Toc109962752"/>
      <w:bookmarkStart w:id="66" w:name="_Toc126377955"/>
      <w:r w:rsidRPr="005635E7">
        <w:rPr>
          <w:rFonts w:asciiTheme="majorBidi" w:hAnsiTheme="majorBidi" w:cstheme="majorBidi"/>
          <w:i w:val="0"/>
          <w:iCs w:val="0"/>
          <w:color w:val="auto"/>
          <w:sz w:val="24"/>
          <w:szCs w:val="24"/>
        </w:rPr>
        <w:t>Table 3.</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1</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Comparing Inductive and Deductive Research Approach</w:t>
      </w:r>
      <w:bookmarkEnd w:id="65"/>
      <w:bookmarkEnd w:id="66"/>
    </w:p>
    <w:tbl>
      <w:tblPr>
        <w:tblStyle w:val="TableGrid"/>
        <w:tblW w:w="9024" w:type="dxa"/>
        <w:tblLook w:val="04A0" w:firstRow="1" w:lastRow="0" w:firstColumn="1" w:lastColumn="0" w:noHBand="0" w:noVBand="1"/>
      </w:tblPr>
      <w:tblGrid>
        <w:gridCol w:w="4512"/>
        <w:gridCol w:w="4512"/>
      </w:tblGrid>
      <w:tr w:rsidR="005976AB" w:rsidRPr="005635E7" w14:paraId="218885BA" w14:textId="77777777" w:rsidTr="009E2F41">
        <w:tc>
          <w:tcPr>
            <w:tcW w:w="4512" w:type="dxa"/>
            <w:tcBorders>
              <w:top w:val="single" w:sz="4" w:space="0" w:color="auto"/>
              <w:left w:val="single" w:sz="4" w:space="0" w:color="auto"/>
              <w:bottom w:val="single" w:sz="4" w:space="0" w:color="auto"/>
              <w:right w:val="single" w:sz="4" w:space="0" w:color="auto"/>
            </w:tcBorders>
            <w:hideMark/>
          </w:tcPr>
          <w:p w14:paraId="1C657193" w14:textId="77777777" w:rsidR="005976AB" w:rsidRPr="005635E7" w:rsidRDefault="005976AB" w:rsidP="009E2F41">
            <w:pPr>
              <w:spacing w:after="240" w:line="360" w:lineRule="auto"/>
              <w:jc w:val="both"/>
              <w:rPr>
                <w:rFonts w:asciiTheme="majorBidi" w:hAnsiTheme="majorBidi" w:cstheme="majorBidi"/>
                <w:b/>
                <w:bCs/>
              </w:rPr>
            </w:pPr>
            <w:r w:rsidRPr="005635E7">
              <w:rPr>
                <w:rFonts w:asciiTheme="majorBidi" w:hAnsiTheme="majorBidi" w:cstheme="majorBidi"/>
                <w:b/>
                <w:bCs/>
              </w:rPr>
              <w:t xml:space="preserve">Inductive approach </w:t>
            </w:r>
          </w:p>
        </w:tc>
        <w:tc>
          <w:tcPr>
            <w:tcW w:w="4512" w:type="dxa"/>
            <w:tcBorders>
              <w:top w:val="single" w:sz="4" w:space="0" w:color="auto"/>
              <w:left w:val="single" w:sz="4" w:space="0" w:color="auto"/>
              <w:bottom w:val="single" w:sz="4" w:space="0" w:color="auto"/>
              <w:right w:val="single" w:sz="4" w:space="0" w:color="auto"/>
            </w:tcBorders>
          </w:tcPr>
          <w:p w14:paraId="7AC2E2ED" w14:textId="77777777" w:rsidR="005976AB" w:rsidRPr="005635E7" w:rsidRDefault="005976AB" w:rsidP="009E2F41">
            <w:pPr>
              <w:spacing w:after="240" w:line="360" w:lineRule="auto"/>
              <w:jc w:val="both"/>
              <w:rPr>
                <w:rFonts w:asciiTheme="majorBidi" w:hAnsiTheme="majorBidi" w:cstheme="majorBidi"/>
                <w:b/>
                <w:bCs/>
              </w:rPr>
            </w:pPr>
            <w:r w:rsidRPr="005635E7">
              <w:rPr>
                <w:rFonts w:asciiTheme="majorBidi" w:hAnsiTheme="majorBidi" w:cstheme="majorBidi"/>
                <w:b/>
                <w:bCs/>
              </w:rPr>
              <w:t xml:space="preserve">Deductive approach </w:t>
            </w:r>
          </w:p>
        </w:tc>
      </w:tr>
      <w:tr w:rsidR="005976AB" w:rsidRPr="005635E7" w14:paraId="04829EEC" w14:textId="77777777" w:rsidTr="009E2F41">
        <w:tc>
          <w:tcPr>
            <w:tcW w:w="4512" w:type="dxa"/>
            <w:tcBorders>
              <w:top w:val="single" w:sz="4" w:space="0" w:color="auto"/>
              <w:left w:val="single" w:sz="4" w:space="0" w:color="auto"/>
              <w:bottom w:val="single" w:sz="4" w:space="0" w:color="auto"/>
              <w:right w:val="single" w:sz="4" w:space="0" w:color="auto"/>
            </w:tcBorders>
          </w:tcPr>
          <w:p w14:paraId="0D7EEC24" w14:textId="77777777" w:rsidR="005976AB" w:rsidRPr="005635E7" w:rsidRDefault="005976AB" w:rsidP="009E2F41">
            <w:pPr>
              <w:pStyle w:val="ListParagraph"/>
              <w:numPr>
                <w:ilvl w:val="0"/>
                <w:numId w:val="11"/>
              </w:numPr>
              <w:spacing w:after="240" w:line="360" w:lineRule="auto"/>
              <w:ind w:left="348"/>
              <w:jc w:val="both"/>
              <w:rPr>
                <w:rFonts w:asciiTheme="majorBidi" w:hAnsiTheme="majorBidi" w:cstheme="majorBidi"/>
              </w:rPr>
            </w:pPr>
            <w:r w:rsidRPr="005635E7">
              <w:rPr>
                <w:rFonts w:asciiTheme="majorBidi" w:hAnsiTheme="majorBidi" w:cstheme="majorBidi"/>
              </w:rPr>
              <w:t>Interpretative</w:t>
            </w:r>
          </w:p>
          <w:p w14:paraId="5935E410" w14:textId="77777777" w:rsidR="005976AB" w:rsidRPr="005635E7" w:rsidRDefault="005976AB" w:rsidP="009E2F41">
            <w:pPr>
              <w:pStyle w:val="ListParagraph"/>
              <w:numPr>
                <w:ilvl w:val="0"/>
                <w:numId w:val="11"/>
              </w:numPr>
              <w:spacing w:after="240" w:line="360" w:lineRule="auto"/>
              <w:ind w:left="348"/>
              <w:jc w:val="both"/>
              <w:rPr>
                <w:rFonts w:asciiTheme="majorBidi" w:hAnsiTheme="majorBidi" w:cstheme="majorBidi"/>
              </w:rPr>
            </w:pPr>
            <w:r w:rsidRPr="005635E7">
              <w:rPr>
                <w:rFonts w:asciiTheme="majorBidi" w:hAnsiTheme="majorBidi" w:cstheme="majorBidi"/>
              </w:rPr>
              <w:t>Inductive</w:t>
            </w:r>
          </w:p>
          <w:p w14:paraId="037B227E" w14:textId="77777777" w:rsidR="005976AB" w:rsidRPr="005635E7" w:rsidRDefault="005976AB" w:rsidP="009E2F41">
            <w:pPr>
              <w:pStyle w:val="ListParagraph"/>
              <w:numPr>
                <w:ilvl w:val="0"/>
                <w:numId w:val="11"/>
              </w:numPr>
              <w:spacing w:after="240" w:line="360" w:lineRule="auto"/>
              <w:ind w:left="348"/>
              <w:jc w:val="both"/>
              <w:rPr>
                <w:rFonts w:asciiTheme="majorBidi" w:hAnsiTheme="majorBidi" w:cstheme="majorBidi"/>
              </w:rPr>
            </w:pPr>
            <w:r w:rsidRPr="005635E7">
              <w:rPr>
                <w:rFonts w:asciiTheme="majorBidi" w:hAnsiTheme="majorBidi" w:cstheme="majorBidi"/>
              </w:rPr>
              <w:t>Qualitative</w:t>
            </w:r>
          </w:p>
          <w:p w14:paraId="25E6E5BC" w14:textId="77777777" w:rsidR="005976AB" w:rsidRPr="005635E7" w:rsidRDefault="005976AB" w:rsidP="009E2F41">
            <w:pPr>
              <w:pStyle w:val="ListParagraph"/>
              <w:numPr>
                <w:ilvl w:val="0"/>
                <w:numId w:val="11"/>
              </w:numPr>
              <w:spacing w:after="240" w:line="360" w:lineRule="auto"/>
              <w:ind w:left="348"/>
              <w:jc w:val="both"/>
              <w:rPr>
                <w:rFonts w:asciiTheme="majorBidi" w:hAnsiTheme="majorBidi" w:cstheme="majorBidi"/>
              </w:rPr>
            </w:pPr>
            <w:r w:rsidRPr="005635E7">
              <w:rPr>
                <w:rFonts w:asciiTheme="majorBidi" w:hAnsiTheme="majorBidi" w:cstheme="majorBidi"/>
              </w:rPr>
              <w:t xml:space="preserve">Questions such as </w:t>
            </w:r>
            <w:r>
              <w:rPr>
                <w:rFonts w:asciiTheme="majorBidi" w:hAnsiTheme="majorBidi" w:cstheme="majorBidi"/>
              </w:rPr>
              <w:t>“</w:t>
            </w:r>
            <w:r w:rsidRPr="005635E7">
              <w:rPr>
                <w:rFonts w:asciiTheme="majorBidi" w:hAnsiTheme="majorBidi" w:cstheme="majorBidi"/>
              </w:rPr>
              <w:t>how</w:t>
            </w:r>
            <w:r>
              <w:rPr>
                <w:rFonts w:asciiTheme="majorBidi" w:hAnsiTheme="majorBidi" w:cstheme="majorBidi"/>
              </w:rPr>
              <w:t>,”</w:t>
            </w:r>
            <w:r w:rsidRPr="005635E7">
              <w:rPr>
                <w:rFonts w:asciiTheme="majorBidi" w:hAnsiTheme="majorBidi" w:cstheme="majorBidi"/>
              </w:rPr>
              <w:t xml:space="preserve"> </w:t>
            </w:r>
            <w:r>
              <w:rPr>
                <w:rFonts w:asciiTheme="majorBidi" w:hAnsiTheme="majorBidi" w:cstheme="majorBidi"/>
              </w:rPr>
              <w:t>“</w:t>
            </w:r>
            <w:r w:rsidRPr="005635E7">
              <w:rPr>
                <w:rFonts w:asciiTheme="majorBidi" w:hAnsiTheme="majorBidi" w:cstheme="majorBidi"/>
              </w:rPr>
              <w:t>why</w:t>
            </w:r>
            <w:r>
              <w:rPr>
                <w:rFonts w:asciiTheme="majorBidi" w:hAnsiTheme="majorBidi" w:cstheme="majorBidi"/>
              </w:rPr>
              <w:t>,”</w:t>
            </w:r>
            <w:r w:rsidRPr="005635E7">
              <w:rPr>
                <w:rFonts w:asciiTheme="majorBidi" w:hAnsiTheme="majorBidi" w:cstheme="majorBidi"/>
              </w:rPr>
              <w:t xml:space="preserve"> and </w:t>
            </w:r>
            <w:r>
              <w:rPr>
                <w:rFonts w:asciiTheme="majorBidi" w:hAnsiTheme="majorBidi" w:cstheme="majorBidi"/>
              </w:rPr>
              <w:t>“</w:t>
            </w:r>
            <w:r w:rsidRPr="005635E7">
              <w:rPr>
                <w:rFonts w:asciiTheme="majorBidi" w:hAnsiTheme="majorBidi" w:cstheme="majorBidi"/>
              </w:rPr>
              <w:t>how many</w:t>
            </w:r>
            <w:r>
              <w:rPr>
                <w:rFonts w:asciiTheme="majorBidi" w:hAnsiTheme="majorBidi" w:cstheme="majorBidi"/>
              </w:rPr>
              <w:t>”</w:t>
            </w:r>
          </w:p>
          <w:p w14:paraId="26082C59" w14:textId="77777777" w:rsidR="005976AB" w:rsidRPr="005635E7" w:rsidRDefault="005976AB" w:rsidP="009E2F41">
            <w:pPr>
              <w:pStyle w:val="ListParagraph"/>
              <w:numPr>
                <w:ilvl w:val="0"/>
                <w:numId w:val="11"/>
              </w:numPr>
              <w:spacing w:after="240" w:line="360" w:lineRule="auto"/>
              <w:ind w:left="348"/>
              <w:jc w:val="both"/>
              <w:rPr>
                <w:rFonts w:asciiTheme="majorBidi" w:hAnsiTheme="majorBidi" w:cstheme="majorBidi"/>
              </w:rPr>
            </w:pPr>
            <w:r w:rsidRPr="005635E7">
              <w:rPr>
                <w:rFonts w:asciiTheme="majorBidi" w:hAnsiTheme="majorBidi" w:cstheme="majorBidi"/>
              </w:rPr>
              <w:t>Explains causality</w:t>
            </w:r>
          </w:p>
          <w:p w14:paraId="229A1E03" w14:textId="77777777" w:rsidR="005976AB" w:rsidRPr="005635E7" w:rsidRDefault="005976AB" w:rsidP="009E2F41">
            <w:pPr>
              <w:pStyle w:val="ListParagraph"/>
              <w:numPr>
                <w:ilvl w:val="0"/>
                <w:numId w:val="11"/>
              </w:numPr>
              <w:spacing w:after="240" w:line="360" w:lineRule="auto"/>
              <w:ind w:left="348"/>
              <w:jc w:val="both"/>
              <w:rPr>
                <w:rFonts w:asciiTheme="majorBidi" w:hAnsiTheme="majorBidi" w:cstheme="majorBidi"/>
              </w:rPr>
            </w:pPr>
            <w:r w:rsidRPr="005635E7">
              <w:rPr>
                <w:rFonts w:asciiTheme="majorBidi" w:hAnsiTheme="majorBidi" w:cstheme="majorBidi"/>
              </w:rPr>
              <w:t>Follows a flexible research design that can be continually adopted</w:t>
            </w:r>
          </w:p>
          <w:p w14:paraId="0D7E1E1A" w14:textId="77777777" w:rsidR="005976AB" w:rsidRPr="005635E7" w:rsidRDefault="005976AB" w:rsidP="009E2F41">
            <w:pPr>
              <w:pStyle w:val="ListParagraph"/>
              <w:numPr>
                <w:ilvl w:val="0"/>
                <w:numId w:val="11"/>
              </w:numPr>
              <w:spacing w:after="240" w:line="360" w:lineRule="auto"/>
              <w:ind w:left="348"/>
              <w:jc w:val="both"/>
              <w:rPr>
                <w:rFonts w:asciiTheme="majorBidi" w:hAnsiTheme="majorBidi" w:cstheme="majorBidi"/>
              </w:rPr>
            </w:pPr>
            <w:r w:rsidRPr="005635E7">
              <w:rPr>
                <w:rFonts w:asciiTheme="majorBidi" w:hAnsiTheme="majorBidi" w:cstheme="majorBidi"/>
              </w:rPr>
              <w:t xml:space="preserve">Develop theory </w:t>
            </w:r>
          </w:p>
        </w:tc>
        <w:tc>
          <w:tcPr>
            <w:tcW w:w="4512" w:type="dxa"/>
            <w:tcBorders>
              <w:top w:val="single" w:sz="4" w:space="0" w:color="auto"/>
              <w:left w:val="single" w:sz="4" w:space="0" w:color="auto"/>
              <w:bottom w:val="single" w:sz="4" w:space="0" w:color="auto"/>
              <w:right w:val="single" w:sz="4" w:space="0" w:color="auto"/>
            </w:tcBorders>
          </w:tcPr>
          <w:p w14:paraId="3A558A16" w14:textId="77777777" w:rsidR="005976AB" w:rsidRPr="005635E7" w:rsidRDefault="005976AB" w:rsidP="009E2F41">
            <w:pPr>
              <w:pStyle w:val="ListParagraph"/>
              <w:numPr>
                <w:ilvl w:val="0"/>
                <w:numId w:val="11"/>
              </w:numPr>
              <w:spacing w:after="240" w:line="360" w:lineRule="auto"/>
              <w:ind w:left="330"/>
              <w:jc w:val="both"/>
              <w:rPr>
                <w:rFonts w:asciiTheme="majorBidi" w:hAnsiTheme="majorBidi" w:cstheme="majorBidi"/>
              </w:rPr>
            </w:pPr>
            <w:r w:rsidRPr="005635E7">
              <w:rPr>
                <w:rFonts w:asciiTheme="majorBidi" w:hAnsiTheme="majorBidi" w:cstheme="majorBidi"/>
              </w:rPr>
              <w:t>Positivist</w:t>
            </w:r>
          </w:p>
          <w:p w14:paraId="7E9F4222" w14:textId="77777777" w:rsidR="005976AB" w:rsidRPr="005635E7" w:rsidRDefault="005976AB" w:rsidP="009E2F41">
            <w:pPr>
              <w:pStyle w:val="ListParagraph"/>
              <w:numPr>
                <w:ilvl w:val="0"/>
                <w:numId w:val="11"/>
              </w:numPr>
              <w:spacing w:after="240" w:line="360" w:lineRule="auto"/>
              <w:ind w:left="330"/>
              <w:jc w:val="both"/>
              <w:rPr>
                <w:rFonts w:asciiTheme="majorBidi" w:hAnsiTheme="majorBidi" w:cstheme="majorBidi"/>
              </w:rPr>
            </w:pPr>
            <w:r w:rsidRPr="005635E7">
              <w:rPr>
                <w:rFonts w:asciiTheme="majorBidi" w:hAnsiTheme="majorBidi" w:cstheme="majorBidi"/>
              </w:rPr>
              <w:t>Deductive</w:t>
            </w:r>
          </w:p>
          <w:p w14:paraId="3EB911E1" w14:textId="77777777" w:rsidR="005976AB" w:rsidRPr="005635E7" w:rsidRDefault="005976AB" w:rsidP="009E2F41">
            <w:pPr>
              <w:pStyle w:val="ListParagraph"/>
              <w:numPr>
                <w:ilvl w:val="0"/>
                <w:numId w:val="11"/>
              </w:numPr>
              <w:spacing w:after="240" w:line="360" w:lineRule="auto"/>
              <w:ind w:left="330"/>
              <w:jc w:val="both"/>
              <w:rPr>
                <w:rFonts w:asciiTheme="majorBidi" w:hAnsiTheme="majorBidi" w:cstheme="majorBidi"/>
              </w:rPr>
            </w:pPr>
            <w:r w:rsidRPr="005635E7">
              <w:rPr>
                <w:rFonts w:asciiTheme="majorBidi" w:hAnsiTheme="majorBidi" w:cstheme="majorBidi"/>
              </w:rPr>
              <w:t>Quantitative</w:t>
            </w:r>
          </w:p>
          <w:p w14:paraId="5CEFC492" w14:textId="77777777" w:rsidR="005976AB" w:rsidRPr="005635E7" w:rsidRDefault="005976AB" w:rsidP="009E2F41">
            <w:pPr>
              <w:pStyle w:val="ListParagraph"/>
              <w:numPr>
                <w:ilvl w:val="0"/>
                <w:numId w:val="11"/>
              </w:numPr>
              <w:spacing w:after="240" w:line="360" w:lineRule="auto"/>
              <w:ind w:left="330"/>
              <w:jc w:val="both"/>
              <w:rPr>
                <w:rFonts w:asciiTheme="majorBidi" w:hAnsiTheme="majorBidi" w:cstheme="majorBidi"/>
              </w:rPr>
            </w:pPr>
            <w:r w:rsidRPr="005635E7">
              <w:rPr>
                <w:rFonts w:asciiTheme="majorBidi" w:hAnsiTheme="majorBidi" w:cstheme="majorBidi"/>
              </w:rPr>
              <w:t xml:space="preserve">Questions such as </w:t>
            </w:r>
            <w:r>
              <w:rPr>
                <w:rFonts w:asciiTheme="majorBidi" w:hAnsiTheme="majorBidi" w:cstheme="majorBidi"/>
              </w:rPr>
              <w:t>“</w:t>
            </w:r>
            <w:r w:rsidRPr="005635E7">
              <w:rPr>
                <w:rFonts w:asciiTheme="majorBidi" w:hAnsiTheme="majorBidi" w:cstheme="majorBidi"/>
              </w:rPr>
              <w:t>when</w:t>
            </w:r>
            <w:r>
              <w:rPr>
                <w:rFonts w:asciiTheme="majorBidi" w:hAnsiTheme="majorBidi" w:cstheme="majorBidi"/>
              </w:rPr>
              <w:t>,”</w:t>
            </w:r>
            <w:r w:rsidRPr="005635E7">
              <w:rPr>
                <w:rFonts w:asciiTheme="majorBidi" w:hAnsiTheme="majorBidi" w:cstheme="majorBidi"/>
              </w:rPr>
              <w:t xml:space="preserve"> </w:t>
            </w:r>
            <w:r>
              <w:rPr>
                <w:rFonts w:asciiTheme="majorBidi" w:hAnsiTheme="majorBidi" w:cstheme="majorBidi"/>
              </w:rPr>
              <w:t>“</w:t>
            </w:r>
            <w:r w:rsidRPr="005635E7">
              <w:rPr>
                <w:rFonts w:asciiTheme="majorBidi" w:hAnsiTheme="majorBidi" w:cstheme="majorBidi"/>
              </w:rPr>
              <w:t>what</w:t>
            </w:r>
            <w:r>
              <w:rPr>
                <w:rFonts w:asciiTheme="majorBidi" w:hAnsiTheme="majorBidi" w:cstheme="majorBidi"/>
              </w:rPr>
              <w:t>,”</w:t>
            </w:r>
            <w:r w:rsidRPr="005635E7">
              <w:rPr>
                <w:rFonts w:asciiTheme="majorBidi" w:hAnsiTheme="majorBidi" w:cstheme="majorBidi"/>
              </w:rPr>
              <w:t xml:space="preserve"> and </w:t>
            </w:r>
            <w:r>
              <w:rPr>
                <w:rFonts w:asciiTheme="majorBidi" w:hAnsiTheme="majorBidi" w:cstheme="majorBidi"/>
              </w:rPr>
              <w:t>“</w:t>
            </w:r>
            <w:r w:rsidRPr="005635E7">
              <w:rPr>
                <w:rFonts w:asciiTheme="majorBidi" w:hAnsiTheme="majorBidi" w:cstheme="majorBidi"/>
              </w:rPr>
              <w:t>how many</w:t>
            </w:r>
            <w:r>
              <w:rPr>
                <w:rFonts w:asciiTheme="majorBidi" w:hAnsiTheme="majorBidi" w:cstheme="majorBidi"/>
              </w:rPr>
              <w:t>”</w:t>
            </w:r>
          </w:p>
          <w:p w14:paraId="7554FB17" w14:textId="77777777" w:rsidR="005976AB" w:rsidRPr="005635E7" w:rsidRDefault="005976AB" w:rsidP="009E2F41">
            <w:pPr>
              <w:pStyle w:val="ListParagraph"/>
              <w:numPr>
                <w:ilvl w:val="0"/>
                <w:numId w:val="11"/>
              </w:numPr>
              <w:spacing w:after="240" w:line="360" w:lineRule="auto"/>
              <w:ind w:left="330"/>
              <w:jc w:val="both"/>
              <w:rPr>
                <w:rFonts w:asciiTheme="majorBidi" w:hAnsiTheme="majorBidi" w:cstheme="majorBidi"/>
              </w:rPr>
            </w:pPr>
            <w:r w:rsidRPr="005635E7">
              <w:rPr>
                <w:rFonts w:asciiTheme="majorBidi" w:hAnsiTheme="majorBidi" w:cstheme="majorBidi"/>
              </w:rPr>
              <w:t>Establish causality</w:t>
            </w:r>
          </w:p>
          <w:p w14:paraId="58318A54" w14:textId="77777777" w:rsidR="005976AB" w:rsidRPr="005635E7" w:rsidRDefault="005976AB" w:rsidP="009E2F41">
            <w:pPr>
              <w:pStyle w:val="ListParagraph"/>
              <w:numPr>
                <w:ilvl w:val="0"/>
                <w:numId w:val="11"/>
              </w:numPr>
              <w:spacing w:after="240" w:line="360" w:lineRule="auto"/>
              <w:ind w:left="330"/>
              <w:jc w:val="both"/>
              <w:rPr>
                <w:rFonts w:asciiTheme="majorBidi" w:hAnsiTheme="majorBidi" w:cstheme="majorBidi"/>
              </w:rPr>
            </w:pPr>
            <w:r w:rsidRPr="005635E7">
              <w:rPr>
                <w:rFonts w:asciiTheme="majorBidi" w:hAnsiTheme="majorBidi" w:cstheme="majorBidi"/>
              </w:rPr>
              <w:t>Follows a pre-determined design</w:t>
            </w:r>
          </w:p>
          <w:p w14:paraId="7F94A4C9" w14:textId="77777777" w:rsidR="005976AB" w:rsidRPr="005635E7" w:rsidRDefault="005976AB" w:rsidP="009E2F41">
            <w:pPr>
              <w:pStyle w:val="ListParagraph"/>
              <w:numPr>
                <w:ilvl w:val="0"/>
                <w:numId w:val="11"/>
              </w:numPr>
              <w:spacing w:after="240" w:line="360" w:lineRule="auto"/>
              <w:ind w:left="348"/>
              <w:jc w:val="both"/>
              <w:rPr>
                <w:rFonts w:asciiTheme="majorBidi" w:hAnsiTheme="majorBidi" w:cstheme="majorBidi"/>
              </w:rPr>
            </w:pPr>
            <w:r w:rsidRPr="005635E7">
              <w:rPr>
                <w:rFonts w:asciiTheme="majorBidi" w:hAnsiTheme="majorBidi" w:cstheme="majorBidi"/>
              </w:rPr>
              <w:t>Confirm theory (hypothesis testing)</w:t>
            </w:r>
          </w:p>
        </w:tc>
      </w:tr>
    </w:tbl>
    <w:p w14:paraId="2217666E"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(Source: Gratton &amp; Jones, 2010)</w:t>
      </w:r>
    </w:p>
    <w:p w14:paraId="76C14141" w14:textId="77777777" w:rsidR="005976AB" w:rsidRPr="005635E7" w:rsidRDefault="005976AB" w:rsidP="005976AB">
      <w:pPr>
        <w:spacing w:after="240" w:line="480" w:lineRule="auto"/>
        <w:jc w:val="both"/>
        <w:rPr>
          <w:rFonts w:asciiTheme="majorBidi" w:hAnsiTheme="majorBidi" w:cstheme="majorBidi"/>
        </w:rPr>
      </w:pPr>
      <w:r>
        <w:rPr>
          <w:rFonts w:asciiTheme="majorBidi" w:hAnsiTheme="majorBidi" w:cstheme="majorBidi"/>
        </w:rPr>
        <w:t>The d</w:t>
      </w:r>
      <w:r w:rsidRPr="005635E7">
        <w:rPr>
          <w:rFonts w:asciiTheme="majorBidi" w:hAnsiTheme="majorBidi" w:cstheme="majorBidi"/>
        </w:rPr>
        <w:t>eductive research approach</w:t>
      </w:r>
      <w:r>
        <w:rPr>
          <w:rFonts w:asciiTheme="majorBidi" w:hAnsiTheme="majorBidi" w:cstheme="majorBidi"/>
        </w:rPr>
        <w:t xml:space="preserve"> ha</w:t>
      </w:r>
      <w:r w:rsidRPr="005635E7">
        <w:rPr>
          <w:rFonts w:asciiTheme="majorBidi" w:hAnsiTheme="majorBidi" w:cstheme="majorBidi"/>
        </w:rPr>
        <w:t xml:space="preserve">s </w:t>
      </w:r>
      <w:r>
        <w:rPr>
          <w:rFonts w:asciiTheme="majorBidi" w:hAnsiTheme="majorBidi" w:cstheme="majorBidi"/>
        </w:rPr>
        <w:t xml:space="preserve">been </w:t>
      </w:r>
      <w:r w:rsidRPr="005635E7">
        <w:rPr>
          <w:rFonts w:asciiTheme="majorBidi" w:hAnsiTheme="majorBidi" w:cstheme="majorBidi"/>
        </w:rPr>
        <w:t xml:space="preserve">adopted in this study as it involves development of hypotheses considering the previous theories and concepts and testing them, which is identified as a “top-down approach” </w:t>
      </w:r>
      <w:r w:rsidRPr="005635E7">
        <w:rPr>
          <w:rFonts w:asciiTheme="majorBidi" w:hAnsiTheme="majorBidi" w:cstheme="majorBidi"/>
        </w:rPr>
        <w:fldChar w:fldCharType="begin" w:fldLock="1"/>
      </w:r>
      <w:r w:rsidRPr="005635E7">
        <w:rPr>
          <w:rFonts w:asciiTheme="majorBidi" w:hAnsiTheme="majorBidi" w:cstheme="majorBidi"/>
        </w:rPr>
        <w:instrText>ADDIN CSL_CITATION {"citationItems":[{"id":"ITEM-1","itemData":{"ISBN":"978-1-133-95477-4","abstract":"The Research Methods Knowledge Base is a comprehensive web-based textbook that addresses all of the topics in a typical introductory undergraduate or graduate course in social research methods. It covers the entire research process including: formulating research questions; sampling (probability and nonprobability); measurement (surveys, scaling, qualitative, unobtrusive); research design (experimental and quasi-experimental); data analysis; and, writing the research paper. It also addresses the major theoretical and philosophical underpinnings of research including: the idea of validity in research; reliability of measures; and ethics. The Knowledge Base was designed to be different from the many typical commercially-available research methods texts. It uses an informal, conversational style to engage both the newcomer and the more experienced student of research. It is a fully hyperlinked text that can be integrated easily into an existing course structure or used as a sourcebook for the experienced researcher who simply wants to browse","author":[{"dropping-particle":"","family":"Trochim","given":"William M. K.","non-dropping-particle":"","parse-names":false,"suffix":""},{"dropping-particle":"","family":"Donnelly","given":"James P.","non-dropping-particle":"","parse-names":false,"suffix":""}],"container-title":"Research Methods: The Essential Knowledge Base","id":"ITEM-1","issued":{"date-parts":[["2016"]]},"title":"Research Methods: The Essential Knowledge Base","type":"chapter"},"uris":["http://www.mendeley.com/documents/?uuid=e513093a-239f-45e6-b581-5867c112b069"]}],"mendeley":{"formattedCitation":"(Trochim &amp; Donnelly, 2016)","plainTextFormattedCitation":"(Trochim &amp; Donnelly, 2016)","previouslyFormattedCitation":"(Trochim &amp; Donnelly, 2016)"},"properties":{"noteIndex":0},"schema":"https://github.com/citation-style-language/schema/raw/master/csl-citation.json"}</w:instrText>
      </w:r>
      <w:r w:rsidRPr="005635E7">
        <w:rPr>
          <w:rFonts w:asciiTheme="majorBidi" w:hAnsiTheme="majorBidi" w:cstheme="majorBidi"/>
        </w:rPr>
        <w:fldChar w:fldCharType="separate"/>
      </w:r>
      <w:r w:rsidRPr="005635E7">
        <w:rPr>
          <w:rFonts w:asciiTheme="majorBidi" w:hAnsiTheme="majorBidi" w:cstheme="majorBidi"/>
        </w:rPr>
        <w:t>(Trochim &amp; Donnelly, 2016)</w:t>
      </w:r>
      <w:r w:rsidRPr="005635E7">
        <w:rPr>
          <w:rFonts w:asciiTheme="majorBidi" w:hAnsiTheme="majorBidi" w:cstheme="majorBidi"/>
        </w:rPr>
        <w:fldChar w:fldCharType="end"/>
      </w:r>
      <w:r w:rsidRPr="005635E7">
        <w:rPr>
          <w:rFonts w:asciiTheme="majorBidi" w:hAnsiTheme="majorBidi" w:cstheme="majorBidi"/>
        </w:rPr>
        <w:t>. In this deductive approach, more generic theories are utilized to initiate the study before it is narrowed down to details (Collis &amp; Hussey, 2017). Following such a deductive methodology, the current study adopted prevailing theories, such as the dynamic capability theory</w:t>
      </w:r>
      <w:r w:rsidRPr="005635E7">
        <w:rPr>
          <w:rFonts w:ascii="Times New Roman" w:eastAsia="Calibri" w:hAnsi="Times New Roman" w:cs="Times New Roman"/>
        </w:rPr>
        <w:t xml:space="preserve">, to develop, test, and confirm the research model and hypotheses </w:t>
      </w:r>
      <w:r w:rsidRPr="005635E7">
        <w:rPr>
          <w:rFonts w:asciiTheme="majorBidi" w:hAnsiTheme="majorBidi" w:cstheme="majorBidi"/>
        </w:rPr>
        <w:t xml:space="preserve">regarding the association between the study's </w:t>
      </w:r>
      <w:r w:rsidRPr="00D73F8E">
        <w:rPr>
          <w:rFonts w:asciiTheme="majorBidi" w:hAnsiTheme="majorBidi" w:cstheme="majorBidi"/>
        </w:rPr>
        <w:t>research constructs,</w:t>
      </w:r>
      <w:r w:rsidRPr="005635E7">
        <w:rPr>
          <w:rFonts w:asciiTheme="majorBidi" w:hAnsiTheme="majorBidi" w:cstheme="majorBidi"/>
        </w:rPr>
        <w:t xml:space="preserve"> including OLC, OI, and FP (Saunders et al., 2016). Some prior studies have used similar theories to investigate the causal associations between some of the study’s main constructs</w:t>
      </w:r>
      <w:r w:rsidRPr="005635E7">
        <w:rPr>
          <w:rFonts w:ascii="Times New Roman" w:eastAsia="Calibri" w:hAnsi="Times New Roman" w:cs="Times New Roman"/>
        </w:rPr>
        <w:t xml:space="preserve">, including OLC, OI, and FP-related measures, confirming that they have also adopted </w:t>
      </w:r>
      <w:r w:rsidRPr="005635E7">
        <w:rPr>
          <w:rFonts w:asciiTheme="majorBidi" w:hAnsiTheme="majorBidi" w:cstheme="majorBidi"/>
        </w:rPr>
        <w:t xml:space="preserve">a deductive research approach (e.g., Bhatti et al., 2020; Cuéllar et al., 2019; Garavan et al., 2016; Shahzad et al., 2019; Rasheed et al., 2017; </w:t>
      </w:r>
      <w:r w:rsidRPr="005635E7">
        <w:rPr>
          <w:rFonts w:asciiTheme="majorBidi" w:hAnsiTheme="majorBidi" w:cstheme="majorBidi"/>
        </w:rPr>
        <w:fldChar w:fldCharType="begin" w:fldLock="1"/>
      </w:r>
      <w:r w:rsidRPr="005635E7">
        <w:rPr>
          <w:rFonts w:asciiTheme="majorBidi" w:hAnsiTheme="majorBidi" w:cstheme="majorBidi"/>
        </w:rPr>
        <w:instrText>ADDIN CSL_CITATION {"citationItems":[{"id":"ITEM-1","itemData":{"DOI":"10.1108/BJM-02-2015-0060","ISBN":"0220150060","author":[{"dropping-particle":"","family":"Tallott","given":"Margaret","non-dropping-particle":"","parse-names":false,"suffix":""},{"dropping-particle":"","family":"Hilliard","given":"Rachel","non-dropping-particle":"","parse-names":false,"suffix":""}],"id":"ITEM-1","issued":{"date-parts":[["2015"]]},"title":"Developing dynamic capabilities for learning and internationalization A case study of diversification in an SME","type":"article-journal"},"uris":["http://www.mendeley.com/documents/?uuid=a858abc3-2ec1-4008-a721-978c9e09c053"]}],"mendeley":{"formattedCitation":"(Tallott &amp; Hilliard, 2015)","manualFormatting":"Tallott &amp; Hilliard (2015)","plainTextFormattedCitation":"(Tallott &amp; Hilliard, 2015)","previouslyFormattedCitation":"(Tallott &amp; Hilliard, 2015)"},"properties":{"noteIndex":0},"schema":"https://github.com/citation-style-language/schema/raw/master/csl-citation.json"}</w:instrText>
      </w:r>
      <w:r w:rsidRPr="005635E7">
        <w:rPr>
          <w:rFonts w:asciiTheme="majorBidi" w:hAnsiTheme="majorBidi" w:cstheme="majorBidi"/>
        </w:rPr>
        <w:fldChar w:fldCharType="separate"/>
      </w:r>
      <w:r w:rsidRPr="005635E7">
        <w:rPr>
          <w:rFonts w:asciiTheme="majorBidi" w:hAnsiTheme="majorBidi" w:cstheme="majorBidi"/>
        </w:rPr>
        <w:t>Tallott &amp; Hilliard, 2015</w:t>
      </w:r>
      <w:r w:rsidRPr="005635E7">
        <w:rPr>
          <w:rFonts w:asciiTheme="majorBidi" w:hAnsiTheme="majorBidi" w:cstheme="majorBidi"/>
        </w:rPr>
        <w:fldChar w:fldCharType="end"/>
      </w:r>
      <w:r w:rsidRPr="005635E7">
        <w:rPr>
          <w:rFonts w:asciiTheme="majorBidi" w:hAnsiTheme="majorBidi" w:cstheme="majorBidi"/>
        </w:rPr>
        <w:t xml:space="preserve">; Tran et al., 2020). Hence, this study </w:t>
      </w:r>
      <w:r>
        <w:rPr>
          <w:rFonts w:asciiTheme="majorBidi" w:hAnsiTheme="majorBidi" w:cstheme="majorBidi"/>
        </w:rPr>
        <w:t xml:space="preserve">has </w:t>
      </w:r>
      <w:r w:rsidRPr="005635E7">
        <w:rPr>
          <w:rFonts w:asciiTheme="majorBidi" w:hAnsiTheme="majorBidi" w:cstheme="majorBidi"/>
        </w:rPr>
        <w:t>use</w:t>
      </w:r>
      <w:r>
        <w:rPr>
          <w:rFonts w:asciiTheme="majorBidi" w:hAnsiTheme="majorBidi" w:cstheme="majorBidi"/>
        </w:rPr>
        <w:t>d</w:t>
      </w:r>
      <w:r w:rsidRPr="005635E7">
        <w:rPr>
          <w:rFonts w:asciiTheme="majorBidi" w:hAnsiTheme="majorBidi" w:cstheme="majorBidi"/>
        </w:rPr>
        <w:t xml:space="preserve"> a standard version of the scientific method, known as the hypothetico-deductive method</w:t>
      </w:r>
      <w:r w:rsidRPr="005635E7">
        <w:rPr>
          <w:rFonts w:ascii="Times New Roman" w:eastAsia="Calibri" w:hAnsi="Times New Roman" w:cs="Times New Roman"/>
        </w:rPr>
        <w:t xml:space="preserve">, </w:t>
      </w:r>
      <w:r w:rsidRPr="005635E7">
        <w:rPr>
          <w:rFonts w:asciiTheme="majorBidi" w:hAnsiTheme="majorBidi" w:cstheme="majorBidi"/>
        </w:rPr>
        <w:t>which provides a systematic approach to answer</w:t>
      </w:r>
      <w:r w:rsidRPr="005635E7">
        <w:rPr>
          <w:rFonts w:ascii="Times New Roman" w:eastAsia="Calibri" w:hAnsi="Times New Roman" w:cs="Times New Roman"/>
        </w:rPr>
        <w:t xml:space="preserve">ing research questions (Sekaran &amp; Bougie, 2016). </w:t>
      </w:r>
      <w:r w:rsidRPr="005635E7">
        <w:rPr>
          <w:rFonts w:asciiTheme="majorBidi" w:hAnsiTheme="majorBidi" w:cstheme="majorBidi"/>
        </w:rPr>
        <w:t>The reason for this selection is the quantitative approach of the study; thus</w:t>
      </w:r>
      <w:r w:rsidRPr="005635E7">
        <w:rPr>
          <w:rFonts w:ascii="Times New Roman" w:eastAsia="Calibri" w:hAnsi="Times New Roman" w:cs="Times New Roman"/>
        </w:rPr>
        <w:t xml:space="preserve">, the use of a deductive approach enables testing the hypotheses of this dissertation developed in Chapter 2, </w:t>
      </w:r>
      <w:r w:rsidRPr="005635E7">
        <w:rPr>
          <w:rFonts w:asciiTheme="majorBidi" w:hAnsiTheme="majorBidi" w:cstheme="majorBidi"/>
        </w:rPr>
        <w:t>Literature Review.</w:t>
      </w:r>
    </w:p>
    <w:p w14:paraId="6EF15CC3"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67" w:name="_Toc115310388"/>
      <w:r w:rsidRPr="005635E7">
        <w:rPr>
          <w:rFonts w:asciiTheme="majorBidi" w:hAnsiTheme="majorBidi"/>
          <w:b/>
          <w:bCs/>
          <w:color w:val="auto"/>
          <w:sz w:val="28"/>
          <w:szCs w:val="28"/>
        </w:rPr>
        <w:t>3.4 Research Strategy</w:t>
      </w:r>
      <w:bookmarkEnd w:id="67"/>
    </w:p>
    <w:p w14:paraId="3C809250" w14:textId="77777777" w:rsidR="005976AB" w:rsidRPr="005635E7" w:rsidRDefault="005976AB" w:rsidP="005976AB">
      <w:pPr>
        <w:widowControl w:val="0"/>
        <w:autoSpaceDE w:val="0"/>
        <w:autoSpaceDN w:val="0"/>
        <w:adjustRightInd w:val="0"/>
        <w:spacing w:after="240" w:line="480" w:lineRule="auto"/>
        <w:jc w:val="both"/>
        <w:rPr>
          <w:rFonts w:asciiTheme="majorBidi" w:hAnsiTheme="majorBidi" w:cstheme="majorBidi"/>
        </w:rPr>
      </w:pPr>
      <w:bookmarkStart w:id="68" w:name="_Hlk42179015"/>
      <w:r w:rsidRPr="005635E7">
        <w:rPr>
          <w:rFonts w:asciiTheme="majorBidi" w:hAnsiTheme="majorBidi" w:cstheme="majorBidi"/>
        </w:rPr>
        <w:t xml:space="preserve">The selection of a research strategy was based on the nature of the study: descriptive, exploratory, or explanatory. </w:t>
      </w:r>
      <w:bookmarkEnd w:id="68"/>
      <w:r w:rsidRPr="005635E7">
        <w:rPr>
          <w:rFonts w:asciiTheme="majorBidi" w:hAnsiTheme="majorBidi" w:cstheme="majorBidi"/>
        </w:rPr>
        <w:t>To clarify the current study's research framework for OLC, OI, and FP in relation to SMEs in the UAE, a descriptive research strategy was considered to be the most suitable research methodology. According to Sekaran and Bougies (2016), because descriptive investigations focus on the relationships between two or more variables, they may be guided by one or more hypotheses.</w:t>
      </w:r>
    </w:p>
    <w:p w14:paraId="2B79C913" w14:textId="77777777" w:rsidR="005976AB" w:rsidRPr="005635E7" w:rsidRDefault="005976AB" w:rsidP="005976AB">
      <w:pPr>
        <w:widowControl w:val="0"/>
        <w:autoSpaceDE w:val="0"/>
        <w:autoSpaceDN w:val="0"/>
        <w:adjustRightInd w:val="0"/>
        <w:spacing w:after="240" w:line="480" w:lineRule="auto"/>
        <w:jc w:val="both"/>
        <w:rPr>
          <w:rFonts w:asciiTheme="majorBidi" w:hAnsiTheme="majorBidi" w:cstheme="majorBidi"/>
        </w:rPr>
      </w:pPr>
      <w:r w:rsidRPr="005635E7">
        <w:rPr>
          <w:rFonts w:asciiTheme="majorBidi" w:hAnsiTheme="majorBidi" w:cstheme="majorBidi"/>
        </w:rPr>
        <w:t>Research methodologies can range widely depending on the type of study being conducted, from surveys to experiments to grounded theory (Saunders et al., 2016). Following the deductive approach, this study thus employ</w:t>
      </w:r>
      <w:r>
        <w:rPr>
          <w:rFonts w:asciiTheme="majorBidi" w:hAnsiTheme="majorBidi" w:cstheme="majorBidi"/>
        </w:rPr>
        <w:t>ed</w:t>
      </w:r>
      <w:r w:rsidRPr="005635E7">
        <w:rPr>
          <w:rFonts w:asciiTheme="majorBidi" w:hAnsiTheme="majorBidi" w:cstheme="majorBidi"/>
        </w:rPr>
        <w:t xml:space="preserve"> survey strategy which is one of the frequently espoused research designs in the setting of management and social science research (Saunders et al., 2016). The descriptive nature of this study highlighted the quantification of data gathering, instrument measurement</w:t>
      </w:r>
      <w:r w:rsidRPr="005635E7">
        <w:rPr>
          <w:rFonts w:ascii="Times New Roman" w:eastAsia="Calibri" w:hAnsi="Times New Roman" w:cs="Times New Roman"/>
        </w:rPr>
        <w:t xml:space="preserve">s, </w:t>
      </w:r>
      <w:r w:rsidRPr="005635E7">
        <w:rPr>
          <w:rFonts w:asciiTheme="majorBidi" w:hAnsiTheme="majorBidi" w:cstheme="majorBidi"/>
        </w:rPr>
        <w:t>and data analysis (Bryman &amp; Bell, 2015). In view of this, a quantitative research strategy based on a survey may be an effective qualitative research strategy.</w:t>
      </w:r>
    </w:p>
    <w:p w14:paraId="7A23B8B6" w14:textId="77777777" w:rsidR="005976AB" w:rsidRPr="005635E7" w:rsidRDefault="005976AB" w:rsidP="005976AB">
      <w:pPr>
        <w:widowControl w:val="0"/>
        <w:autoSpaceDE w:val="0"/>
        <w:autoSpaceDN w:val="0"/>
        <w:adjustRightInd w:val="0"/>
        <w:spacing w:after="240" w:line="480" w:lineRule="auto"/>
        <w:jc w:val="both"/>
        <w:rPr>
          <w:rFonts w:asciiTheme="majorBidi" w:hAnsiTheme="majorBidi" w:cstheme="majorBidi"/>
        </w:rPr>
      </w:pPr>
      <w:r w:rsidRPr="005635E7">
        <w:rPr>
          <w:rFonts w:asciiTheme="majorBidi" w:hAnsiTheme="majorBidi" w:cstheme="majorBidi"/>
        </w:rPr>
        <w:t xml:space="preserve">The survey strategy is linked to deductive research approaches and has the ability to collect data from a relatively large population within a short timeframe (Saunders et al., 2016). Thus, data gathered using </w:t>
      </w:r>
      <w:r w:rsidRPr="005635E7">
        <w:rPr>
          <w:rFonts w:ascii="Times New Roman" w:eastAsia="Calibri" w:hAnsi="Times New Roman" w:cs="Times New Roman"/>
        </w:rPr>
        <w:t xml:space="preserve">a survey research strategy can </w:t>
      </w:r>
      <w:r w:rsidRPr="005635E7">
        <w:rPr>
          <w:rFonts w:asciiTheme="majorBidi" w:hAnsiTheme="majorBidi" w:cstheme="majorBidi"/>
        </w:rPr>
        <w:t>be analyzed quantitatively through descriptive and inferential statistics (Bryman &amp; Bell, 2015). Additionally, the researcher’s subjectivity level in methodology is less in quantitative survey</w:t>
      </w:r>
      <w:r w:rsidRPr="005635E7">
        <w:rPr>
          <w:rFonts w:ascii="Times New Roman" w:eastAsia="Calibri" w:hAnsi="Times New Roman" w:cs="Times New Roman"/>
        </w:rPr>
        <w:t>s (i.e., reflecting positivis</w:t>
      </w:r>
      <w:r w:rsidRPr="005635E7">
        <w:rPr>
          <w:rFonts w:asciiTheme="majorBidi" w:hAnsiTheme="majorBidi" w:cstheme="majorBidi"/>
        </w:rPr>
        <w:t>t philosophy and deductive approach)</w:t>
      </w:r>
      <w:r w:rsidRPr="005635E7">
        <w:rPr>
          <w:rFonts w:ascii="Times New Roman" w:eastAsia="Calibri" w:hAnsi="Times New Roman" w:cs="Times New Roman"/>
        </w:rPr>
        <w:t xml:space="preserve">, while frequently tolerating </w:t>
      </w:r>
      <w:r w:rsidRPr="005635E7">
        <w:rPr>
          <w:rFonts w:asciiTheme="majorBidi" w:hAnsiTheme="majorBidi" w:cstheme="majorBidi"/>
        </w:rPr>
        <w:t>lessen</w:t>
      </w:r>
      <w:r w:rsidRPr="005635E7">
        <w:rPr>
          <w:rFonts w:ascii="Times New Roman" w:eastAsia="Calibri" w:hAnsi="Times New Roman" w:cs="Times New Roman"/>
        </w:rPr>
        <w:t>ing and restructur</w:t>
      </w:r>
      <w:r w:rsidRPr="005635E7">
        <w:rPr>
          <w:rFonts w:asciiTheme="majorBidi" w:hAnsiTheme="majorBidi" w:cstheme="majorBidi"/>
        </w:rPr>
        <w:t xml:space="preserve">ing many complex problems into </w:t>
      </w:r>
      <w:r w:rsidRPr="005635E7">
        <w:rPr>
          <w:rFonts w:ascii="Times New Roman" w:eastAsia="Calibri" w:hAnsi="Times New Roman" w:cs="Times New Roman"/>
        </w:rPr>
        <w:t>a small number of variables (Saunders et al., 2016).</w:t>
      </w:r>
    </w:p>
    <w:p w14:paraId="47722404" w14:textId="77777777" w:rsidR="005976AB" w:rsidRPr="00D73F8E" w:rsidRDefault="005976AB" w:rsidP="005976AB">
      <w:pPr>
        <w:autoSpaceDE w:val="0"/>
        <w:autoSpaceDN w:val="0"/>
        <w:adjustRightInd w:val="0"/>
        <w:spacing w:after="240" w:line="480" w:lineRule="auto"/>
        <w:jc w:val="both"/>
        <w:rPr>
          <w:rFonts w:asciiTheme="majorBidi" w:hAnsiTheme="majorBidi" w:cstheme="majorBidi"/>
        </w:rPr>
      </w:pPr>
      <w:r w:rsidRPr="005635E7">
        <w:rPr>
          <w:rFonts w:asciiTheme="majorBidi" w:hAnsiTheme="majorBidi" w:cstheme="majorBidi"/>
        </w:rPr>
        <w:t xml:space="preserve">The rationality of applying </w:t>
      </w:r>
      <w:r w:rsidRPr="005635E7">
        <w:rPr>
          <w:rFonts w:ascii="Times New Roman" w:eastAsia="Calibri" w:hAnsi="Times New Roman" w:cs="Times New Roman"/>
        </w:rPr>
        <w:t xml:space="preserve">a quantitative survey strategy has been established </w:t>
      </w:r>
      <w:r w:rsidRPr="005635E7">
        <w:rPr>
          <w:rFonts w:asciiTheme="majorBidi" w:hAnsiTheme="majorBidi" w:cstheme="majorBidi"/>
        </w:rPr>
        <w:t>in various previous studies using the same survey strategy to collect data through questionnaire</w:t>
      </w:r>
      <w:r w:rsidRPr="005635E7">
        <w:rPr>
          <w:rFonts w:ascii="Times New Roman" w:eastAsia="Calibri" w:hAnsi="Times New Roman" w:cs="Times New Roman"/>
        </w:rPr>
        <w:t xml:space="preserve">s and </w:t>
      </w:r>
      <w:r w:rsidRPr="005635E7">
        <w:rPr>
          <w:rFonts w:asciiTheme="majorBidi" w:hAnsiTheme="majorBidi" w:cstheme="majorBidi"/>
        </w:rPr>
        <w:t>statistically</w:t>
      </w:r>
      <w:r w:rsidRPr="005635E7">
        <w:rPr>
          <w:rFonts w:ascii="Times New Roman" w:eastAsia="Calibri" w:hAnsi="Times New Roman" w:cs="Times New Roman"/>
        </w:rPr>
        <w:t xml:space="preserve"> examine them (e.g., Bhatti et al., 2020; Cuéllar et al., 2019; </w:t>
      </w:r>
      <w:r w:rsidRPr="005635E7">
        <w:rPr>
          <w:rFonts w:asciiTheme="majorBidi" w:hAnsiTheme="majorBidi" w:cstheme="majorBidi"/>
        </w:rPr>
        <w:t xml:space="preserve">Garavan et al., 2016; Ogunyomi &amp; Bruning, 2016; Sánchez-Marín et al., 2019; Shahzad et al., 2019; Rasheed et al., 2017; </w:t>
      </w:r>
      <w:r w:rsidRPr="005635E7">
        <w:rPr>
          <w:rFonts w:asciiTheme="majorBidi" w:hAnsiTheme="majorBidi" w:cstheme="majorBidi"/>
        </w:rPr>
        <w:fldChar w:fldCharType="begin" w:fldLock="1"/>
      </w:r>
      <w:r w:rsidRPr="005635E7">
        <w:rPr>
          <w:rFonts w:asciiTheme="majorBidi" w:hAnsiTheme="majorBidi" w:cstheme="majorBidi"/>
        </w:rPr>
        <w:instrText>ADDIN CSL_CITATION {"citationItems":[{"id":"ITEM-1","itemData":{"DOI":"10.1108/BJM-02-2015-0060","ISBN":"0220150060","author":[{"dropping-particle":"","family":"Tallott","given":"Margaret","non-dropping-particle":"","parse-names":false,"suffix":""},{"dropping-particle":"","family":"Hilliard","given":"Rachel","non-dropping-particle":"","parse-names":false,"suffix":""}],"id":"ITEM-1","issued":{"date-parts":[["2015"]]},"title":"Developing dynamic capabilities for learning and internationalization A case study of diversification in an SME","type":"article-journal"},"uris":["http://www.mendeley.com/documents/?uuid=a858abc3-2ec1-4008-a721-978c9e09c053"]}],"mendeley":{"formattedCitation":"(Tallott &amp; Hilliard, 2015)","manualFormatting":"Tallott &amp; Hilliard (2015)","plainTextFormattedCitation":"(Tallott &amp; Hilliard, 2015)","previouslyFormattedCitation":"(Tallott &amp; Hilliard, 2015)"},"properties":{"noteIndex":0},"schema":"https://github.com/citation-style-language/schema/raw/master/csl-citation.json"}</w:instrText>
      </w:r>
      <w:r w:rsidRPr="005635E7">
        <w:rPr>
          <w:rFonts w:asciiTheme="majorBidi" w:hAnsiTheme="majorBidi" w:cstheme="majorBidi"/>
        </w:rPr>
        <w:fldChar w:fldCharType="separate"/>
      </w:r>
      <w:r w:rsidRPr="005635E7">
        <w:rPr>
          <w:rFonts w:asciiTheme="majorBidi" w:hAnsiTheme="majorBidi" w:cstheme="majorBidi"/>
        </w:rPr>
        <w:t>Tallott &amp; Hilliard, 2015</w:t>
      </w:r>
      <w:r w:rsidRPr="005635E7">
        <w:rPr>
          <w:rFonts w:asciiTheme="majorBidi" w:hAnsiTheme="majorBidi" w:cstheme="majorBidi"/>
        </w:rPr>
        <w:fldChar w:fldCharType="end"/>
      </w:r>
      <w:r w:rsidRPr="005635E7">
        <w:rPr>
          <w:rFonts w:asciiTheme="majorBidi" w:hAnsiTheme="majorBidi" w:cstheme="majorBidi"/>
        </w:rPr>
        <w:t>; Tran et al., 2020). However, a few concerns regarding the survey strategy have be</w:t>
      </w:r>
      <w:r w:rsidRPr="005635E7">
        <w:rPr>
          <w:rFonts w:ascii="Times New Roman" w:eastAsia="Calibri" w:hAnsi="Times New Roman" w:cs="Times New Roman"/>
        </w:rPr>
        <w:t>en noted (</w:t>
      </w:r>
      <w:r w:rsidRPr="005635E7">
        <w:rPr>
          <w:rFonts w:asciiTheme="majorBidi" w:hAnsiTheme="majorBidi" w:cstheme="majorBidi"/>
        </w:rPr>
        <w:t>Stylidis 2012). For example, it enables</w:t>
      </w:r>
      <w:r w:rsidRPr="005635E7">
        <w:rPr>
          <w:rFonts w:ascii="Times New Roman" w:eastAsia="Calibri" w:hAnsi="Times New Roman" w:cs="Times New Roman"/>
        </w:rPr>
        <w:t xml:space="preserve"> only a limited number of questions in the survey </w:t>
      </w:r>
      <w:r w:rsidRPr="005635E7">
        <w:rPr>
          <w:rFonts w:asciiTheme="majorBidi" w:hAnsiTheme="majorBidi" w:cstheme="majorBidi"/>
        </w:rPr>
        <w:t>that were pre</w:t>
      </w:r>
      <w:r>
        <w:rPr>
          <w:rFonts w:asciiTheme="majorBidi" w:hAnsiTheme="majorBidi" w:cstheme="majorBidi"/>
        </w:rPr>
        <w:t>-</w:t>
      </w:r>
      <w:r w:rsidRPr="005635E7">
        <w:rPr>
          <w:rFonts w:asciiTheme="majorBidi" w:hAnsiTheme="majorBidi" w:cstheme="majorBidi"/>
        </w:rPr>
        <w:t>determined previously. Furthermore, a researcher’s physical presence is expensive. However, the possibility of bias is inevitable</w:t>
      </w:r>
      <w:r w:rsidRPr="005635E7">
        <w:rPr>
          <w:rFonts w:ascii="Times New Roman" w:eastAsia="Calibri" w:hAnsi="Times New Roman" w:cs="Times New Roman"/>
        </w:rPr>
        <w:t xml:space="preserve">, as it can be caused </w:t>
      </w:r>
      <w:r w:rsidRPr="00D73F8E">
        <w:rPr>
          <w:rFonts w:ascii="Times New Roman" w:eastAsia="Calibri" w:hAnsi="Times New Roman" w:cs="Times New Roman"/>
        </w:rPr>
        <w:t>by the presence of a participant/interviewer.</w:t>
      </w:r>
    </w:p>
    <w:p w14:paraId="00DC77B6" w14:textId="77777777" w:rsidR="005976AB" w:rsidRPr="00D73F8E" w:rsidRDefault="005976AB" w:rsidP="005976AB">
      <w:pPr>
        <w:rPr>
          <w:rFonts w:asciiTheme="majorBidi" w:hAnsiTheme="majorBidi" w:cstheme="majorBidi"/>
        </w:rPr>
      </w:pPr>
    </w:p>
    <w:p w14:paraId="24E934D2"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69" w:name="_Toc115310389"/>
      <w:bookmarkStart w:id="70" w:name="_Hlk42179147"/>
      <w:r w:rsidRPr="00D73F8E">
        <w:rPr>
          <w:rFonts w:asciiTheme="majorBidi" w:hAnsiTheme="majorBidi"/>
          <w:b/>
          <w:bCs/>
          <w:color w:val="auto"/>
          <w:sz w:val="28"/>
          <w:szCs w:val="28"/>
        </w:rPr>
        <w:t>3.5 Research Methods Choices</w:t>
      </w:r>
      <w:bookmarkEnd w:id="69"/>
    </w:p>
    <w:bookmarkEnd w:id="70"/>
    <w:p w14:paraId="219C1C82" w14:textId="77777777" w:rsidR="005976AB" w:rsidRPr="005635E7" w:rsidRDefault="005976AB" w:rsidP="005976AB">
      <w:pPr>
        <w:widowControl w:val="0"/>
        <w:autoSpaceDE w:val="0"/>
        <w:autoSpaceDN w:val="0"/>
        <w:adjustRightInd w:val="0"/>
        <w:spacing w:after="240" w:line="480" w:lineRule="auto"/>
        <w:jc w:val="both"/>
        <w:rPr>
          <w:rFonts w:asciiTheme="majorBidi" w:hAnsiTheme="majorBidi" w:cstheme="majorBidi"/>
        </w:rPr>
      </w:pPr>
      <w:r w:rsidRPr="005635E7">
        <w:rPr>
          <w:rFonts w:asciiTheme="majorBidi" w:hAnsiTheme="majorBidi" w:cstheme="majorBidi"/>
        </w:rPr>
        <w:t>According to Saunders et al. (2016), the method used to integrate quantitative and qualitative approaches and procedures is the research choice. Researchers can either choose a single data collection method or corresponding data analysis procedures (</w:t>
      </w:r>
      <w:r w:rsidRPr="005635E7">
        <w:rPr>
          <w:rFonts w:ascii="Times New Roman" w:eastAsia="Calibri" w:hAnsi="Times New Roman" w:cs="Times New Roman"/>
        </w:rPr>
        <w:t>the so-called mono-method approach)</w:t>
      </w:r>
      <w:r w:rsidRPr="005635E7">
        <w:rPr>
          <w:rFonts w:asciiTheme="majorBidi" w:hAnsiTheme="majorBidi" w:cstheme="majorBidi"/>
        </w:rPr>
        <w:t xml:space="preserve"> or more than one data-gathering method and analysis procedure (the multiple-methods approach</w:t>
      </w:r>
      <w:r w:rsidRPr="005635E7">
        <w:rPr>
          <w:rFonts w:ascii="Times New Roman" w:eastAsia="Calibri" w:hAnsi="Times New Roman" w:cs="Times New Roman"/>
        </w:rPr>
        <w:t>). (Figure 3.1).</w:t>
      </w:r>
    </w:p>
    <w:p w14:paraId="7CFE5963" w14:textId="77777777" w:rsidR="005976AB" w:rsidRDefault="005976AB" w:rsidP="005976AB">
      <w:pPr>
        <w:widowControl w:val="0"/>
        <w:autoSpaceDE w:val="0"/>
        <w:autoSpaceDN w:val="0"/>
        <w:adjustRightInd w:val="0"/>
        <w:spacing w:after="240" w:line="480" w:lineRule="auto"/>
        <w:jc w:val="both"/>
        <w:rPr>
          <w:rFonts w:asciiTheme="majorBidi" w:hAnsiTheme="majorBidi" w:cstheme="majorBidi"/>
        </w:rPr>
      </w:pPr>
    </w:p>
    <w:p w14:paraId="06262A09" w14:textId="77777777" w:rsidR="00D37F84" w:rsidRDefault="00D37F84" w:rsidP="005976AB">
      <w:pPr>
        <w:widowControl w:val="0"/>
        <w:autoSpaceDE w:val="0"/>
        <w:autoSpaceDN w:val="0"/>
        <w:adjustRightInd w:val="0"/>
        <w:spacing w:after="240" w:line="480" w:lineRule="auto"/>
        <w:jc w:val="both"/>
        <w:rPr>
          <w:rFonts w:asciiTheme="majorBidi" w:hAnsiTheme="majorBidi" w:cstheme="majorBidi"/>
        </w:rPr>
      </w:pPr>
    </w:p>
    <w:p w14:paraId="59F0FEFC" w14:textId="77777777" w:rsidR="00D37F84" w:rsidRPr="005635E7" w:rsidRDefault="00D37F84" w:rsidP="005976AB">
      <w:pPr>
        <w:widowControl w:val="0"/>
        <w:autoSpaceDE w:val="0"/>
        <w:autoSpaceDN w:val="0"/>
        <w:adjustRightInd w:val="0"/>
        <w:spacing w:after="240" w:line="480" w:lineRule="auto"/>
        <w:jc w:val="both"/>
        <w:rPr>
          <w:rFonts w:asciiTheme="majorBidi" w:hAnsiTheme="majorBidi" w:cstheme="majorBidi"/>
        </w:rPr>
      </w:pPr>
    </w:p>
    <w:p w14:paraId="44B82F53" w14:textId="77777777" w:rsidR="005976AB" w:rsidRPr="005635E7" w:rsidRDefault="005976AB" w:rsidP="005976AB">
      <w:pPr>
        <w:pStyle w:val="Caption"/>
        <w:rPr>
          <w:rFonts w:asciiTheme="majorBidi" w:hAnsiTheme="majorBidi" w:cstheme="majorBidi"/>
          <w:i w:val="0"/>
          <w:iCs w:val="0"/>
          <w:color w:val="auto"/>
          <w:sz w:val="24"/>
          <w:szCs w:val="24"/>
        </w:rPr>
      </w:pPr>
      <w:bookmarkStart w:id="71" w:name="_Toc126432343"/>
      <w:r w:rsidRPr="005635E7">
        <w:rPr>
          <w:rFonts w:asciiTheme="majorBidi" w:hAnsiTheme="majorBidi" w:cstheme="majorBidi"/>
          <w:i w:val="0"/>
          <w:iCs w:val="0"/>
          <w:color w:val="auto"/>
          <w:sz w:val="24"/>
          <w:szCs w:val="24"/>
        </w:rPr>
        <w:t>Figure 3.</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Figure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1</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Research choices</w:t>
      </w:r>
      <w:bookmarkEnd w:id="71"/>
    </w:p>
    <w:p w14:paraId="68FC6B3A" w14:textId="77777777" w:rsidR="005976AB" w:rsidRPr="005635E7" w:rsidRDefault="005976AB" w:rsidP="005976AB">
      <w:pPr>
        <w:spacing w:after="240" w:line="480" w:lineRule="auto"/>
        <w:jc w:val="both"/>
        <w:rPr>
          <w:rFonts w:asciiTheme="majorBidi" w:hAnsiTheme="majorBidi" w:cstheme="majorBidi"/>
        </w:rPr>
      </w:pPr>
      <w:bookmarkStart w:id="72" w:name="Figure_10"/>
      <w:r w:rsidRPr="005635E7">
        <w:rPr>
          <w:rFonts w:asciiTheme="majorBidi" w:hAnsiTheme="majorBidi" w:cstheme="majorBidi"/>
          <w:noProof/>
          <w:lang w:eastAsia="en-GB"/>
        </w:rPr>
        <w:drawing>
          <wp:inline distT="0" distB="0" distL="0" distR="0" wp14:anchorId="7720591D" wp14:editId="2F07AEDD">
            <wp:extent cx="5097590" cy="2143125"/>
            <wp:effectExtent l="19050" t="19050" r="2730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8-04-13 at 4.45.19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8458" cy="2156102"/>
                    </a:xfrm>
                    <a:prstGeom prst="rect">
                      <a:avLst/>
                    </a:prstGeom>
                    <a:ln>
                      <a:solidFill>
                        <a:schemeClr val="bg1"/>
                      </a:solidFill>
                    </a:ln>
                  </pic:spPr>
                </pic:pic>
              </a:graphicData>
            </a:graphic>
          </wp:inline>
        </w:drawing>
      </w:r>
      <w:bookmarkEnd w:id="72"/>
    </w:p>
    <w:p w14:paraId="36AA7560"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(Source: Saunders et al., 2016)</w:t>
      </w:r>
    </w:p>
    <w:p w14:paraId="4465AD8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As this research applies </w:t>
      </w:r>
      <w:r w:rsidRPr="005635E7">
        <w:rPr>
          <w:rFonts w:ascii="Times New Roman" w:eastAsia="Calibri" w:hAnsi="Times New Roman" w:cs="Times New Roman"/>
        </w:rPr>
        <w:t>a single technique for data gathering through surveys</w:t>
      </w:r>
      <w:r w:rsidRPr="005635E7">
        <w:rPr>
          <w:rFonts w:asciiTheme="majorBidi" w:hAnsiTheme="majorBidi" w:cstheme="majorBidi"/>
        </w:rPr>
        <w:t xml:space="preserve"> and data analysis via quantitative analytical methods, it uses a mono-method as its research choice, directed by a quantitative approach. This method is generally used in the field of organization</w:t>
      </w:r>
      <w:r w:rsidRPr="005635E7">
        <w:rPr>
          <w:rFonts w:ascii="Times New Roman" w:eastAsia="Calibri" w:hAnsi="Times New Roman" w:cs="Times New Roman"/>
        </w:rPr>
        <w:t>al</w:t>
      </w:r>
      <w:r w:rsidRPr="005635E7">
        <w:rPr>
          <w:rFonts w:asciiTheme="majorBidi" w:hAnsiTheme="majorBidi" w:cstheme="majorBidi"/>
        </w:rPr>
        <w:t xml:space="preserve"> learning and innovation (e.g., Cuéllar et al., 2019; </w:t>
      </w:r>
      <w:r w:rsidRPr="005635E7">
        <w:rPr>
          <w:rFonts w:asciiTheme="majorBidi" w:hAnsiTheme="majorBidi" w:cstheme="majorBidi"/>
          <w:shd w:val="clear" w:color="auto" w:fill="FFFFFF"/>
        </w:rPr>
        <w:t xml:space="preserve">de Zubielqui, et al., 2019; </w:t>
      </w:r>
      <w:r w:rsidRPr="005635E7">
        <w:rPr>
          <w:rFonts w:asciiTheme="majorBidi" w:hAnsiTheme="majorBidi" w:cstheme="majorBidi"/>
        </w:rPr>
        <w:t xml:space="preserve">Garavan et al., 2016; </w:t>
      </w:r>
      <w:r w:rsidRPr="005635E7">
        <w:rPr>
          <w:rFonts w:asciiTheme="majorBidi" w:hAnsiTheme="majorBidi" w:cstheme="majorBidi"/>
          <w:shd w:val="clear" w:color="auto" w:fill="FFFFFF"/>
        </w:rPr>
        <w:t>Hu et al., 2016; Hooi 2019;</w:t>
      </w:r>
      <w:r w:rsidRPr="005635E7">
        <w:rPr>
          <w:rFonts w:asciiTheme="majorBidi" w:hAnsiTheme="majorBidi" w:cstheme="majorBidi"/>
        </w:rPr>
        <w:t xml:space="preserve"> Ogunyomi &amp; Bruning, 2016; </w:t>
      </w:r>
      <w:r w:rsidRPr="005635E7">
        <w:rPr>
          <w:rFonts w:asciiTheme="majorBidi" w:hAnsiTheme="majorBidi" w:cstheme="majorBidi"/>
          <w:shd w:val="clear" w:color="auto" w:fill="FFFFFF"/>
        </w:rPr>
        <w:t xml:space="preserve">Papa et al., 2018; </w:t>
      </w:r>
      <w:r w:rsidRPr="005635E7">
        <w:rPr>
          <w:rFonts w:asciiTheme="majorBidi" w:hAnsiTheme="majorBidi" w:cstheme="majorBidi"/>
        </w:rPr>
        <w:t>Sánchez-Marín et al., 2019; Shahzad et al., 2019; Rasheed et al., 2017).</w:t>
      </w:r>
    </w:p>
    <w:p w14:paraId="0BBF0317"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73" w:name="_Toc115310390"/>
      <w:r w:rsidRPr="005635E7">
        <w:rPr>
          <w:rFonts w:asciiTheme="majorBidi" w:hAnsiTheme="majorBidi"/>
          <w:b/>
          <w:bCs/>
          <w:color w:val="auto"/>
          <w:sz w:val="28"/>
          <w:szCs w:val="28"/>
        </w:rPr>
        <w:t>3.6 Time Horizon</w:t>
      </w:r>
      <w:bookmarkEnd w:id="73"/>
    </w:p>
    <w:p w14:paraId="39E6442D" w14:textId="77777777" w:rsidR="005976AB" w:rsidRPr="005635E7" w:rsidRDefault="005976AB" w:rsidP="005976AB">
      <w:pPr>
        <w:spacing w:after="240" w:line="480" w:lineRule="auto"/>
        <w:jc w:val="both"/>
        <w:rPr>
          <w:rFonts w:asciiTheme="majorBidi" w:hAnsiTheme="majorBidi" w:cstheme="majorBidi"/>
        </w:rPr>
      </w:pPr>
      <w:bookmarkStart w:id="74" w:name="_Toc65307625"/>
      <w:r w:rsidRPr="005635E7">
        <w:rPr>
          <w:rFonts w:asciiTheme="majorBidi" w:hAnsiTheme="majorBidi" w:cstheme="majorBidi"/>
        </w:rPr>
        <w:t xml:space="preserve">Based on the length of the survey, descriptive research can be divided into two groups: longitudinal (in which data are collected regularly over time) and cross-sectional (in which data are collected only once) (Bryman &amp; Bell, 2015). The best temporal horizon for this study was cross-sectional, because it was strongly related to the questionnaire. Therefore, a quantitative data pool </w:t>
      </w:r>
      <w:r>
        <w:rPr>
          <w:rFonts w:asciiTheme="majorBidi" w:hAnsiTheme="majorBidi" w:cstheme="majorBidi"/>
        </w:rPr>
        <w:t>may</w:t>
      </w:r>
      <w:r w:rsidRPr="005635E7">
        <w:rPr>
          <w:rFonts w:asciiTheme="majorBidi" w:hAnsiTheme="majorBidi" w:cstheme="majorBidi"/>
        </w:rPr>
        <w:t xml:space="preserve"> be created for the analysis of the relationships between constructs such as OLC, OI, and FP, </w:t>
      </w:r>
      <w:r w:rsidRPr="005635E7">
        <w:rPr>
          <w:rFonts w:ascii="Times New Roman" w:eastAsia="Calibri" w:hAnsi="Times New Roman" w:cs="Times New Roman"/>
        </w:rPr>
        <w:t xml:space="preserve">and the study's questionnaire distribution </w:t>
      </w:r>
      <w:r>
        <w:rPr>
          <w:rFonts w:ascii="Times New Roman" w:eastAsia="Calibri" w:hAnsi="Times New Roman" w:cs="Times New Roman"/>
        </w:rPr>
        <w:t>may</w:t>
      </w:r>
      <w:r w:rsidRPr="005635E7">
        <w:rPr>
          <w:rFonts w:ascii="Times New Roman" w:eastAsia="Calibri" w:hAnsi="Times New Roman" w:cs="Times New Roman"/>
        </w:rPr>
        <w:t xml:space="preserve"> be linked to a case at a specific point in time (between March–June of 2020).</w:t>
      </w:r>
    </w:p>
    <w:p w14:paraId="51D23C60"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75" w:name="_Toc115310391"/>
      <w:r w:rsidRPr="005635E7">
        <w:rPr>
          <w:rFonts w:asciiTheme="majorBidi" w:hAnsiTheme="majorBidi"/>
          <w:b/>
          <w:bCs/>
          <w:color w:val="auto"/>
          <w:sz w:val="28"/>
          <w:szCs w:val="28"/>
        </w:rPr>
        <w:t>3.7 Sampling Methods</w:t>
      </w:r>
      <w:bookmarkEnd w:id="74"/>
      <w:bookmarkEnd w:id="75"/>
    </w:p>
    <w:p w14:paraId="09631A67" w14:textId="77777777" w:rsidR="005976AB" w:rsidRPr="005635E7" w:rsidRDefault="005976AB" w:rsidP="005976AB">
      <w:pPr>
        <w:pStyle w:val="Heading3"/>
        <w:spacing w:after="240" w:line="480" w:lineRule="auto"/>
        <w:rPr>
          <w:rFonts w:asciiTheme="majorBidi" w:hAnsiTheme="majorBidi"/>
          <w:b/>
          <w:bCs/>
          <w:color w:val="auto"/>
        </w:rPr>
      </w:pPr>
      <w:bookmarkStart w:id="76" w:name="_Toc45663833"/>
      <w:bookmarkStart w:id="77" w:name="_Toc45825655"/>
      <w:bookmarkStart w:id="78" w:name="_Toc51179181"/>
      <w:bookmarkStart w:id="79" w:name="_Toc52473280"/>
      <w:bookmarkStart w:id="80" w:name="_Toc115310392"/>
      <w:r w:rsidRPr="005635E7">
        <w:rPr>
          <w:rFonts w:asciiTheme="majorBidi" w:hAnsiTheme="majorBidi"/>
          <w:b/>
          <w:bCs/>
          <w:color w:val="auto"/>
        </w:rPr>
        <w:t>3.7.1 Population</w:t>
      </w:r>
      <w:bookmarkEnd w:id="76"/>
      <w:bookmarkEnd w:id="77"/>
      <w:bookmarkEnd w:id="78"/>
      <w:bookmarkEnd w:id="79"/>
      <w:bookmarkEnd w:id="80"/>
    </w:p>
    <w:p w14:paraId="39F887A2"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According to O'Leary (2017), a population is a clearly defined class of objects, occasions, or individuals. All SMEs founded and operating in the UAE constituted the study population. The study population characteristics are shown in Table 3.2 below.</w:t>
      </w:r>
    </w:p>
    <w:p w14:paraId="0E781DC2" w14:textId="77777777" w:rsidR="005976AB" w:rsidRPr="005635E7" w:rsidRDefault="005976AB" w:rsidP="005976AB">
      <w:pPr>
        <w:pStyle w:val="Caption"/>
        <w:rPr>
          <w:rFonts w:asciiTheme="majorBidi" w:hAnsiTheme="majorBidi" w:cstheme="majorBidi"/>
          <w:i w:val="0"/>
          <w:iCs w:val="0"/>
          <w:color w:val="auto"/>
          <w:sz w:val="24"/>
          <w:szCs w:val="24"/>
        </w:rPr>
      </w:pPr>
      <w:bookmarkStart w:id="81" w:name="_Toc126377956"/>
      <w:r w:rsidRPr="005635E7">
        <w:rPr>
          <w:rFonts w:asciiTheme="majorBidi" w:hAnsiTheme="majorBidi" w:cstheme="majorBidi"/>
          <w:i w:val="0"/>
          <w:iCs w:val="0"/>
          <w:color w:val="auto"/>
          <w:sz w:val="24"/>
          <w:szCs w:val="24"/>
        </w:rPr>
        <w:t>Table 3.</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2</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Population of the study (SMEs in the UAE)</w:t>
      </w:r>
      <w:bookmarkEnd w:id="81"/>
    </w:p>
    <w:tbl>
      <w:tblPr>
        <w:tblStyle w:val="TableGrid"/>
        <w:tblW w:w="0" w:type="auto"/>
        <w:tblLook w:val="04A0" w:firstRow="1" w:lastRow="0" w:firstColumn="1" w:lastColumn="0" w:noHBand="0" w:noVBand="1"/>
      </w:tblPr>
      <w:tblGrid>
        <w:gridCol w:w="3358"/>
        <w:gridCol w:w="2794"/>
        <w:gridCol w:w="2864"/>
      </w:tblGrid>
      <w:tr w:rsidR="005976AB" w:rsidRPr="005635E7" w14:paraId="5FC7B691" w14:textId="77777777" w:rsidTr="009E2F41">
        <w:tc>
          <w:tcPr>
            <w:tcW w:w="3488" w:type="dxa"/>
          </w:tcPr>
          <w:p w14:paraId="311A4F07"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Economic Sector</w:t>
            </w:r>
          </w:p>
        </w:tc>
        <w:tc>
          <w:tcPr>
            <w:tcW w:w="2931" w:type="dxa"/>
          </w:tcPr>
          <w:p w14:paraId="5956982F"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Number of SMEs</w:t>
            </w:r>
          </w:p>
        </w:tc>
        <w:tc>
          <w:tcPr>
            <w:tcW w:w="2931" w:type="dxa"/>
          </w:tcPr>
          <w:p w14:paraId="6A191857" w14:textId="77777777" w:rsidR="005976AB" w:rsidRPr="005635E7" w:rsidRDefault="005976AB" w:rsidP="009E2F41">
            <w:pPr>
              <w:spacing w:after="240"/>
              <w:ind w:firstLine="720"/>
              <w:jc w:val="both"/>
              <w:rPr>
                <w:rFonts w:asciiTheme="majorBidi" w:hAnsiTheme="majorBidi" w:cstheme="majorBidi"/>
              </w:rPr>
            </w:pPr>
            <w:r w:rsidRPr="005635E7">
              <w:rPr>
                <w:rFonts w:asciiTheme="majorBidi" w:hAnsiTheme="majorBidi" w:cstheme="majorBidi"/>
              </w:rPr>
              <w:t xml:space="preserve">Percentage </w:t>
            </w:r>
          </w:p>
        </w:tc>
      </w:tr>
      <w:tr w:rsidR="005976AB" w:rsidRPr="005635E7" w14:paraId="5885A058" w14:textId="77777777" w:rsidTr="009E2F41">
        <w:tc>
          <w:tcPr>
            <w:tcW w:w="3488" w:type="dxa"/>
          </w:tcPr>
          <w:p w14:paraId="0BB3C746"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 xml:space="preserve">Wholesale and retail sector </w:t>
            </w:r>
          </w:p>
        </w:tc>
        <w:tc>
          <w:tcPr>
            <w:tcW w:w="2931" w:type="dxa"/>
          </w:tcPr>
          <w:p w14:paraId="0AF07FCE"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284,000</w:t>
            </w:r>
          </w:p>
        </w:tc>
        <w:tc>
          <w:tcPr>
            <w:tcW w:w="2931" w:type="dxa"/>
          </w:tcPr>
          <w:p w14:paraId="4763BE3A"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73%</w:t>
            </w:r>
          </w:p>
        </w:tc>
      </w:tr>
      <w:tr w:rsidR="005976AB" w:rsidRPr="005635E7" w14:paraId="61BAA9EF" w14:textId="77777777" w:rsidTr="009E2F41">
        <w:tc>
          <w:tcPr>
            <w:tcW w:w="3488" w:type="dxa"/>
          </w:tcPr>
          <w:p w14:paraId="196531AE"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 xml:space="preserve">Manufacturing sector </w:t>
            </w:r>
          </w:p>
        </w:tc>
        <w:tc>
          <w:tcPr>
            <w:tcW w:w="2931" w:type="dxa"/>
          </w:tcPr>
          <w:p w14:paraId="5A2F8E4A"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44,000</w:t>
            </w:r>
          </w:p>
        </w:tc>
        <w:tc>
          <w:tcPr>
            <w:tcW w:w="2931" w:type="dxa"/>
          </w:tcPr>
          <w:p w14:paraId="6D72A1EB"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11%</w:t>
            </w:r>
          </w:p>
        </w:tc>
      </w:tr>
      <w:tr w:rsidR="005976AB" w:rsidRPr="005635E7" w14:paraId="025DB985" w14:textId="77777777" w:rsidTr="009E2F41">
        <w:tc>
          <w:tcPr>
            <w:tcW w:w="3488" w:type="dxa"/>
          </w:tcPr>
          <w:p w14:paraId="51160F83"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 xml:space="preserve">Service sector </w:t>
            </w:r>
          </w:p>
        </w:tc>
        <w:tc>
          <w:tcPr>
            <w:tcW w:w="2931" w:type="dxa"/>
          </w:tcPr>
          <w:p w14:paraId="565DFEB0"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64,000</w:t>
            </w:r>
          </w:p>
        </w:tc>
        <w:tc>
          <w:tcPr>
            <w:tcW w:w="2931" w:type="dxa"/>
          </w:tcPr>
          <w:p w14:paraId="6F008791"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16%</w:t>
            </w:r>
          </w:p>
        </w:tc>
      </w:tr>
    </w:tbl>
    <w:p w14:paraId="60A2CFE6"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(Source: </w:t>
      </w:r>
      <w:r w:rsidRPr="005635E7">
        <w:rPr>
          <w:rFonts w:asciiTheme="majorBidi" w:hAnsiTheme="majorBidi" w:cstheme="majorBidi"/>
        </w:rPr>
        <w:fldChar w:fldCharType="begin" w:fldLock="1"/>
      </w:r>
      <w:r w:rsidRPr="005635E7">
        <w:rPr>
          <w:rFonts w:asciiTheme="majorBidi" w:hAnsiTheme="majorBidi" w:cstheme="majorBidi"/>
        </w:rPr>
        <w:instrText>ADDIN CSL_CITATION {"citationItems":[{"id":"ITEM-1","itemData":{"author":[{"dropping-particle":"","family":"National Bank of Fujairah","given":"","non-dropping-particle":"","parse-names":false,"suffix":""}],"id":"ITEM-1","issue":"April","issued":{"date-parts":[["2019"]]},"title":"Sme in-depth","type":"report"},"uris":["http://www.mendeley.com/documents/?uuid=ecee808c-b329-459c-ae88-8393179eef54","http://www.mendeley.com/documents/?uuid=c6de9182-65bb-4a4a-9f8e-3f8904bf89ea"]}],"mendeley":{"formattedCitation":"(National Bank of Fujairah, 2019)","manualFormatting":"National Bank of Fujairah, 2019)","plainTextFormattedCitation":"(National Bank of Fujairah, 2019)","previouslyFormattedCitation":"(National Bank of Fujairah, 2019)"},"properties":{"noteIndex":0},"schema":"https://github.com/citation-style-language/schema/raw/master/csl-citation.json"}</w:instrText>
      </w:r>
      <w:r w:rsidRPr="005635E7">
        <w:rPr>
          <w:rFonts w:asciiTheme="majorBidi" w:hAnsiTheme="majorBidi" w:cstheme="majorBidi"/>
        </w:rPr>
        <w:fldChar w:fldCharType="separate"/>
      </w:r>
      <w:r w:rsidRPr="005635E7">
        <w:rPr>
          <w:rFonts w:asciiTheme="majorBidi" w:hAnsiTheme="majorBidi" w:cstheme="majorBidi"/>
        </w:rPr>
        <w:t>National Bank of Fujairah, 2019)</w:t>
      </w:r>
      <w:r w:rsidRPr="005635E7">
        <w:rPr>
          <w:rFonts w:asciiTheme="majorBidi" w:hAnsiTheme="majorBidi" w:cstheme="majorBidi"/>
        </w:rPr>
        <w:fldChar w:fldCharType="end"/>
      </w:r>
    </w:p>
    <w:p w14:paraId="610E8751"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As shown </w:t>
      </w:r>
      <w:r w:rsidRPr="00D73F8E">
        <w:rPr>
          <w:rFonts w:asciiTheme="majorBidi" w:hAnsiTheme="majorBidi" w:cstheme="majorBidi"/>
        </w:rPr>
        <w:t>in Table 3.2, 284,000</w:t>
      </w:r>
      <w:r w:rsidRPr="005635E7">
        <w:rPr>
          <w:rFonts w:asciiTheme="majorBidi" w:hAnsiTheme="majorBidi" w:cstheme="majorBidi"/>
        </w:rPr>
        <w:t xml:space="preserve">, 44,000, and 64,000 SMEs </w:t>
      </w:r>
      <w:r w:rsidRPr="005635E7">
        <w:rPr>
          <w:rFonts w:ascii="Times New Roman" w:eastAsia="Calibri" w:hAnsi="Times New Roman" w:cs="Times New Roman"/>
        </w:rPr>
        <w:t>are engaged in the manufacturing, wholesale</w:t>
      </w:r>
      <w:r w:rsidRPr="005635E7">
        <w:rPr>
          <w:rFonts w:asciiTheme="majorBidi" w:hAnsiTheme="majorBidi" w:cstheme="majorBidi"/>
        </w:rPr>
        <w:t>, retail, and service sectors, respectively, in the UAE (National Bank of Fujairah, 2019).</w:t>
      </w:r>
    </w:p>
    <w:p w14:paraId="056A1A54" w14:textId="77777777" w:rsidR="005976AB" w:rsidRPr="005635E7" w:rsidRDefault="005976AB" w:rsidP="005976AB">
      <w:pPr>
        <w:pStyle w:val="Heading3"/>
        <w:spacing w:after="240" w:line="480" w:lineRule="auto"/>
        <w:rPr>
          <w:rFonts w:asciiTheme="majorBidi" w:hAnsiTheme="majorBidi"/>
          <w:b/>
          <w:bCs/>
          <w:color w:val="auto"/>
        </w:rPr>
      </w:pPr>
      <w:bookmarkStart w:id="82" w:name="_Toc115310393"/>
      <w:r w:rsidRPr="005635E7">
        <w:rPr>
          <w:rFonts w:asciiTheme="majorBidi" w:hAnsiTheme="majorBidi"/>
          <w:b/>
          <w:bCs/>
          <w:color w:val="auto"/>
        </w:rPr>
        <w:t>3.7.2 Sampling Frame</w:t>
      </w:r>
      <w:bookmarkEnd w:id="82"/>
    </w:p>
    <w:p w14:paraId="5280AB35" w14:textId="77777777" w:rsidR="005976AB" w:rsidRPr="009E2F41" w:rsidRDefault="005976AB" w:rsidP="005976AB">
      <w:pPr>
        <w:spacing w:after="240" w:line="480" w:lineRule="auto"/>
        <w:jc w:val="both"/>
        <w:rPr>
          <w:rFonts w:ascii="Times New Roman" w:hAnsi="Times New Roman" w:cs="Times New Roman"/>
        </w:rPr>
      </w:pPr>
      <w:r w:rsidRPr="005635E7">
        <w:rPr>
          <w:rFonts w:asciiTheme="majorBidi" w:hAnsiTheme="majorBidi" w:cstheme="majorBidi"/>
        </w:rPr>
        <w:t xml:space="preserve">The sample frame contains data on all </w:t>
      </w:r>
      <w:r w:rsidRPr="005635E7">
        <w:rPr>
          <w:rFonts w:ascii="Times New Roman" w:eastAsia="Calibri" w:hAnsi="Times New Roman" w:cs="Times New Roman"/>
        </w:rPr>
        <w:t>constituents of the target population</w:t>
      </w:r>
      <w:r w:rsidRPr="005635E7">
        <w:rPr>
          <w:rFonts w:asciiTheme="majorBidi" w:hAnsiTheme="majorBidi" w:cstheme="majorBidi"/>
        </w:rPr>
        <w:t xml:space="preserve"> from which the sample can be obtained (Denscombe 2010). According to Denscombe (2010), a good sampling frame should be relevant (consist</w:t>
      </w:r>
      <w:r w:rsidRPr="005635E7">
        <w:rPr>
          <w:rFonts w:ascii="Times New Roman" w:eastAsia="Calibri" w:hAnsi="Times New Roman" w:cs="Times New Roman"/>
        </w:rPr>
        <w:t>ing of elements closely related to the research topic), complete (covering all pertinent items), current (integrating recent additions and changes</w:t>
      </w:r>
      <w:r w:rsidRPr="005635E7">
        <w:rPr>
          <w:rFonts w:asciiTheme="majorBidi" w:hAnsiTheme="majorBidi" w:cstheme="majorBidi"/>
        </w:rPr>
        <w:t xml:space="preserve"> without redundant items), and precise (eliminating all inappropriate items). The sampling frame</w:t>
      </w:r>
      <w:r w:rsidRPr="005635E7">
        <w:rPr>
          <w:rFonts w:ascii="Times New Roman" w:eastAsia="Calibri" w:hAnsi="Times New Roman" w:cs="Times New Roman"/>
        </w:rPr>
        <w:t>work for this study consist</w:t>
      </w:r>
      <w:r w:rsidRPr="005635E7">
        <w:rPr>
          <w:rFonts w:asciiTheme="majorBidi" w:hAnsiTheme="majorBidi" w:cstheme="majorBidi"/>
        </w:rPr>
        <w:t xml:space="preserve">ed of SMEs in the </w:t>
      </w:r>
      <w:r w:rsidRPr="005635E7">
        <w:rPr>
          <w:rFonts w:ascii="Times New Roman" w:eastAsia="Calibri" w:hAnsi="Times New Roman" w:cs="Times New Roman"/>
        </w:rPr>
        <w:t>UAE’s manufacturing industry</w:t>
      </w:r>
      <w:r w:rsidRPr="005635E7">
        <w:rPr>
          <w:rFonts w:asciiTheme="majorBidi" w:hAnsiTheme="majorBidi" w:cstheme="majorBidi"/>
        </w:rPr>
        <w:t>. This study define</w:t>
      </w:r>
      <w:r>
        <w:rPr>
          <w:rFonts w:asciiTheme="majorBidi" w:hAnsiTheme="majorBidi" w:cstheme="majorBidi"/>
        </w:rPr>
        <w:t>d</w:t>
      </w:r>
      <w:r w:rsidRPr="005635E7">
        <w:rPr>
          <w:rFonts w:asciiTheme="majorBidi" w:hAnsiTheme="majorBidi" w:cstheme="majorBidi"/>
        </w:rPr>
        <w:t xml:space="preserve"> a manufacturing SME in accordance with </w:t>
      </w:r>
      <w:r w:rsidRPr="005635E7">
        <w:rPr>
          <w:rFonts w:ascii="Times New Roman" w:eastAsia="Calibri" w:hAnsi="Times New Roman" w:cs="Times New Roman"/>
        </w:rPr>
        <w:t xml:space="preserve">the UAE Cabinet Resolution No. 22 of 2016: micro enterprises are defined as </w:t>
      </w:r>
      <w:r w:rsidRPr="005635E7">
        <w:rPr>
          <w:rFonts w:asciiTheme="majorBidi" w:hAnsiTheme="majorBidi" w:cstheme="majorBidi"/>
        </w:rPr>
        <w:t>entities with fewer than nine employees and AED 3 million in annual revenue</w:t>
      </w:r>
      <w:r>
        <w:rPr>
          <w:rFonts w:asciiTheme="majorBidi" w:hAnsiTheme="majorBidi" w:cstheme="majorBidi"/>
        </w:rPr>
        <w:t>,</w:t>
      </w:r>
      <w:r w:rsidRPr="005635E7">
        <w:rPr>
          <w:rFonts w:asciiTheme="majorBidi" w:hAnsiTheme="majorBidi" w:cstheme="majorBidi"/>
        </w:rPr>
        <w:t xml:space="preserve"> small enterprises are defined as those with between 10 and 100 employees and AED 50 million in annual revenue</w:t>
      </w:r>
      <w:r>
        <w:rPr>
          <w:rFonts w:asciiTheme="majorBidi" w:hAnsiTheme="majorBidi" w:cstheme="majorBidi"/>
        </w:rPr>
        <w:t>,</w:t>
      </w:r>
      <w:r w:rsidRPr="005635E7">
        <w:rPr>
          <w:rFonts w:asciiTheme="majorBidi" w:hAnsiTheme="majorBidi" w:cstheme="majorBidi"/>
        </w:rPr>
        <w:t xml:space="preserve"> and medium enterprises are defined as those with between 101 and 250 employees and AED 250 million in annual revenue (Silver, 2016)</w:t>
      </w:r>
      <w:r w:rsidRPr="009E2F41">
        <w:rPr>
          <w:rFonts w:ascii="Times New Roman" w:hAnsi="Times New Roman" w:cs="Times New Roman"/>
        </w:rPr>
        <w:t>.</w:t>
      </w:r>
    </w:p>
    <w:p w14:paraId="2D34EDEA"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This is mainly because OLC and OI and their effects on FP can </w:t>
      </w:r>
      <w:r w:rsidRPr="005635E7">
        <w:rPr>
          <w:rFonts w:ascii="Times New Roman" w:eastAsia="Calibri" w:hAnsi="Times New Roman" w:cs="Times New Roman"/>
        </w:rPr>
        <w:t>vary significantly</w:t>
      </w:r>
      <w:r w:rsidRPr="005635E7">
        <w:rPr>
          <w:rFonts w:asciiTheme="majorBidi" w:hAnsiTheme="majorBidi" w:cstheme="majorBidi"/>
        </w:rPr>
        <w:t xml:space="preserve"> among different economic sectors or industries, such as </w:t>
      </w:r>
      <w:r w:rsidRPr="005635E7">
        <w:rPr>
          <w:rFonts w:ascii="Times New Roman" w:eastAsia="Calibri" w:hAnsi="Times New Roman" w:cs="Times New Roman"/>
        </w:rPr>
        <w:t xml:space="preserve">the wholesale and retail, manufacturing, and services sectors. Thus, selecting manufacturing SMEs for the survey avoided </w:t>
      </w:r>
      <w:r w:rsidRPr="005635E7">
        <w:rPr>
          <w:rFonts w:asciiTheme="majorBidi" w:hAnsiTheme="majorBidi" w:cstheme="majorBidi"/>
        </w:rPr>
        <w:t xml:space="preserve">heterogeneity among firms. Additionally, the choice of manufacturing SMEs in the UAE as the study's sample frame </w:t>
      </w:r>
      <w:r>
        <w:rPr>
          <w:rFonts w:asciiTheme="majorBidi" w:hAnsiTheme="majorBidi" w:cstheme="majorBidi"/>
        </w:rPr>
        <w:t>i</w:t>
      </w:r>
      <w:r w:rsidRPr="005635E7">
        <w:rPr>
          <w:rFonts w:asciiTheme="majorBidi" w:hAnsiTheme="majorBidi" w:cstheme="majorBidi"/>
        </w:rPr>
        <w:t xml:space="preserve">s more appropriate </w:t>
      </w:r>
      <w:r w:rsidRPr="00D73F8E">
        <w:rPr>
          <w:rFonts w:asciiTheme="majorBidi" w:hAnsiTheme="majorBidi" w:cstheme="majorBidi"/>
        </w:rPr>
        <w:t>given that field</w:t>
      </w:r>
      <w:r w:rsidRPr="00D73F8E">
        <w:rPr>
          <w:rFonts w:ascii="Times New Roman" w:eastAsia="Calibri" w:hAnsi="Times New Roman" w:cs="Times New Roman"/>
        </w:rPr>
        <w:t xml:space="preserve">s </w:t>
      </w:r>
      <w:r w:rsidRPr="00D73F8E">
        <w:rPr>
          <w:rFonts w:asciiTheme="majorBidi" w:hAnsiTheme="majorBidi" w:cstheme="majorBidi"/>
        </w:rPr>
        <w:t>such as OI are more</w:t>
      </w:r>
      <w:r w:rsidRPr="005635E7">
        <w:rPr>
          <w:rFonts w:asciiTheme="majorBidi" w:hAnsiTheme="majorBidi" w:cstheme="majorBidi"/>
        </w:rPr>
        <w:t xml:space="preserve"> closely tied to the manufacturing sector than to the wholesale, retail, and service industries (Marin 2020; Kokoglu 2012; Obradovic 2021). For example, OI activities</w:t>
      </w:r>
      <w:r w:rsidRPr="005635E7">
        <w:rPr>
          <w:rFonts w:ascii="Times New Roman" w:eastAsia="Calibri" w:hAnsi="Times New Roman" w:cs="Times New Roman"/>
        </w:rPr>
        <w:t>, such as R&amp;D and patenting copyright</w:t>
      </w:r>
      <w:r w:rsidRPr="005635E7">
        <w:rPr>
          <w:rFonts w:asciiTheme="majorBidi" w:hAnsiTheme="majorBidi" w:cstheme="majorBidi"/>
        </w:rPr>
        <w:t>, are more beneficial for manufacturing firms to expand their product development. As demonstrated by Motohashi (2016), significant patenting activities, an indicator of OI, are heavily utilized in the manufacturing sector, and there is a high correlation between patenting and firm growth for SMEs.</w:t>
      </w:r>
    </w:p>
    <w:p w14:paraId="629805CB" w14:textId="77777777" w:rsidR="005976AB" w:rsidRPr="005635E7" w:rsidRDefault="005976AB" w:rsidP="005976AB">
      <w:pPr>
        <w:spacing w:line="480" w:lineRule="auto"/>
        <w:jc w:val="both"/>
        <w:rPr>
          <w:rFonts w:asciiTheme="majorBidi" w:hAnsiTheme="majorBidi" w:cstheme="majorBidi"/>
        </w:rPr>
      </w:pPr>
    </w:p>
    <w:p w14:paraId="7D232A23" w14:textId="77777777" w:rsidR="005976AB" w:rsidRPr="005635E7" w:rsidRDefault="005976AB" w:rsidP="005976AB">
      <w:pPr>
        <w:pStyle w:val="Heading3"/>
        <w:spacing w:after="240" w:line="480" w:lineRule="auto"/>
        <w:rPr>
          <w:rFonts w:asciiTheme="majorBidi" w:hAnsiTheme="majorBidi"/>
          <w:b/>
          <w:bCs/>
          <w:color w:val="auto"/>
        </w:rPr>
      </w:pPr>
      <w:bookmarkStart w:id="83" w:name="_Toc115310394"/>
      <w:r w:rsidRPr="005635E7">
        <w:rPr>
          <w:rFonts w:asciiTheme="majorBidi" w:hAnsiTheme="majorBidi"/>
          <w:b/>
          <w:bCs/>
          <w:color w:val="auto"/>
        </w:rPr>
        <w:t>3.7.3 Sample Size</w:t>
      </w:r>
      <w:bookmarkEnd w:id="83"/>
    </w:p>
    <w:p w14:paraId="49148869"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The sample size varied, depending on the number of variables in each construct. According to Hair et al. (2018, p. 102), </w:t>
      </w:r>
      <w:r w:rsidRPr="005635E7">
        <w:rPr>
          <w:rFonts w:ascii="Times New Roman" w:eastAsia="Calibri" w:hAnsi="Times New Roman" w:cs="Times New Roman"/>
        </w:rPr>
        <w:t>‘[t]he minimum is to have five times as many observations as the number of variables to be analyzed</w:t>
      </w:r>
      <w:r w:rsidRPr="005635E7">
        <w:rPr>
          <w:rFonts w:asciiTheme="majorBidi" w:hAnsiTheme="majorBidi" w:cstheme="majorBidi"/>
        </w:rPr>
        <w:t xml:space="preserve">’ is the general rule for sample size. For example, the minimum sample size should be 250 if there are 50 measurement </w:t>
      </w:r>
      <w:r w:rsidRPr="00D73F8E">
        <w:rPr>
          <w:rFonts w:asciiTheme="majorBidi" w:hAnsiTheme="majorBidi" w:cstheme="majorBidi"/>
        </w:rPr>
        <w:t>elements. Because the number of items in the questionnaire was 54, the minimum sample size of t</w:t>
      </w:r>
      <w:r w:rsidRPr="005635E7">
        <w:rPr>
          <w:rFonts w:asciiTheme="majorBidi" w:hAnsiTheme="majorBidi" w:cstheme="majorBidi"/>
        </w:rPr>
        <w:t>he current study</w:t>
      </w:r>
      <w:r w:rsidRPr="005635E7">
        <w:rPr>
          <w:rFonts w:ascii="Times New Roman" w:eastAsia="Calibri" w:hAnsi="Times New Roman" w:cs="Times New Roman"/>
        </w:rPr>
        <w:t>, as proposed by Hair et al.</w:t>
      </w:r>
      <w:r w:rsidRPr="005635E7">
        <w:rPr>
          <w:rFonts w:asciiTheme="majorBidi" w:hAnsiTheme="majorBidi" w:cstheme="majorBidi"/>
        </w:rPr>
        <w:t xml:space="preserve">’s (2018) rule of thumb, was 270. Nevertheless, it is critically important for the study to take a few considerations into account, including the statistical analyses applied (e.g., factor analysis, </w:t>
      </w:r>
      <w:r>
        <w:rPr>
          <w:rFonts w:asciiTheme="majorBidi" w:hAnsiTheme="majorBidi" w:cstheme="majorBidi"/>
        </w:rPr>
        <w:t>SEM</w:t>
      </w:r>
      <w:r w:rsidRPr="005635E7">
        <w:rPr>
          <w:rFonts w:asciiTheme="majorBidi" w:hAnsiTheme="majorBidi" w:cstheme="majorBidi"/>
        </w:rPr>
        <w:t>), degree of confidence levels, and margin of errors (Bryman &amp; Bell, 2017). The minimum sample size requirements according to the statistical techniques are listed in Table 3.3.</w:t>
      </w:r>
    </w:p>
    <w:p w14:paraId="33C1FC30" w14:textId="77777777" w:rsidR="005976AB" w:rsidRPr="005635E7" w:rsidRDefault="005976AB" w:rsidP="005976AB">
      <w:pPr>
        <w:pStyle w:val="Caption"/>
        <w:rPr>
          <w:rFonts w:asciiTheme="majorBidi" w:hAnsiTheme="majorBidi" w:cstheme="majorBidi"/>
          <w:i w:val="0"/>
          <w:iCs w:val="0"/>
          <w:color w:val="auto"/>
          <w:sz w:val="24"/>
          <w:szCs w:val="24"/>
        </w:rPr>
      </w:pPr>
      <w:bookmarkStart w:id="84" w:name="_Toc126377957"/>
      <w:r w:rsidRPr="005635E7">
        <w:rPr>
          <w:rFonts w:asciiTheme="majorBidi" w:hAnsiTheme="majorBidi" w:cstheme="majorBidi"/>
          <w:i w:val="0"/>
          <w:iCs w:val="0"/>
          <w:color w:val="auto"/>
          <w:sz w:val="24"/>
          <w:szCs w:val="24"/>
        </w:rPr>
        <w:t>Table 3.</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3</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Minimum sample size for Structural Equation Modeling (SEM)</w:t>
      </w:r>
      <w:bookmarkEnd w:id="84"/>
    </w:p>
    <w:tbl>
      <w:tblPr>
        <w:tblStyle w:val="TableGrid"/>
        <w:tblW w:w="0" w:type="auto"/>
        <w:tblLook w:val="04A0" w:firstRow="1" w:lastRow="0" w:firstColumn="1" w:lastColumn="0" w:noHBand="0" w:noVBand="1"/>
      </w:tblPr>
      <w:tblGrid>
        <w:gridCol w:w="2612"/>
        <w:gridCol w:w="6404"/>
      </w:tblGrid>
      <w:tr w:rsidR="005976AB" w:rsidRPr="005635E7" w14:paraId="3EF08CA8" w14:textId="77777777" w:rsidTr="009E2F41">
        <w:tc>
          <w:tcPr>
            <w:tcW w:w="2612" w:type="dxa"/>
          </w:tcPr>
          <w:p w14:paraId="33F48153" w14:textId="77777777" w:rsidR="005976AB" w:rsidRPr="005635E7" w:rsidRDefault="005976AB" w:rsidP="009E2F41">
            <w:pPr>
              <w:spacing w:after="240"/>
              <w:jc w:val="both"/>
              <w:rPr>
                <w:rFonts w:asciiTheme="majorBidi" w:hAnsiTheme="majorBidi" w:cstheme="majorBidi"/>
                <w:b/>
                <w:bCs/>
              </w:rPr>
            </w:pPr>
            <w:r w:rsidRPr="005635E7">
              <w:rPr>
                <w:rFonts w:asciiTheme="majorBidi" w:hAnsiTheme="majorBidi" w:cstheme="majorBidi"/>
                <w:b/>
                <w:bCs/>
              </w:rPr>
              <w:t xml:space="preserve">Author </w:t>
            </w:r>
          </w:p>
        </w:tc>
        <w:tc>
          <w:tcPr>
            <w:tcW w:w="6404" w:type="dxa"/>
          </w:tcPr>
          <w:p w14:paraId="4612165B" w14:textId="77777777" w:rsidR="005976AB" w:rsidRPr="005635E7" w:rsidRDefault="005976AB" w:rsidP="009E2F41">
            <w:pPr>
              <w:spacing w:after="240"/>
              <w:jc w:val="both"/>
              <w:rPr>
                <w:rFonts w:asciiTheme="majorBidi" w:hAnsiTheme="majorBidi" w:cstheme="majorBidi"/>
                <w:b/>
                <w:bCs/>
              </w:rPr>
            </w:pPr>
            <w:r w:rsidRPr="005635E7">
              <w:rPr>
                <w:rFonts w:asciiTheme="majorBidi" w:hAnsiTheme="majorBidi" w:cstheme="majorBidi"/>
                <w:b/>
                <w:bCs/>
              </w:rPr>
              <w:t>Criteria for sample size</w:t>
            </w:r>
          </w:p>
        </w:tc>
      </w:tr>
      <w:tr w:rsidR="005976AB" w:rsidRPr="005635E7" w14:paraId="121B9227" w14:textId="77777777" w:rsidTr="009E2F41">
        <w:tc>
          <w:tcPr>
            <w:tcW w:w="2612" w:type="dxa"/>
          </w:tcPr>
          <w:p w14:paraId="2D50DC94"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Hair et al., (2018)</w:t>
            </w:r>
          </w:p>
        </w:tc>
        <w:tc>
          <w:tcPr>
            <w:tcW w:w="6404" w:type="dxa"/>
          </w:tcPr>
          <w:p w14:paraId="122AE18D"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 xml:space="preserve">More than </w:t>
            </w:r>
            <w:r>
              <w:rPr>
                <w:rFonts w:asciiTheme="majorBidi" w:hAnsiTheme="majorBidi" w:cstheme="majorBidi"/>
              </w:rPr>
              <w:t>five</w:t>
            </w:r>
            <w:r w:rsidRPr="005635E7">
              <w:rPr>
                <w:rFonts w:asciiTheme="majorBidi" w:hAnsiTheme="majorBidi" w:cstheme="majorBidi"/>
              </w:rPr>
              <w:t xml:space="preserve"> times the items of the questionnaire are desired as the sample size. </w:t>
            </w:r>
          </w:p>
        </w:tc>
      </w:tr>
      <w:tr w:rsidR="005976AB" w:rsidRPr="005635E7" w14:paraId="001A530E" w14:textId="77777777" w:rsidTr="009E2F41">
        <w:tc>
          <w:tcPr>
            <w:tcW w:w="2612" w:type="dxa"/>
          </w:tcPr>
          <w:p w14:paraId="46C290EC"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fldChar w:fldCharType="begin" w:fldLock="1"/>
            </w:r>
            <w:r w:rsidRPr="005635E7">
              <w:rPr>
                <w:rFonts w:asciiTheme="majorBidi" w:hAnsiTheme="majorBidi" w:cstheme="majorBidi"/>
              </w:rPr>
              <w:instrText>ADDIN CSL_CITATION {"citationItems":[{"id":"ITEM-1","itemData":{"DOI":"10.1038/156278a0","ISBN":"978-1-60623-876-9","ISSN":"00280836","PMID":"19116423","abstract":"This bestselling text provides a balance between the technical and practical aspects of structural equation modeling (SEM). Using clear and accessible language, Rex B. Kline covers core techniques, potential pitfalls, and applications across the behavioral and social sciences. Some more advanced topics are also covered, including estimation of interactive effects of latent variables and multilevel SEM. The companion Web page offers downloadable syntax, data, and output files for each detailed example for EQS, LISREL, and Mplus, allowing readers to view the results of the same analysis generated by three different computer tools. New to This Edition Thoroughly revised and restructured to follow the phases of most SEM analyses. Syntax, data, and output files for all detailed research examples are now provided online. Exercises with answers, which support self-study. Topic boxes on specialized issues, such as dealing with problems in the analysis; the assessment of construct measurement reliability; and more. Updated coverage of a more rigorous approach to hypothesis and model testing; the evaluation of measurement invariance; and more.","author":[{"dropping-particle":"","family":"Kline","given":"Rex B","non-dropping-particle":"","parse-names":false,"suffix":""}],"container-title":"Structural Equation Modeling","id":"ITEM-1","issued":{"date-parts":[["2011"]]},"title":"Principles and practice of structural equation modeling: Third Edition","type":"book"},"uris":["http://www.mendeley.com/documents/?uuid=4f58f461-be1b-4408-85a8-80a2fd0bcb85"]}],"mendeley":{"formattedCitation":"(Kline, 2011)","manualFormatting":"Kline (2011)","plainTextFormattedCitation":"(Kline, 2011)","previouslyFormattedCitation":"(Kline, 2011)"},"properties":{"noteIndex":0},"schema":"https://github.com/citation-style-language/schema/raw/master/csl-citation.json"}</w:instrText>
            </w:r>
            <w:r w:rsidRPr="005635E7">
              <w:rPr>
                <w:rFonts w:asciiTheme="majorBidi" w:hAnsiTheme="majorBidi" w:cstheme="majorBidi"/>
              </w:rPr>
              <w:fldChar w:fldCharType="separate"/>
            </w:r>
            <w:r w:rsidRPr="005635E7">
              <w:rPr>
                <w:rFonts w:asciiTheme="majorBidi" w:hAnsiTheme="majorBidi" w:cstheme="majorBidi"/>
              </w:rPr>
              <w:t>Kline (2011)</w:t>
            </w:r>
            <w:r w:rsidRPr="005635E7">
              <w:rPr>
                <w:rFonts w:asciiTheme="majorBidi" w:hAnsiTheme="majorBidi" w:cstheme="majorBidi"/>
              </w:rPr>
              <w:fldChar w:fldCharType="end"/>
            </w:r>
          </w:p>
        </w:tc>
        <w:tc>
          <w:tcPr>
            <w:tcW w:w="6404" w:type="dxa"/>
          </w:tcPr>
          <w:p w14:paraId="313E94C3"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Minimum sample size in SEM is 200 cases</w:t>
            </w:r>
            <w:r>
              <w:rPr>
                <w:rFonts w:asciiTheme="majorBidi" w:hAnsiTheme="majorBidi" w:cstheme="majorBidi"/>
              </w:rPr>
              <w:t>.</w:t>
            </w:r>
          </w:p>
          <w:p w14:paraId="48DDCD50" w14:textId="77777777" w:rsidR="005976AB" w:rsidRPr="005635E7" w:rsidRDefault="005976AB" w:rsidP="009E2F41">
            <w:pPr>
              <w:spacing w:after="240"/>
              <w:jc w:val="both"/>
              <w:rPr>
                <w:rFonts w:asciiTheme="majorBidi" w:hAnsiTheme="majorBidi" w:cstheme="majorBidi"/>
              </w:rPr>
            </w:pPr>
          </w:p>
        </w:tc>
      </w:tr>
      <w:tr w:rsidR="005976AB" w:rsidRPr="005635E7" w14:paraId="1F077A02" w14:textId="77777777" w:rsidTr="009E2F41">
        <w:tc>
          <w:tcPr>
            <w:tcW w:w="2612" w:type="dxa"/>
          </w:tcPr>
          <w:p w14:paraId="0CF0DD29" w14:textId="77777777"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fldChar w:fldCharType="begin" w:fldLock="1"/>
            </w:r>
            <w:r w:rsidRPr="005635E7">
              <w:rPr>
                <w:rFonts w:asciiTheme="majorBidi" w:hAnsiTheme="majorBidi" w:cstheme="majorBidi"/>
              </w:rPr>
              <w:instrText>ADDIN CSL_CITATION {"citationItems":[{"id":"ITEM-1","itemData":{"DOI":"10.1108/EBR-10-2013-0128","ISBN":"9781483377445","ISSN":"0955-534X","PMID":"42012058","abstract":"Purpose – The authors aim to present partial least squares (PLS) as an evolving approach to structural equation modeling (SEM), highlight its advantages and limitations and provide an overview of recent research on the method across various fields. Design/methodology/approach – In this review article, the authors merge literatures from the marketing, management, and management information systems fields to present the state-of-the art of PLS-SEM research. Furthermore, the authors meta-analyze recent review studies to shed light on popular reasons for PLS-SEM usage. Findings – PLS-SEMhas experienced increasing dissemination ina variety offields in recent yearswith nonnormal data, small sample sizes and the use of formative indicators being themost prominent reasons for its application. Recent methodological research has extended PLS-SEM’s methodological toolbox to accommodate more complex model structures or handle data inadequacies such as heterogeneity. Research limitations/implications – While research on the PLS-SEM method has gained momentum during the last decade, there are ample research opportunities on subjects such as mediation or multigroup analysis, which warrant further attention.","author":[{"dropping-particle":"","family":"Hair","given":"Joseph F","non-dropping-particle":"","parse-names":false,"suffix":""},{"dropping-particle":"","family":"Hult","given":"G. Tomas M","non-dropping-particle":"","parse-names":false,"suffix":""},{"dropping-particle":"","family":"Ringle","given":"Christian M","non-dropping-particle":"","parse-names":false,"suffix":""},{"dropping-particle":"","family":"Sarstedt","given":"Marko","non-dropping-particle":"","parse-names":false,"suffix":""}],"container-title":"Sage Publisher","id":"ITEM-1","issued":{"date-parts":[["2017"]]},"title":"A Primer on Partial Least Squares Structural Equation Modeling (PLS-SEM) (2nd edition)","type":"book"},"uris":["http://www.mendeley.com/documents/?uuid=beb00500-319a-4463-8cd1-c0c071b4483a"]}],"mendeley":{"formattedCitation":"(Hair et al., 2017)","manualFormatting":"Hair et al. (2017)","plainTextFormattedCitation":"(Hair et al., 2017)","previouslyFormattedCitation":"(Hair et al., 2017)"},"properties":{"noteIndex":0},"schema":"https://github.com/citation-style-language/schema/raw/master/csl-citation.json"}</w:instrText>
            </w:r>
            <w:r w:rsidRPr="005635E7">
              <w:rPr>
                <w:rFonts w:asciiTheme="majorBidi" w:hAnsiTheme="majorBidi" w:cstheme="majorBidi"/>
              </w:rPr>
              <w:fldChar w:fldCharType="separate"/>
            </w:r>
            <w:r w:rsidRPr="005635E7">
              <w:rPr>
                <w:rFonts w:asciiTheme="majorBidi" w:hAnsiTheme="majorBidi" w:cstheme="majorBidi"/>
              </w:rPr>
              <w:t>Hair et al. (2017)</w:t>
            </w:r>
            <w:r w:rsidRPr="005635E7">
              <w:rPr>
                <w:rFonts w:asciiTheme="majorBidi" w:hAnsiTheme="majorBidi" w:cstheme="majorBidi"/>
              </w:rPr>
              <w:fldChar w:fldCharType="end"/>
            </w:r>
          </w:p>
        </w:tc>
        <w:tc>
          <w:tcPr>
            <w:tcW w:w="6404" w:type="dxa"/>
          </w:tcPr>
          <w:p w14:paraId="0F6133A8" w14:textId="3AB7E84A" w:rsidR="005976AB" w:rsidRPr="005635E7" w:rsidRDefault="005976AB" w:rsidP="009E2F41">
            <w:pPr>
              <w:spacing w:after="240"/>
              <w:jc w:val="both"/>
              <w:rPr>
                <w:rFonts w:asciiTheme="majorBidi" w:hAnsiTheme="majorBidi" w:cstheme="majorBidi"/>
              </w:rPr>
            </w:pPr>
            <w:r w:rsidRPr="005635E7">
              <w:rPr>
                <w:rFonts w:asciiTheme="majorBidi" w:hAnsiTheme="majorBidi" w:cstheme="majorBidi"/>
              </w:rPr>
              <w:t>A sample size ranging 150</w:t>
            </w:r>
            <w:r w:rsidR="009D6857">
              <w:rPr>
                <w:rFonts w:asciiTheme="majorBidi" w:hAnsiTheme="majorBidi" w:cstheme="majorBidi"/>
              </w:rPr>
              <w:t xml:space="preserve"> to </w:t>
            </w:r>
            <w:r w:rsidRPr="005635E7">
              <w:rPr>
                <w:rFonts w:asciiTheme="majorBidi" w:hAnsiTheme="majorBidi" w:cstheme="majorBidi"/>
              </w:rPr>
              <w:t>400 has been appropriate for SEM analysis</w:t>
            </w:r>
            <w:r>
              <w:rPr>
                <w:rFonts w:asciiTheme="majorBidi" w:hAnsiTheme="majorBidi" w:cstheme="majorBidi"/>
              </w:rPr>
              <w:t>.</w:t>
            </w:r>
            <w:r w:rsidRPr="005635E7">
              <w:rPr>
                <w:rFonts w:asciiTheme="majorBidi" w:hAnsiTheme="majorBidi" w:cstheme="majorBidi"/>
              </w:rPr>
              <w:t xml:space="preserve"> </w:t>
            </w:r>
          </w:p>
        </w:tc>
      </w:tr>
    </w:tbl>
    <w:p w14:paraId="7CE05BFA" w14:textId="77777777" w:rsidR="005976AB" w:rsidRPr="005635E7" w:rsidRDefault="005976AB" w:rsidP="005976AB">
      <w:pPr>
        <w:spacing w:after="240" w:line="480" w:lineRule="auto"/>
        <w:jc w:val="both"/>
        <w:rPr>
          <w:rFonts w:asciiTheme="majorBidi" w:hAnsiTheme="majorBidi" w:cstheme="majorBidi"/>
        </w:rPr>
      </w:pPr>
    </w:p>
    <w:p w14:paraId="463585AF"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This study also used previous recent studies using surveys in the context of SMEs to determine the sample size. For example, Lim et al. (2020) used a sample of 220 participants to examine OI and non-financial performance. Hooi (2019) believed that a sample size of 214 was sufficient to explore the association between </w:t>
      </w:r>
      <w:r w:rsidRPr="005635E7">
        <w:rPr>
          <w:rFonts w:ascii="Times New Roman" w:eastAsia="Calibri" w:hAnsi="Times New Roman" w:cs="Times New Roman"/>
        </w:rPr>
        <w:t xml:space="preserve">the OLC and the FP of SMEs. </w:t>
      </w:r>
      <w:r w:rsidRPr="005635E7">
        <w:rPr>
          <w:rFonts w:asciiTheme="majorBidi" w:hAnsiTheme="majorBidi" w:cstheme="majorBidi"/>
        </w:rPr>
        <w:t>A sample size of 237 was de</w:t>
      </w:r>
      <w:r w:rsidRPr="005635E7">
        <w:rPr>
          <w:rFonts w:ascii="Times New Roman" w:eastAsia="Calibri" w:hAnsi="Times New Roman" w:cs="Times New Roman"/>
        </w:rPr>
        <w:t>emed sufficient for t</w:t>
      </w:r>
      <w:r w:rsidRPr="005635E7">
        <w:rPr>
          <w:rFonts w:asciiTheme="majorBidi" w:hAnsiTheme="majorBidi" w:cstheme="majorBidi"/>
        </w:rPr>
        <w:t>he research</w:t>
      </w:r>
      <w:r w:rsidRPr="005635E7">
        <w:rPr>
          <w:rFonts w:ascii="Times New Roman" w:eastAsia="Calibri" w:hAnsi="Times New Roman" w:cs="Times New Roman"/>
        </w:rPr>
        <w:t xml:space="preserve"> on high-performance work systems and innovation performance in SMEs</w:t>
      </w:r>
      <w:r w:rsidRPr="005635E7">
        <w:rPr>
          <w:rFonts w:asciiTheme="majorBidi" w:hAnsiTheme="majorBidi" w:cstheme="majorBidi"/>
        </w:rPr>
        <w:t>.</w:t>
      </w:r>
    </w:p>
    <w:p w14:paraId="0E56768D" w14:textId="77777777" w:rsidR="005976AB" w:rsidRPr="005635E7" w:rsidRDefault="005976AB" w:rsidP="005976AB">
      <w:pPr>
        <w:spacing w:after="240" w:line="480" w:lineRule="auto"/>
        <w:jc w:val="both"/>
        <w:rPr>
          <w:rFonts w:asciiTheme="majorBidi" w:hAnsiTheme="majorBidi" w:cstheme="majorBidi"/>
          <w:i/>
          <w:iCs/>
        </w:rPr>
      </w:pPr>
      <w:r w:rsidRPr="005635E7">
        <w:rPr>
          <w:rFonts w:asciiTheme="majorBidi" w:hAnsiTheme="majorBidi" w:cstheme="majorBidi"/>
        </w:rPr>
        <w:t>However, Hair et al. (2018) state that large samples usually generate more reliable outcome</w:t>
      </w:r>
      <w:r w:rsidRPr="005635E7">
        <w:rPr>
          <w:rFonts w:ascii="Times New Roman" w:eastAsia="Calibri" w:hAnsi="Times New Roman" w:cs="Times New Roman"/>
        </w:rPr>
        <w:t xml:space="preserve">s and reduce sampling errors. Hence, the population size (392,000 SMEs in the UAE), confidence level of 95%, and margin of error (accuracy) of 5% </w:t>
      </w:r>
      <w:r w:rsidRPr="005635E7">
        <w:rPr>
          <w:rFonts w:asciiTheme="majorBidi" w:hAnsiTheme="majorBidi" w:cstheme="majorBidi"/>
        </w:rPr>
        <w:t>were considered to determine the minimum sample size of the current study. This yielded 384 manufacturing SMEs for the sample size of this study.</w:t>
      </w:r>
    </w:p>
    <w:p w14:paraId="260EA8E2" w14:textId="77777777" w:rsidR="005976AB" w:rsidRPr="005635E7" w:rsidRDefault="005976AB" w:rsidP="005976AB">
      <w:pPr>
        <w:pStyle w:val="Heading3"/>
        <w:spacing w:after="240" w:line="480" w:lineRule="auto"/>
        <w:rPr>
          <w:rFonts w:asciiTheme="majorBidi" w:hAnsiTheme="majorBidi"/>
          <w:b/>
          <w:bCs/>
          <w:color w:val="auto"/>
        </w:rPr>
      </w:pPr>
      <w:bookmarkStart w:id="85" w:name="_Toc115310395"/>
      <w:r w:rsidRPr="005635E7">
        <w:rPr>
          <w:rFonts w:asciiTheme="majorBidi" w:hAnsiTheme="majorBidi"/>
          <w:b/>
          <w:bCs/>
          <w:color w:val="auto"/>
        </w:rPr>
        <w:t>3.7.4 Sampling Method</w:t>
      </w:r>
      <w:bookmarkEnd w:id="85"/>
    </w:p>
    <w:p w14:paraId="1B71BFA5"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In the field of management research, probability (representative) and non-probability (judgmental) sampling are the two types of sample procedures employed. The likelihood of each example being selected from the population is acknowledged and is normally equal in probability sampling. Non</w:t>
      </w:r>
      <w:r>
        <w:rPr>
          <w:rFonts w:asciiTheme="majorBidi" w:hAnsiTheme="majorBidi" w:cstheme="majorBidi"/>
        </w:rPr>
        <w:t>-</w:t>
      </w:r>
      <w:r w:rsidRPr="005635E7">
        <w:rPr>
          <w:rFonts w:asciiTheme="majorBidi" w:hAnsiTheme="majorBidi" w:cstheme="majorBidi"/>
        </w:rPr>
        <w:t xml:space="preserve">probability sampling makes it impossible to fully identify the probability of each instance being selected from a population, making it difficult to fully address research concerns (Saunders et al., 2009). The closest direct link </w:t>
      </w:r>
      <w:r w:rsidRPr="005635E7">
        <w:rPr>
          <w:rFonts w:ascii="Times New Roman" w:eastAsia="Calibri" w:hAnsi="Times New Roman" w:cs="Times New Roman"/>
        </w:rPr>
        <w:t>is between probability sampling and survey-based approaches</w:t>
      </w:r>
      <w:r w:rsidRPr="005635E7">
        <w:rPr>
          <w:rFonts w:asciiTheme="majorBidi" w:hAnsiTheme="majorBidi" w:cstheme="majorBidi"/>
        </w:rPr>
        <w:t xml:space="preserve">. The probability sampling process includes determining an appropriate sampling frame based on the research objectives, selecting an adequate sample size, appropriate sampling methodologies, </w:t>
      </w:r>
      <w:r>
        <w:rPr>
          <w:rFonts w:asciiTheme="majorBidi" w:hAnsiTheme="majorBidi" w:cstheme="majorBidi"/>
        </w:rPr>
        <w:t xml:space="preserve">and </w:t>
      </w:r>
      <w:r w:rsidRPr="005635E7">
        <w:rPr>
          <w:rFonts w:asciiTheme="majorBidi" w:hAnsiTheme="majorBidi" w:cstheme="majorBidi"/>
        </w:rPr>
        <w:t>an appropriate sample, and evaluating the population's representativeness (Bryman &amp; Bell, 2015). Saunders et al. (2009) suggest</w:t>
      </w:r>
      <w:r w:rsidRPr="005635E7">
        <w:rPr>
          <w:rFonts w:ascii="Times New Roman" w:eastAsia="Calibri" w:hAnsi="Times New Roman" w:cs="Times New Roman"/>
        </w:rPr>
        <w:t>ed that s</w:t>
      </w:r>
      <w:r w:rsidRPr="005635E7">
        <w:rPr>
          <w:rFonts w:asciiTheme="majorBidi" w:hAnsiTheme="majorBidi" w:cstheme="majorBidi"/>
        </w:rPr>
        <w:t>imple random, stratified random, systematic, cluster, and multi-stage</w:t>
      </w:r>
      <w:r w:rsidRPr="005635E7">
        <w:rPr>
          <w:rFonts w:ascii="Times New Roman" w:eastAsia="Calibri" w:hAnsi="Times New Roman" w:cs="Times New Roman"/>
        </w:rPr>
        <w:t xml:space="preserve"> methods are the five methods of probability sampling that are </w:t>
      </w:r>
      <w:r w:rsidRPr="00D73F8E">
        <w:rPr>
          <w:rFonts w:ascii="Times New Roman" w:eastAsia="Calibri" w:hAnsi="Times New Roman" w:cs="Times New Roman"/>
        </w:rPr>
        <w:t>available</w:t>
      </w:r>
      <w:r w:rsidRPr="00D73F8E">
        <w:rPr>
          <w:rFonts w:asciiTheme="majorBidi" w:hAnsiTheme="majorBidi" w:cstheme="majorBidi"/>
        </w:rPr>
        <w:t xml:space="preserve">. However, in this study, I used a convenient sampling technique to distribute questionnaires to a list of manufacturing SMEs in the UAE who volunteered to participate in the study and registered at </w:t>
      </w:r>
      <w:r w:rsidRPr="00D73F8E">
        <w:rPr>
          <w:rFonts w:ascii="Times New Roman" w:eastAsia="Calibri" w:hAnsi="Times New Roman" w:cs="Times New Roman"/>
        </w:rPr>
        <w:t>the Department of Economic Development.</w:t>
      </w:r>
    </w:p>
    <w:p w14:paraId="75D1D2BD"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86" w:name="_Toc115310396"/>
      <w:r w:rsidRPr="005635E7">
        <w:rPr>
          <w:rFonts w:asciiTheme="majorBidi" w:hAnsiTheme="majorBidi"/>
          <w:b/>
          <w:bCs/>
          <w:color w:val="auto"/>
          <w:sz w:val="28"/>
          <w:szCs w:val="28"/>
        </w:rPr>
        <w:t>3.8 Data Collection Procedure</w:t>
      </w:r>
      <w:bookmarkEnd w:id="86"/>
    </w:p>
    <w:p w14:paraId="0D8E868A"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Data were gathered by emailing self-administered questionnaires to owner</w:t>
      </w:r>
      <w:r w:rsidRPr="005635E7">
        <w:rPr>
          <w:rFonts w:ascii="Times New Roman" w:eastAsia="Calibri" w:hAnsi="Times New Roman" w:cs="Times New Roman"/>
        </w:rPr>
        <w:t xml:space="preserve">s/managers of </w:t>
      </w:r>
      <w:r w:rsidRPr="005635E7">
        <w:rPr>
          <w:rFonts w:asciiTheme="majorBidi" w:hAnsiTheme="majorBidi" w:cstheme="majorBidi"/>
        </w:rPr>
        <w:t>randomly selected manufacturing SMEs in the UAE. Permission for the list of manufacturing SMEs and their contact details was obtained from the Department of Economic Development (Appendix A). Questionnaires were emailed to 2,000 SMEs in the manufacturing sector</w:t>
      </w:r>
      <w:r w:rsidRPr="005635E7">
        <w:rPr>
          <w:rFonts w:ascii="Times New Roman" w:eastAsia="Calibri" w:hAnsi="Times New Roman" w:cs="Times New Roman"/>
        </w:rPr>
        <w:t xml:space="preserve"> to reach the minimum required sample size of 384. By calling the owner or manager of the randomly </w:t>
      </w:r>
      <w:r w:rsidRPr="005635E7">
        <w:rPr>
          <w:rFonts w:asciiTheme="majorBidi" w:hAnsiTheme="majorBidi" w:cstheme="majorBidi"/>
        </w:rPr>
        <w:t>selected</w:t>
      </w:r>
      <w:r w:rsidRPr="005635E7">
        <w:rPr>
          <w:rFonts w:ascii="Times New Roman" w:eastAsia="Calibri" w:hAnsi="Times New Roman" w:cs="Times New Roman"/>
        </w:rPr>
        <w:t xml:space="preserve"> SMEs</w:t>
      </w:r>
      <w:r w:rsidRPr="005635E7">
        <w:rPr>
          <w:rFonts w:asciiTheme="majorBidi" w:hAnsiTheme="majorBidi" w:cstheme="majorBidi"/>
        </w:rPr>
        <w:t>, the real response rate m</w:t>
      </w:r>
      <w:r>
        <w:rPr>
          <w:rFonts w:asciiTheme="majorBidi" w:hAnsiTheme="majorBidi" w:cstheme="majorBidi"/>
        </w:rPr>
        <w:t>ight</w:t>
      </w:r>
      <w:r w:rsidRPr="005635E7">
        <w:rPr>
          <w:rFonts w:asciiTheme="majorBidi" w:hAnsiTheme="majorBidi" w:cstheme="majorBidi"/>
        </w:rPr>
        <w:t xml:space="preserve"> be further approximated as 20%.</w:t>
      </w:r>
    </w:p>
    <w:p w14:paraId="2FCC0293"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 analysis of SMEs’ profiles (the study</w:t>
      </w:r>
      <w:r w:rsidRPr="005635E7">
        <w:rPr>
          <w:rFonts w:ascii="Times New Roman" w:eastAsia="Calibri" w:hAnsi="Times New Roman" w:cs="Times New Roman"/>
        </w:rPr>
        <w:t xml:space="preserve"> sample) surveyed by this study is pr</w:t>
      </w:r>
      <w:r w:rsidRPr="005635E7">
        <w:rPr>
          <w:rFonts w:asciiTheme="majorBidi" w:hAnsiTheme="majorBidi" w:cstheme="majorBidi"/>
        </w:rPr>
        <w:t xml:space="preserve">esented in Table 3.4. The profiles of the number of SMEs, which resulted in 299 firms (n=299) after screening </w:t>
      </w:r>
      <w:r w:rsidRPr="005635E7">
        <w:rPr>
          <w:rFonts w:ascii="Times New Roman" w:eastAsia="Calibri" w:hAnsi="Times New Roman" w:cs="Times New Roman"/>
        </w:rPr>
        <w:t xml:space="preserve">the collected data sample of 384 firms, were analyzed </w:t>
      </w:r>
      <w:r w:rsidRPr="005635E7">
        <w:rPr>
          <w:rFonts w:asciiTheme="majorBidi" w:hAnsiTheme="majorBidi" w:cstheme="majorBidi"/>
        </w:rPr>
        <w:t>based on four aspects: the number of years since establishment,</w:t>
      </w:r>
      <w:r w:rsidRPr="005635E7">
        <w:rPr>
          <w:rFonts w:ascii="Times New Roman" w:eastAsia="Calibri" w:hAnsi="Times New Roman" w:cs="Times New Roman"/>
        </w:rPr>
        <w:t xml:space="preserve"> the current number of workers employed, the region of the UAE SME</w:t>
      </w:r>
      <w:r w:rsidRPr="005635E7">
        <w:rPr>
          <w:rFonts w:asciiTheme="majorBidi" w:hAnsiTheme="majorBidi" w:cstheme="majorBidi"/>
        </w:rPr>
        <w:t xml:space="preserve">, and the </w:t>
      </w:r>
      <w:r>
        <w:rPr>
          <w:rFonts w:asciiTheme="majorBidi" w:hAnsiTheme="majorBidi" w:cstheme="majorBidi"/>
        </w:rPr>
        <w:t>p</w:t>
      </w:r>
      <w:r w:rsidRPr="005635E7">
        <w:rPr>
          <w:rFonts w:asciiTheme="majorBidi" w:hAnsiTheme="majorBidi" w:cstheme="majorBidi"/>
        </w:rPr>
        <w:t>roduct the SME is manufacturing.</w:t>
      </w:r>
    </w:p>
    <w:p w14:paraId="408B7BD9" w14:textId="1FA325CD" w:rsidR="005976AB" w:rsidRPr="00D73F8E" w:rsidRDefault="005976AB" w:rsidP="005976AB">
      <w:pPr>
        <w:spacing w:line="480" w:lineRule="auto"/>
        <w:jc w:val="both"/>
        <w:rPr>
          <w:rFonts w:asciiTheme="majorBidi" w:hAnsiTheme="majorBidi" w:cstheme="majorBidi"/>
        </w:rPr>
      </w:pPr>
      <w:r w:rsidRPr="005635E7">
        <w:rPr>
          <w:rFonts w:asciiTheme="majorBidi" w:hAnsiTheme="majorBidi" w:cstheme="majorBidi"/>
        </w:rPr>
        <w:t>Accordingly, concerning the number of years since establishment, the vast majority of SMEs were in the range of 21</w:t>
      </w:r>
      <w:r>
        <w:rPr>
          <w:rFonts w:asciiTheme="majorBidi" w:hAnsiTheme="majorBidi" w:cstheme="majorBidi"/>
        </w:rPr>
        <w:t>–</w:t>
      </w:r>
      <w:r w:rsidRPr="005635E7">
        <w:rPr>
          <w:rFonts w:asciiTheme="majorBidi" w:hAnsiTheme="majorBidi" w:cstheme="majorBidi"/>
        </w:rPr>
        <w:t>30 years (30%) and 11</w:t>
      </w:r>
      <w:r>
        <w:rPr>
          <w:rFonts w:asciiTheme="majorBidi" w:hAnsiTheme="majorBidi" w:cstheme="majorBidi"/>
        </w:rPr>
        <w:t>–</w:t>
      </w:r>
      <w:r w:rsidRPr="005635E7">
        <w:rPr>
          <w:rFonts w:asciiTheme="majorBidi" w:hAnsiTheme="majorBidi" w:cstheme="majorBidi"/>
        </w:rPr>
        <w:t>15 years (20%), followed by 6</w:t>
      </w:r>
      <w:r w:rsidR="00954321">
        <w:rPr>
          <w:rFonts w:asciiTheme="majorBidi" w:hAnsiTheme="majorBidi" w:cstheme="majorBidi"/>
        </w:rPr>
        <w:t xml:space="preserve"> to </w:t>
      </w:r>
      <w:r w:rsidRPr="005635E7">
        <w:rPr>
          <w:rFonts w:asciiTheme="majorBidi" w:hAnsiTheme="majorBidi" w:cstheme="majorBidi"/>
        </w:rPr>
        <w:t>10 years (18%), and 16</w:t>
      </w:r>
      <w:r>
        <w:rPr>
          <w:rFonts w:asciiTheme="majorBidi" w:hAnsiTheme="majorBidi" w:cstheme="majorBidi"/>
        </w:rPr>
        <w:softHyphen/>
        <w:t>–</w:t>
      </w:r>
      <w:r w:rsidRPr="005635E7">
        <w:rPr>
          <w:rFonts w:asciiTheme="majorBidi" w:hAnsiTheme="majorBidi" w:cstheme="majorBidi"/>
        </w:rPr>
        <w:t xml:space="preserve">20 </w:t>
      </w:r>
      <w:r w:rsidRPr="00D73F8E">
        <w:rPr>
          <w:rFonts w:asciiTheme="majorBidi" w:hAnsiTheme="majorBidi" w:cstheme="majorBidi"/>
        </w:rPr>
        <w:t xml:space="preserve">years (16%) in </w:t>
      </w:r>
      <w:r w:rsidR="00954321" w:rsidRPr="00D73F8E">
        <w:rPr>
          <w:rFonts w:asciiTheme="majorBidi" w:hAnsiTheme="majorBidi" w:cstheme="majorBidi"/>
        </w:rPr>
        <w:t>T</w:t>
      </w:r>
      <w:r w:rsidRPr="00D73F8E">
        <w:rPr>
          <w:rFonts w:asciiTheme="majorBidi" w:hAnsiTheme="majorBidi" w:cstheme="majorBidi"/>
        </w:rPr>
        <w:t>able 3.4. A minority of SMEs have been operating for less than five years (7%) and more than 30 years (8%). This finding show</w:t>
      </w:r>
      <w:r w:rsidRPr="00D73F8E">
        <w:rPr>
          <w:rFonts w:ascii="Times New Roman" w:eastAsia="Calibri" w:hAnsi="Times New Roman" w:cs="Times New Roman"/>
        </w:rPr>
        <w:t xml:space="preserve">s that the majority of the SMEs surveyed have </w:t>
      </w:r>
      <w:r w:rsidRPr="00D73F8E">
        <w:rPr>
          <w:rFonts w:asciiTheme="majorBidi" w:hAnsiTheme="majorBidi" w:cstheme="majorBidi"/>
        </w:rPr>
        <w:t>considerable experience in operations in the UAE.</w:t>
      </w:r>
    </w:p>
    <w:p w14:paraId="421B0162" w14:textId="77777777" w:rsidR="005976AB" w:rsidRPr="005635E7" w:rsidRDefault="005976AB" w:rsidP="005976AB">
      <w:pPr>
        <w:spacing w:line="480" w:lineRule="auto"/>
        <w:jc w:val="both"/>
        <w:rPr>
          <w:rFonts w:asciiTheme="majorBidi" w:hAnsiTheme="majorBidi" w:cstheme="majorBidi"/>
        </w:rPr>
      </w:pPr>
      <w:r w:rsidRPr="00D73F8E">
        <w:rPr>
          <w:rFonts w:asciiTheme="majorBidi" w:hAnsiTheme="majorBidi" w:cstheme="majorBidi"/>
        </w:rPr>
        <w:t xml:space="preserve">The analysis of the number </w:t>
      </w:r>
      <w:r w:rsidRPr="00D73F8E">
        <w:rPr>
          <w:rFonts w:ascii="Times New Roman" w:eastAsia="Calibri" w:hAnsi="Times New Roman" w:cs="Times New Roman"/>
        </w:rPr>
        <w:t xml:space="preserve">of employees of the </w:t>
      </w:r>
      <w:r w:rsidRPr="00D73F8E">
        <w:rPr>
          <w:rFonts w:asciiTheme="majorBidi" w:hAnsiTheme="majorBidi" w:cstheme="majorBidi"/>
        </w:rPr>
        <w:t>surveyed</w:t>
      </w:r>
      <w:r w:rsidRPr="00D73F8E">
        <w:rPr>
          <w:rFonts w:ascii="Times New Roman" w:eastAsia="Calibri" w:hAnsi="Times New Roman" w:cs="Times New Roman"/>
        </w:rPr>
        <w:t xml:space="preserve"> SMEs showed that they </w:t>
      </w:r>
      <w:r w:rsidRPr="00D73F8E">
        <w:rPr>
          <w:rFonts w:asciiTheme="majorBidi" w:hAnsiTheme="majorBidi" w:cstheme="majorBidi"/>
        </w:rPr>
        <w:t xml:space="preserve">were in the range of </w:t>
      </w:r>
      <w:r w:rsidRPr="00D73F8E">
        <w:rPr>
          <w:rFonts w:ascii="Times New Roman" w:eastAsia="Calibri" w:hAnsi="Times New Roman" w:cs="Times New Roman"/>
        </w:rPr>
        <w:t xml:space="preserve">the criteria defining SMEs in the UAE. According to the UAE’s Cabinet Resolution No. 22 of 2016, the maximum number of employees for determining </w:t>
      </w:r>
      <w:r w:rsidRPr="00D73F8E">
        <w:rPr>
          <w:rFonts w:asciiTheme="majorBidi" w:hAnsiTheme="majorBidi" w:cstheme="majorBidi"/>
        </w:rPr>
        <w:t>whether a firm is a</w:t>
      </w:r>
      <w:r w:rsidRPr="00D73F8E">
        <w:rPr>
          <w:rFonts w:ascii="Times New Roman" w:eastAsia="Calibri" w:hAnsi="Times New Roman" w:cs="Times New Roman"/>
        </w:rPr>
        <w:t xml:space="preserve">n SME is 200 employees (Silver 2016). </w:t>
      </w:r>
      <w:r w:rsidRPr="00D73F8E">
        <w:rPr>
          <w:rFonts w:asciiTheme="majorBidi" w:hAnsiTheme="majorBidi" w:cstheme="majorBidi"/>
        </w:rPr>
        <w:t>Table 3.4 shows that the majority</w:t>
      </w:r>
      <w:r w:rsidRPr="005635E7">
        <w:rPr>
          <w:rFonts w:asciiTheme="majorBidi" w:hAnsiTheme="majorBidi" w:cstheme="majorBidi"/>
        </w:rPr>
        <w:t xml:space="preserve"> of </w:t>
      </w:r>
      <w:r w:rsidRPr="005635E7">
        <w:rPr>
          <w:rFonts w:ascii="Times New Roman" w:eastAsia="Calibri" w:hAnsi="Times New Roman" w:cs="Times New Roman"/>
        </w:rPr>
        <w:t>the SMEs surveyed was in the range</w:t>
      </w:r>
      <w:r>
        <w:rPr>
          <w:rFonts w:asciiTheme="majorBidi" w:hAnsiTheme="majorBidi" w:cstheme="majorBidi"/>
        </w:rPr>
        <w:t xml:space="preserve"> </w:t>
      </w:r>
      <w:r w:rsidRPr="005635E7">
        <w:rPr>
          <w:rFonts w:asciiTheme="majorBidi" w:hAnsiTheme="majorBidi" w:cstheme="majorBidi"/>
        </w:rPr>
        <w:t>26</w:t>
      </w:r>
      <w:r>
        <w:rPr>
          <w:rFonts w:asciiTheme="majorBidi" w:hAnsiTheme="majorBidi" w:cstheme="majorBidi"/>
        </w:rPr>
        <w:t>–</w:t>
      </w:r>
      <w:r w:rsidRPr="005635E7">
        <w:rPr>
          <w:rFonts w:asciiTheme="majorBidi" w:hAnsiTheme="majorBidi" w:cstheme="majorBidi"/>
        </w:rPr>
        <w:t>50 employees (32%), less than 25 employees (30%), and 51</w:t>
      </w:r>
      <w:r>
        <w:rPr>
          <w:rFonts w:asciiTheme="majorBidi" w:hAnsiTheme="majorBidi" w:cstheme="majorBidi"/>
        </w:rPr>
        <w:t>–</w:t>
      </w:r>
      <w:r w:rsidRPr="005635E7">
        <w:rPr>
          <w:rFonts w:asciiTheme="majorBidi" w:hAnsiTheme="majorBidi" w:cstheme="majorBidi"/>
        </w:rPr>
        <w:t>150 employees (29%). Only a small proportion of the surveyed</w:t>
      </w:r>
      <w:r w:rsidRPr="005635E7">
        <w:rPr>
          <w:rFonts w:ascii="Times New Roman" w:eastAsia="Calibri" w:hAnsi="Times New Roman" w:cs="Times New Roman"/>
        </w:rPr>
        <w:t xml:space="preserve"> SMEs had employees between 101</w:t>
      </w:r>
      <w:r>
        <w:rPr>
          <w:rFonts w:ascii="Times New Roman" w:eastAsia="Calibri" w:hAnsi="Times New Roman" w:cs="Times New Roman"/>
        </w:rPr>
        <w:t>–</w:t>
      </w:r>
      <w:r w:rsidRPr="005635E7">
        <w:rPr>
          <w:rFonts w:ascii="Times New Roman" w:eastAsia="Calibri" w:hAnsi="Times New Roman" w:cs="Times New Roman"/>
        </w:rPr>
        <w:t>150.</w:t>
      </w:r>
    </w:p>
    <w:p w14:paraId="2110E65E"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With regard to location of the SMEs, most of the SMEs </w:t>
      </w:r>
      <w:r>
        <w:rPr>
          <w:rFonts w:asciiTheme="majorBidi" w:hAnsiTheme="majorBidi" w:cstheme="majorBidi"/>
        </w:rPr>
        <w:t>were</w:t>
      </w:r>
      <w:r w:rsidRPr="005635E7">
        <w:rPr>
          <w:rFonts w:asciiTheme="majorBidi" w:hAnsiTheme="majorBidi" w:cstheme="majorBidi"/>
        </w:rPr>
        <w:t xml:space="preserve"> located in Abu Dhabi (34%) and Dubai (22%), followed by Fujairah (13%), Sharjah (12), Ajman (12%), Umm al Quwain (5%), and Ras al Khaimah (3%).</w:t>
      </w:r>
    </w:p>
    <w:p w14:paraId="20626EDB" w14:textId="149AEF4B"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Finally</w:t>
      </w:r>
      <w:r w:rsidRPr="00D73F8E">
        <w:rPr>
          <w:rFonts w:asciiTheme="majorBidi" w:hAnsiTheme="majorBidi" w:cstheme="majorBidi"/>
        </w:rPr>
        <w:t xml:space="preserve">, </w:t>
      </w:r>
      <w:r w:rsidR="00A218C1" w:rsidRPr="00D73F8E">
        <w:rPr>
          <w:rFonts w:asciiTheme="majorBidi" w:hAnsiTheme="majorBidi" w:cstheme="majorBidi"/>
        </w:rPr>
        <w:t>T</w:t>
      </w:r>
      <w:r w:rsidRPr="00D73F8E">
        <w:rPr>
          <w:rFonts w:asciiTheme="majorBidi" w:hAnsiTheme="majorBidi" w:cstheme="majorBidi"/>
        </w:rPr>
        <w:t xml:space="preserve">able 3.4 shows that </w:t>
      </w:r>
      <w:r w:rsidRPr="00D73F8E">
        <w:rPr>
          <w:rFonts w:ascii="Times New Roman" w:eastAsia="Calibri" w:hAnsi="Times New Roman" w:cs="Times New Roman"/>
        </w:rPr>
        <w:t xml:space="preserve">the SMEs surveyed </w:t>
      </w:r>
      <w:r w:rsidRPr="00D73F8E">
        <w:rPr>
          <w:rFonts w:asciiTheme="majorBidi" w:hAnsiTheme="majorBidi" w:cstheme="majorBidi"/>
        </w:rPr>
        <w:t>manufactured several products in the UAE</w:t>
      </w:r>
      <w:r w:rsidRPr="00D73F8E">
        <w:rPr>
          <w:rFonts w:ascii="Times New Roman" w:eastAsia="Calibri" w:hAnsi="Times New Roman" w:cs="Times New Roman"/>
        </w:rPr>
        <w:t xml:space="preserve">, such as grocery </w:t>
      </w:r>
      <w:r w:rsidRPr="00D73F8E">
        <w:rPr>
          <w:rFonts w:asciiTheme="majorBidi" w:hAnsiTheme="majorBidi" w:cstheme="majorBidi"/>
        </w:rPr>
        <w:t>and consumer products</w:t>
      </w:r>
      <w:r w:rsidRPr="005635E7">
        <w:rPr>
          <w:rFonts w:asciiTheme="majorBidi" w:hAnsiTheme="majorBidi" w:cstheme="majorBidi"/>
        </w:rPr>
        <w:t xml:space="preserve"> (22%), metal product</w:t>
      </w:r>
      <w:r w:rsidRPr="005635E7">
        <w:rPr>
          <w:rFonts w:ascii="Times New Roman" w:eastAsia="Calibri" w:hAnsi="Times New Roman" w:cs="Times New Roman"/>
        </w:rPr>
        <w:t xml:space="preserve">s </w:t>
      </w:r>
      <w:r w:rsidRPr="005635E7">
        <w:rPr>
          <w:rFonts w:asciiTheme="majorBidi" w:hAnsiTheme="majorBidi" w:cstheme="majorBidi"/>
        </w:rPr>
        <w:t>and building material</w:t>
      </w:r>
      <w:r w:rsidRPr="005635E7">
        <w:rPr>
          <w:rFonts w:ascii="Times New Roman" w:eastAsia="Calibri" w:hAnsi="Times New Roman" w:cs="Times New Roman"/>
        </w:rPr>
        <w:t xml:space="preserve">s (21%), apparel </w:t>
      </w:r>
      <w:r w:rsidRPr="005635E7">
        <w:rPr>
          <w:rFonts w:asciiTheme="majorBidi" w:hAnsiTheme="majorBidi" w:cstheme="majorBidi"/>
        </w:rPr>
        <w:t>and clothing (15%), food and beverages (13%), petrochemical</w:t>
      </w:r>
      <w:r w:rsidRPr="005635E7">
        <w:rPr>
          <w:rFonts w:ascii="Times New Roman" w:eastAsia="Calibri" w:hAnsi="Times New Roman" w:cs="Times New Roman"/>
        </w:rPr>
        <w:t xml:space="preserve">s (10%), others (10%), and machinery </w:t>
      </w:r>
      <w:r w:rsidRPr="005635E7">
        <w:rPr>
          <w:rFonts w:asciiTheme="majorBidi" w:hAnsiTheme="majorBidi" w:cstheme="majorBidi"/>
        </w:rPr>
        <w:t>and equipment (7%).</w:t>
      </w:r>
    </w:p>
    <w:p w14:paraId="7B437EB4" w14:textId="77777777" w:rsidR="005976AB" w:rsidRPr="005635E7" w:rsidRDefault="005976AB" w:rsidP="005976AB">
      <w:pPr>
        <w:spacing w:line="480" w:lineRule="auto"/>
        <w:jc w:val="both"/>
        <w:rPr>
          <w:rFonts w:asciiTheme="majorBidi" w:hAnsiTheme="majorBidi" w:cstheme="majorBidi"/>
        </w:rPr>
      </w:pPr>
    </w:p>
    <w:p w14:paraId="6760B39A" w14:textId="77777777" w:rsidR="005976AB" w:rsidRPr="005635E7" w:rsidRDefault="005976AB" w:rsidP="005976AB">
      <w:pPr>
        <w:spacing w:line="480" w:lineRule="auto"/>
        <w:jc w:val="both"/>
        <w:rPr>
          <w:rFonts w:asciiTheme="majorBidi" w:hAnsiTheme="majorBidi" w:cstheme="majorBidi"/>
        </w:rPr>
        <w:sectPr w:rsidR="005976AB" w:rsidRPr="005635E7" w:rsidSect="000B01DE">
          <w:pgSz w:w="11906" w:h="16838"/>
          <w:pgMar w:top="1440" w:right="1440" w:bottom="1440" w:left="1440" w:header="708" w:footer="708" w:gutter="0"/>
          <w:cols w:space="708"/>
          <w:docGrid w:linePitch="360"/>
        </w:sectPr>
      </w:pPr>
    </w:p>
    <w:p w14:paraId="03D710A9" w14:textId="77777777" w:rsidR="005976AB" w:rsidRPr="005635E7" w:rsidRDefault="005976AB" w:rsidP="005976AB">
      <w:pPr>
        <w:pStyle w:val="Caption"/>
        <w:rPr>
          <w:rFonts w:asciiTheme="majorBidi" w:hAnsiTheme="majorBidi" w:cstheme="majorBidi"/>
          <w:i w:val="0"/>
          <w:iCs w:val="0"/>
          <w:color w:val="auto"/>
          <w:sz w:val="24"/>
          <w:szCs w:val="24"/>
        </w:rPr>
      </w:pPr>
      <w:bookmarkStart w:id="87" w:name="_Toc126377958"/>
      <w:r w:rsidRPr="005635E7">
        <w:rPr>
          <w:rFonts w:asciiTheme="majorBidi" w:hAnsiTheme="majorBidi" w:cstheme="majorBidi"/>
          <w:i w:val="0"/>
          <w:iCs w:val="0"/>
          <w:color w:val="auto"/>
          <w:sz w:val="24"/>
          <w:szCs w:val="24"/>
        </w:rPr>
        <w:t>Table 3.</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4</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The analysis of SMEs’ surveyed</w:t>
      </w:r>
      <w:bookmarkEnd w:id="87"/>
      <w:r w:rsidRPr="005635E7">
        <w:rPr>
          <w:rFonts w:asciiTheme="majorBidi" w:hAnsiTheme="majorBidi" w:cstheme="majorBidi"/>
          <w:i w:val="0"/>
          <w:iCs w:val="0"/>
          <w:color w:val="auto"/>
          <w:sz w:val="24"/>
          <w:szCs w:val="24"/>
        </w:rPr>
        <w:t xml:space="preserve"> profiles</w:t>
      </w:r>
    </w:p>
    <w:tbl>
      <w:tblPr>
        <w:tblW w:w="5000" w:type="pct"/>
        <w:tblLayout w:type="fixed"/>
        <w:tblLook w:val="04A0" w:firstRow="1" w:lastRow="0" w:firstColumn="1" w:lastColumn="0" w:noHBand="0" w:noVBand="1"/>
      </w:tblPr>
      <w:tblGrid>
        <w:gridCol w:w="2051"/>
        <w:gridCol w:w="1700"/>
        <w:gridCol w:w="1700"/>
        <w:gridCol w:w="1700"/>
        <w:gridCol w:w="1700"/>
        <w:gridCol w:w="1699"/>
        <w:gridCol w:w="1699"/>
        <w:gridCol w:w="1699"/>
      </w:tblGrid>
      <w:tr w:rsidR="005976AB" w:rsidRPr="005635E7" w14:paraId="57097E88" w14:textId="77777777" w:rsidTr="009E2F41">
        <w:trPr>
          <w:trHeight w:val="315"/>
        </w:trPr>
        <w:tc>
          <w:tcPr>
            <w:tcW w:w="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6E494"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Number of years established</w:t>
            </w:r>
          </w:p>
        </w:tc>
        <w:tc>
          <w:tcPr>
            <w:tcW w:w="609" w:type="pct"/>
            <w:tcBorders>
              <w:top w:val="single" w:sz="4" w:space="0" w:color="auto"/>
              <w:left w:val="nil"/>
              <w:bottom w:val="single" w:sz="4" w:space="0" w:color="auto"/>
              <w:right w:val="single" w:sz="4" w:space="0" w:color="auto"/>
            </w:tcBorders>
            <w:shd w:val="clear" w:color="auto" w:fill="auto"/>
            <w:noWrap/>
            <w:vAlign w:val="bottom"/>
            <w:hideMark/>
          </w:tcPr>
          <w:p w14:paraId="599C0304"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Less than 5 Y</w:t>
            </w:r>
          </w:p>
        </w:tc>
        <w:tc>
          <w:tcPr>
            <w:tcW w:w="609" w:type="pct"/>
            <w:tcBorders>
              <w:top w:val="single" w:sz="4" w:space="0" w:color="auto"/>
              <w:left w:val="nil"/>
              <w:bottom w:val="single" w:sz="4" w:space="0" w:color="auto"/>
              <w:right w:val="nil"/>
            </w:tcBorders>
            <w:shd w:val="clear" w:color="auto" w:fill="auto"/>
            <w:noWrap/>
            <w:vAlign w:val="bottom"/>
            <w:hideMark/>
          </w:tcPr>
          <w:p w14:paraId="512C9707"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 xml:space="preserve">6 </w:t>
            </w:r>
            <w:r>
              <w:rPr>
                <w:rFonts w:asciiTheme="majorBidi" w:eastAsia="Times New Roman" w:hAnsiTheme="majorBidi" w:cstheme="majorBidi"/>
                <w:b/>
                <w:bCs/>
                <w:lang w:eastAsia="en-GB"/>
              </w:rPr>
              <w:t>–</w:t>
            </w:r>
            <w:r w:rsidRPr="005635E7">
              <w:rPr>
                <w:rFonts w:asciiTheme="majorBidi" w:eastAsia="Times New Roman" w:hAnsiTheme="majorBidi" w:cstheme="majorBidi"/>
                <w:b/>
                <w:bCs/>
                <w:lang w:eastAsia="en-GB"/>
              </w:rPr>
              <w:t xml:space="preserve"> 10 Y</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ADAEF"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11</w:t>
            </w:r>
            <w:r>
              <w:rPr>
                <w:rFonts w:asciiTheme="majorBidi" w:eastAsia="Times New Roman" w:hAnsiTheme="majorBidi" w:cstheme="majorBidi"/>
                <w:b/>
                <w:bCs/>
                <w:lang w:eastAsia="en-GB"/>
              </w:rPr>
              <w:t>–</w:t>
            </w:r>
            <w:r w:rsidRPr="005635E7">
              <w:rPr>
                <w:rFonts w:asciiTheme="majorBidi" w:eastAsia="Times New Roman" w:hAnsiTheme="majorBidi" w:cstheme="majorBidi"/>
                <w:b/>
                <w:bCs/>
                <w:lang w:eastAsia="en-GB"/>
              </w:rPr>
              <w:t>15 Y</w:t>
            </w:r>
          </w:p>
        </w:tc>
        <w:tc>
          <w:tcPr>
            <w:tcW w:w="609" w:type="pct"/>
            <w:tcBorders>
              <w:top w:val="single" w:sz="4" w:space="0" w:color="auto"/>
              <w:left w:val="nil"/>
              <w:bottom w:val="single" w:sz="4" w:space="0" w:color="auto"/>
              <w:right w:val="nil"/>
            </w:tcBorders>
            <w:shd w:val="clear" w:color="auto" w:fill="auto"/>
            <w:noWrap/>
            <w:vAlign w:val="bottom"/>
            <w:hideMark/>
          </w:tcPr>
          <w:p w14:paraId="539DD22C"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16</w:t>
            </w:r>
            <w:r>
              <w:rPr>
                <w:rFonts w:asciiTheme="majorBidi" w:eastAsia="Times New Roman" w:hAnsiTheme="majorBidi" w:cstheme="majorBidi"/>
                <w:b/>
                <w:bCs/>
                <w:lang w:eastAsia="en-GB"/>
              </w:rPr>
              <w:t>–</w:t>
            </w:r>
            <w:r w:rsidRPr="005635E7">
              <w:rPr>
                <w:rFonts w:asciiTheme="majorBidi" w:eastAsia="Times New Roman" w:hAnsiTheme="majorBidi" w:cstheme="majorBidi"/>
                <w:b/>
                <w:bCs/>
                <w:lang w:eastAsia="en-GB"/>
              </w:rPr>
              <w:t xml:space="preserve"> 20 Y</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4C988"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21</w:t>
            </w:r>
            <w:r>
              <w:rPr>
                <w:rFonts w:asciiTheme="majorBidi" w:eastAsia="Times New Roman" w:hAnsiTheme="majorBidi" w:cstheme="majorBidi"/>
                <w:b/>
                <w:bCs/>
                <w:lang w:eastAsia="en-GB"/>
              </w:rPr>
              <w:t>–</w:t>
            </w:r>
            <w:r w:rsidRPr="005635E7">
              <w:rPr>
                <w:rFonts w:asciiTheme="majorBidi" w:eastAsia="Times New Roman" w:hAnsiTheme="majorBidi" w:cstheme="majorBidi"/>
                <w:b/>
                <w:bCs/>
                <w:lang w:eastAsia="en-GB"/>
              </w:rPr>
              <w:t>30Y</w:t>
            </w:r>
          </w:p>
        </w:tc>
        <w:tc>
          <w:tcPr>
            <w:tcW w:w="12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2F0467A9"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More than 30 Y</w:t>
            </w:r>
          </w:p>
        </w:tc>
      </w:tr>
      <w:tr w:rsidR="005976AB" w:rsidRPr="005635E7" w14:paraId="3E30A78B"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224813D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Number of SMEs</w:t>
            </w:r>
          </w:p>
        </w:tc>
        <w:tc>
          <w:tcPr>
            <w:tcW w:w="609" w:type="pct"/>
            <w:tcBorders>
              <w:top w:val="nil"/>
              <w:left w:val="nil"/>
              <w:bottom w:val="nil"/>
              <w:right w:val="single" w:sz="4" w:space="0" w:color="auto"/>
            </w:tcBorders>
            <w:shd w:val="clear" w:color="auto" w:fill="auto"/>
            <w:noWrap/>
            <w:vAlign w:val="bottom"/>
            <w:hideMark/>
          </w:tcPr>
          <w:p w14:paraId="422D7F7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22</w:t>
            </w:r>
          </w:p>
        </w:tc>
        <w:tc>
          <w:tcPr>
            <w:tcW w:w="609" w:type="pct"/>
            <w:tcBorders>
              <w:top w:val="nil"/>
              <w:left w:val="nil"/>
              <w:bottom w:val="nil"/>
              <w:right w:val="nil"/>
            </w:tcBorders>
            <w:shd w:val="clear" w:color="auto" w:fill="auto"/>
            <w:noWrap/>
            <w:vAlign w:val="bottom"/>
            <w:hideMark/>
          </w:tcPr>
          <w:p w14:paraId="66809F3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54</w:t>
            </w:r>
          </w:p>
        </w:tc>
        <w:tc>
          <w:tcPr>
            <w:tcW w:w="609" w:type="pct"/>
            <w:tcBorders>
              <w:top w:val="nil"/>
              <w:left w:val="single" w:sz="4" w:space="0" w:color="auto"/>
              <w:bottom w:val="nil"/>
              <w:right w:val="single" w:sz="4" w:space="0" w:color="auto"/>
            </w:tcBorders>
            <w:shd w:val="clear" w:color="auto" w:fill="auto"/>
            <w:noWrap/>
            <w:vAlign w:val="bottom"/>
            <w:hideMark/>
          </w:tcPr>
          <w:p w14:paraId="6F692C1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60</w:t>
            </w:r>
          </w:p>
        </w:tc>
        <w:tc>
          <w:tcPr>
            <w:tcW w:w="609" w:type="pct"/>
            <w:tcBorders>
              <w:top w:val="nil"/>
              <w:left w:val="nil"/>
              <w:bottom w:val="nil"/>
              <w:right w:val="nil"/>
            </w:tcBorders>
            <w:shd w:val="clear" w:color="auto" w:fill="auto"/>
            <w:noWrap/>
            <w:vAlign w:val="bottom"/>
            <w:hideMark/>
          </w:tcPr>
          <w:p w14:paraId="30CE4FA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49</w:t>
            </w:r>
          </w:p>
        </w:tc>
        <w:tc>
          <w:tcPr>
            <w:tcW w:w="609" w:type="pct"/>
            <w:tcBorders>
              <w:top w:val="nil"/>
              <w:left w:val="single" w:sz="4" w:space="0" w:color="auto"/>
              <w:bottom w:val="nil"/>
              <w:right w:val="single" w:sz="4" w:space="0" w:color="auto"/>
            </w:tcBorders>
            <w:shd w:val="clear" w:color="auto" w:fill="auto"/>
            <w:noWrap/>
            <w:vAlign w:val="bottom"/>
            <w:hideMark/>
          </w:tcPr>
          <w:p w14:paraId="75D2313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89</w:t>
            </w:r>
          </w:p>
        </w:tc>
        <w:tc>
          <w:tcPr>
            <w:tcW w:w="1218" w:type="pct"/>
            <w:gridSpan w:val="2"/>
            <w:tcBorders>
              <w:top w:val="nil"/>
              <w:left w:val="nil"/>
              <w:bottom w:val="nil"/>
              <w:right w:val="single" w:sz="4" w:space="0" w:color="auto"/>
            </w:tcBorders>
            <w:shd w:val="clear" w:color="auto" w:fill="auto"/>
            <w:noWrap/>
            <w:vAlign w:val="bottom"/>
            <w:hideMark/>
          </w:tcPr>
          <w:p w14:paraId="1BB65D9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25</w:t>
            </w:r>
          </w:p>
        </w:tc>
      </w:tr>
      <w:tr w:rsidR="005976AB" w:rsidRPr="005635E7" w14:paraId="272E179A"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6B9862D9"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Percentage</w:t>
            </w:r>
          </w:p>
        </w:tc>
        <w:tc>
          <w:tcPr>
            <w:tcW w:w="609" w:type="pct"/>
            <w:tcBorders>
              <w:top w:val="nil"/>
              <w:left w:val="nil"/>
              <w:bottom w:val="nil"/>
              <w:right w:val="single" w:sz="4" w:space="0" w:color="auto"/>
            </w:tcBorders>
            <w:shd w:val="clear" w:color="auto" w:fill="auto"/>
            <w:noWrap/>
            <w:vAlign w:val="bottom"/>
            <w:hideMark/>
          </w:tcPr>
          <w:p w14:paraId="5015197D"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7%</w:t>
            </w:r>
          </w:p>
        </w:tc>
        <w:tc>
          <w:tcPr>
            <w:tcW w:w="609" w:type="pct"/>
            <w:tcBorders>
              <w:top w:val="nil"/>
              <w:left w:val="nil"/>
              <w:bottom w:val="nil"/>
              <w:right w:val="nil"/>
            </w:tcBorders>
            <w:shd w:val="clear" w:color="auto" w:fill="auto"/>
            <w:noWrap/>
            <w:vAlign w:val="bottom"/>
            <w:hideMark/>
          </w:tcPr>
          <w:p w14:paraId="547FB796"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18%</w:t>
            </w:r>
          </w:p>
        </w:tc>
        <w:tc>
          <w:tcPr>
            <w:tcW w:w="609" w:type="pct"/>
            <w:tcBorders>
              <w:top w:val="nil"/>
              <w:left w:val="single" w:sz="4" w:space="0" w:color="auto"/>
              <w:bottom w:val="nil"/>
              <w:right w:val="single" w:sz="4" w:space="0" w:color="auto"/>
            </w:tcBorders>
            <w:shd w:val="clear" w:color="auto" w:fill="auto"/>
            <w:noWrap/>
            <w:vAlign w:val="bottom"/>
            <w:hideMark/>
          </w:tcPr>
          <w:p w14:paraId="42B2D3E7"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20%</w:t>
            </w:r>
          </w:p>
        </w:tc>
        <w:tc>
          <w:tcPr>
            <w:tcW w:w="609" w:type="pct"/>
            <w:tcBorders>
              <w:top w:val="nil"/>
              <w:left w:val="nil"/>
              <w:bottom w:val="nil"/>
              <w:right w:val="nil"/>
            </w:tcBorders>
            <w:shd w:val="clear" w:color="auto" w:fill="auto"/>
            <w:noWrap/>
            <w:vAlign w:val="bottom"/>
            <w:hideMark/>
          </w:tcPr>
          <w:p w14:paraId="617819A9"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16%</w:t>
            </w:r>
          </w:p>
        </w:tc>
        <w:tc>
          <w:tcPr>
            <w:tcW w:w="609" w:type="pct"/>
            <w:tcBorders>
              <w:top w:val="nil"/>
              <w:left w:val="single" w:sz="4" w:space="0" w:color="auto"/>
              <w:bottom w:val="nil"/>
              <w:right w:val="single" w:sz="4" w:space="0" w:color="auto"/>
            </w:tcBorders>
            <w:shd w:val="clear" w:color="auto" w:fill="auto"/>
            <w:noWrap/>
            <w:vAlign w:val="bottom"/>
            <w:hideMark/>
          </w:tcPr>
          <w:p w14:paraId="577D52F1"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30%</w:t>
            </w:r>
          </w:p>
        </w:tc>
        <w:tc>
          <w:tcPr>
            <w:tcW w:w="1218" w:type="pct"/>
            <w:gridSpan w:val="2"/>
            <w:tcBorders>
              <w:top w:val="nil"/>
              <w:left w:val="nil"/>
              <w:bottom w:val="nil"/>
              <w:right w:val="single" w:sz="4" w:space="0" w:color="auto"/>
            </w:tcBorders>
            <w:shd w:val="clear" w:color="auto" w:fill="auto"/>
            <w:noWrap/>
            <w:vAlign w:val="bottom"/>
            <w:hideMark/>
          </w:tcPr>
          <w:p w14:paraId="7DE3CCA0"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8%</w:t>
            </w:r>
          </w:p>
        </w:tc>
      </w:tr>
      <w:tr w:rsidR="005976AB" w:rsidRPr="005635E7" w14:paraId="70835BB4"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2E4C43F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09" w:type="pct"/>
            <w:tcBorders>
              <w:top w:val="nil"/>
              <w:left w:val="nil"/>
              <w:bottom w:val="nil"/>
              <w:right w:val="single" w:sz="4" w:space="0" w:color="auto"/>
            </w:tcBorders>
            <w:shd w:val="clear" w:color="auto" w:fill="auto"/>
            <w:noWrap/>
            <w:vAlign w:val="bottom"/>
            <w:hideMark/>
          </w:tcPr>
          <w:p w14:paraId="3ED920F8"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nil"/>
              <w:bottom w:val="nil"/>
              <w:right w:val="nil"/>
            </w:tcBorders>
            <w:shd w:val="clear" w:color="auto" w:fill="auto"/>
            <w:noWrap/>
            <w:vAlign w:val="bottom"/>
            <w:hideMark/>
          </w:tcPr>
          <w:p w14:paraId="2AD29EB0"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single" w:sz="4" w:space="0" w:color="auto"/>
              <w:bottom w:val="nil"/>
              <w:right w:val="single" w:sz="4" w:space="0" w:color="auto"/>
            </w:tcBorders>
            <w:shd w:val="clear" w:color="auto" w:fill="auto"/>
            <w:noWrap/>
            <w:vAlign w:val="bottom"/>
            <w:hideMark/>
          </w:tcPr>
          <w:p w14:paraId="6D1EA28C"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nil"/>
              <w:bottom w:val="nil"/>
              <w:right w:val="nil"/>
            </w:tcBorders>
            <w:shd w:val="clear" w:color="auto" w:fill="auto"/>
            <w:noWrap/>
            <w:vAlign w:val="bottom"/>
            <w:hideMark/>
          </w:tcPr>
          <w:p w14:paraId="4B4EC22E"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single" w:sz="4" w:space="0" w:color="auto"/>
              <w:bottom w:val="nil"/>
              <w:right w:val="single" w:sz="4" w:space="0" w:color="auto"/>
            </w:tcBorders>
            <w:shd w:val="clear" w:color="auto" w:fill="auto"/>
            <w:noWrap/>
            <w:vAlign w:val="bottom"/>
            <w:hideMark/>
          </w:tcPr>
          <w:p w14:paraId="277C3927" w14:textId="77777777" w:rsidR="005976AB" w:rsidRPr="005635E7" w:rsidRDefault="005976AB" w:rsidP="009E2F41">
            <w:pPr>
              <w:jc w:val="both"/>
              <w:rPr>
                <w:rFonts w:asciiTheme="majorBidi" w:eastAsia="Times New Roman" w:hAnsiTheme="majorBidi" w:cstheme="majorBidi"/>
                <w:lang w:eastAsia="en-GB"/>
              </w:rPr>
            </w:pPr>
          </w:p>
        </w:tc>
        <w:tc>
          <w:tcPr>
            <w:tcW w:w="1218" w:type="pct"/>
            <w:gridSpan w:val="2"/>
            <w:tcBorders>
              <w:top w:val="nil"/>
              <w:left w:val="nil"/>
              <w:bottom w:val="nil"/>
              <w:right w:val="single" w:sz="4" w:space="0" w:color="auto"/>
            </w:tcBorders>
            <w:shd w:val="clear" w:color="auto" w:fill="auto"/>
            <w:noWrap/>
            <w:vAlign w:val="bottom"/>
            <w:hideMark/>
          </w:tcPr>
          <w:p w14:paraId="63A949DC" w14:textId="77777777" w:rsidR="005976AB" w:rsidRPr="005635E7" w:rsidRDefault="005976AB" w:rsidP="009E2F41">
            <w:pPr>
              <w:jc w:val="both"/>
              <w:rPr>
                <w:rFonts w:asciiTheme="majorBidi" w:eastAsia="Times New Roman" w:hAnsiTheme="majorBidi" w:cstheme="majorBidi"/>
                <w:lang w:eastAsia="en-GB"/>
              </w:rPr>
            </w:pPr>
          </w:p>
        </w:tc>
      </w:tr>
      <w:tr w:rsidR="005976AB" w:rsidRPr="005635E7" w14:paraId="58FD5E9F" w14:textId="77777777" w:rsidTr="009E2F41">
        <w:trPr>
          <w:trHeight w:val="315"/>
        </w:trPr>
        <w:tc>
          <w:tcPr>
            <w:tcW w:w="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1FFF9"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Number of Employees</w:t>
            </w:r>
          </w:p>
        </w:tc>
        <w:tc>
          <w:tcPr>
            <w:tcW w:w="609" w:type="pct"/>
            <w:tcBorders>
              <w:top w:val="single" w:sz="4" w:space="0" w:color="auto"/>
              <w:left w:val="nil"/>
              <w:bottom w:val="single" w:sz="4" w:space="0" w:color="auto"/>
              <w:right w:val="single" w:sz="4" w:space="0" w:color="auto"/>
            </w:tcBorders>
            <w:shd w:val="clear" w:color="auto" w:fill="auto"/>
            <w:noWrap/>
            <w:vAlign w:val="bottom"/>
            <w:hideMark/>
          </w:tcPr>
          <w:p w14:paraId="1CA5EFC4"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Less than 25 Employees</w:t>
            </w:r>
          </w:p>
        </w:tc>
        <w:tc>
          <w:tcPr>
            <w:tcW w:w="609" w:type="pct"/>
            <w:tcBorders>
              <w:top w:val="single" w:sz="4" w:space="0" w:color="auto"/>
              <w:left w:val="nil"/>
              <w:bottom w:val="single" w:sz="4" w:space="0" w:color="auto"/>
              <w:right w:val="nil"/>
            </w:tcBorders>
            <w:shd w:val="clear" w:color="auto" w:fill="auto"/>
            <w:noWrap/>
            <w:vAlign w:val="bottom"/>
            <w:hideMark/>
          </w:tcPr>
          <w:p w14:paraId="24EBF2DE"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26</w:t>
            </w:r>
            <w:r>
              <w:rPr>
                <w:rFonts w:asciiTheme="majorBidi" w:eastAsia="Times New Roman" w:hAnsiTheme="majorBidi" w:cstheme="majorBidi"/>
                <w:b/>
                <w:bCs/>
                <w:lang w:eastAsia="en-GB"/>
              </w:rPr>
              <w:t>–</w:t>
            </w:r>
            <w:r w:rsidRPr="005635E7">
              <w:rPr>
                <w:rFonts w:asciiTheme="majorBidi" w:eastAsia="Times New Roman" w:hAnsiTheme="majorBidi" w:cstheme="majorBidi"/>
                <w:b/>
                <w:bCs/>
                <w:lang w:eastAsia="en-GB"/>
              </w:rPr>
              <w:t>50 Employees</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0FF20"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51</w:t>
            </w:r>
            <w:r>
              <w:rPr>
                <w:rFonts w:asciiTheme="majorBidi" w:eastAsia="Times New Roman" w:hAnsiTheme="majorBidi" w:cstheme="majorBidi"/>
                <w:b/>
                <w:bCs/>
                <w:lang w:eastAsia="en-GB"/>
              </w:rPr>
              <w:t>–</w:t>
            </w:r>
            <w:r w:rsidRPr="005635E7">
              <w:rPr>
                <w:rFonts w:asciiTheme="majorBidi" w:eastAsia="Times New Roman" w:hAnsiTheme="majorBidi" w:cstheme="majorBidi"/>
                <w:b/>
                <w:bCs/>
                <w:lang w:eastAsia="en-GB"/>
              </w:rPr>
              <w:t>100 employees</w:t>
            </w:r>
          </w:p>
        </w:tc>
        <w:tc>
          <w:tcPr>
            <w:tcW w:w="609" w:type="pct"/>
            <w:tcBorders>
              <w:top w:val="single" w:sz="4" w:space="0" w:color="auto"/>
              <w:left w:val="nil"/>
              <w:bottom w:val="single" w:sz="4" w:space="0" w:color="auto"/>
              <w:right w:val="nil"/>
            </w:tcBorders>
            <w:shd w:val="clear" w:color="auto" w:fill="auto"/>
            <w:noWrap/>
            <w:vAlign w:val="bottom"/>
            <w:hideMark/>
          </w:tcPr>
          <w:p w14:paraId="0ED82540"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101 and 150 employees</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9CBB0"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101</w:t>
            </w:r>
            <w:r>
              <w:rPr>
                <w:rFonts w:asciiTheme="majorBidi" w:eastAsia="Times New Roman" w:hAnsiTheme="majorBidi" w:cstheme="majorBidi"/>
                <w:b/>
                <w:bCs/>
                <w:lang w:eastAsia="en-GB"/>
              </w:rPr>
              <w:t>–</w:t>
            </w:r>
            <w:r w:rsidRPr="005635E7">
              <w:rPr>
                <w:rFonts w:asciiTheme="majorBidi" w:eastAsia="Times New Roman" w:hAnsiTheme="majorBidi" w:cstheme="majorBidi"/>
                <w:b/>
                <w:bCs/>
                <w:lang w:eastAsia="en-GB"/>
              </w:rPr>
              <w:t>200 employees</w:t>
            </w:r>
          </w:p>
        </w:tc>
        <w:tc>
          <w:tcPr>
            <w:tcW w:w="1218" w:type="pct"/>
            <w:gridSpan w:val="2"/>
            <w:tcBorders>
              <w:top w:val="single" w:sz="4" w:space="0" w:color="auto"/>
              <w:left w:val="nil"/>
              <w:bottom w:val="single" w:sz="4" w:space="0" w:color="auto"/>
              <w:right w:val="single" w:sz="4" w:space="0" w:color="auto"/>
            </w:tcBorders>
            <w:shd w:val="clear" w:color="auto" w:fill="auto"/>
            <w:noWrap/>
            <w:vAlign w:val="bottom"/>
            <w:hideMark/>
          </w:tcPr>
          <w:p w14:paraId="19A7E4B3"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&gt; 200</w:t>
            </w:r>
          </w:p>
        </w:tc>
      </w:tr>
      <w:tr w:rsidR="005976AB" w:rsidRPr="005635E7" w14:paraId="022CBDCF"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0B23F16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Number of SMEs</w:t>
            </w:r>
          </w:p>
        </w:tc>
        <w:tc>
          <w:tcPr>
            <w:tcW w:w="609" w:type="pct"/>
            <w:tcBorders>
              <w:top w:val="nil"/>
              <w:left w:val="nil"/>
              <w:bottom w:val="nil"/>
              <w:right w:val="single" w:sz="4" w:space="0" w:color="auto"/>
            </w:tcBorders>
            <w:shd w:val="clear" w:color="auto" w:fill="auto"/>
            <w:noWrap/>
            <w:vAlign w:val="bottom"/>
            <w:hideMark/>
          </w:tcPr>
          <w:p w14:paraId="7CF1992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95</w:t>
            </w:r>
          </w:p>
        </w:tc>
        <w:tc>
          <w:tcPr>
            <w:tcW w:w="609" w:type="pct"/>
            <w:tcBorders>
              <w:top w:val="nil"/>
              <w:left w:val="nil"/>
              <w:bottom w:val="nil"/>
              <w:right w:val="nil"/>
            </w:tcBorders>
            <w:shd w:val="clear" w:color="auto" w:fill="auto"/>
            <w:noWrap/>
            <w:vAlign w:val="bottom"/>
            <w:hideMark/>
          </w:tcPr>
          <w:p w14:paraId="5B8D034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96</w:t>
            </w:r>
          </w:p>
        </w:tc>
        <w:tc>
          <w:tcPr>
            <w:tcW w:w="609" w:type="pct"/>
            <w:tcBorders>
              <w:top w:val="nil"/>
              <w:left w:val="single" w:sz="4" w:space="0" w:color="auto"/>
              <w:bottom w:val="nil"/>
              <w:right w:val="single" w:sz="4" w:space="0" w:color="auto"/>
            </w:tcBorders>
            <w:shd w:val="clear" w:color="auto" w:fill="auto"/>
            <w:noWrap/>
            <w:vAlign w:val="bottom"/>
            <w:hideMark/>
          </w:tcPr>
          <w:p w14:paraId="4BC35E6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87</w:t>
            </w:r>
          </w:p>
        </w:tc>
        <w:tc>
          <w:tcPr>
            <w:tcW w:w="609" w:type="pct"/>
            <w:tcBorders>
              <w:top w:val="nil"/>
              <w:left w:val="nil"/>
              <w:bottom w:val="nil"/>
              <w:right w:val="nil"/>
            </w:tcBorders>
            <w:shd w:val="clear" w:color="auto" w:fill="auto"/>
            <w:noWrap/>
            <w:vAlign w:val="bottom"/>
            <w:hideMark/>
          </w:tcPr>
          <w:p w14:paraId="2108BA2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20</w:t>
            </w:r>
          </w:p>
        </w:tc>
        <w:tc>
          <w:tcPr>
            <w:tcW w:w="609" w:type="pct"/>
            <w:tcBorders>
              <w:top w:val="nil"/>
              <w:left w:val="single" w:sz="4" w:space="0" w:color="auto"/>
              <w:bottom w:val="nil"/>
              <w:right w:val="single" w:sz="4" w:space="0" w:color="auto"/>
            </w:tcBorders>
            <w:shd w:val="clear" w:color="auto" w:fill="auto"/>
            <w:noWrap/>
            <w:vAlign w:val="bottom"/>
            <w:hideMark/>
          </w:tcPr>
          <w:p w14:paraId="66DA613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1</w:t>
            </w:r>
          </w:p>
        </w:tc>
        <w:tc>
          <w:tcPr>
            <w:tcW w:w="1218" w:type="pct"/>
            <w:gridSpan w:val="2"/>
            <w:tcBorders>
              <w:top w:val="nil"/>
              <w:left w:val="nil"/>
              <w:bottom w:val="nil"/>
              <w:right w:val="single" w:sz="4" w:space="0" w:color="auto"/>
            </w:tcBorders>
            <w:shd w:val="clear" w:color="auto" w:fill="auto"/>
            <w:noWrap/>
            <w:vAlign w:val="bottom"/>
            <w:hideMark/>
          </w:tcPr>
          <w:p w14:paraId="62D0DFF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w:t>
            </w:r>
          </w:p>
        </w:tc>
      </w:tr>
      <w:tr w:rsidR="005976AB" w:rsidRPr="005635E7" w14:paraId="0FE98A40"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097A4EB9"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Percentage</w:t>
            </w:r>
          </w:p>
        </w:tc>
        <w:tc>
          <w:tcPr>
            <w:tcW w:w="609" w:type="pct"/>
            <w:tcBorders>
              <w:top w:val="nil"/>
              <w:left w:val="nil"/>
              <w:bottom w:val="nil"/>
              <w:right w:val="single" w:sz="4" w:space="0" w:color="auto"/>
            </w:tcBorders>
            <w:shd w:val="clear" w:color="auto" w:fill="auto"/>
            <w:noWrap/>
            <w:vAlign w:val="bottom"/>
            <w:hideMark/>
          </w:tcPr>
          <w:p w14:paraId="342ABC3E"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32%</w:t>
            </w:r>
          </w:p>
        </w:tc>
        <w:tc>
          <w:tcPr>
            <w:tcW w:w="609" w:type="pct"/>
            <w:tcBorders>
              <w:top w:val="nil"/>
              <w:left w:val="nil"/>
              <w:bottom w:val="nil"/>
              <w:right w:val="nil"/>
            </w:tcBorders>
            <w:shd w:val="clear" w:color="auto" w:fill="auto"/>
            <w:noWrap/>
            <w:vAlign w:val="bottom"/>
            <w:hideMark/>
          </w:tcPr>
          <w:p w14:paraId="6684675C"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32%</w:t>
            </w:r>
          </w:p>
        </w:tc>
        <w:tc>
          <w:tcPr>
            <w:tcW w:w="609" w:type="pct"/>
            <w:tcBorders>
              <w:top w:val="nil"/>
              <w:left w:val="single" w:sz="4" w:space="0" w:color="auto"/>
              <w:bottom w:val="nil"/>
              <w:right w:val="single" w:sz="4" w:space="0" w:color="auto"/>
            </w:tcBorders>
            <w:shd w:val="clear" w:color="auto" w:fill="auto"/>
            <w:noWrap/>
            <w:vAlign w:val="bottom"/>
            <w:hideMark/>
          </w:tcPr>
          <w:p w14:paraId="007E2501"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29%</w:t>
            </w:r>
          </w:p>
        </w:tc>
        <w:tc>
          <w:tcPr>
            <w:tcW w:w="609" w:type="pct"/>
            <w:tcBorders>
              <w:top w:val="nil"/>
              <w:left w:val="nil"/>
              <w:bottom w:val="nil"/>
              <w:right w:val="nil"/>
            </w:tcBorders>
            <w:shd w:val="clear" w:color="auto" w:fill="auto"/>
            <w:noWrap/>
            <w:vAlign w:val="bottom"/>
            <w:hideMark/>
          </w:tcPr>
          <w:p w14:paraId="025E5ACE"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7%</w:t>
            </w:r>
          </w:p>
        </w:tc>
        <w:tc>
          <w:tcPr>
            <w:tcW w:w="609" w:type="pct"/>
            <w:tcBorders>
              <w:top w:val="nil"/>
              <w:left w:val="single" w:sz="4" w:space="0" w:color="auto"/>
              <w:bottom w:val="nil"/>
              <w:right w:val="single" w:sz="4" w:space="0" w:color="auto"/>
            </w:tcBorders>
            <w:shd w:val="clear" w:color="auto" w:fill="auto"/>
            <w:noWrap/>
            <w:vAlign w:val="bottom"/>
            <w:hideMark/>
          </w:tcPr>
          <w:p w14:paraId="78CE303B"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0%</w:t>
            </w:r>
          </w:p>
        </w:tc>
        <w:tc>
          <w:tcPr>
            <w:tcW w:w="1218" w:type="pct"/>
            <w:gridSpan w:val="2"/>
            <w:tcBorders>
              <w:top w:val="nil"/>
              <w:left w:val="nil"/>
              <w:bottom w:val="nil"/>
              <w:right w:val="single" w:sz="4" w:space="0" w:color="auto"/>
            </w:tcBorders>
            <w:shd w:val="clear" w:color="auto" w:fill="auto"/>
            <w:noWrap/>
            <w:vAlign w:val="bottom"/>
            <w:hideMark/>
          </w:tcPr>
          <w:p w14:paraId="191D30E5"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0%</w:t>
            </w:r>
          </w:p>
        </w:tc>
      </w:tr>
      <w:tr w:rsidR="005976AB" w:rsidRPr="005635E7" w14:paraId="08D5ABD7"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0D69708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09" w:type="pct"/>
            <w:tcBorders>
              <w:top w:val="nil"/>
              <w:left w:val="nil"/>
              <w:bottom w:val="nil"/>
              <w:right w:val="single" w:sz="4" w:space="0" w:color="auto"/>
            </w:tcBorders>
            <w:shd w:val="clear" w:color="auto" w:fill="auto"/>
            <w:noWrap/>
            <w:vAlign w:val="bottom"/>
            <w:hideMark/>
          </w:tcPr>
          <w:p w14:paraId="210F86A6"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nil"/>
              <w:bottom w:val="nil"/>
              <w:right w:val="nil"/>
            </w:tcBorders>
            <w:shd w:val="clear" w:color="auto" w:fill="auto"/>
            <w:noWrap/>
            <w:vAlign w:val="bottom"/>
            <w:hideMark/>
          </w:tcPr>
          <w:p w14:paraId="6BAD5556"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single" w:sz="4" w:space="0" w:color="auto"/>
              <w:bottom w:val="nil"/>
              <w:right w:val="single" w:sz="4" w:space="0" w:color="auto"/>
            </w:tcBorders>
            <w:shd w:val="clear" w:color="auto" w:fill="auto"/>
            <w:noWrap/>
            <w:vAlign w:val="bottom"/>
            <w:hideMark/>
          </w:tcPr>
          <w:p w14:paraId="73AFA592"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nil"/>
              <w:bottom w:val="nil"/>
              <w:right w:val="nil"/>
            </w:tcBorders>
            <w:shd w:val="clear" w:color="auto" w:fill="auto"/>
            <w:noWrap/>
            <w:vAlign w:val="bottom"/>
            <w:hideMark/>
          </w:tcPr>
          <w:p w14:paraId="346FD072"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single" w:sz="4" w:space="0" w:color="auto"/>
              <w:bottom w:val="nil"/>
              <w:right w:val="single" w:sz="4" w:space="0" w:color="auto"/>
            </w:tcBorders>
            <w:shd w:val="clear" w:color="auto" w:fill="auto"/>
            <w:noWrap/>
            <w:vAlign w:val="bottom"/>
            <w:hideMark/>
          </w:tcPr>
          <w:p w14:paraId="409C6960" w14:textId="77777777" w:rsidR="005976AB" w:rsidRPr="005635E7" w:rsidRDefault="005976AB" w:rsidP="009E2F41">
            <w:pPr>
              <w:jc w:val="both"/>
              <w:rPr>
                <w:rFonts w:asciiTheme="majorBidi" w:eastAsia="Times New Roman" w:hAnsiTheme="majorBidi" w:cstheme="majorBidi"/>
                <w:lang w:eastAsia="en-GB"/>
              </w:rPr>
            </w:pPr>
          </w:p>
        </w:tc>
        <w:tc>
          <w:tcPr>
            <w:tcW w:w="1218" w:type="pct"/>
            <w:gridSpan w:val="2"/>
            <w:tcBorders>
              <w:top w:val="nil"/>
              <w:left w:val="nil"/>
              <w:bottom w:val="nil"/>
              <w:right w:val="single" w:sz="4" w:space="0" w:color="auto"/>
            </w:tcBorders>
            <w:shd w:val="clear" w:color="auto" w:fill="auto"/>
            <w:noWrap/>
            <w:vAlign w:val="bottom"/>
            <w:hideMark/>
          </w:tcPr>
          <w:p w14:paraId="4B83580C" w14:textId="77777777" w:rsidR="005976AB" w:rsidRPr="005635E7" w:rsidRDefault="005976AB" w:rsidP="009E2F41">
            <w:pPr>
              <w:jc w:val="both"/>
              <w:rPr>
                <w:rFonts w:asciiTheme="majorBidi" w:eastAsia="Times New Roman" w:hAnsiTheme="majorBidi" w:cstheme="majorBidi"/>
                <w:lang w:eastAsia="en-GB"/>
              </w:rPr>
            </w:pPr>
          </w:p>
        </w:tc>
      </w:tr>
      <w:tr w:rsidR="005976AB" w:rsidRPr="005635E7" w14:paraId="2014F9D9" w14:textId="77777777" w:rsidTr="009E2F41">
        <w:trPr>
          <w:trHeight w:val="315"/>
        </w:trPr>
        <w:tc>
          <w:tcPr>
            <w:tcW w:w="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E04AA"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Location</w:t>
            </w:r>
          </w:p>
        </w:tc>
        <w:tc>
          <w:tcPr>
            <w:tcW w:w="609" w:type="pct"/>
            <w:tcBorders>
              <w:top w:val="single" w:sz="4" w:space="0" w:color="auto"/>
              <w:left w:val="nil"/>
              <w:bottom w:val="single" w:sz="4" w:space="0" w:color="auto"/>
              <w:right w:val="single" w:sz="4" w:space="0" w:color="auto"/>
            </w:tcBorders>
            <w:shd w:val="clear" w:color="auto" w:fill="auto"/>
            <w:noWrap/>
            <w:vAlign w:val="bottom"/>
            <w:hideMark/>
          </w:tcPr>
          <w:p w14:paraId="6875B204"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Abu Dhabi</w:t>
            </w:r>
          </w:p>
        </w:tc>
        <w:tc>
          <w:tcPr>
            <w:tcW w:w="609" w:type="pct"/>
            <w:tcBorders>
              <w:top w:val="single" w:sz="4" w:space="0" w:color="auto"/>
              <w:left w:val="nil"/>
              <w:bottom w:val="single" w:sz="4" w:space="0" w:color="auto"/>
              <w:right w:val="nil"/>
            </w:tcBorders>
            <w:shd w:val="clear" w:color="auto" w:fill="auto"/>
            <w:noWrap/>
            <w:vAlign w:val="bottom"/>
            <w:hideMark/>
          </w:tcPr>
          <w:p w14:paraId="063B2F81"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Dubai</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A187E"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Sharjah</w:t>
            </w:r>
          </w:p>
        </w:tc>
        <w:tc>
          <w:tcPr>
            <w:tcW w:w="609" w:type="pct"/>
            <w:tcBorders>
              <w:top w:val="single" w:sz="4" w:space="0" w:color="auto"/>
              <w:left w:val="nil"/>
              <w:bottom w:val="single" w:sz="4" w:space="0" w:color="auto"/>
              <w:right w:val="nil"/>
            </w:tcBorders>
            <w:shd w:val="clear" w:color="auto" w:fill="auto"/>
            <w:noWrap/>
            <w:vAlign w:val="bottom"/>
            <w:hideMark/>
          </w:tcPr>
          <w:p w14:paraId="5DAA6F31"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Fujairah</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88756"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Ajman</w:t>
            </w:r>
          </w:p>
        </w:tc>
        <w:tc>
          <w:tcPr>
            <w:tcW w:w="609" w:type="pct"/>
            <w:tcBorders>
              <w:top w:val="single" w:sz="4" w:space="0" w:color="auto"/>
              <w:left w:val="nil"/>
              <w:bottom w:val="single" w:sz="4" w:space="0" w:color="auto"/>
              <w:right w:val="nil"/>
            </w:tcBorders>
            <w:shd w:val="clear" w:color="auto" w:fill="auto"/>
            <w:noWrap/>
            <w:vAlign w:val="bottom"/>
            <w:hideMark/>
          </w:tcPr>
          <w:p w14:paraId="20ECD499"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Umm al Quwain</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4A9DB"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Ras al Khaimah</w:t>
            </w:r>
          </w:p>
        </w:tc>
      </w:tr>
      <w:tr w:rsidR="005976AB" w:rsidRPr="005635E7" w14:paraId="679686D8"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5FC1B1A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Number of SMEs</w:t>
            </w:r>
          </w:p>
        </w:tc>
        <w:tc>
          <w:tcPr>
            <w:tcW w:w="609" w:type="pct"/>
            <w:tcBorders>
              <w:top w:val="nil"/>
              <w:left w:val="nil"/>
              <w:bottom w:val="nil"/>
              <w:right w:val="single" w:sz="4" w:space="0" w:color="auto"/>
            </w:tcBorders>
            <w:shd w:val="clear" w:color="auto" w:fill="auto"/>
            <w:noWrap/>
            <w:vAlign w:val="bottom"/>
            <w:hideMark/>
          </w:tcPr>
          <w:p w14:paraId="24C939D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101</w:t>
            </w:r>
          </w:p>
        </w:tc>
        <w:tc>
          <w:tcPr>
            <w:tcW w:w="609" w:type="pct"/>
            <w:tcBorders>
              <w:top w:val="nil"/>
              <w:left w:val="nil"/>
              <w:bottom w:val="nil"/>
              <w:right w:val="nil"/>
            </w:tcBorders>
            <w:shd w:val="clear" w:color="auto" w:fill="auto"/>
            <w:noWrap/>
            <w:vAlign w:val="bottom"/>
            <w:hideMark/>
          </w:tcPr>
          <w:p w14:paraId="56BDF08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65</w:t>
            </w:r>
          </w:p>
        </w:tc>
        <w:tc>
          <w:tcPr>
            <w:tcW w:w="609" w:type="pct"/>
            <w:tcBorders>
              <w:top w:val="nil"/>
              <w:left w:val="single" w:sz="4" w:space="0" w:color="auto"/>
              <w:bottom w:val="nil"/>
              <w:right w:val="single" w:sz="4" w:space="0" w:color="auto"/>
            </w:tcBorders>
            <w:shd w:val="clear" w:color="auto" w:fill="auto"/>
            <w:noWrap/>
            <w:vAlign w:val="bottom"/>
            <w:hideMark/>
          </w:tcPr>
          <w:p w14:paraId="4FC281E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35</w:t>
            </w:r>
          </w:p>
        </w:tc>
        <w:tc>
          <w:tcPr>
            <w:tcW w:w="609" w:type="pct"/>
            <w:tcBorders>
              <w:top w:val="nil"/>
              <w:left w:val="nil"/>
              <w:bottom w:val="nil"/>
              <w:right w:val="nil"/>
            </w:tcBorders>
            <w:shd w:val="clear" w:color="auto" w:fill="auto"/>
            <w:noWrap/>
            <w:vAlign w:val="bottom"/>
            <w:hideMark/>
          </w:tcPr>
          <w:p w14:paraId="73FE609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39</w:t>
            </w:r>
          </w:p>
        </w:tc>
        <w:tc>
          <w:tcPr>
            <w:tcW w:w="609" w:type="pct"/>
            <w:tcBorders>
              <w:top w:val="nil"/>
              <w:left w:val="single" w:sz="4" w:space="0" w:color="auto"/>
              <w:bottom w:val="nil"/>
              <w:right w:val="single" w:sz="4" w:space="0" w:color="auto"/>
            </w:tcBorders>
            <w:shd w:val="clear" w:color="auto" w:fill="auto"/>
            <w:noWrap/>
            <w:vAlign w:val="bottom"/>
            <w:hideMark/>
          </w:tcPr>
          <w:p w14:paraId="00CC93B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35</w:t>
            </w:r>
          </w:p>
        </w:tc>
        <w:tc>
          <w:tcPr>
            <w:tcW w:w="609" w:type="pct"/>
            <w:tcBorders>
              <w:top w:val="nil"/>
              <w:left w:val="nil"/>
              <w:bottom w:val="nil"/>
              <w:right w:val="nil"/>
            </w:tcBorders>
            <w:shd w:val="clear" w:color="auto" w:fill="auto"/>
            <w:noWrap/>
            <w:vAlign w:val="bottom"/>
            <w:hideMark/>
          </w:tcPr>
          <w:p w14:paraId="434BADE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14</w:t>
            </w:r>
          </w:p>
        </w:tc>
        <w:tc>
          <w:tcPr>
            <w:tcW w:w="609" w:type="pct"/>
            <w:tcBorders>
              <w:top w:val="nil"/>
              <w:left w:val="single" w:sz="4" w:space="0" w:color="auto"/>
              <w:bottom w:val="nil"/>
              <w:right w:val="single" w:sz="4" w:space="0" w:color="auto"/>
            </w:tcBorders>
            <w:shd w:val="clear" w:color="auto" w:fill="auto"/>
            <w:noWrap/>
            <w:vAlign w:val="bottom"/>
            <w:hideMark/>
          </w:tcPr>
          <w:p w14:paraId="495BF36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10</w:t>
            </w:r>
          </w:p>
        </w:tc>
      </w:tr>
      <w:tr w:rsidR="005976AB" w:rsidRPr="005635E7" w14:paraId="240CE5AF"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14BFFC0A"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Percentage</w:t>
            </w:r>
          </w:p>
        </w:tc>
        <w:tc>
          <w:tcPr>
            <w:tcW w:w="609" w:type="pct"/>
            <w:tcBorders>
              <w:top w:val="nil"/>
              <w:left w:val="nil"/>
              <w:bottom w:val="nil"/>
              <w:right w:val="single" w:sz="4" w:space="0" w:color="auto"/>
            </w:tcBorders>
            <w:shd w:val="clear" w:color="auto" w:fill="auto"/>
            <w:noWrap/>
            <w:vAlign w:val="bottom"/>
            <w:hideMark/>
          </w:tcPr>
          <w:p w14:paraId="2434D0DE"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34%</w:t>
            </w:r>
          </w:p>
        </w:tc>
        <w:tc>
          <w:tcPr>
            <w:tcW w:w="609" w:type="pct"/>
            <w:tcBorders>
              <w:top w:val="nil"/>
              <w:left w:val="nil"/>
              <w:bottom w:val="nil"/>
              <w:right w:val="nil"/>
            </w:tcBorders>
            <w:shd w:val="clear" w:color="auto" w:fill="auto"/>
            <w:noWrap/>
            <w:vAlign w:val="bottom"/>
            <w:hideMark/>
          </w:tcPr>
          <w:p w14:paraId="193DA832"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22%</w:t>
            </w:r>
          </w:p>
        </w:tc>
        <w:tc>
          <w:tcPr>
            <w:tcW w:w="609" w:type="pct"/>
            <w:tcBorders>
              <w:top w:val="nil"/>
              <w:left w:val="single" w:sz="4" w:space="0" w:color="auto"/>
              <w:bottom w:val="nil"/>
              <w:right w:val="single" w:sz="4" w:space="0" w:color="auto"/>
            </w:tcBorders>
            <w:shd w:val="clear" w:color="auto" w:fill="auto"/>
            <w:noWrap/>
            <w:vAlign w:val="bottom"/>
            <w:hideMark/>
          </w:tcPr>
          <w:p w14:paraId="6D6A4DF1"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12%</w:t>
            </w:r>
          </w:p>
        </w:tc>
        <w:tc>
          <w:tcPr>
            <w:tcW w:w="609" w:type="pct"/>
            <w:tcBorders>
              <w:top w:val="nil"/>
              <w:left w:val="nil"/>
              <w:bottom w:val="nil"/>
              <w:right w:val="nil"/>
            </w:tcBorders>
            <w:shd w:val="clear" w:color="auto" w:fill="auto"/>
            <w:noWrap/>
            <w:vAlign w:val="bottom"/>
            <w:hideMark/>
          </w:tcPr>
          <w:p w14:paraId="223D1734"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13%</w:t>
            </w:r>
          </w:p>
        </w:tc>
        <w:tc>
          <w:tcPr>
            <w:tcW w:w="609" w:type="pct"/>
            <w:tcBorders>
              <w:top w:val="nil"/>
              <w:left w:val="single" w:sz="4" w:space="0" w:color="auto"/>
              <w:bottom w:val="nil"/>
              <w:right w:val="single" w:sz="4" w:space="0" w:color="auto"/>
            </w:tcBorders>
            <w:shd w:val="clear" w:color="auto" w:fill="auto"/>
            <w:noWrap/>
            <w:vAlign w:val="bottom"/>
            <w:hideMark/>
          </w:tcPr>
          <w:p w14:paraId="1CAFFB16"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12%</w:t>
            </w:r>
          </w:p>
        </w:tc>
        <w:tc>
          <w:tcPr>
            <w:tcW w:w="609" w:type="pct"/>
            <w:tcBorders>
              <w:top w:val="nil"/>
              <w:left w:val="nil"/>
              <w:bottom w:val="nil"/>
              <w:right w:val="nil"/>
            </w:tcBorders>
            <w:shd w:val="clear" w:color="auto" w:fill="auto"/>
            <w:noWrap/>
            <w:vAlign w:val="bottom"/>
            <w:hideMark/>
          </w:tcPr>
          <w:p w14:paraId="264042A0"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5%</w:t>
            </w:r>
          </w:p>
        </w:tc>
        <w:tc>
          <w:tcPr>
            <w:tcW w:w="609" w:type="pct"/>
            <w:tcBorders>
              <w:top w:val="nil"/>
              <w:left w:val="single" w:sz="4" w:space="0" w:color="auto"/>
              <w:bottom w:val="nil"/>
              <w:right w:val="single" w:sz="4" w:space="0" w:color="auto"/>
            </w:tcBorders>
            <w:shd w:val="clear" w:color="auto" w:fill="auto"/>
            <w:noWrap/>
            <w:vAlign w:val="bottom"/>
            <w:hideMark/>
          </w:tcPr>
          <w:p w14:paraId="0A48C07B"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3%</w:t>
            </w:r>
          </w:p>
        </w:tc>
      </w:tr>
      <w:tr w:rsidR="005976AB" w:rsidRPr="005635E7" w14:paraId="43F4E7F2"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1DD42A7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09" w:type="pct"/>
            <w:tcBorders>
              <w:top w:val="nil"/>
              <w:left w:val="nil"/>
              <w:bottom w:val="nil"/>
              <w:right w:val="single" w:sz="4" w:space="0" w:color="auto"/>
            </w:tcBorders>
            <w:shd w:val="clear" w:color="auto" w:fill="auto"/>
            <w:noWrap/>
            <w:vAlign w:val="bottom"/>
            <w:hideMark/>
          </w:tcPr>
          <w:p w14:paraId="6F6ED4ED"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nil"/>
              <w:bottom w:val="nil"/>
              <w:right w:val="nil"/>
            </w:tcBorders>
            <w:shd w:val="clear" w:color="auto" w:fill="auto"/>
            <w:noWrap/>
            <w:vAlign w:val="bottom"/>
            <w:hideMark/>
          </w:tcPr>
          <w:p w14:paraId="09EB67EF"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single" w:sz="4" w:space="0" w:color="auto"/>
              <w:bottom w:val="nil"/>
              <w:right w:val="single" w:sz="4" w:space="0" w:color="auto"/>
            </w:tcBorders>
            <w:shd w:val="clear" w:color="auto" w:fill="auto"/>
            <w:noWrap/>
            <w:vAlign w:val="bottom"/>
            <w:hideMark/>
          </w:tcPr>
          <w:p w14:paraId="26FEFB97"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nil"/>
              <w:bottom w:val="nil"/>
              <w:right w:val="nil"/>
            </w:tcBorders>
            <w:shd w:val="clear" w:color="auto" w:fill="auto"/>
            <w:noWrap/>
            <w:vAlign w:val="bottom"/>
            <w:hideMark/>
          </w:tcPr>
          <w:p w14:paraId="1F069970"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single" w:sz="4" w:space="0" w:color="auto"/>
              <w:bottom w:val="nil"/>
              <w:right w:val="single" w:sz="4" w:space="0" w:color="auto"/>
            </w:tcBorders>
            <w:shd w:val="clear" w:color="auto" w:fill="auto"/>
            <w:noWrap/>
            <w:vAlign w:val="bottom"/>
            <w:hideMark/>
          </w:tcPr>
          <w:p w14:paraId="5B391F66"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nil"/>
              <w:bottom w:val="nil"/>
              <w:right w:val="nil"/>
            </w:tcBorders>
            <w:shd w:val="clear" w:color="auto" w:fill="auto"/>
            <w:noWrap/>
            <w:vAlign w:val="bottom"/>
            <w:hideMark/>
          </w:tcPr>
          <w:p w14:paraId="3976715C" w14:textId="77777777" w:rsidR="005976AB" w:rsidRPr="005635E7" w:rsidRDefault="005976AB" w:rsidP="009E2F41">
            <w:pPr>
              <w:jc w:val="both"/>
              <w:rPr>
                <w:rFonts w:asciiTheme="majorBidi" w:eastAsia="Times New Roman" w:hAnsiTheme="majorBidi" w:cstheme="majorBidi"/>
                <w:lang w:eastAsia="en-GB"/>
              </w:rPr>
            </w:pPr>
          </w:p>
        </w:tc>
        <w:tc>
          <w:tcPr>
            <w:tcW w:w="609" w:type="pct"/>
            <w:tcBorders>
              <w:top w:val="nil"/>
              <w:left w:val="single" w:sz="4" w:space="0" w:color="auto"/>
              <w:bottom w:val="nil"/>
              <w:right w:val="single" w:sz="4" w:space="0" w:color="auto"/>
            </w:tcBorders>
            <w:shd w:val="clear" w:color="auto" w:fill="auto"/>
            <w:noWrap/>
            <w:vAlign w:val="bottom"/>
            <w:hideMark/>
          </w:tcPr>
          <w:p w14:paraId="0FE7A014" w14:textId="77777777" w:rsidR="005976AB" w:rsidRPr="005635E7" w:rsidRDefault="005976AB" w:rsidP="009E2F41">
            <w:pPr>
              <w:jc w:val="both"/>
              <w:rPr>
                <w:rFonts w:asciiTheme="majorBidi" w:eastAsia="Times New Roman" w:hAnsiTheme="majorBidi" w:cstheme="majorBidi"/>
                <w:lang w:eastAsia="en-GB"/>
              </w:rPr>
            </w:pPr>
          </w:p>
        </w:tc>
      </w:tr>
      <w:tr w:rsidR="005976AB" w:rsidRPr="005635E7" w14:paraId="4BBB6631" w14:textId="77777777" w:rsidTr="009E2F41">
        <w:trPr>
          <w:trHeight w:val="315"/>
        </w:trPr>
        <w:tc>
          <w:tcPr>
            <w:tcW w:w="7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31019"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Product manufactured</w:t>
            </w:r>
          </w:p>
        </w:tc>
        <w:tc>
          <w:tcPr>
            <w:tcW w:w="609" w:type="pct"/>
            <w:tcBorders>
              <w:top w:val="single" w:sz="4" w:space="0" w:color="auto"/>
              <w:left w:val="nil"/>
              <w:bottom w:val="single" w:sz="4" w:space="0" w:color="auto"/>
              <w:right w:val="single" w:sz="4" w:space="0" w:color="auto"/>
            </w:tcBorders>
            <w:shd w:val="clear" w:color="auto" w:fill="auto"/>
            <w:noWrap/>
            <w:vAlign w:val="bottom"/>
            <w:hideMark/>
          </w:tcPr>
          <w:p w14:paraId="4A3D591C"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Grocery &amp; consumer products</w:t>
            </w:r>
          </w:p>
        </w:tc>
        <w:tc>
          <w:tcPr>
            <w:tcW w:w="609" w:type="pct"/>
            <w:tcBorders>
              <w:top w:val="single" w:sz="4" w:space="0" w:color="auto"/>
              <w:left w:val="nil"/>
              <w:bottom w:val="single" w:sz="4" w:space="0" w:color="auto"/>
              <w:right w:val="nil"/>
            </w:tcBorders>
            <w:shd w:val="clear" w:color="auto" w:fill="auto"/>
            <w:noWrap/>
            <w:vAlign w:val="bottom"/>
            <w:hideMark/>
          </w:tcPr>
          <w:p w14:paraId="2E9072B2"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Food &amp; beverages</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E33D"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Apparel &amp; Clothing</w:t>
            </w:r>
          </w:p>
        </w:tc>
        <w:tc>
          <w:tcPr>
            <w:tcW w:w="609" w:type="pct"/>
            <w:tcBorders>
              <w:top w:val="single" w:sz="4" w:space="0" w:color="auto"/>
              <w:left w:val="nil"/>
              <w:bottom w:val="single" w:sz="4" w:space="0" w:color="auto"/>
              <w:right w:val="nil"/>
            </w:tcBorders>
            <w:shd w:val="clear" w:color="auto" w:fill="auto"/>
            <w:noWrap/>
            <w:vAlign w:val="bottom"/>
            <w:hideMark/>
          </w:tcPr>
          <w:p w14:paraId="15F68D6E"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Metal product &amp; building material</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C6897"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Machinery &amp; equipment</w:t>
            </w:r>
          </w:p>
        </w:tc>
        <w:tc>
          <w:tcPr>
            <w:tcW w:w="609" w:type="pct"/>
            <w:tcBorders>
              <w:top w:val="single" w:sz="4" w:space="0" w:color="auto"/>
              <w:left w:val="nil"/>
              <w:bottom w:val="single" w:sz="4" w:space="0" w:color="auto"/>
              <w:right w:val="nil"/>
            </w:tcBorders>
            <w:shd w:val="clear" w:color="auto" w:fill="auto"/>
            <w:noWrap/>
            <w:vAlign w:val="bottom"/>
            <w:hideMark/>
          </w:tcPr>
          <w:p w14:paraId="4165221A"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Petrochemical</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A1097"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Others</w:t>
            </w:r>
          </w:p>
        </w:tc>
      </w:tr>
      <w:tr w:rsidR="005976AB" w:rsidRPr="005635E7" w14:paraId="222BA011" w14:textId="77777777" w:rsidTr="009E2F41">
        <w:trPr>
          <w:trHeight w:val="300"/>
        </w:trPr>
        <w:tc>
          <w:tcPr>
            <w:tcW w:w="735" w:type="pct"/>
            <w:tcBorders>
              <w:top w:val="nil"/>
              <w:left w:val="single" w:sz="4" w:space="0" w:color="auto"/>
              <w:bottom w:val="nil"/>
              <w:right w:val="single" w:sz="4" w:space="0" w:color="auto"/>
            </w:tcBorders>
            <w:shd w:val="clear" w:color="auto" w:fill="auto"/>
            <w:noWrap/>
            <w:vAlign w:val="bottom"/>
            <w:hideMark/>
          </w:tcPr>
          <w:p w14:paraId="6F4C50D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Number of SMEs</w:t>
            </w:r>
          </w:p>
        </w:tc>
        <w:tc>
          <w:tcPr>
            <w:tcW w:w="609" w:type="pct"/>
            <w:tcBorders>
              <w:top w:val="nil"/>
              <w:left w:val="nil"/>
              <w:bottom w:val="nil"/>
              <w:right w:val="single" w:sz="4" w:space="0" w:color="auto"/>
            </w:tcBorders>
            <w:shd w:val="clear" w:color="auto" w:fill="auto"/>
            <w:noWrap/>
            <w:vAlign w:val="bottom"/>
            <w:hideMark/>
          </w:tcPr>
          <w:p w14:paraId="5DC76A8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67</w:t>
            </w:r>
          </w:p>
        </w:tc>
        <w:tc>
          <w:tcPr>
            <w:tcW w:w="609" w:type="pct"/>
            <w:tcBorders>
              <w:top w:val="nil"/>
              <w:left w:val="nil"/>
              <w:bottom w:val="nil"/>
              <w:right w:val="nil"/>
            </w:tcBorders>
            <w:shd w:val="clear" w:color="auto" w:fill="auto"/>
            <w:noWrap/>
            <w:vAlign w:val="bottom"/>
            <w:hideMark/>
          </w:tcPr>
          <w:p w14:paraId="464DBB7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40</w:t>
            </w:r>
          </w:p>
        </w:tc>
        <w:tc>
          <w:tcPr>
            <w:tcW w:w="609" w:type="pct"/>
            <w:tcBorders>
              <w:top w:val="nil"/>
              <w:left w:val="single" w:sz="4" w:space="0" w:color="auto"/>
              <w:bottom w:val="nil"/>
              <w:right w:val="single" w:sz="4" w:space="0" w:color="auto"/>
            </w:tcBorders>
            <w:shd w:val="clear" w:color="auto" w:fill="auto"/>
            <w:noWrap/>
            <w:vAlign w:val="bottom"/>
            <w:hideMark/>
          </w:tcPr>
          <w:p w14:paraId="2F1EA87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45</w:t>
            </w:r>
          </w:p>
        </w:tc>
        <w:tc>
          <w:tcPr>
            <w:tcW w:w="609" w:type="pct"/>
            <w:tcBorders>
              <w:top w:val="nil"/>
              <w:left w:val="nil"/>
              <w:bottom w:val="nil"/>
              <w:right w:val="nil"/>
            </w:tcBorders>
            <w:shd w:val="clear" w:color="auto" w:fill="auto"/>
            <w:noWrap/>
            <w:vAlign w:val="bottom"/>
            <w:hideMark/>
          </w:tcPr>
          <w:p w14:paraId="4630BE7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64</w:t>
            </w:r>
          </w:p>
        </w:tc>
        <w:tc>
          <w:tcPr>
            <w:tcW w:w="609" w:type="pct"/>
            <w:tcBorders>
              <w:top w:val="nil"/>
              <w:left w:val="single" w:sz="4" w:space="0" w:color="auto"/>
              <w:bottom w:val="nil"/>
              <w:right w:val="single" w:sz="4" w:space="0" w:color="auto"/>
            </w:tcBorders>
            <w:shd w:val="clear" w:color="auto" w:fill="auto"/>
            <w:noWrap/>
            <w:vAlign w:val="bottom"/>
            <w:hideMark/>
          </w:tcPr>
          <w:p w14:paraId="57076C5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22</w:t>
            </w:r>
          </w:p>
        </w:tc>
        <w:tc>
          <w:tcPr>
            <w:tcW w:w="609" w:type="pct"/>
            <w:tcBorders>
              <w:top w:val="nil"/>
              <w:left w:val="nil"/>
              <w:bottom w:val="nil"/>
              <w:right w:val="nil"/>
            </w:tcBorders>
            <w:shd w:val="clear" w:color="auto" w:fill="auto"/>
            <w:noWrap/>
            <w:vAlign w:val="bottom"/>
            <w:hideMark/>
          </w:tcPr>
          <w:p w14:paraId="52D322C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31</w:t>
            </w:r>
          </w:p>
        </w:tc>
        <w:tc>
          <w:tcPr>
            <w:tcW w:w="609" w:type="pct"/>
            <w:tcBorders>
              <w:top w:val="nil"/>
              <w:left w:val="single" w:sz="4" w:space="0" w:color="auto"/>
              <w:bottom w:val="nil"/>
              <w:right w:val="single" w:sz="4" w:space="0" w:color="auto"/>
            </w:tcBorders>
            <w:shd w:val="clear" w:color="auto" w:fill="auto"/>
            <w:noWrap/>
            <w:vAlign w:val="bottom"/>
            <w:hideMark/>
          </w:tcPr>
          <w:p w14:paraId="08EA5E2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30</w:t>
            </w:r>
          </w:p>
        </w:tc>
      </w:tr>
      <w:tr w:rsidR="005976AB" w:rsidRPr="005635E7" w14:paraId="05833D56" w14:textId="77777777" w:rsidTr="009E2F41">
        <w:trPr>
          <w:trHeight w:val="300"/>
        </w:trPr>
        <w:tc>
          <w:tcPr>
            <w:tcW w:w="735" w:type="pct"/>
            <w:tcBorders>
              <w:top w:val="nil"/>
              <w:left w:val="single" w:sz="4" w:space="0" w:color="auto"/>
              <w:bottom w:val="single" w:sz="4" w:space="0" w:color="auto"/>
              <w:right w:val="single" w:sz="4" w:space="0" w:color="auto"/>
            </w:tcBorders>
            <w:shd w:val="clear" w:color="auto" w:fill="auto"/>
            <w:noWrap/>
            <w:vAlign w:val="bottom"/>
            <w:hideMark/>
          </w:tcPr>
          <w:p w14:paraId="7EA87D18"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Percentage</w:t>
            </w:r>
          </w:p>
        </w:tc>
        <w:tc>
          <w:tcPr>
            <w:tcW w:w="609" w:type="pct"/>
            <w:tcBorders>
              <w:top w:val="nil"/>
              <w:left w:val="nil"/>
              <w:bottom w:val="single" w:sz="4" w:space="0" w:color="auto"/>
              <w:right w:val="single" w:sz="4" w:space="0" w:color="auto"/>
            </w:tcBorders>
            <w:shd w:val="clear" w:color="auto" w:fill="auto"/>
            <w:noWrap/>
            <w:vAlign w:val="bottom"/>
            <w:hideMark/>
          </w:tcPr>
          <w:p w14:paraId="20D40884"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22%</w:t>
            </w:r>
          </w:p>
        </w:tc>
        <w:tc>
          <w:tcPr>
            <w:tcW w:w="609" w:type="pct"/>
            <w:tcBorders>
              <w:top w:val="nil"/>
              <w:left w:val="nil"/>
              <w:bottom w:val="single" w:sz="4" w:space="0" w:color="auto"/>
              <w:right w:val="nil"/>
            </w:tcBorders>
            <w:shd w:val="clear" w:color="auto" w:fill="auto"/>
            <w:noWrap/>
            <w:vAlign w:val="bottom"/>
            <w:hideMark/>
          </w:tcPr>
          <w:p w14:paraId="0157811B"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13%</w:t>
            </w:r>
          </w:p>
        </w:tc>
        <w:tc>
          <w:tcPr>
            <w:tcW w:w="609" w:type="pct"/>
            <w:tcBorders>
              <w:top w:val="nil"/>
              <w:left w:val="single" w:sz="4" w:space="0" w:color="auto"/>
              <w:bottom w:val="single" w:sz="4" w:space="0" w:color="auto"/>
              <w:right w:val="single" w:sz="4" w:space="0" w:color="auto"/>
            </w:tcBorders>
            <w:shd w:val="clear" w:color="auto" w:fill="auto"/>
            <w:noWrap/>
            <w:vAlign w:val="bottom"/>
            <w:hideMark/>
          </w:tcPr>
          <w:p w14:paraId="1500916C"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15%</w:t>
            </w:r>
          </w:p>
        </w:tc>
        <w:tc>
          <w:tcPr>
            <w:tcW w:w="609" w:type="pct"/>
            <w:tcBorders>
              <w:top w:val="nil"/>
              <w:left w:val="nil"/>
              <w:bottom w:val="single" w:sz="4" w:space="0" w:color="auto"/>
              <w:right w:val="nil"/>
            </w:tcBorders>
            <w:shd w:val="clear" w:color="auto" w:fill="auto"/>
            <w:noWrap/>
            <w:vAlign w:val="bottom"/>
            <w:hideMark/>
          </w:tcPr>
          <w:p w14:paraId="51D7A0F2"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21%</w:t>
            </w:r>
          </w:p>
        </w:tc>
        <w:tc>
          <w:tcPr>
            <w:tcW w:w="609" w:type="pct"/>
            <w:tcBorders>
              <w:top w:val="nil"/>
              <w:left w:val="single" w:sz="4" w:space="0" w:color="auto"/>
              <w:bottom w:val="single" w:sz="4" w:space="0" w:color="auto"/>
              <w:right w:val="single" w:sz="4" w:space="0" w:color="auto"/>
            </w:tcBorders>
            <w:shd w:val="clear" w:color="auto" w:fill="auto"/>
            <w:noWrap/>
            <w:vAlign w:val="bottom"/>
            <w:hideMark/>
          </w:tcPr>
          <w:p w14:paraId="5846388B"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7%</w:t>
            </w:r>
          </w:p>
        </w:tc>
        <w:tc>
          <w:tcPr>
            <w:tcW w:w="609" w:type="pct"/>
            <w:tcBorders>
              <w:top w:val="nil"/>
              <w:left w:val="nil"/>
              <w:bottom w:val="single" w:sz="4" w:space="0" w:color="auto"/>
              <w:right w:val="single" w:sz="4" w:space="0" w:color="auto"/>
            </w:tcBorders>
            <w:shd w:val="clear" w:color="auto" w:fill="auto"/>
            <w:noWrap/>
            <w:vAlign w:val="bottom"/>
            <w:hideMark/>
          </w:tcPr>
          <w:p w14:paraId="18F41FBD"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10%</w:t>
            </w:r>
          </w:p>
        </w:tc>
        <w:tc>
          <w:tcPr>
            <w:tcW w:w="609" w:type="pct"/>
            <w:tcBorders>
              <w:top w:val="nil"/>
              <w:left w:val="nil"/>
              <w:bottom w:val="single" w:sz="4" w:space="0" w:color="auto"/>
              <w:right w:val="single" w:sz="4" w:space="0" w:color="auto"/>
            </w:tcBorders>
            <w:shd w:val="clear" w:color="auto" w:fill="auto"/>
            <w:noWrap/>
            <w:vAlign w:val="bottom"/>
            <w:hideMark/>
          </w:tcPr>
          <w:p w14:paraId="68725712" w14:textId="77777777" w:rsidR="005976AB" w:rsidRPr="005635E7" w:rsidRDefault="005976AB" w:rsidP="009E2F41">
            <w:pPr>
              <w:jc w:val="both"/>
              <w:rPr>
                <w:rFonts w:asciiTheme="majorBidi" w:eastAsia="Times New Roman" w:hAnsiTheme="majorBidi" w:cstheme="majorBidi"/>
                <w:i/>
                <w:iCs/>
                <w:lang w:eastAsia="en-GB"/>
              </w:rPr>
            </w:pPr>
            <w:r w:rsidRPr="005635E7">
              <w:rPr>
                <w:rFonts w:asciiTheme="majorBidi" w:eastAsia="Times New Roman" w:hAnsiTheme="majorBidi" w:cstheme="majorBidi"/>
                <w:i/>
                <w:iCs/>
                <w:lang w:eastAsia="en-GB"/>
              </w:rPr>
              <w:t>10%</w:t>
            </w:r>
          </w:p>
        </w:tc>
      </w:tr>
    </w:tbl>
    <w:p w14:paraId="16D4C005" w14:textId="77777777" w:rsidR="005976AB" w:rsidRPr="005635E7" w:rsidRDefault="005976AB" w:rsidP="005976AB">
      <w:pPr>
        <w:spacing w:line="480" w:lineRule="auto"/>
        <w:jc w:val="both"/>
        <w:rPr>
          <w:rFonts w:asciiTheme="majorBidi" w:hAnsiTheme="majorBidi" w:cstheme="majorBidi"/>
        </w:rPr>
      </w:pPr>
    </w:p>
    <w:p w14:paraId="7AD746FF" w14:textId="77777777" w:rsidR="005976AB" w:rsidRPr="005635E7" w:rsidRDefault="005976AB" w:rsidP="005976AB">
      <w:pPr>
        <w:spacing w:line="480" w:lineRule="auto"/>
        <w:jc w:val="both"/>
        <w:rPr>
          <w:rFonts w:asciiTheme="majorBidi" w:hAnsiTheme="majorBidi" w:cstheme="majorBidi"/>
        </w:rPr>
      </w:pPr>
    </w:p>
    <w:p w14:paraId="2FCB93E8" w14:textId="77777777" w:rsidR="005976AB" w:rsidRPr="005635E7" w:rsidRDefault="005976AB" w:rsidP="005976AB">
      <w:pPr>
        <w:spacing w:line="480" w:lineRule="auto"/>
        <w:jc w:val="both"/>
        <w:rPr>
          <w:rFonts w:asciiTheme="majorBidi" w:hAnsiTheme="majorBidi" w:cstheme="majorBidi"/>
        </w:rPr>
      </w:pPr>
    </w:p>
    <w:p w14:paraId="2FF5FB15" w14:textId="77777777" w:rsidR="005976AB" w:rsidRPr="005635E7" w:rsidRDefault="005976AB" w:rsidP="005976AB">
      <w:pPr>
        <w:spacing w:line="480" w:lineRule="auto"/>
        <w:jc w:val="both"/>
        <w:rPr>
          <w:rFonts w:asciiTheme="majorBidi" w:hAnsiTheme="majorBidi" w:cstheme="majorBidi"/>
        </w:rPr>
      </w:pPr>
    </w:p>
    <w:p w14:paraId="0AAE1944" w14:textId="77777777" w:rsidR="005976AB" w:rsidRPr="005635E7" w:rsidRDefault="005976AB" w:rsidP="005976AB">
      <w:pPr>
        <w:spacing w:line="480" w:lineRule="auto"/>
        <w:jc w:val="both"/>
        <w:rPr>
          <w:rFonts w:asciiTheme="majorBidi" w:hAnsiTheme="majorBidi" w:cstheme="majorBidi"/>
        </w:rPr>
        <w:sectPr w:rsidR="005976AB" w:rsidRPr="005635E7" w:rsidSect="00C76B21">
          <w:pgSz w:w="16838" w:h="11906" w:orient="landscape"/>
          <w:pgMar w:top="1440" w:right="1440" w:bottom="1440" w:left="1440" w:header="708" w:footer="708" w:gutter="0"/>
          <w:cols w:space="708"/>
          <w:docGrid w:linePitch="360"/>
        </w:sectPr>
      </w:pPr>
    </w:p>
    <w:p w14:paraId="540C07DD"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88" w:name="_Toc115310397"/>
      <w:r w:rsidRPr="005635E7">
        <w:rPr>
          <w:rFonts w:asciiTheme="majorBidi" w:hAnsiTheme="majorBidi"/>
          <w:b/>
          <w:bCs/>
          <w:color w:val="auto"/>
          <w:sz w:val="28"/>
          <w:szCs w:val="28"/>
        </w:rPr>
        <w:t>3.9 Measuring Instruments</w:t>
      </w:r>
      <w:bookmarkEnd w:id="88"/>
    </w:p>
    <w:p w14:paraId="6C96920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A questionnaire was developed to include all the study variables (OLC, OI, and FP). It is available in both Arabic and English (Appendi</w:t>
      </w:r>
      <w:r>
        <w:rPr>
          <w:rFonts w:asciiTheme="majorBidi" w:hAnsiTheme="majorBidi" w:cstheme="majorBidi"/>
        </w:rPr>
        <w:t>x</w:t>
      </w:r>
      <w:r w:rsidRPr="005635E7">
        <w:rPr>
          <w:rFonts w:asciiTheme="majorBidi" w:hAnsiTheme="majorBidi" w:cstheme="majorBidi"/>
        </w:rPr>
        <w:t>es B and C). The original questionnaire was written in English, and an authorized and licensed translator from the UAE translated it into Arabic. Another licensed and authorized translator from the UAE performed back</w:t>
      </w:r>
      <w:r w:rsidRPr="005635E7">
        <w:rPr>
          <w:rFonts w:ascii="Times New Roman" w:eastAsia="Calibri" w:hAnsi="Times New Roman" w:cs="Times New Roman"/>
        </w:rPr>
        <w:t>-translation to verify the accuracy of the translation.</w:t>
      </w:r>
      <w:r w:rsidRPr="005635E7">
        <w:rPr>
          <w:rFonts w:asciiTheme="majorBidi" w:hAnsiTheme="majorBidi" w:cstheme="majorBidi"/>
        </w:rPr>
        <w:t xml:space="preserve"> First, the questionnaire's cover page included details about the survey, </w:t>
      </w:r>
      <w:r>
        <w:rPr>
          <w:rFonts w:asciiTheme="majorBidi" w:hAnsiTheme="majorBidi" w:cstheme="majorBidi"/>
        </w:rPr>
        <w:t xml:space="preserve">such as </w:t>
      </w:r>
      <w:r w:rsidRPr="005635E7">
        <w:rPr>
          <w:rFonts w:asciiTheme="majorBidi" w:hAnsiTheme="majorBidi" w:cstheme="majorBidi"/>
        </w:rPr>
        <w:t xml:space="preserve">the study's objectives and general company information (e.g., the organization's year of establishment, headquarters, number of employees, and products/services offered). The questionnaire was </w:t>
      </w:r>
      <w:r w:rsidRPr="005635E7">
        <w:rPr>
          <w:rFonts w:ascii="Times New Roman" w:eastAsia="Calibri" w:hAnsi="Times New Roman" w:cs="Times New Roman"/>
        </w:rPr>
        <w:t>then divided into four parts, each representing the study’s variables</w:t>
      </w:r>
      <w:r w:rsidRPr="005635E7">
        <w:rPr>
          <w:rFonts w:asciiTheme="majorBidi" w:hAnsiTheme="majorBidi" w:cstheme="majorBidi"/>
        </w:rPr>
        <w:t>: OLC, OI, and FP. Part A consisted of 16 questions from Jerez-G</w:t>
      </w:r>
      <w:r>
        <w:rPr>
          <w:rFonts w:asciiTheme="majorBidi" w:hAnsiTheme="majorBidi" w:cstheme="majorBidi"/>
        </w:rPr>
        <w:t>ó</w:t>
      </w:r>
      <w:r w:rsidRPr="005635E7">
        <w:rPr>
          <w:rFonts w:asciiTheme="majorBidi" w:hAnsiTheme="majorBidi" w:cstheme="majorBidi"/>
        </w:rPr>
        <w:t>mez et al. (2005) related to the OLC. Furthermore, eight questions from Cheng and Shiu (2015) were</w:t>
      </w:r>
      <w:r>
        <w:rPr>
          <w:rFonts w:asciiTheme="majorBidi" w:hAnsiTheme="majorBidi" w:cstheme="majorBidi"/>
        </w:rPr>
        <w:t xml:space="preserve"> comprised</w:t>
      </w:r>
      <w:r w:rsidRPr="005635E7">
        <w:rPr>
          <w:rFonts w:asciiTheme="majorBidi" w:hAnsiTheme="majorBidi" w:cstheme="majorBidi"/>
        </w:rPr>
        <w:t xml:space="preserve"> under </w:t>
      </w:r>
      <w:r w:rsidRPr="005635E7">
        <w:rPr>
          <w:rFonts w:ascii="Times New Roman" w:eastAsia="Calibri" w:hAnsi="Times New Roman" w:cs="Times New Roman"/>
        </w:rPr>
        <w:t>the OI variable (</w:t>
      </w:r>
      <w:r w:rsidRPr="005635E7">
        <w:rPr>
          <w:rFonts w:asciiTheme="majorBidi" w:hAnsiTheme="majorBidi" w:cstheme="majorBidi"/>
        </w:rPr>
        <w:t xml:space="preserve"> B), while Part C included eight questions relating to FP adapted from Morgan et al. (2009) (Appendix D). A seven-point Likert-type scale was used by survey respondents to assess their comments (1 = strongly disagree, 7 = strongly agree). Appendix D lists the measurement scales for each variable.</w:t>
      </w:r>
    </w:p>
    <w:p w14:paraId="676D3A8F" w14:textId="77777777" w:rsidR="005976AB" w:rsidRPr="005635E7" w:rsidRDefault="005976AB" w:rsidP="005976AB">
      <w:pPr>
        <w:spacing w:after="240" w:line="480" w:lineRule="auto"/>
        <w:jc w:val="both"/>
        <w:rPr>
          <w:rFonts w:asciiTheme="majorBidi" w:hAnsiTheme="majorBidi" w:cstheme="majorBidi"/>
          <w:b/>
          <w:bCs/>
          <w:sz w:val="28"/>
          <w:szCs w:val="28"/>
        </w:rPr>
      </w:pPr>
      <w:r w:rsidRPr="005635E7">
        <w:rPr>
          <w:rFonts w:asciiTheme="majorBidi" w:hAnsiTheme="majorBidi" w:cstheme="majorBidi"/>
          <w:b/>
          <w:bCs/>
          <w:sz w:val="28"/>
          <w:szCs w:val="28"/>
        </w:rPr>
        <w:t>3.10 Pilot Study</w:t>
      </w:r>
    </w:p>
    <w:p w14:paraId="646C7150"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A pre-test evaluation was carried out to validate the instruments through a pilot study before the distribution of the final version of the questionnaire to collect the study's actual data. Pilot research is essential to evaluate the reliability and validity</w:t>
      </w:r>
      <w:r w:rsidRPr="005635E7">
        <w:rPr>
          <w:rFonts w:ascii="Times New Roman" w:eastAsia="Calibri" w:hAnsi="Times New Roman" w:cs="Times New Roman"/>
        </w:rPr>
        <w:t xml:space="preserve"> of the measures. Additionally, it uses survey respondents from the same study pool </w:t>
      </w:r>
      <w:r w:rsidRPr="005635E7">
        <w:rPr>
          <w:rFonts w:asciiTheme="majorBidi" w:hAnsiTheme="majorBidi" w:cstheme="majorBidi"/>
        </w:rPr>
        <w:t>from which real data can be drawn (Saunders et al., 2016).</w:t>
      </w:r>
    </w:p>
    <w:p w14:paraId="2F440373"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The </w:t>
      </w:r>
      <w:r w:rsidRPr="005635E7">
        <w:rPr>
          <w:rFonts w:ascii="Times New Roman" w:eastAsia="Calibri" w:hAnsi="Times New Roman" w:cs="Times New Roman"/>
        </w:rPr>
        <w:t xml:space="preserve">data </w:t>
      </w:r>
      <w:r w:rsidRPr="005635E7">
        <w:rPr>
          <w:rFonts w:asciiTheme="majorBidi" w:hAnsiTheme="majorBidi" w:cstheme="majorBidi"/>
        </w:rPr>
        <w:t xml:space="preserve">gathered for the pilot study were obtained from </w:t>
      </w:r>
      <w:r w:rsidRPr="005635E7">
        <w:rPr>
          <w:rFonts w:ascii="Times New Roman" w:eastAsia="Calibri" w:hAnsi="Times New Roman" w:cs="Times New Roman"/>
        </w:rPr>
        <w:t>the owners</w:t>
      </w:r>
      <w:r w:rsidRPr="005635E7">
        <w:rPr>
          <w:rFonts w:asciiTheme="majorBidi" w:hAnsiTheme="majorBidi" w:cstheme="majorBidi"/>
        </w:rPr>
        <w:t xml:space="preserve"> or managers of 10 SMEs in the UAE manufacturing sector. Isaac and Michael (1995) and Hill (1998)</w:t>
      </w:r>
      <w:r w:rsidRPr="005635E7">
        <w:rPr>
          <w:rFonts w:ascii="Times New Roman" w:eastAsia="Calibri" w:hAnsi="Times New Roman" w:cs="Times New Roman"/>
        </w:rPr>
        <w:t xml:space="preserve"> proposed a minimum sample size of 10. A score ranging from </w:t>
      </w:r>
      <w:r>
        <w:rPr>
          <w:rFonts w:ascii="Times New Roman" w:eastAsia="Calibri" w:hAnsi="Times New Roman" w:cs="Times New Roman"/>
        </w:rPr>
        <w:t>one to</w:t>
      </w:r>
      <w:r w:rsidRPr="005635E7">
        <w:rPr>
          <w:rFonts w:ascii="Times New Roman" w:eastAsia="Calibri" w:hAnsi="Times New Roman" w:cs="Times New Roman"/>
        </w:rPr>
        <w:t>10 (1</w:t>
      </w:r>
      <w:r w:rsidRPr="005635E7">
        <w:rPr>
          <w:rFonts w:asciiTheme="majorBidi" w:hAnsiTheme="majorBidi" w:cstheme="majorBidi"/>
        </w:rPr>
        <w:t xml:space="preserve"> = no clarity, 10 </w:t>
      </w:r>
      <w:r w:rsidRPr="005635E7">
        <w:rPr>
          <w:rFonts w:ascii="Times New Roman" w:eastAsia="Calibri" w:hAnsi="Times New Roman" w:cs="Times New Roman"/>
        </w:rPr>
        <w:t xml:space="preserve">= very clear) was used to identify the level of clarity of the questions. </w:t>
      </w:r>
      <w:r w:rsidRPr="005635E7">
        <w:rPr>
          <w:rFonts w:asciiTheme="majorBidi" w:hAnsiTheme="majorBidi" w:cstheme="majorBidi"/>
        </w:rPr>
        <w:t xml:space="preserve">To improve the validity and reliability of the questionnaire, questions with a mean score below six were changed, whereas questions with a mean score of six or higher were retained. The outcome demonstrates that additional clarification is necessary for issues </w:t>
      </w:r>
      <w:r w:rsidRPr="005635E7">
        <w:rPr>
          <w:rFonts w:ascii="Times New Roman" w:eastAsia="Calibri" w:hAnsi="Times New Roman" w:cs="Times New Roman"/>
        </w:rPr>
        <w:t>in wh</w:t>
      </w:r>
      <w:r w:rsidRPr="005635E7">
        <w:rPr>
          <w:rFonts w:asciiTheme="majorBidi" w:hAnsiTheme="majorBidi" w:cstheme="majorBidi"/>
        </w:rPr>
        <w:t>ich the value is extremely low. Hence, these questions were reframed through meetings conducted with three owners/CEOs of SMEs who had already participated in the pilot study. Appendix E presents the reframed questions after evaluating the pilot study</w:t>
      </w:r>
      <w:r w:rsidRPr="005635E7">
        <w:rPr>
          <w:rFonts w:ascii="Times New Roman" w:eastAsia="Calibri" w:hAnsi="Times New Roman" w:cs="Times New Roman"/>
        </w:rPr>
        <w:t xml:space="preserve"> results.</w:t>
      </w:r>
    </w:p>
    <w:p w14:paraId="5F451024" w14:textId="77777777" w:rsidR="005976AB" w:rsidRPr="005635E7" w:rsidRDefault="005976AB" w:rsidP="005976AB">
      <w:pPr>
        <w:pStyle w:val="Heading2"/>
        <w:spacing w:after="240" w:line="480" w:lineRule="auto"/>
        <w:rPr>
          <w:rFonts w:asciiTheme="majorBidi" w:hAnsiTheme="majorBidi"/>
          <w:b/>
          <w:bCs/>
          <w:color w:val="auto"/>
          <w:sz w:val="28"/>
          <w:szCs w:val="28"/>
        </w:rPr>
      </w:pPr>
      <w:bookmarkStart w:id="89" w:name="_Toc115310398"/>
      <w:r w:rsidRPr="005635E7">
        <w:rPr>
          <w:rFonts w:asciiTheme="majorBidi" w:hAnsiTheme="majorBidi"/>
          <w:b/>
          <w:bCs/>
          <w:color w:val="auto"/>
          <w:sz w:val="28"/>
          <w:szCs w:val="28"/>
        </w:rPr>
        <w:t>3.11 Data Analysis</w:t>
      </w:r>
      <w:bookmarkEnd w:id="89"/>
    </w:p>
    <w:p w14:paraId="77892C36" w14:textId="77777777" w:rsidR="005976AB" w:rsidRPr="005635E7" w:rsidRDefault="005976AB" w:rsidP="005976AB">
      <w:pPr>
        <w:spacing w:after="240" w:line="480" w:lineRule="auto"/>
        <w:jc w:val="both"/>
        <w:rPr>
          <w:rFonts w:asciiTheme="majorBidi" w:hAnsiTheme="majorBidi" w:cstheme="majorBidi"/>
        </w:rPr>
      </w:pPr>
      <w:bookmarkStart w:id="90" w:name="_Hlk109929857"/>
      <w:r w:rsidRPr="005635E7">
        <w:rPr>
          <w:rFonts w:asciiTheme="majorBidi" w:hAnsiTheme="majorBidi" w:cstheme="majorBidi"/>
        </w:rPr>
        <w:t>The collected data were analyzed using statistical techniques. They include</w:t>
      </w:r>
      <w:r w:rsidRPr="005635E7">
        <w:rPr>
          <w:rFonts w:ascii="Times New Roman" w:eastAsia="Calibri" w:hAnsi="Times New Roman" w:cs="Times New Roman"/>
        </w:rPr>
        <w:t>d exploratory factor analysis (EFA), which was used to produce the factor structure for the gathered data on OLC, OI, and FP</w:t>
      </w:r>
      <w:r w:rsidRPr="005635E7">
        <w:rPr>
          <w:rFonts w:asciiTheme="majorBidi" w:hAnsiTheme="majorBidi" w:cstheme="majorBidi"/>
        </w:rPr>
        <w:t>. The measurement models were subjected to the test using confirmatory factor analysis (CFA) to determine whether they matched th</w:t>
      </w:r>
      <w:r w:rsidRPr="005635E7">
        <w:rPr>
          <w:rFonts w:ascii="Times New Roman" w:eastAsia="Calibri" w:hAnsi="Times New Roman" w:cs="Times New Roman"/>
        </w:rPr>
        <w:t xml:space="preserve">e theoretical and empirical data. The structural links between the key constructs, including OLC, OI, and FP, were tested and </w:t>
      </w:r>
      <w:r w:rsidRPr="005635E7">
        <w:rPr>
          <w:rFonts w:asciiTheme="majorBidi" w:hAnsiTheme="majorBidi" w:cstheme="majorBidi"/>
        </w:rPr>
        <w:t>analyzed using SEM. 2014 (Hair et al.).</w:t>
      </w:r>
      <w:r w:rsidRPr="005635E7">
        <w:rPr>
          <w:rFonts w:asciiTheme="majorBidi" w:hAnsiTheme="majorBidi" w:cstheme="majorBidi"/>
          <w:shd w:val="clear" w:color="auto" w:fill="FFFFFF"/>
        </w:rPr>
        <w:t xml:space="preserve"> </w:t>
      </w:r>
      <w:r w:rsidRPr="005635E7">
        <w:rPr>
          <w:rFonts w:asciiTheme="majorBidi" w:hAnsiTheme="majorBidi" w:cstheme="majorBidi"/>
          <w:bCs/>
          <w:shd w:val="clear" w:color="auto" w:fill="FFFFFF"/>
        </w:rPr>
        <w:t>SEM</w:t>
      </w:r>
      <w:r w:rsidRPr="005635E7">
        <w:rPr>
          <w:rStyle w:val="apple-converted-space"/>
          <w:rFonts w:asciiTheme="majorBidi" w:hAnsiTheme="majorBidi" w:cstheme="majorBidi"/>
          <w:shd w:val="clear" w:color="auto" w:fill="FFFFFF"/>
        </w:rPr>
        <w:t> </w:t>
      </w:r>
      <w:r w:rsidRPr="005635E7">
        <w:rPr>
          <w:rFonts w:asciiTheme="majorBidi" w:hAnsiTheme="majorBidi" w:cstheme="majorBidi"/>
          <w:shd w:val="clear" w:color="auto" w:fill="FFFFFF"/>
        </w:rPr>
        <w:t>is a multivariate statistical analysis method encompassing correlation, ANOVA</w:t>
      </w:r>
      <w:r w:rsidRPr="005635E7">
        <w:rPr>
          <w:rFonts w:ascii="Times New Roman" w:eastAsia="Calibri" w:hAnsi="Times New Roman" w:cs="Times New Roman"/>
        </w:rPr>
        <w:t xml:space="preserve">, multivariate regression analysis, </w:t>
      </w:r>
      <w:r w:rsidRPr="005635E7">
        <w:rPr>
          <w:rFonts w:asciiTheme="majorBidi" w:hAnsiTheme="majorBidi" w:cstheme="majorBidi"/>
          <w:shd w:val="clear" w:color="auto" w:fill="FFFFFF"/>
        </w:rPr>
        <w:t xml:space="preserve">factor analysis, and model fit indices, which are critical for statistically assessing the </w:t>
      </w:r>
      <w:r w:rsidRPr="005635E7">
        <w:rPr>
          <w:rFonts w:asciiTheme="majorBidi" w:hAnsiTheme="majorBidi" w:cstheme="majorBidi"/>
          <w:bCs/>
          <w:shd w:val="clear" w:color="auto" w:fill="FFFFFF"/>
        </w:rPr>
        <w:t>structural</w:t>
      </w:r>
      <w:r w:rsidRPr="005635E7">
        <w:rPr>
          <w:rStyle w:val="apple-converted-space"/>
          <w:rFonts w:asciiTheme="majorBidi" w:hAnsiTheme="majorBidi" w:cstheme="majorBidi"/>
          <w:shd w:val="clear" w:color="auto" w:fill="FFFFFF"/>
        </w:rPr>
        <w:t> </w:t>
      </w:r>
      <w:r w:rsidRPr="005635E7">
        <w:rPr>
          <w:rFonts w:asciiTheme="majorBidi" w:hAnsiTheme="majorBidi" w:cstheme="majorBidi"/>
          <w:shd w:val="clear" w:color="auto" w:fill="FFFFFF"/>
        </w:rPr>
        <w:t xml:space="preserve">relationships between </w:t>
      </w:r>
      <w:r w:rsidRPr="005635E7">
        <w:rPr>
          <w:rFonts w:ascii="Times New Roman" w:eastAsia="Calibri" w:hAnsi="Times New Roman" w:cs="Times New Roman"/>
        </w:rPr>
        <w:t>the observed and latent</w:t>
      </w:r>
      <w:r w:rsidRPr="005635E7">
        <w:rPr>
          <w:rFonts w:asciiTheme="majorBidi" w:hAnsiTheme="majorBidi" w:cstheme="majorBidi"/>
          <w:shd w:val="clear" w:color="auto" w:fill="FFFFFF"/>
        </w:rPr>
        <w:t xml:space="preserve"> (unobserved) </w:t>
      </w:r>
      <w:r w:rsidRPr="005635E7">
        <w:rPr>
          <w:rFonts w:asciiTheme="majorBidi" w:hAnsiTheme="majorBidi" w:cstheme="majorBidi"/>
        </w:rPr>
        <w:t>variables in this study (Kline, 2015).</w:t>
      </w:r>
      <w:r w:rsidRPr="005635E7">
        <w:rPr>
          <w:rFonts w:asciiTheme="majorBidi" w:hAnsiTheme="majorBidi" w:cstheme="majorBidi"/>
          <w:shd w:val="clear" w:color="auto" w:fill="FFFFFF"/>
        </w:rPr>
        <w:t xml:space="preserve"> The SmartPLS3 was used to analyze </w:t>
      </w:r>
      <w:r w:rsidRPr="005635E7">
        <w:rPr>
          <w:rFonts w:ascii="Times New Roman" w:eastAsia="Calibri" w:hAnsi="Times New Roman" w:cs="Times New Roman"/>
        </w:rPr>
        <w:t xml:space="preserve">the data </w:t>
      </w:r>
      <w:r w:rsidRPr="005635E7">
        <w:rPr>
          <w:rFonts w:asciiTheme="majorBidi" w:hAnsiTheme="majorBidi" w:cstheme="majorBidi"/>
          <w:shd w:val="clear" w:color="auto" w:fill="FFFFFF"/>
        </w:rPr>
        <w:t>and examine the hypotheses of the study.</w:t>
      </w:r>
    </w:p>
    <w:bookmarkEnd w:id="90"/>
    <w:p w14:paraId="64720C7A" w14:textId="77777777" w:rsidR="005976AB" w:rsidRDefault="005976AB" w:rsidP="005976AB">
      <w:pPr>
        <w:spacing w:after="240" w:line="480" w:lineRule="auto"/>
        <w:jc w:val="both"/>
        <w:rPr>
          <w:rFonts w:asciiTheme="majorBidi" w:hAnsiTheme="majorBidi" w:cstheme="majorBidi"/>
        </w:rPr>
      </w:pPr>
    </w:p>
    <w:p w14:paraId="7E8A9B39" w14:textId="77777777" w:rsidR="00516831" w:rsidRPr="005635E7" w:rsidRDefault="00516831" w:rsidP="005976AB">
      <w:pPr>
        <w:spacing w:after="240" w:line="480" w:lineRule="auto"/>
        <w:jc w:val="both"/>
        <w:rPr>
          <w:rFonts w:asciiTheme="majorBidi" w:hAnsiTheme="majorBidi" w:cstheme="majorBidi"/>
        </w:rPr>
      </w:pPr>
    </w:p>
    <w:p w14:paraId="06557DB7" w14:textId="77777777" w:rsidR="005976AB" w:rsidRPr="005635E7" w:rsidRDefault="005976AB" w:rsidP="005976AB">
      <w:pPr>
        <w:pStyle w:val="Heading2"/>
        <w:spacing w:after="240"/>
        <w:rPr>
          <w:rFonts w:asciiTheme="majorBidi" w:hAnsiTheme="majorBidi"/>
          <w:b/>
          <w:bCs/>
          <w:color w:val="auto"/>
          <w:sz w:val="24"/>
          <w:szCs w:val="24"/>
        </w:rPr>
      </w:pPr>
      <w:bookmarkStart w:id="91" w:name="_Toc115310399"/>
      <w:r w:rsidRPr="005635E7">
        <w:rPr>
          <w:rFonts w:asciiTheme="majorBidi" w:hAnsiTheme="majorBidi"/>
          <w:b/>
          <w:bCs/>
          <w:color w:val="auto"/>
        </w:rPr>
        <w:t>3.12 Chapter Summary</w:t>
      </w:r>
      <w:bookmarkEnd w:id="91"/>
    </w:p>
    <w:p w14:paraId="18C47D5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This chapter cover</w:t>
      </w:r>
      <w:r>
        <w:rPr>
          <w:rFonts w:asciiTheme="majorBidi" w:hAnsiTheme="majorBidi" w:cstheme="majorBidi"/>
        </w:rPr>
        <w:t>ed</w:t>
      </w:r>
      <w:r w:rsidRPr="005635E7">
        <w:rPr>
          <w:rFonts w:asciiTheme="majorBidi" w:hAnsiTheme="majorBidi" w:cstheme="majorBidi"/>
        </w:rPr>
        <w:t xml:space="preserve"> methodological viewpoints, including the philosophical perspective, research approach and strategy, sampling, data collection, and analysis methodologies advocated in this study. The philosophy of positivism was modified, leading to the use of logical research strategies. Depending on the survey strategy, a quantitative research strategy m</w:t>
      </w:r>
      <w:r>
        <w:rPr>
          <w:rFonts w:asciiTheme="majorBidi" w:hAnsiTheme="majorBidi" w:cstheme="majorBidi"/>
        </w:rPr>
        <w:t>ight</w:t>
      </w:r>
      <w:r w:rsidRPr="005635E7">
        <w:rPr>
          <w:rFonts w:asciiTheme="majorBidi" w:hAnsiTheme="majorBidi" w:cstheme="majorBidi"/>
        </w:rPr>
        <w:t xml:space="preserve"> be more effective than qualitative. With a population size of 392,000 SMEs in the UAE, a confidence level of 95%, accuracy margin of 5%, and sample size of 384 were deemed sufficient. A pilot study was conducted to assess the instrument's validity, and the results led to revisions of the original survey's questions.</w:t>
      </w:r>
    </w:p>
    <w:p w14:paraId="450964B9" w14:textId="77777777" w:rsidR="005976AB" w:rsidRPr="005635E7" w:rsidRDefault="005976AB" w:rsidP="005976AB">
      <w:pPr>
        <w:spacing w:after="240" w:line="480" w:lineRule="auto"/>
        <w:jc w:val="both"/>
        <w:rPr>
          <w:rFonts w:asciiTheme="majorBidi" w:hAnsiTheme="majorBidi" w:cstheme="majorBidi"/>
        </w:rPr>
      </w:pPr>
    </w:p>
    <w:p w14:paraId="1469D930" w14:textId="77777777" w:rsidR="005976AB" w:rsidRPr="005635E7" w:rsidRDefault="005976AB" w:rsidP="005976AB">
      <w:pPr>
        <w:rPr>
          <w:rFonts w:asciiTheme="majorBidi" w:hAnsiTheme="majorBidi" w:cstheme="majorBidi"/>
        </w:rPr>
      </w:pPr>
      <w:r w:rsidRPr="005635E7">
        <w:rPr>
          <w:rFonts w:asciiTheme="majorBidi" w:hAnsiTheme="majorBidi" w:cstheme="majorBidi"/>
        </w:rPr>
        <w:br w:type="page"/>
      </w:r>
    </w:p>
    <w:p w14:paraId="3BBDC0F5" w14:textId="77777777" w:rsidR="005976AB" w:rsidRPr="005635E7" w:rsidRDefault="005976AB" w:rsidP="005976AB">
      <w:pPr>
        <w:pStyle w:val="Heading1"/>
        <w:spacing w:after="240"/>
        <w:jc w:val="center"/>
        <w:rPr>
          <w:rFonts w:asciiTheme="majorBidi" w:hAnsiTheme="majorBidi"/>
          <w:b/>
          <w:bCs/>
          <w:color w:val="auto"/>
          <w:sz w:val="28"/>
          <w:szCs w:val="28"/>
        </w:rPr>
      </w:pPr>
      <w:bookmarkStart w:id="92" w:name="_Toc115310400"/>
      <w:r w:rsidRPr="005635E7">
        <w:rPr>
          <w:rFonts w:asciiTheme="majorBidi" w:hAnsiTheme="majorBidi"/>
          <w:b/>
          <w:bCs/>
          <w:color w:val="auto"/>
          <w:sz w:val="28"/>
          <w:szCs w:val="28"/>
        </w:rPr>
        <w:t>CHAPTER 4</w:t>
      </w:r>
      <w:bookmarkEnd w:id="92"/>
    </w:p>
    <w:p w14:paraId="79A04B85" w14:textId="77777777" w:rsidR="005976AB" w:rsidRPr="005635E7" w:rsidRDefault="005976AB" w:rsidP="005976AB">
      <w:pPr>
        <w:pStyle w:val="Heading1"/>
        <w:spacing w:after="240"/>
        <w:jc w:val="center"/>
        <w:rPr>
          <w:rFonts w:asciiTheme="majorBidi" w:hAnsiTheme="majorBidi"/>
          <w:b/>
          <w:bCs/>
          <w:color w:val="auto"/>
          <w:sz w:val="28"/>
          <w:szCs w:val="28"/>
        </w:rPr>
      </w:pPr>
      <w:bookmarkStart w:id="93" w:name="_Toc115310401"/>
      <w:r w:rsidRPr="005635E7">
        <w:rPr>
          <w:rFonts w:asciiTheme="majorBidi" w:hAnsiTheme="majorBidi"/>
          <w:b/>
          <w:bCs/>
          <w:color w:val="auto"/>
          <w:sz w:val="28"/>
          <w:szCs w:val="28"/>
        </w:rPr>
        <w:t>RESULTS AND DISCUSSION</w:t>
      </w:r>
      <w:bookmarkEnd w:id="93"/>
    </w:p>
    <w:p w14:paraId="157E2953" w14:textId="77777777" w:rsidR="005976AB" w:rsidRPr="005635E7" w:rsidRDefault="005976AB" w:rsidP="005976AB">
      <w:pPr>
        <w:pStyle w:val="Heading2"/>
        <w:spacing w:before="0" w:after="240"/>
        <w:rPr>
          <w:rFonts w:asciiTheme="majorBidi" w:hAnsiTheme="majorBidi"/>
          <w:b/>
          <w:bCs/>
          <w:color w:val="auto"/>
          <w:sz w:val="28"/>
          <w:szCs w:val="28"/>
        </w:rPr>
      </w:pPr>
      <w:bookmarkStart w:id="94" w:name="_Toc115310402"/>
      <w:r w:rsidRPr="005635E7">
        <w:rPr>
          <w:rFonts w:asciiTheme="majorBidi" w:hAnsiTheme="majorBidi"/>
          <w:b/>
          <w:bCs/>
          <w:color w:val="auto"/>
          <w:sz w:val="28"/>
          <w:szCs w:val="28"/>
        </w:rPr>
        <w:t>4.1 Introduction</w:t>
      </w:r>
      <w:bookmarkEnd w:id="94"/>
    </w:p>
    <w:p w14:paraId="2404204F"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This section discusses the empirical results of the data analysis. To test </w:t>
      </w:r>
      <w:r w:rsidRPr="005635E7">
        <w:rPr>
          <w:rFonts w:ascii="Times New Roman" w:eastAsia="Calibri" w:hAnsi="Times New Roman" w:cs="Times New Roman"/>
        </w:rPr>
        <w:t>the hypotheses,</w:t>
      </w:r>
      <w:r w:rsidRPr="005635E7">
        <w:rPr>
          <w:rFonts w:asciiTheme="majorBidi" w:hAnsiTheme="majorBidi" w:cstheme="majorBidi"/>
        </w:rPr>
        <w:t xml:space="preserve"> data analyses were carried out using statistical analytical approaches</w:t>
      </w:r>
      <w:r w:rsidRPr="005635E7">
        <w:rPr>
          <w:rFonts w:ascii="Times New Roman" w:eastAsia="Calibri" w:hAnsi="Times New Roman" w:cs="Times New Roman"/>
        </w:rPr>
        <w:t xml:space="preserve">, such as EFA, CFA, and structural model analysis. First, the EFA </w:t>
      </w:r>
      <w:r>
        <w:rPr>
          <w:rFonts w:ascii="Times New Roman" w:eastAsia="Calibri" w:hAnsi="Times New Roman" w:cs="Times New Roman"/>
        </w:rPr>
        <w:t>wa</w:t>
      </w:r>
      <w:r w:rsidRPr="005635E7">
        <w:rPr>
          <w:rFonts w:ascii="Times New Roman" w:eastAsia="Calibri" w:hAnsi="Times New Roman" w:cs="Times New Roman"/>
        </w:rPr>
        <w:t xml:space="preserve">s </w:t>
      </w:r>
      <w:r w:rsidRPr="005635E7">
        <w:rPr>
          <w:rFonts w:asciiTheme="majorBidi" w:hAnsiTheme="majorBidi" w:cstheme="majorBidi"/>
        </w:rPr>
        <w:t xml:space="preserve">tested to examine the factor loadings for OLC, OI, and FP as well as their sub-constructs. Following the structural model analysis and testing of the hypotheses related to OLC, IP, OP, ME, and P, the construct validity and reliability of the measurement models were evaluated. Third, </w:t>
      </w:r>
      <w:r w:rsidRPr="005635E7">
        <w:rPr>
          <w:rFonts w:ascii="Times New Roman" w:eastAsia="Calibri" w:hAnsi="Times New Roman" w:cs="Times New Roman"/>
        </w:rPr>
        <w:t>we present</w:t>
      </w:r>
      <w:r>
        <w:rPr>
          <w:rFonts w:ascii="Times New Roman" w:eastAsia="Calibri" w:hAnsi="Times New Roman" w:cs="Times New Roman"/>
        </w:rPr>
        <w:t>ed</w:t>
      </w:r>
      <w:r w:rsidRPr="005635E7">
        <w:rPr>
          <w:rFonts w:ascii="Times New Roman" w:eastAsia="Calibri" w:hAnsi="Times New Roman" w:cs="Times New Roman"/>
        </w:rPr>
        <w:t xml:space="preserve"> the outcomes of the mediation test</w:t>
      </w:r>
      <w:r w:rsidRPr="005635E7">
        <w:rPr>
          <w:rFonts w:asciiTheme="majorBidi" w:hAnsiTheme="majorBidi" w:cstheme="majorBidi"/>
        </w:rPr>
        <w:t>. Finally, a discussion based on the results of previous investigations</w:t>
      </w:r>
      <w:r w:rsidRPr="005635E7">
        <w:rPr>
          <w:rFonts w:ascii="Times New Roman" w:eastAsia="Calibri" w:hAnsi="Times New Roman" w:cs="Times New Roman"/>
        </w:rPr>
        <w:t xml:space="preserve"> </w:t>
      </w:r>
      <w:r>
        <w:rPr>
          <w:rFonts w:ascii="Times New Roman" w:eastAsia="Calibri" w:hAnsi="Times New Roman" w:cs="Times New Roman"/>
        </w:rPr>
        <w:t>wa</w:t>
      </w:r>
      <w:r w:rsidRPr="005635E7">
        <w:rPr>
          <w:rFonts w:ascii="Times New Roman" w:eastAsia="Calibri" w:hAnsi="Times New Roman" w:cs="Times New Roman"/>
        </w:rPr>
        <w:t>s presented</w:t>
      </w:r>
      <w:r w:rsidRPr="005635E7">
        <w:rPr>
          <w:rFonts w:asciiTheme="majorBidi" w:hAnsiTheme="majorBidi" w:cstheme="majorBidi"/>
        </w:rPr>
        <w:t>.</w:t>
      </w:r>
    </w:p>
    <w:p w14:paraId="4D58314B" w14:textId="77777777" w:rsidR="005976AB" w:rsidRPr="005635E7" w:rsidRDefault="005976AB" w:rsidP="005976AB"/>
    <w:p w14:paraId="4B67E5BC" w14:textId="77777777" w:rsidR="005976AB" w:rsidRPr="005635E7" w:rsidRDefault="005976AB" w:rsidP="005976AB">
      <w:pPr>
        <w:pStyle w:val="Heading2"/>
        <w:spacing w:before="0" w:after="240"/>
        <w:rPr>
          <w:rFonts w:asciiTheme="majorBidi" w:hAnsiTheme="majorBidi"/>
          <w:b/>
          <w:bCs/>
          <w:color w:val="auto"/>
          <w:sz w:val="28"/>
          <w:szCs w:val="28"/>
        </w:rPr>
      </w:pPr>
      <w:bookmarkStart w:id="95" w:name="_Toc115310404"/>
      <w:r w:rsidRPr="005635E7">
        <w:rPr>
          <w:rFonts w:asciiTheme="majorBidi" w:hAnsiTheme="majorBidi"/>
          <w:b/>
          <w:bCs/>
          <w:color w:val="auto"/>
          <w:sz w:val="28"/>
          <w:szCs w:val="28"/>
        </w:rPr>
        <w:t>4.2 Exploratory Factor Analysis</w:t>
      </w:r>
      <w:bookmarkEnd w:id="95"/>
    </w:p>
    <w:p w14:paraId="6BE52ED1"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Initially, EFA was used to create a factor structure for the data reflecting the constructs of OLC</w:t>
      </w:r>
      <w:r w:rsidRPr="005635E7">
        <w:rPr>
          <w:rFonts w:ascii="Times New Roman" w:eastAsia="Calibri" w:hAnsi="Times New Roman" w:cs="Times New Roman"/>
        </w:rPr>
        <w:t xml:space="preserve">, </w:t>
      </w:r>
      <w:r w:rsidRPr="005635E7">
        <w:rPr>
          <w:rFonts w:asciiTheme="majorBidi" w:hAnsiTheme="majorBidi" w:cstheme="majorBidi"/>
        </w:rPr>
        <w:t>OI</w:t>
      </w:r>
      <w:r w:rsidRPr="005635E7">
        <w:rPr>
          <w:rFonts w:ascii="Times New Roman" w:eastAsia="Calibri" w:hAnsi="Times New Roman" w:cs="Times New Roman"/>
        </w:rPr>
        <w:t xml:space="preserve">, </w:t>
      </w:r>
      <w:r w:rsidRPr="005635E7">
        <w:rPr>
          <w:rFonts w:asciiTheme="majorBidi" w:hAnsiTheme="majorBidi" w:cstheme="majorBidi"/>
        </w:rPr>
        <w:t>FP</w:t>
      </w:r>
      <w:r w:rsidRPr="005635E7">
        <w:rPr>
          <w:rFonts w:ascii="Times New Roman" w:eastAsia="Calibri" w:hAnsi="Times New Roman" w:cs="Times New Roman"/>
        </w:rPr>
        <w:t>, and their sub</w:t>
      </w:r>
      <w:r>
        <w:rPr>
          <w:rFonts w:ascii="Times New Roman" w:eastAsia="Calibri" w:hAnsi="Times New Roman" w:cs="Times New Roman"/>
        </w:rPr>
        <w:t>-</w:t>
      </w:r>
      <w:r w:rsidRPr="005635E7">
        <w:rPr>
          <w:rFonts w:ascii="Times New Roman" w:eastAsia="Calibri" w:hAnsi="Times New Roman" w:cs="Times New Roman"/>
        </w:rPr>
        <w:t xml:space="preserve">constructs. 32 questionnaire items forced </w:t>
      </w:r>
      <w:r>
        <w:rPr>
          <w:rFonts w:ascii="Times New Roman" w:eastAsia="Calibri" w:hAnsi="Times New Roman" w:cs="Times New Roman"/>
        </w:rPr>
        <w:t>eight</w:t>
      </w:r>
      <w:r w:rsidRPr="005635E7">
        <w:rPr>
          <w:rFonts w:ascii="Times New Roman" w:eastAsia="Calibri" w:hAnsi="Times New Roman" w:cs="Times New Roman"/>
        </w:rPr>
        <w:t>-factor responses. The factor loadings and cross</w:t>
      </w:r>
      <w:r w:rsidRPr="005635E7">
        <w:rPr>
          <w:rFonts w:asciiTheme="majorBidi" w:hAnsiTheme="majorBidi" w:cstheme="majorBidi"/>
        </w:rPr>
        <w:t>-loadings for the EFA and constructs are listed in Table 4.1.</w:t>
      </w:r>
    </w:p>
    <w:p w14:paraId="5241F9BE" w14:textId="77777777" w:rsidR="005976AB" w:rsidRPr="005635E7" w:rsidRDefault="005976AB" w:rsidP="005976AB">
      <w:pPr>
        <w:spacing w:line="480" w:lineRule="auto"/>
        <w:jc w:val="both"/>
        <w:rPr>
          <w:rFonts w:asciiTheme="majorBidi" w:hAnsiTheme="majorBidi" w:cstheme="majorBidi"/>
        </w:rPr>
      </w:pPr>
    </w:p>
    <w:p w14:paraId="4816C491" w14:textId="77777777" w:rsidR="005976AB" w:rsidRPr="005635E7" w:rsidRDefault="005976AB" w:rsidP="005976AB">
      <w:pPr>
        <w:spacing w:line="480" w:lineRule="auto"/>
        <w:jc w:val="both"/>
        <w:rPr>
          <w:rFonts w:asciiTheme="majorBidi" w:hAnsiTheme="majorBidi" w:cstheme="majorBidi"/>
        </w:rPr>
      </w:pPr>
    </w:p>
    <w:p w14:paraId="2C7FC0A6" w14:textId="77777777" w:rsidR="005976AB" w:rsidRPr="005635E7" w:rsidRDefault="005976AB" w:rsidP="005976AB">
      <w:pPr>
        <w:spacing w:line="480" w:lineRule="auto"/>
        <w:jc w:val="both"/>
        <w:rPr>
          <w:rFonts w:asciiTheme="majorBidi" w:hAnsiTheme="majorBidi" w:cstheme="majorBidi"/>
        </w:rPr>
      </w:pPr>
    </w:p>
    <w:p w14:paraId="3C0E6F34" w14:textId="77777777" w:rsidR="005976AB" w:rsidRPr="005635E7" w:rsidRDefault="005976AB" w:rsidP="005976AB">
      <w:pPr>
        <w:spacing w:line="480" w:lineRule="auto"/>
        <w:jc w:val="both"/>
        <w:rPr>
          <w:rFonts w:asciiTheme="majorBidi" w:hAnsiTheme="majorBidi" w:cstheme="majorBidi"/>
        </w:rPr>
      </w:pPr>
    </w:p>
    <w:p w14:paraId="10CD01FF" w14:textId="77777777" w:rsidR="005976AB" w:rsidRPr="005635E7" w:rsidRDefault="005976AB" w:rsidP="005976AB">
      <w:pPr>
        <w:spacing w:line="480" w:lineRule="auto"/>
        <w:jc w:val="both"/>
        <w:rPr>
          <w:rFonts w:asciiTheme="majorBidi" w:hAnsiTheme="majorBidi" w:cstheme="majorBidi"/>
        </w:rPr>
      </w:pPr>
    </w:p>
    <w:p w14:paraId="23D260E4" w14:textId="77777777" w:rsidR="005976AB" w:rsidRPr="005635E7" w:rsidRDefault="005976AB" w:rsidP="005976AB">
      <w:pPr>
        <w:spacing w:line="480" w:lineRule="auto"/>
        <w:jc w:val="both"/>
        <w:rPr>
          <w:rFonts w:asciiTheme="majorBidi" w:hAnsiTheme="majorBidi" w:cstheme="majorBidi"/>
        </w:rPr>
      </w:pPr>
    </w:p>
    <w:p w14:paraId="58DBC8B8" w14:textId="77777777" w:rsidR="005976AB" w:rsidRPr="005635E7" w:rsidRDefault="005976AB" w:rsidP="005976AB">
      <w:pPr>
        <w:spacing w:line="480" w:lineRule="auto"/>
        <w:jc w:val="both"/>
        <w:rPr>
          <w:rFonts w:asciiTheme="majorBidi" w:hAnsiTheme="majorBidi" w:cstheme="majorBidi"/>
        </w:rPr>
      </w:pPr>
    </w:p>
    <w:p w14:paraId="02B01609" w14:textId="77777777" w:rsidR="005976AB" w:rsidRDefault="005976AB" w:rsidP="005976AB">
      <w:pPr>
        <w:spacing w:line="480" w:lineRule="auto"/>
        <w:jc w:val="both"/>
        <w:rPr>
          <w:rFonts w:asciiTheme="majorBidi" w:hAnsiTheme="majorBidi" w:cstheme="majorBidi"/>
        </w:rPr>
      </w:pPr>
    </w:p>
    <w:p w14:paraId="36BEA386" w14:textId="77777777" w:rsidR="00A64C37" w:rsidRDefault="00A64C37" w:rsidP="005976AB">
      <w:pPr>
        <w:spacing w:line="480" w:lineRule="auto"/>
        <w:jc w:val="both"/>
        <w:rPr>
          <w:rFonts w:asciiTheme="majorBidi" w:hAnsiTheme="majorBidi" w:cstheme="majorBidi"/>
        </w:rPr>
      </w:pPr>
    </w:p>
    <w:p w14:paraId="2C70DF08" w14:textId="77777777" w:rsidR="00A64C37" w:rsidRPr="005635E7" w:rsidRDefault="00A64C37" w:rsidP="005976AB">
      <w:pPr>
        <w:spacing w:line="480" w:lineRule="auto"/>
        <w:jc w:val="both"/>
        <w:rPr>
          <w:rFonts w:asciiTheme="majorBidi" w:hAnsiTheme="majorBidi" w:cstheme="majorBidi"/>
        </w:rPr>
      </w:pPr>
    </w:p>
    <w:p w14:paraId="384A0CEB" w14:textId="77777777" w:rsidR="005976AB" w:rsidRPr="005635E7" w:rsidRDefault="005976AB" w:rsidP="005976AB">
      <w:pPr>
        <w:spacing w:line="480" w:lineRule="auto"/>
        <w:jc w:val="both"/>
        <w:rPr>
          <w:rFonts w:asciiTheme="majorBidi" w:hAnsiTheme="majorBidi" w:cstheme="majorBidi"/>
        </w:rPr>
      </w:pPr>
    </w:p>
    <w:p w14:paraId="0BDE6F50" w14:textId="77777777" w:rsidR="005976AB" w:rsidRPr="005635E7" w:rsidRDefault="005976AB" w:rsidP="005976AB">
      <w:pPr>
        <w:pStyle w:val="Caption"/>
        <w:rPr>
          <w:rFonts w:asciiTheme="majorBidi" w:hAnsiTheme="majorBidi" w:cstheme="majorBidi"/>
          <w:i w:val="0"/>
          <w:iCs w:val="0"/>
          <w:color w:val="auto"/>
          <w:sz w:val="24"/>
          <w:szCs w:val="24"/>
        </w:rPr>
      </w:pPr>
      <w:bookmarkStart w:id="96" w:name="_Toc126377959"/>
      <w:r w:rsidRPr="005635E7">
        <w:rPr>
          <w:rFonts w:asciiTheme="majorBidi" w:hAnsiTheme="majorBidi" w:cstheme="majorBidi"/>
          <w:i w:val="0"/>
          <w:iCs w:val="0"/>
          <w:color w:val="auto"/>
          <w:sz w:val="24"/>
          <w:szCs w:val="24"/>
        </w:rPr>
        <w:t>Table 4.</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1</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The Exploratory Factor Analysis</w:t>
      </w:r>
      <w:bookmarkEnd w:id="96"/>
    </w:p>
    <w:tbl>
      <w:tblPr>
        <w:tblW w:w="8640" w:type="dxa"/>
        <w:tblLook w:val="04A0" w:firstRow="1" w:lastRow="0" w:firstColumn="1" w:lastColumn="0" w:noHBand="0" w:noVBand="1"/>
      </w:tblPr>
      <w:tblGrid>
        <w:gridCol w:w="960"/>
        <w:gridCol w:w="960"/>
        <w:gridCol w:w="960"/>
        <w:gridCol w:w="960"/>
        <w:gridCol w:w="960"/>
        <w:gridCol w:w="960"/>
        <w:gridCol w:w="960"/>
        <w:gridCol w:w="960"/>
        <w:gridCol w:w="960"/>
      </w:tblGrid>
      <w:tr w:rsidR="005976AB" w:rsidRPr="005635E7" w14:paraId="7B813B51" w14:textId="77777777" w:rsidTr="009E2F4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115AB"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A89378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EX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D234FC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EB7EE7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1432F9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9861CE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OP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90EE03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ABBB83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SP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E95FFC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TR</w:t>
            </w:r>
          </w:p>
        </w:tc>
      </w:tr>
      <w:tr w:rsidR="005976AB" w:rsidRPr="005635E7" w14:paraId="37D35EE1"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CD991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EX1</w:t>
            </w:r>
          </w:p>
        </w:tc>
        <w:tc>
          <w:tcPr>
            <w:tcW w:w="960" w:type="dxa"/>
            <w:tcBorders>
              <w:top w:val="nil"/>
              <w:left w:val="nil"/>
              <w:bottom w:val="single" w:sz="4" w:space="0" w:color="auto"/>
              <w:right w:val="single" w:sz="4" w:space="0" w:color="auto"/>
            </w:tcBorders>
            <w:shd w:val="clear" w:color="auto" w:fill="auto"/>
            <w:noWrap/>
            <w:vAlign w:val="center"/>
            <w:hideMark/>
          </w:tcPr>
          <w:p w14:paraId="1576311E"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0.857</w:t>
            </w:r>
          </w:p>
        </w:tc>
        <w:tc>
          <w:tcPr>
            <w:tcW w:w="960" w:type="dxa"/>
            <w:tcBorders>
              <w:top w:val="nil"/>
              <w:left w:val="nil"/>
              <w:bottom w:val="single" w:sz="4" w:space="0" w:color="auto"/>
              <w:right w:val="single" w:sz="4" w:space="0" w:color="auto"/>
            </w:tcBorders>
            <w:shd w:val="clear" w:color="auto" w:fill="auto"/>
            <w:noWrap/>
            <w:vAlign w:val="center"/>
            <w:hideMark/>
          </w:tcPr>
          <w:p w14:paraId="7246FCC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0.158</w:t>
            </w:r>
          </w:p>
        </w:tc>
        <w:tc>
          <w:tcPr>
            <w:tcW w:w="960" w:type="dxa"/>
            <w:tcBorders>
              <w:top w:val="nil"/>
              <w:left w:val="nil"/>
              <w:bottom w:val="single" w:sz="4" w:space="0" w:color="auto"/>
              <w:right w:val="single" w:sz="4" w:space="0" w:color="auto"/>
            </w:tcBorders>
            <w:shd w:val="clear" w:color="auto" w:fill="auto"/>
            <w:noWrap/>
            <w:vAlign w:val="center"/>
            <w:hideMark/>
          </w:tcPr>
          <w:p w14:paraId="285B3C1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0.075</w:t>
            </w:r>
          </w:p>
        </w:tc>
        <w:tc>
          <w:tcPr>
            <w:tcW w:w="960" w:type="dxa"/>
            <w:tcBorders>
              <w:top w:val="nil"/>
              <w:left w:val="nil"/>
              <w:bottom w:val="single" w:sz="4" w:space="0" w:color="auto"/>
              <w:right w:val="single" w:sz="4" w:space="0" w:color="auto"/>
            </w:tcBorders>
            <w:shd w:val="clear" w:color="auto" w:fill="auto"/>
            <w:noWrap/>
            <w:vAlign w:val="center"/>
            <w:hideMark/>
          </w:tcPr>
          <w:p w14:paraId="4F1C752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0.191</w:t>
            </w:r>
          </w:p>
        </w:tc>
        <w:tc>
          <w:tcPr>
            <w:tcW w:w="960" w:type="dxa"/>
            <w:tcBorders>
              <w:top w:val="nil"/>
              <w:left w:val="nil"/>
              <w:bottom w:val="single" w:sz="4" w:space="0" w:color="auto"/>
              <w:right w:val="single" w:sz="4" w:space="0" w:color="auto"/>
            </w:tcBorders>
            <w:shd w:val="clear" w:color="auto" w:fill="auto"/>
            <w:noWrap/>
            <w:vAlign w:val="center"/>
            <w:hideMark/>
          </w:tcPr>
          <w:p w14:paraId="11C7214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0.238</w:t>
            </w:r>
          </w:p>
        </w:tc>
        <w:tc>
          <w:tcPr>
            <w:tcW w:w="960" w:type="dxa"/>
            <w:tcBorders>
              <w:top w:val="nil"/>
              <w:left w:val="nil"/>
              <w:bottom w:val="single" w:sz="4" w:space="0" w:color="auto"/>
              <w:right w:val="single" w:sz="4" w:space="0" w:color="auto"/>
            </w:tcBorders>
            <w:shd w:val="clear" w:color="auto" w:fill="auto"/>
            <w:noWrap/>
            <w:vAlign w:val="center"/>
            <w:hideMark/>
          </w:tcPr>
          <w:p w14:paraId="1F53640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0.490</w:t>
            </w:r>
          </w:p>
        </w:tc>
        <w:tc>
          <w:tcPr>
            <w:tcW w:w="960" w:type="dxa"/>
            <w:tcBorders>
              <w:top w:val="nil"/>
              <w:left w:val="nil"/>
              <w:bottom w:val="single" w:sz="4" w:space="0" w:color="auto"/>
              <w:right w:val="single" w:sz="4" w:space="0" w:color="auto"/>
            </w:tcBorders>
            <w:shd w:val="clear" w:color="auto" w:fill="auto"/>
            <w:noWrap/>
            <w:vAlign w:val="center"/>
            <w:hideMark/>
          </w:tcPr>
          <w:p w14:paraId="5D320B5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0.154</w:t>
            </w:r>
          </w:p>
        </w:tc>
        <w:tc>
          <w:tcPr>
            <w:tcW w:w="960" w:type="dxa"/>
            <w:tcBorders>
              <w:top w:val="nil"/>
              <w:left w:val="nil"/>
              <w:bottom w:val="single" w:sz="4" w:space="0" w:color="auto"/>
              <w:right w:val="single" w:sz="4" w:space="0" w:color="auto"/>
            </w:tcBorders>
            <w:shd w:val="clear" w:color="auto" w:fill="auto"/>
            <w:noWrap/>
            <w:vAlign w:val="center"/>
            <w:hideMark/>
          </w:tcPr>
          <w:p w14:paraId="63EA8A9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0.393</w:t>
            </w:r>
          </w:p>
        </w:tc>
      </w:tr>
      <w:tr w:rsidR="005976AB" w:rsidRPr="005635E7" w14:paraId="1361AFC8"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EBB50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EX2</w:t>
            </w:r>
          </w:p>
        </w:tc>
        <w:tc>
          <w:tcPr>
            <w:tcW w:w="960" w:type="dxa"/>
            <w:tcBorders>
              <w:top w:val="nil"/>
              <w:left w:val="nil"/>
              <w:bottom w:val="single" w:sz="4" w:space="0" w:color="auto"/>
              <w:right w:val="single" w:sz="4" w:space="0" w:color="auto"/>
            </w:tcBorders>
            <w:shd w:val="clear" w:color="auto" w:fill="auto"/>
            <w:noWrap/>
            <w:vAlign w:val="center"/>
            <w:hideMark/>
          </w:tcPr>
          <w:p w14:paraId="678CBED5"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0.875</w:t>
            </w:r>
          </w:p>
        </w:tc>
        <w:tc>
          <w:tcPr>
            <w:tcW w:w="960" w:type="dxa"/>
            <w:tcBorders>
              <w:top w:val="nil"/>
              <w:left w:val="nil"/>
              <w:bottom w:val="single" w:sz="4" w:space="0" w:color="auto"/>
              <w:right w:val="single" w:sz="4" w:space="0" w:color="auto"/>
            </w:tcBorders>
            <w:shd w:val="clear" w:color="auto" w:fill="auto"/>
            <w:noWrap/>
            <w:vAlign w:val="center"/>
            <w:hideMark/>
          </w:tcPr>
          <w:p w14:paraId="1D81E3C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0.111</w:t>
            </w:r>
          </w:p>
        </w:tc>
        <w:tc>
          <w:tcPr>
            <w:tcW w:w="960" w:type="dxa"/>
            <w:tcBorders>
              <w:top w:val="nil"/>
              <w:left w:val="nil"/>
              <w:bottom w:val="single" w:sz="4" w:space="0" w:color="auto"/>
              <w:right w:val="single" w:sz="4" w:space="0" w:color="auto"/>
            </w:tcBorders>
            <w:shd w:val="clear" w:color="auto" w:fill="auto"/>
            <w:noWrap/>
            <w:vAlign w:val="center"/>
            <w:hideMark/>
          </w:tcPr>
          <w:p w14:paraId="1B0CCA9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0.058</w:t>
            </w:r>
          </w:p>
        </w:tc>
        <w:tc>
          <w:tcPr>
            <w:tcW w:w="960" w:type="dxa"/>
            <w:tcBorders>
              <w:top w:val="nil"/>
              <w:left w:val="nil"/>
              <w:bottom w:val="single" w:sz="4" w:space="0" w:color="auto"/>
              <w:right w:val="single" w:sz="4" w:space="0" w:color="auto"/>
            </w:tcBorders>
            <w:shd w:val="clear" w:color="auto" w:fill="auto"/>
            <w:noWrap/>
            <w:vAlign w:val="center"/>
            <w:hideMark/>
          </w:tcPr>
          <w:p w14:paraId="54C51FF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0.070</w:t>
            </w:r>
          </w:p>
        </w:tc>
        <w:tc>
          <w:tcPr>
            <w:tcW w:w="960" w:type="dxa"/>
            <w:tcBorders>
              <w:top w:val="nil"/>
              <w:left w:val="nil"/>
              <w:bottom w:val="single" w:sz="4" w:space="0" w:color="auto"/>
              <w:right w:val="single" w:sz="4" w:space="0" w:color="auto"/>
            </w:tcBorders>
            <w:shd w:val="clear" w:color="auto" w:fill="auto"/>
            <w:noWrap/>
            <w:vAlign w:val="center"/>
            <w:hideMark/>
          </w:tcPr>
          <w:p w14:paraId="2968B63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0.209</w:t>
            </w:r>
          </w:p>
        </w:tc>
        <w:tc>
          <w:tcPr>
            <w:tcW w:w="960" w:type="dxa"/>
            <w:tcBorders>
              <w:top w:val="nil"/>
              <w:left w:val="nil"/>
              <w:bottom w:val="single" w:sz="4" w:space="0" w:color="auto"/>
              <w:right w:val="single" w:sz="4" w:space="0" w:color="auto"/>
            </w:tcBorders>
            <w:shd w:val="clear" w:color="auto" w:fill="auto"/>
            <w:noWrap/>
            <w:vAlign w:val="center"/>
            <w:hideMark/>
          </w:tcPr>
          <w:p w14:paraId="3122B07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0.539</w:t>
            </w:r>
          </w:p>
        </w:tc>
        <w:tc>
          <w:tcPr>
            <w:tcW w:w="960" w:type="dxa"/>
            <w:tcBorders>
              <w:top w:val="nil"/>
              <w:left w:val="nil"/>
              <w:bottom w:val="single" w:sz="4" w:space="0" w:color="auto"/>
              <w:right w:val="single" w:sz="4" w:space="0" w:color="auto"/>
            </w:tcBorders>
            <w:shd w:val="clear" w:color="auto" w:fill="auto"/>
            <w:noWrap/>
            <w:vAlign w:val="center"/>
            <w:hideMark/>
          </w:tcPr>
          <w:p w14:paraId="1AD7F12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0.220</w:t>
            </w:r>
          </w:p>
        </w:tc>
        <w:tc>
          <w:tcPr>
            <w:tcW w:w="960" w:type="dxa"/>
            <w:tcBorders>
              <w:top w:val="nil"/>
              <w:left w:val="nil"/>
              <w:bottom w:val="single" w:sz="4" w:space="0" w:color="auto"/>
              <w:right w:val="single" w:sz="4" w:space="0" w:color="auto"/>
            </w:tcBorders>
            <w:shd w:val="clear" w:color="auto" w:fill="auto"/>
            <w:noWrap/>
            <w:vAlign w:val="center"/>
            <w:hideMark/>
          </w:tcPr>
          <w:p w14:paraId="694B936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0.417</w:t>
            </w:r>
          </w:p>
        </w:tc>
      </w:tr>
      <w:tr w:rsidR="005976AB" w:rsidRPr="005635E7" w14:paraId="2B091FE3"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A1405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EX3</w:t>
            </w:r>
          </w:p>
        </w:tc>
        <w:tc>
          <w:tcPr>
            <w:tcW w:w="960" w:type="dxa"/>
            <w:tcBorders>
              <w:top w:val="nil"/>
              <w:left w:val="nil"/>
              <w:bottom w:val="single" w:sz="4" w:space="0" w:color="auto"/>
              <w:right w:val="single" w:sz="4" w:space="0" w:color="auto"/>
            </w:tcBorders>
            <w:shd w:val="clear" w:color="auto" w:fill="auto"/>
            <w:noWrap/>
            <w:vAlign w:val="center"/>
            <w:hideMark/>
          </w:tcPr>
          <w:p w14:paraId="362DCAF5"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0.840</w:t>
            </w:r>
          </w:p>
        </w:tc>
        <w:tc>
          <w:tcPr>
            <w:tcW w:w="960" w:type="dxa"/>
            <w:tcBorders>
              <w:top w:val="nil"/>
              <w:left w:val="nil"/>
              <w:bottom w:val="single" w:sz="4" w:space="0" w:color="auto"/>
              <w:right w:val="single" w:sz="4" w:space="0" w:color="auto"/>
            </w:tcBorders>
            <w:shd w:val="clear" w:color="auto" w:fill="auto"/>
            <w:noWrap/>
            <w:vAlign w:val="center"/>
            <w:hideMark/>
          </w:tcPr>
          <w:p w14:paraId="15CFD6D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0.007</w:t>
            </w:r>
          </w:p>
        </w:tc>
        <w:tc>
          <w:tcPr>
            <w:tcW w:w="960" w:type="dxa"/>
            <w:tcBorders>
              <w:top w:val="nil"/>
              <w:left w:val="nil"/>
              <w:bottom w:val="single" w:sz="4" w:space="0" w:color="auto"/>
              <w:right w:val="single" w:sz="4" w:space="0" w:color="auto"/>
            </w:tcBorders>
            <w:shd w:val="clear" w:color="auto" w:fill="auto"/>
            <w:noWrap/>
            <w:vAlign w:val="center"/>
            <w:hideMark/>
          </w:tcPr>
          <w:p w14:paraId="61710A8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0.102</w:t>
            </w:r>
          </w:p>
        </w:tc>
        <w:tc>
          <w:tcPr>
            <w:tcW w:w="960" w:type="dxa"/>
            <w:tcBorders>
              <w:top w:val="nil"/>
              <w:left w:val="nil"/>
              <w:bottom w:val="single" w:sz="4" w:space="0" w:color="auto"/>
              <w:right w:val="single" w:sz="4" w:space="0" w:color="auto"/>
            </w:tcBorders>
            <w:shd w:val="clear" w:color="auto" w:fill="auto"/>
            <w:noWrap/>
            <w:vAlign w:val="center"/>
            <w:hideMark/>
          </w:tcPr>
          <w:p w14:paraId="48ACFD5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0.137</w:t>
            </w:r>
          </w:p>
        </w:tc>
        <w:tc>
          <w:tcPr>
            <w:tcW w:w="960" w:type="dxa"/>
            <w:tcBorders>
              <w:top w:val="nil"/>
              <w:left w:val="nil"/>
              <w:bottom w:val="single" w:sz="4" w:space="0" w:color="auto"/>
              <w:right w:val="single" w:sz="4" w:space="0" w:color="auto"/>
            </w:tcBorders>
            <w:shd w:val="clear" w:color="auto" w:fill="auto"/>
            <w:noWrap/>
            <w:vAlign w:val="center"/>
            <w:hideMark/>
          </w:tcPr>
          <w:p w14:paraId="2F808DF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0.227</w:t>
            </w:r>
          </w:p>
        </w:tc>
        <w:tc>
          <w:tcPr>
            <w:tcW w:w="960" w:type="dxa"/>
            <w:tcBorders>
              <w:top w:val="nil"/>
              <w:left w:val="nil"/>
              <w:bottom w:val="single" w:sz="4" w:space="0" w:color="auto"/>
              <w:right w:val="single" w:sz="4" w:space="0" w:color="auto"/>
            </w:tcBorders>
            <w:shd w:val="clear" w:color="auto" w:fill="auto"/>
            <w:noWrap/>
            <w:vAlign w:val="center"/>
            <w:hideMark/>
          </w:tcPr>
          <w:p w14:paraId="71D3D50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0.446</w:t>
            </w:r>
          </w:p>
        </w:tc>
        <w:tc>
          <w:tcPr>
            <w:tcW w:w="960" w:type="dxa"/>
            <w:tcBorders>
              <w:top w:val="nil"/>
              <w:left w:val="nil"/>
              <w:bottom w:val="single" w:sz="4" w:space="0" w:color="auto"/>
              <w:right w:val="single" w:sz="4" w:space="0" w:color="auto"/>
            </w:tcBorders>
            <w:shd w:val="clear" w:color="auto" w:fill="auto"/>
            <w:noWrap/>
            <w:vAlign w:val="center"/>
            <w:hideMark/>
          </w:tcPr>
          <w:p w14:paraId="66A0A7F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0.244</w:t>
            </w:r>
          </w:p>
        </w:tc>
        <w:tc>
          <w:tcPr>
            <w:tcW w:w="960" w:type="dxa"/>
            <w:tcBorders>
              <w:top w:val="nil"/>
              <w:left w:val="nil"/>
              <w:bottom w:val="single" w:sz="4" w:space="0" w:color="auto"/>
              <w:right w:val="single" w:sz="4" w:space="0" w:color="auto"/>
            </w:tcBorders>
            <w:shd w:val="clear" w:color="auto" w:fill="auto"/>
            <w:noWrap/>
            <w:vAlign w:val="center"/>
            <w:hideMark/>
          </w:tcPr>
          <w:p w14:paraId="3C58859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0.353</w:t>
            </w:r>
          </w:p>
        </w:tc>
      </w:tr>
      <w:tr w:rsidR="005976AB" w:rsidRPr="005635E7" w14:paraId="60CB5180"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1905E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IP3</w:t>
            </w:r>
          </w:p>
        </w:tc>
        <w:tc>
          <w:tcPr>
            <w:tcW w:w="960" w:type="dxa"/>
            <w:tcBorders>
              <w:top w:val="nil"/>
              <w:left w:val="nil"/>
              <w:bottom w:val="single" w:sz="4" w:space="0" w:color="auto"/>
              <w:right w:val="single" w:sz="4" w:space="0" w:color="auto"/>
            </w:tcBorders>
            <w:shd w:val="clear" w:color="auto" w:fill="auto"/>
            <w:noWrap/>
            <w:vAlign w:val="center"/>
            <w:hideMark/>
          </w:tcPr>
          <w:p w14:paraId="13036E5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0.106</w:t>
            </w:r>
          </w:p>
        </w:tc>
        <w:tc>
          <w:tcPr>
            <w:tcW w:w="960" w:type="dxa"/>
            <w:tcBorders>
              <w:top w:val="nil"/>
              <w:left w:val="nil"/>
              <w:bottom w:val="single" w:sz="4" w:space="0" w:color="auto"/>
              <w:right w:val="single" w:sz="4" w:space="0" w:color="auto"/>
            </w:tcBorders>
            <w:shd w:val="clear" w:color="auto" w:fill="auto"/>
            <w:noWrap/>
            <w:vAlign w:val="center"/>
            <w:hideMark/>
          </w:tcPr>
          <w:p w14:paraId="05ACE523"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0.898</w:t>
            </w:r>
          </w:p>
        </w:tc>
        <w:tc>
          <w:tcPr>
            <w:tcW w:w="960" w:type="dxa"/>
            <w:tcBorders>
              <w:top w:val="nil"/>
              <w:left w:val="nil"/>
              <w:bottom w:val="single" w:sz="4" w:space="0" w:color="auto"/>
              <w:right w:val="single" w:sz="4" w:space="0" w:color="auto"/>
            </w:tcBorders>
            <w:shd w:val="clear" w:color="auto" w:fill="auto"/>
            <w:noWrap/>
            <w:vAlign w:val="center"/>
            <w:hideMark/>
          </w:tcPr>
          <w:p w14:paraId="54DF27E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0.100</w:t>
            </w:r>
          </w:p>
        </w:tc>
        <w:tc>
          <w:tcPr>
            <w:tcW w:w="960" w:type="dxa"/>
            <w:tcBorders>
              <w:top w:val="nil"/>
              <w:left w:val="nil"/>
              <w:bottom w:val="single" w:sz="4" w:space="0" w:color="auto"/>
              <w:right w:val="single" w:sz="4" w:space="0" w:color="auto"/>
            </w:tcBorders>
            <w:shd w:val="clear" w:color="auto" w:fill="auto"/>
            <w:noWrap/>
            <w:vAlign w:val="center"/>
            <w:hideMark/>
          </w:tcPr>
          <w:p w14:paraId="100AF85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0.245</w:t>
            </w:r>
          </w:p>
        </w:tc>
        <w:tc>
          <w:tcPr>
            <w:tcW w:w="960" w:type="dxa"/>
            <w:tcBorders>
              <w:top w:val="nil"/>
              <w:left w:val="nil"/>
              <w:bottom w:val="single" w:sz="4" w:space="0" w:color="auto"/>
              <w:right w:val="single" w:sz="4" w:space="0" w:color="auto"/>
            </w:tcBorders>
            <w:shd w:val="clear" w:color="auto" w:fill="auto"/>
            <w:noWrap/>
            <w:vAlign w:val="center"/>
            <w:hideMark/>
          </w:tcPr>
          <w:p w14:paraId="0FE56A7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-0.049</w:t>
            </w:r>
          </w:p>
        </w:tc>
        <w:tc>
          <w:tcPr>
            <w:tcW w:w="960" w:type="dxa"/>
            <w:tcBorders>
              <w:top w:val="nil"/>
              <w:left w:val="nil"/>
              <w:bottom w:val="single" w:sz="4" w:space="0" w:color="auto"/>
              <w:right w:val="single" w:sz="4" w:space="0" w:color="auto"/>
            </w:tcBorders>
            <w:shd w:val="clear" w:color="auto" w:fill="auto"/>
            <w:noWrap/>
            <w:vAlign w:val="center"/>
            <w:hideMark/>
          </w:tcPr>
          <w:p w14:paraId="6F31F05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0.211</w:t>
            </w:r>
          </w:p>
        </w:tc>
        <w:tc>
          <w:tcPr>
            <w:tcW w:w="960" w:type="dxa"/>
            <w:tcBorders>
              <w:top w:val="nil"/>
              <w:left w:val="nil"/>
              <w:bottom w:val="single" w:sz="4" w:space="0" w:color="auto"/>
              <w:right w:val="single" w:sz="4" w:space="0" w:color="auto"/>
            </w:tcBorders>
            <w:shd w:val="clear" w:color="auto" w:fill="auto"/>
            <w:noWrap/>
            <w:vAlign w:val="center"/>
            <w:hideMark/>
          </w:tcPr>
          <w:p w14:paraId="69DDC0F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-0.063</w:t>
            </w:r>
          </w:p>
        </w:tc>
        <w:tc>
          <w:tcPr>
            <w:tcW w:w="960" w:type="dxa"/>
            <w:tcBorders>
              <w:top w:val="nil"/>
              <w:left w:val="nil"/>
              <w:bottom w:val="single" w:sz="4" w:space="0" w:color="auto"/>
              <w:right w:val="single" w:sz="4" w:space="0" w:color="auto"/>
            </w:tcBorders>
            <w:shd w:val="clear" w:color="auto" w:fill="auto"/>
            <w:noWrap/>
            <w:vAlign w:val="center"/>
            <w:hideMark/>
          </w:tcPr>
          <w:p w14:paraId="7B3FFC9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0.198</w:t>
            </w:r>
          </w:p>
        </w:tc>
      </w:tr>
      <w:tr w:rsidR="005976AB" w:rsidRPr="005635E7" w14:paraId="77EDF4D4"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02918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IP4</w:t>
            </w:r>
          </w:p>
        </w:tc>
        <w:tc>
          <w:tcPr>
            <w:tcW w:w="960" w:type="dxa"/>
            <w:tcBorders>
              <w:top w:val="nil"/>
              <w:left w:val="nil"/>
              <w:bottom w:val="single" w:sz="4" w:space="0" w:color="auto"/>
              <w:right w:val="single" w:sz="4" w:space="0" w:color="auto"/>
            </w:tcBorders>
            <w:shd w:val="clear" w:color="auto" w:fill="auto"/>
            <w:noWrap/>
            <w:vAlign w:val="center"/>
            <w:hideMark/>
          </w:tcPr>
          <w:p w14:paraId="44952BA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0.093</w:t>
            </w:r>
          </w:p>
        </w:tc>
        <w:tc>
          <w:tcPr>
            <w:tcW w:w="960" w:type="dxa"/>
            <w:tcBorders>
              <w:top w:val="nil"/>
              <w:left w:val="nil"/>
              <w:bottom w:val="single" w:sz="4" w:space="0" w:color="auto"/>
              <w:right w:val="single" w:sz="4" w:space="0" w:color="auto"/>
            </w:tcBorders>
            <w:shd w:val="clear" w:color="auto" w:fill="auto"/>
            <w:noWrap/>
            <w:vAlign w:val="center"/>
            <w:hideMark/>
          </w:tcPr>
          <w:p w14:paraId="29B87039"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0.929</w:t>
            </w:r>
          </w:p>
        </w:tc>
        <w:tc>
          <w:tcPr>
            <w:tcW w:w="960" w:type="dxa"/>
            <w:tcBorders>
              <w:top w:val="nil"/>
              <w:left w:val="nil"/>
              <w:bottom w:val="single" w:sz="4" w:space="0" w:color="auto"/>
              <w:right w:val="single" w:sz="4" w:space="0" w:color="auto"/>
            </w:tcBorders>
            <w:shd w:val="clear" w:color="auto" w:fill="auto"/>
            <w:noWrap/>
            <w:vAlign w:val="center"/>
            <w:hideMark/>
          </w:tcPr>
          <w:p w14:paraId="23B60A4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0.164</w:t>
            </w:r>
          </w:p>
        </w:tc>
        <w:tc>
          <w:tcPr>
            <w:tcW w:w="960" w:type="dxa"/>
            <w:tcBorders>
              <w:top w:val="nil"/>
              <w:left w:val="nil"/>
              <w:bottom w:val="single" w:sz="4" w:space="0" w:color="auto"/>
              <w:right w:val="single" w:sz="4" w:space="0" w:color="auto"/>
            </w:tcBorders>
            <w:shd w:val="clear" w:color="auto" w:fill="auto"/>
            <w:noWrap/>
            <w:vAlign w:val="center"/>
            <w:hideMark/>
          </w:tcPr>
          <w:p w14:paraId="19B5424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0.293</w:t>
            </w:r>
          </w:p>
        </w:tc>
        <w:tc>
          <w:tcPr>
            <w:tcW w:w="960" w:type="dxa"/>
            <w:tcBorders>
              <w:top w:val="nil"/>
              <w:left w:val="nil"/>
              <w:bottom w:val="single" w:sz="4" w:space="0" w:color="auto"/>
              <w:right w:val="single" w:sz="4" w:space="0" w:color="auto"/>
            </w:tcBorders>
            <w:shd w:val="clear" w:color="auto" w:fill="auto"/>
            <w:noWrap/>
            <w:vAlign w:val="center"/>
            <w:hideMark/>
          </w:tcPr>
          <w:p w14:paraId="59BB5FC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0.006</w:t>
            </w:r>
          </w:p>
        </w:tc>
        <w:tc>
          <w:tcPr>
            <w:tcW w:w="960" w:type="dxa"/>
            <w:tcBorders>
              <w:top w:val="nil"/>
              <w:left w:val="nil"/>
              <w:bottom w:val="single" w:sz="4" w:space="0" w:color="auto"/>
              <w:right w:val="single" w:sz="4" w:space="0" w:color="auto"/>
            </w:tcBorders>
            <w:shd w:val="clear" w:color="auto" w:fill="auto"/>
            <w:noWrap/>
            <w:vAlign w:val="center"/>
            <w:hideMark/>
          </w:tcPr>
          <w:p w14:paraId="0456168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0.247</w:t>
            </w:r>
          </w:p>
        </w:tc>
        <w:tc>
          <w:tcPr>
            <w:tcW w:w="960" w:type="dxa"/>
            <w:tcBorders>
              <w:top w:val="nil"/>
              <w:left w:val="nil"/>
              <w:bottom w:val="single" w:sz="4" w:space="0" w:color="auto"/>
              <w:right w:val="single" w:sz="4" w:space="0" w:color="auto"/>
            </w:tcBorders>
            <w:shd w:val="clear" w:color="auto" w:fill="auto"/>
            <w:noWrap/>
            <w:vAlign w:val="center"/>
            <w:hideMark/>
          </w:tcPr>
          <w:p w14:paraId="75AC277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-0.028</w:t>
            </w:r>
          </w:p>
        </w:tc>
        <w:tc>
          <w:tcPr>
            <w:tcW w:w="960" w:type="dxa"/>
            <w:tcBorders>
              <w:top w:val="nil"/>
              <w:left w:val="nil"/>
              <w:bottom w:val="single" w:sz="4" w:space="0" w:color="auto"/>
              <w:right w:val="single" w:sz="4" w:space="0" w:color="auto"/>
            </w:tcBorders>
            <w:shd w:val="clear" w:color="auto" w:fill="auto"/>
            <w:noWrap/>
            <w:vAlign w:val="center"/>
            <w:hideMark/>
          </w:tcPr>
          <w:p w14:paraId="6871FC6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0.239</w:t>
            </w:r>
          </w:p>
        </w:tc>
      </w:tr>
      <w:tr w:rsidR="005976AB" w:rsidRPr="005635E7" w14:paraId="7007E222"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D6664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MC1</w:t>
            </w:r>
          </w:p>
        </w:tc>
        <w:tc>
          <w:tcPr>
            <w:tcW w:w="960" w:type="dxa"/>
            <w:tcBorders>
              <w:top w:val="nil"/>
              <w:left w:val="nil"/>
              <w:bottom w:val="single" w:sz="4" w:space="0" w:color="auto"/>
              <w:right w:val="single" w:sz="4" w:space="0" w:color="auto"/>
            </w:tcBorders>
            <w:shd w:val="clear" w:color="auto" w:fill="auto"/>
            <w:noWrap/>
            <w:vAlign w:val="center"/>
            <w:hideMark/>
          </w:tcPr>
          <w:p w14:paraId="021F401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0.112</w:t>
            </w:r>
          </w:p>
        </w:tc>
        <w:tc>
          <w:tcPr>
            <w:tcW w:w="960" w:type="dxa"/>
            <w:tcBorders>
              <w:top w:val="nil"/>
              <w:left w:val="nil"/>
              <w:bottom w:val="single" w:sz="4" w:space="0" w:color="auto"/>
              <w:right w:val="single" w:sz="4" w:space="0" w:color="auto"/>
            </w:tcBorders>
            <w:shd w:val="clear" w:color="auto" w:fill="auto"/>
            <w:noWrap/>
            <w:vAlign w:val="center"/>
            <w:hideMark/>
          </w:tcPr>
          <w:p w14:paraId="03E9603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0.109</w:t>
            </w:r>
          </w:p>
        </w:tc>
        <w:tc>
          <w:tcPr>
            <w:tcW w:w="960" w:type="dxa"/>
            <w:tcBorders>
              <w:top w:val="nil"/>
              <w:left w:val="nil"/>
              <w:bottom w:val="single" w:sz="4" w:space="0" w:color="auto"/>
              <w:right w:val="single" w:sz="4" w:space="0" w:color="auto"/>
            </w:tcBorders>
            <w:shd w:val="clear" w:color="auto" w:fill="auto"/>
            <w:noWrap/>
            <w:vAlign w:val="center"/>
            <w:hideMark/>
          </w:tcPr>
          <w:p w14:paraId="2B1BB1A9"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0.722</w:t>
            </w:r>
          </w:p>
        </w:tc>
        <w:tc>
          <w:tcPr>
            <w:tcW w:w="960" w:type="dxa"/>
            <w:tcBorders>
              <w:top w:val="nil"/>
              <w:left w:val="nil"/>
              <w:bottom w:val="single" w:sz="4" w:space="0" w:color="auto"/>
              <w:right w:val="single" w:sz="4" w:space="0" w:color="auto"/>
            </w:tcBorders>
            <w:shd w:val="clear" w:color="auto" w:fill="auto"/>
            <w:noWrap/>
            <w:vAlign w:val="center"/>
            <w:hideMark/>
          </w:tcPr>
          <w:p w14:paraId="607B6EE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0.367</w:t>
            </w:r>
          </w:p>
        </w:tc>
        <w:tc>
          <w:tcPr>
            <w:tcW w:w="960" w:type="dxa"/>
            <w:tcBorders>
              <w:top w:val="nil"/>
              <w:left w:val="nil"/>
              <w:bottom w:val="single" w:sz="4" w:space="0" w:color="auto"/>
              <w:right w:val="single" w:sz="4" w:space="0" w:color="auto"/>
            </w:tcBorders>
            <w:shd w:val="clear" w:color="auto" w:fill="auto"/>
            <w:noWrap/>
            <w:vAlign w:val="center"/>
            <w:hideMark/>
          </w:tcPr>
          <w:p w14:paraId="7A5AB90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0.101</w:t>
            </w:r>
          </w:p>
        </w:tc>
        <w:tc>
          <w:tcPr>
            <w:tcW w:w="960" w:type="dxa"/>
            <w:tcBorders>
              <w:top w:val="nil"/>
              <w:left w:val="nil"/>
              <w:bottom w:val="single" w:sz="4" w:space="0" w:color="auto"/>
              <w:right w:val="single" w:sz="4" w:space="0" w:color="auto"/>
            </w:tcBorders>
            <w:shd w:val="clear" w:color="auto" w:fill="auto"/>
            <w:noWrap/>
            <w:vAlign w:val="center"/>
            <w:hideMark/>
          </w:tcPr>
          <w:p w14:paraId="0578EB3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0.072</w:t>
            </w:r>
          </w:p>
        </w:tc>
        <w:tc>
          <w:tcPr>
            <w:tcW w:w="960" w:type="dxa"/>
            <w:tcBorders>
              <w:top w:val="nil"/>
              <w:left w:val="nil"/>
              <w:bottom w:val="single" w:sz="4" w:space="0" w:color="auto"/>
              <w:right w:val="single" w:sz="4" w:space="0" w:color="auto"/>
            </w:tcBorders>
            <w:shd w:val="clear" w:color="auto" w:fill="auto"/>
            <w:noWrap/>
            <w:vAlign w:val="center"/>
            <w:hideMark/>
          </w:tcPr>
          <w:p w14:paraId="0AE4036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0.135</w:t>
            </w:r>
          </w:p>
        </w:tc>
        <w:tc>
          <w:tcPr>
            <w:tcW w:w="960" w:type="dxa"/>
            <w:tcBorders>
              <w:top w:val="nil"/>
              <w:left w:val="nil"/>
              <w:bottom w:val="single" w:sz="4" w:space="0" w:color="auto"/>
              <w:right w:val="single" w:sz="4" w:space="0" w:color="auto"/>
            </w:tcBorders>
            <w:shd w:val="clear" w:color="auto" w:fill="auto"/>
            <w:noWrap/>
            <w:vAlign w:val="center"/>
            <w:hideMark/>
          </w:tcPr>
          <w:p w14:paraId="68646F1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0.097</w:t>
            </w:r>
          </w:p>
        </w:tc>
      </w:tr>
      <w:tr w:rsidR="005976AB" w:rsidRPr="005635E7" w14:paraId="21B8F97B"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7B257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MC3</w:t>
            </w:r>
          </w:p>
        </w:tc>
        <w:tc>
          <w:tcPr>
            <w:tcW w:w="960" w:type="dxa"/>
            <w:tcBorders>
              <w:top w:val="nil"/>
              <w:left w:val="nil"/>
              <w:bottom w:val="single" w:sz="4" w:space="0" w:color="auto"/>
              <w:right w:val="single" w:sz="4" w:space="0" w:color="auto"/>
            </w:tcBorders>
            <w:shd w:val="clear" w:color="auto" w:fill="auto"/>
            <w:noWrap/>
            <w:vAlign w:val="center"/>
            <w:hideMark/>
          </w:tcPr>
          <w:p w14:paraId="045839E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-0.020</w:t>
            </w:r>
          </w:p>
        </w:tc>
        <w:tc>
          <w:tcPr>
            <w:tcW w:w="960" w:type="dxa"/>
            <w:tcBorders>
              <w:top w:val="nil"/>
              <w:left w:val="nil"/>
              <w:bottom w:val="single" w:sz="4" w:space="0" w:color="auto"/>
              <w:right w:val="single" w:sz="4" w:space="0" w:color="auto"/>
            </w:tcBorders>
            <w:shd w:val="clear" w:color="auto" w:fill="auto"/>
            <w:noWrap/>
            <w:vAlign w:val="center"/>
            <w:hideMark/>
          </w:tcPr>
          <w:p w14:paraId="47B1B19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0.070</w:t>
            </w:r>
          </w:p>
        </w:tc>
        <w:tc>
          <w:tcPr>
            <w:tcW w:w="960" w:type="dxa"/>
            <w:tcBorders>
              <w:top w:val="nil"/>
              <w:left w:val="nil"/>
              <w:bottom w:val="single" w:sz="4" w:space="0" w:color="auto"/>
              <w:right w:val="single" w:sz="4" w:space="0" w:color="auto"/>
            </w:tcBorders>
            <w:shd w:val="clear" w:color="auto" w:fill="auto"/>
            <w:noWrap/>
            <w:vAlign w:val="center"/>
            <w:hideMark/>
          </w:tcPr>
          <w:p w14:paraId="06F634C4"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0.680</w:t>
            </w:r>
          </w:p>
        </w:tc>
        <w:tc>
          <w:tcPr>
            <w:tcW w:w="960" w:type="dxa"/>
            <w:tcBorders>
              <w:top w:val="nil"/>
              <w:left w:val="nil"/>
              <w:bottom w:val="single" w:sz="4" w:space="0" w:color="auto"/>
              <w:right w:val="single" w:sz="4" w:space="0" w:color="auto"/>
            </w:tcBorders>
            <w:shd w:val="clear" w:color="auto" w:fill="auto"/>
            <w:noWrap/>
            <w:vAlign w:val="center"/>
            <w:hideMark/>
          </w:tcPr>
          <w:p w14:paraId="2E52E6F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0.155</w:t>
            </w:r>
          </w:p>
        </w:tc>
        <w:tc>
          <w:tcPr>
            <w:tcW w:w="960" w:type="dxa"/>
            <w:tcBorders>
              <w:top w:val="nil"/>
              <w:left w:val="nil"/>
              <w:bottom w:val="single" w:sz="4" w:space="0" w:color="auto"/>
              <w:right w:val="single" w:sz="4" w:space="0" w:color="auto"/>
            </w:tcBorders>
            <w:shd w:val="clear" w:color="auto" w:fill="auto"/>
            <w:noWrap/>
            <w:vAlign w:val="center"/>
            <w:hideMark/>
          </w:tcPr>
          <w:p w14:paraId="3D729E0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0.060</w:t>
            </w:r>
          </w:p>
        </w:tc>
        <w:tc>
          <w:tcPr>
            <w:tcW w:w="960" w:type="dxa"/>
            <w:tcBorders>
              <w:top w:val="nil"/>
              <w:left w:val="nil"/>
              <w:bottom w:val="single" w:sz="4" w:space="0" w:color="auto"/>
              <w:right w:val="single" w:sz="4" w:space="0" w:color="auto"/>
            </w:tcBorders>
            <w:shd w:val="clear" w:color="auto" w:fill="auto"/>
            <w:noWrap/>
            <w:vAlign w:val="center"/>
            <w:hideMark/>
          </w:tcPr>
          <w:p w14:paraId="7125D47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0.059</w:t>
            </w:r>
          </w:p>
        </w:tc>
        <w:tc>
          <w:tcPr>
            <w:tcW w:w="960" w:type="dxa"/>
            <w:tcBorders>
              <w:top w:val="nil"/>
              <w:left w:val="nil"/>
              <w:bottom w:val="single" w:sz="4" w:space="0" w:color="auto"/>
              <w:right w:val="single" w:sz="4" w:space="0" w:color="auto"/>
            </w:tcBorders>
            <w:shd w:val="clear" w:color="auto" w:fill="auto"/>
            <w:noWrap/>
            <w:vAlign w:val="center"/>
            <w:hideMark/>
          </w:tcPr>
          <w:p w14:paraId="5354326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0.103</w:t>
            </w:r>
          </w:p>
        </w:tc>
        <w:tc>
          <w:tcPr>
            <w:tcW w:w="960" w:type="dxa"/>
            <w:tcBorders>
              <w:top w:val="nil"/>
              <w:left w:val="nil"/>
              <w:bottom w:val="single" w:sz="4" w:space="0" w:color="auto"/>
              <w:right w:val="single" w:sz="4" w:space="0" w:color="auto"/>
            </w:tcBorders>
            <w:shd w:val="clear" w:color="auto" w:fill="auto"/>
            <w:noWrap/>
            <w:vAlign w:val="center"/>
            <w:hideMark/>
          </w:tcPr>
          <w:p w14:paraId="601F096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0.077</w:t>
            </w:r>
          </w:p>
        </w:tc>
      </w:tr>
      <w:tr w:rsidR="005976AB" w:rsidRPr="005635E7" w14:paraId="24A7C167"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47B29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MC4</w:t>
            </w:r>
          </w:p>
        </w:tc>
        <w:tc>
          <w:tcPr>
            <w:tcW w:w="960" w:type="dxa"/>
            <w:tcBorders>
              <w:top w:val="nil"/>
              <w:left w:val="nil"/>
              <w:bottom w:val="single" w:sz="4" w:space="0" w:color="auto"/>
              <w:right w:val="single" w:sz="4" w:space="0" w:color="auto"/>
            </w:tcBorders>
            <w:shd w:val="clear" w:color="auto" w:fill="auto"/>
            <w:noWrap/>
            <w:vAlign w:val="center"/>
            <w:hideMark/>
          </w:tcPr>
          <w:p w14:paraId="699AE23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0.021</w:t>
            </w:r>
          </w:p>
        </w:tc>
        <w:tc>
          <w:tcPr>
            <w:tcW w:w="960" w:type="dxa"/>
            <w:tcBorders>
              <w:top w:val="nil"/>
              <w:left w:val="nil"/>
              <w:bottom w:val="single" w:sz="4" w:space="0" w:color="auto"/>
              <w:right w:val="single" w:sz="4" w:space="0" w:color="auto"/>
            </w:tcBorders>
            <w:shd w:val="clear" w:color="auto" w:fill="auto"/>
            <w:noWrap/>
            <w:vAlign w:val="center"/>
            <w:hideMark/>
          </w:tcPr>
          <w:p w14:paraId="75E5E50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0.160</w:t>
            </w:r>
          </w:p>
        </w:tc>
        <w:tc>
          <w:tcPr>
            <w:tcW w:w="960" w:type="dxa"/>
            <w:tcBorders>
              <w:top w:val="nil"/>
              <w:left w:val="nil"/>
              <w:bottom w:val="single" w:sz="4" w:space="0" w:color="auto"/>
              <w:right w:val="single" w:sz="4" w:space="0" w:color="auto"/>
            </w:tcBorders>
            <w:shd w:val="clear" w:color="auto" w:fill="auto"/>
            <w:noWrap/>
            <w:vAlign w:val="center"/>
            <w:hideMark/>
          </w:tcPr>
          <w:p w14:paraId="0F90E19E"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0.792</w:t>
            </w:r>
          </w:p>
        </w:tc>
        <w:tc>
          <w:tcPr>
            <w:tcW w:w="960" w:type="dxa"/>
            <w:tcBorders>
              <w:top w:val="nil"/>
              <w:left w:val="nil"/>
              <w:bottom w:val="single" w:sz="4" w:space="0" w:color="auto"/>
              <w:right w:val="single" w:sz="4" w:space="0" w:color="auto"/>
            </w:tcBorders>
            <w:shd w:val="clear" w:color="auto" w:fill="auto"/>
            <w:noWrap/>
            <w:vAlign w:val="center"/>
            <w:hideMark/>
          </w:tcPr>
          <w:p w14:paraId="442C1F5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0.212</w:t>
            </w:r>
          </w:p>
        </w:tc>
        <w:tc>
          <w:tcPr>
            <w:tcW w:w="960" w:type="dxa"/>
            <w:tcBorders>
              <w:top w:val="nil"/>
              <w:left w:val="nil"/>
              <w:bottom w:val="single" w:sz="4" w:space="0" w:color="auto"/>
              <w:right w:val="single" w:sz="4" w:space="0" w:color="auto"/>
            </w:tcBorders>
            <w:shd w:val="clear" w:color="auto" w:fill="auto"/>
            <w:noWrap/>
            <w:vAlign w:val="center"/>
            <w:hideMark/>
          </w:tcPr>
          <w:p w14:paraId="6BBC697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0.061</w:t>
            </w:r>
          </w:p>
        </w:tc>
        <w:tc>
          <w:tcPr>
            <w:tcW w:w="960" w:type="dxa"/>
            <w:tcBorders>
              <w:top w:val="nil"/>
              <w:left w:val="nil"/>
              <w:bottom w:val="single" w:sz="4" w:space="0" w:color="auto"/>
              <w:right w:val="single" w:sz="4" w:space="0" w:color="auto"/>
            </w:tcBorders>
            <w:shd w:val="clear" w:color="auto" w:fill="auto"/>
            <w:noWrap/>
            <w:vAlign w:val="center"/>
            <w:hideMark/>
          </w:tcPr>
          <w:p w14:paraId="3626A79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0.009</w:t>
            </w:r>
          </w:p>
        </w:tc>
        <w:tc>
          <w:tcPr>
            <w:tcW w:w="960" w:type="dxa"/>
            <w:tcBorders>
              <w:top w:val="nil"/>
              <w:left w:val="nil"/>
              <w:bottom w:val="single" w:sz="4" w:space="0" w:color="auto"/>
              <w:right w:val="single" w:sz="4" w:space="0" w:color="auto"/>
            </w:tcBorders>
            <w:shd w:val="clear" w:color="auto" w:fill="auto"/>
            <w:noWrap/>
            <w:vAlign w:val="center"/>
            <w:hideMark/>
          </w:tcPr>
          <w:p w14:paraId="03F7151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0.104</w:t>
            </w:r>
          </w:p>
        </w:tc>
        <w:tc>
          <w:tcPr>
            <w:tcW w:w="960" w:type="dxa"/>
            <w:tcBorders>
              <w:top w:val="nil"/>
              <w:left w:val="nil"/>
              <w:bottom w:val="single" w:sz="4" w:space="0" w:color="auto"/>
              <w:right w:val="single" w:sz="4" w:space="0" w:color="auto"/>
            </w:tcBorders>
            <w:shd w:val="clear" w:color="auto" w:fill="auto"/>
            <w:noWrap/>
            <w:vAlign w:val="center"/>
            <w:hideMark/>
          </w:tcPr>
          <w:p w14:paraId="38F185D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0.066</w:t>
            </w:r>
          </w:p>
        </w:tc>
      </w:tr>
      <w:tr w:rsidR="005976AB" w:rsidRPr="005635E7" w14:paraId="49622B1A"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B3466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MC5</w:t>
            </w:r>
          </w:p>
        </w:tc>
        <w:tc>
          <w:tcPr>
            <w:tcW w:w="960" w:type="dxa"/>
            <w:tcBorders>
              <w:top w:val="nil"/>
              <w:left w:val="nil"/>
              <w:bottom w:val="single" w:sz="4" w:space="0" w:color="auto"/>
              <w:right w:val="single" w:sz="4" w:space="0" w:color="auto"/>
            </w:tcBorders>
            <w:shd w:val="clear" w:color="auto" w:fill="auto"/>
            <w:noWrap/>
            <w:vAlign w:val="center"/>
            <w:hideMark/>
          </w:tcPr>
          <w:p w14:paraId="42A11A9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0.123</w:t>
            </w:r>
          </w:p>
        </w:tc>
        <w:tc>
          <w:tcPr>
            <w:tcW w:w="960" w:type="dxa"/>
            <w:tcBorders>
              <w:top w:val="nil"/>
              <w:left w:val="nil"/>
              <w:bottom w:val="single" w:sz="4" w:space="0" w:color="auto"/>
              <w:right w:val="single" w:sz="4" w:space="0" w:color="auto"/>
            </w:tcBorders>
            <w:shd w:val="clear" w:color="auto" w:fill="auto"/>
            <w:noWrap/>
            <w:vAlign w:val="center"/>
            <w:hideMark/>
          </w:tcPr>
          <w:p w14:paraId="3986C52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0.116</w:t>
            </w:r>
          </w:p>
        </w:tc>
        <w:tc>
          <w:tcPr>
            <w:tcW w:w="960" w:type="dxa"/>
            <w:tcBorders>
              <w:top w:val="nil"/>
              <w:left w:val="nil"/>
              <w:bottom w:val="single" w:sz="4" w:space="0" w:color="auto"/>
              <w:right w:val="single" w:sz="4" w:space="0" w:color="auto"/>
            </w:tcBorders>
            <w:shd w:val="clear" w:color="auto" w:fill="auto"/>
            <w:noWrap/>
            <w:vAlign w:val="center"/>
            <w:hideMark/>
          </w:tcPr>
          <w:p w14:paraId="0246A4B8"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0.882</w:t>
            </w:r>
          </w:p>
        </w:tc>
        <w:tc>
          <w:tcPr>
            <w:tcW w:w="960" w:type="dxa"/>
            <w:tcBorders>
              <w:top w:val="nil"/>
              <w:left w:val="nil"/>
              <w:bottom w:val="single" w:sz="4" w:space="0" w:color="auto"/>
              <w:right w:val="single" w:sz="4" w:space="0" w:color="auto"/>
            </w:tcBorders>
            <w:shd w:val="clear" w:color="auto" w:fill="auto"/>
            <w:noWrap/>
            <w:vAlign w:val="center"/>
            <w:hideMark/>
          </w:tcPr>
          <w:p w14:paraId="6B29CCC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0.251</w:t>
            </w:r>
          </w:p>
        </w:tc>
        <w:tc>
          <w:tcPr>
            <w:tcW w:w="960" w:type="dxa"/>
            <w:tcBorders>
              <w:top w:val="nil"/>
              <w:left w:val="nil"/>
              <w:bottom w:val="single" w:sz="4" w:space="0" w:color="auto"/>
              <w:right w:val="single" w:sz="4" w:space="0" w:color="auto"/>
            </w:tcBorders>
            <w:shd w:val="clear" w:color="auto" w:fill="auto"/>
            <w:noWrap/>
            <w:vAlign w:val="center"/>
            <w:hideMark/>
          </w:tcPr>
          <w:p w14:paraId="3DA104D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0.118</w:t>
            </w:r>
          </w:p>
        </w:tc>
        <w:tc>
          <w:tcPr>
            <w:tcW w:w="960" w:type="dxa"/>
            <w:tcBorders>
              <w:top w:val="nil"/>
              <w:left w:val="nil"/>
              <w:bottom w:val="single" w:sz="4" w:space="0" w:color="auto"/>
              <w:right w:val="single" w:sz="4" w:space="0" w:color="auto"/>
            </w:tcBorders>
            <w:shd w:val="clear" w:color="auto" w:fill="auto"/>
            <w:noWrap/>
            <w:vAlign w:val="center"/>
            <w:hideMark/>
          </w:tcPr>
          <w:p w14:paraId="6544BA0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0.157</w:t>
            </w:r>
          </w:p>
        </w:tc>
        <w:tc>
          <w:tcPr>
            <w:tcW w:w="960" w:type="dxa"/>
            <w:tcBorders>
              <w:top w:val="nil"/>
              <w:left w:val="nil"/>
              <w:bottom w:val="single" w:sz="4" w:space="0" w:color="auto"/>
              <w:right w:val="single" w:sz="4" w:space="0" w:color="auto"/>
            </w:tcBorders>
            <w:shd w:val="clear" w:color="auto" w:fill="auto"/>
            <w:noWrap/>
            <w:vAlign w:val="center"/>
            <w:hideMark/>
          </w:tcPr>
          <w:p w14:paraId="18A252C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0.212</w:t>
            </w:r>
          </w:p>
        </w:tc>
        <w:tc>
          <w:tcPr>
            <w:tcW w:w="960" w:type="dxa"/>
            <w:tcBorders>
              <w:top w:val="nil"/>
              <w:left w:val="nil"/>
              <w:bottom w:val="single" w:sz="4" w:space="0" w:color="auto"/>
              <w:right w:val="single" w:sz="4" w:space="0" w:color="auto"/>
            </w:tcBorders>
            <w:shd w:val="clear" w:color="auto" w:fill="auto"/>
            <w:noWrap/>
            <w:vAlign w:val="center"/>
            <w:hideMark/>
          </w:tcPr>
          <w:p w14:paraId="264F404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0.178</w:t>
            </w:r>
          </w:p>
        </w:tc>
      </w:tr>
      <w:tr w:rsidR="005976AB" w:rsidRPr="005635E7" w14:paraId="5AF5CE41"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1C649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ME1</w:t>
            </w:r>
          </w:p>
        </w:tc>
        <w:tc>
          <w:tcPr>
            <w:tcW w:w="960" w:type="dxa"/>
            <w:tcBorders>
              <w:top w:val="nil"/>
              <w:left w:val="nil"/>
              <w:bottom w:val="single" w:sz="4" w:space="0" w:color="auto"/>
              <w:right w:val="single" w:sz="4" w:space="0" w:color="auto"/>
            </w:tcBorders>
            <w:shd w:val="clear" w:color="auto" w:fill="auto"/>
            <w:noWrap/>
            <w:vAlign w:val="center"/>
            <w:hideMark/>
          </w:tcPr>
          <w:p w14:paraId="1A4B5D5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0.132</w:t>
            </w:r>
          </w:p>
        </w:tc>
        <w:tc>
          <w:tcPr>
            <w:tcW w:w="960" w:type="dxa"/>
            <w:tcBorders>
              <w:top w:val="nil"/>
              <w:left w:val="nil"/>
              <w:bottom w:val="single" w:sz="4" w:space="0" w:color="auto"/>
              <w:right w:val="single" w:sz="4" w:space="0" w:color="auto"/>
            </w:tcBorders>
            <w:shd w:val="clear" w:color="auto" w:fill="auto"/>
            <w:noWrap/>
            <w:vAlign w:val="center"/>
            <w:hideMark/>
          </w:tcPr>
          <w:p w14:paraId="5848380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0.303</w:t>
            </w:r>
          </w:p>
        </w:tc>
        <w:tc>
          <w:tcPr>
            <w:tcW w:w="960" w:type="dxa"/>
            <w:tcBorders>
              <w:top w:val="nil"/>
              <w:left w:val="nil"/>
              <w:bottom w:val="single" w:sz="4" w:space="0" w:color="auto"/>
              <w:right w:val="single" w:sz="4" w:space="0" w:color="auto"/>
            </w:tcBorders>
            <w:shd w:val="clear" w:color="auto" w:fill="auto"/>
            <w:noWrap/>
            <w:vAlign w:val="center"/>
            <w:hideMark/>
          </w:tcPr>
          <w:p w14:paraId="65996C0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0.287</w:t>
            </w:r>
          </w:p>
        </w:tc>
        <w:tc>
          <w:tcPr>
            <w:tcW w:w="960" w:type="dxa"/>
            <w:tcBorders>
              <w:top w:val="nil"/>
              <w:left w:val="nil"/>
              <w:bottom w:val="single" w:sz="4" w:space="0" w:color="auto"/>
              <w:right w:val="single" w:sz="4" w:space="0" w:color="auto"/>
            </w:tcBorders>
            <w:shd w:val="clear" w:color="auto" w:fill="auto"/>
            <w:noWrap/>
            <w:vAlign w:val="center"/>
            <w:hideMark/>
          </w:tcPr>
          <w:p w14:paraId="49D3524A"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0.884</w:t>
            </w:r>
          </w:p>
        </w:tc>
        <w:tc>
          <w:tcPr>
            <w:tcW w:w="960" w:type="dxa"/>
            <w:tcBorders>
              <w:top w:val="nil"/>
              <w:left w:val="nil"/>
              <w:bottom w:val="single" w:sz="4" w:space="0" w:color="auto"/>
              <w:right w:val="single" w:sz="4" w:space="0" w:color="auto"/>
            </w:tcBorders>
            <w:shd w:val="clear" w:color="auto" w:fill="auto"/>
            <w:noWrap/>
            <w:vAlign w:val="center"/>
            <w:hideMark/>
          </w:tcPr>
          <w:p w14:paraId="4B08CEB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0.123</w:t>
            </w:r>
          </w:p>
        </w:tc>
        <w:tc>
          <w:tcPr>
            <w:tcW w:w="960" w:type="dxa"/>
            <w:tcBorders>
              <w:top w:val="nil"/>
              <w:left w:val="nil"/>
              <w:bottom w:val="single" w:sz="4" w:space="0" w:color="auto"/>
              <w:right w:val="single" w:sz="4" w:space="0" w:color="auto"/>
            </w:tcBorders>
            <w:shd w:val="clear" w:color="auto" w:fill="auto"/>
            <w:noWrap/>
            <w:vAlign w:val="center"/>
            <w:hideMark/>
          </w:tcPr>
          <w:p w14:paraId="2BEF9A5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0.075</w:t>
            </w:r>
          </w:p>
        </w:tc>
        <w:tc>
          <w:tcPr>
            <w:tcW w:w="960" w:type="dxa"/>
            <w:tcBorders>
              <w:top w:val="nil"/>
              <w:left w:val="nil"/>
              <w:bottom w:val="single" w:sz="4" w:space="0" w:color="auto"/>
              <w:right w:val="single" w:sz="4" w:space="0" w:color="auto"/>
            </w:tcBorders>
            <w:shd w:val="clear" w:color="auto" w:fill="auto"/>
            <w:noWrap/>
            <w:vAlign w:val="center"/>
            <w:hideMark/>
          </w:tcPr>
          <w:p w14:paraId="22012DF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0.056</w:t>
            </w:r>
          </w:p>
        </w:tc>
        <w:tc>
          <w:tcPr>
            <w:tcW w:w="960" w:type="dxa"/>
            <w:tcBorders>
              <w:top w:val="nil"/>
              <w:left w:val="nil"/>
              <w:bottom w:val="single" w:sz="4" w:space="0" w:color="auto"/>
              <w:right w:val="single" w:sz="4" w:space="0" w:color="auto"/>
            </w:tcBorders>
            <w:shd w:val="clear" w:color="auto" w:fill="auto"/>
            <w:noWrap/>
            <w:vAlign w:val="center"/>
            <w:hideMark/>
          </w:tcPr>
          <w:p w14:paraId="224C0F5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0.142</w:t>
            </w:r>
          </w:p>
        </w:tc>
      </w:tr>
      <w:tr w:rsidR="005976AB" w:rsidRPr="005635E7" w14:paraId="36CDD61F"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F6764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ME2</w:t>
            </w:r>
          </w:p>
        </w:tc>
        <w:tc>
          <w:tcPr>
            <w:tcW w:w="960" w:type="dxa"/>
            <w:tcBorders>
              <w:top w:val="nil"/>
              <w:left w:val="nil"/>
              <w:bottom w:val="single" w:sz="4" w:space="0" w:color="auto"/>
              <w:right w:val="single" w:sz="4" w:space="0" w:color="auto"/>
            </w:tcBorders>
            <w:shd w:val="clear" w:color="auto" w:fill="auto"/>
            <w:noWrap/>
            <w:vAlign w:val="center"/>
            <w:hideMark/>
          </w:tcPr>
          <w:p w14:paraId="6424FD8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0.191</w:t>
            </w:r>
          </w:p>
        </w:tc>
        <w:tc>
          <w:tcPr>
            <w:tcW w:w="960" w:type="dxa"/>
            <w:tcBorders>
              <w:top w:val="nil"/>
              <w:left w:val="nil"/>
              <w:bottom w:val="single" w:sz="4" w:space="0" w:color="auto"/>
              <w:right w:val="single" w:sz="4" w:space="0" w:color="auto"/>
            </w:tcBorders>
            <w:shd w:val="clear" w:color="auto" w:fill="auto"/>
            <w:noWrap/>
            <w:vAlign w:val="center"/>
            <w:hideMark/>
          </w:tcPr>
          <w:p w14:paraId="7A1FF00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0.265</w:t>
            </w:r>
          </w:p>
        </w:tc>
        <w:tc>
          <w:tcPr>
            <w:tcW w:w="960" w:type="dxa"/>
            <w:tcBorders>
              <w:top w:val="nil"/>
              <w:left w:val="nil"/>
              <w:bottom w:val="single" w:sz="4" w:space="0" w:color="auto"/>
              <w:right w:val="single" w:sz="4" w:space="0" w:color="auto"/>
            </w:tcBorders>
            <w:shd w:val="clear" w:color="auto" w:fill="auto"/>
            <w:noWrap/>
            <w:vAlign w:val="center"/>
            <w:hideMark/>
          </w:tcPr>
          <w:p w14:paraId="3648F6C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0.254</w:t>
            </w:r>
          </w:p>
        </w:tc>
        <w:tc>
          <w:tcPr>
            <w:tcW w:w="960" w:type="dxa"/>
            <w:tcBorders>
              <w:top w:val="nil"/>
              <w:left w:val="nil"/>
              <w:bottom w:val="single" w:sz="4" w:space="0" w:color="auto"/>
              <w:right w:val="single" w:sz="4" w:space="0" w:color="auto"/>
            </w:tcBorders>
            <w:shd w:val="clear" w:color="auto" w:fill="auto"/>
            <w:noWrap/>
            <w:vAlign w:val="center"/>
            <w:hideMark/>
          </w:tcPr>
          <w:p w14:paraId="28309C18"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0.885</w:t>
            </w:r>
          </w:p>
        </w:tc>
        <w:tc>
          <w:tcPr>
            <w:tcW w:w="960" w:type="dxa"/>
            <w:tcBorders>
              <w:top w:val="nil"/>
              <w:left w:val="nil"/>
              <w:bottom w:val="single" w:sz="4" w:space="0" w:color="auto"/>
              <w:right w:val="single" w:sz="4" w:space="0" w:color="auto"/>
            </w:tcBorders>
            <w:shd w:val="clear" w:color="auto" w:fill="auto"/>
            <w:noWrap/>
            <w:vAlign w:val="center"/>
            <w:hideMark/>
          </w:tcPr>
          <w:p w14:paraId="6BE1101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0.116</w:t>
            </w:r>
          </w:p>
        </w:tc>
        <w:tc>
          <w:tcPr>
            <w:tcW w:w="960" w:type="dxa"/>
            <w:tcBorders>
              <w:top w:val="nil"/>
              <w:left w:val="nil"/>
              <w:bottom w:val="single" w:sz="4" w:space="0" w:color="auto"/>
              <w:right w:val="single" w:sz="4" w:space="0" w:color="auto"/>
            </w:tcBorders>
            <w:shd w:val="clear" w:color="auto" w:fill="auto"/>
            <w:noWrap/>
            <w:vAlign w:val="center"/>
            <w:hideMark/>
          </w:tcPr>
          <w:p w14:paraId="34335E9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0.079</w:t>
            </w:r>
          </w:p>
        </w:tc>
        <w:tc>
          <w:tcPr>
            <w:tcW w:w="960" w:type="dxa"/>
            <w:tcBorders>
              <w:top w:val="nil"/>
              <w:left w:val="nil"/>
              <w:bottom w:val="single" w:sz="4" w:space="0" w:color="auto"/>
              <w:right w:val="single" w:sz="4" w:space="0" w:color="auto"/>
            </w:tcBorders>
            <w:shd w:val="clear" w:color="auto" w:fill="auto"/>
            <w:noWrap/>
            <w:vAlign w:val="center"/>
            <w:hideMark/>
          </w:tcPr>
          <w:p w14:paraId="31C0495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0.064</w:t>
            </w:r>
          </w:p>
        </w:tc>
        <w:tc>
          <w:tcPr>
            <w:tcW w:w="960" w:type="dxa"/>
            <w:tcBorders>
              <w:top w:val="nil"/>
              <w:left w:val="nil"/>
              <w:bottom w:val="single" w:sz="4" w:space="0" w:color="auto"/>
              <w:right w:val="single" w:sz="4" w:space="0" w:color="auto"/>
            </w:tcBorders>
            <w:shd w:val="clear" w:color="auto" w:fill="auto"/>
            <w:noWrap/>
            <w:vAlign w:val="center"/>
            <w:hideMark/>
          </w:tcPr>
          <w:p w14:paraId="38C9F52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0.141</w:t>
            </w:r>
          </w:p>
        </w:tc>
      </w:tr>
      <w:tr w:rsidR="005976AB" w:rsidRPr="005635E7" w14:paraId="5738A68D"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9C22A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ME3</w:t>
            </w:r>
          </w:p>
        </w:tc>
        <w:tc>
          <w:tcPr>
            <w:tcW w:w="960" w:type="dxa"/>
            <w:tcBorders>
              <w:top w:val="nil"/>
              <w:left w:val="nil"/>
              <w:bottom w:val="single" w:sz="4" w:space="0" w:color="auto"/>
              <w:right w:val="single" w:sz="4" w:space="0" w:color="auto"/>
            </w:tcBorders>
            <w:shd w:val="clear" w:color="auto" w:fill="auto"/>
            <w:noWrap/>
            <w:vAlign w:val="center"/>
            <w:hideMark/>
          </w:tcPr>
          <w:p w14:paraId="2DEA2DC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0.051</w:t>
            </w:r>
          </w:p>
        </w:tc>
        <w:tc>
          <w:tcPr>
            <w:tcW w:w="960" w:type="dxa"/>
            <w:tcBorders>
              <w:top w:val="nil"/>
              <w:left w:val="nil"/>
              <w:bottom w:val="single" w:sz="4" w:space="0" w:color="auto"/>
              <w:right w:val="single" w:sz="4" w:space="0" w:color="auto"/>
            </w:tcBorders>
            <w:shd w:val="clear" w:color="auto" w:fill="auto"/>
            <w:noWrap/>
            <w:vAlign w:val="center"/>
            <w:hideMark/>
          </w:tcPr>
          <w:p w14:paraId="0BEAB4E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0.182</w:t>
            </w:r>
          </w:p>
        </w:tc>
        <w:tc>
          <w:tcPr>
            <w:tcW w:w="960" w:type="dxa"/>
            <w:tcBorders>
              <w:top w:val="nil"/>
              <w:left w:val="nil"/>
              <w:bottom w:val="single" w:sz="4" w:space="0" w:color="auto"/>
              <w:right w:val="single" w:sz="4" w:space="0" w:color="auto"/>
            </w:tcBorders>
            <w:shd w:val="clear" w:color="auto" w:fill="auto"/>
            <w:noWrap/>
            <w:vAlign w:val="center"/>
            <w:hideMark/>
          </w:tcPr>
          <w:p w14:paraId="462A258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0.260</w:t>
            </w:r>
          </w:p>
        </w:tc>
        <w:tc>
          <w:tcPr>
            <w:tcW w:w="960" w:type="dxa"/>
            <w:tcBorders>
              <w:top w:val="nil"/>
              <w:left w:val="nil"/>
              <w:bottom w:val="single" w:sz="4" w:space="0" w:color="auto"/>
              <w:right w:val="single" w:sz="4" w:space="0" w:color="auto"/>
            </w:tcBorders>
            <w:shd w:val="clear" w:color="auto" w:fill="auto"/>
            <w:noWrap/>
            <w:vAlign w:val="center"/>
            <w:hideMark/>
          </w:tcPr>
          <w:p w14:paraId="59EEADAB"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0.752</w:t>
            </w:r>
          </w:p>
        </w:tc>
        <w:tc>
          <w:tcPr>
            <w:tcW w:w="960" w:type="dxa"/>
            <w:tcBorders>
              <w:top w:val="nil"/>
              <w:left w:val="nil"/>
              <w:bottom w:val="single" w:sz="4" w:space="0" w:color="auto"/>
              <w:right w:val="single" w:sz="4" w:space="0" w:color="auto"/>
            </w:tcBorders>
            <w:shd w:val="clear" w:color="auto" w:fill="auto"/>
            <w:noWrap/>
            <w:vAlign w:val="center"/>
            <w:hideMark/>
          </w:tcPr>
          <w:p w14:paraId="34895C1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-0.012</w:t>
            </w:r>
          </w:p>
        </w:tc>
        <w:tc>
          <w:tcPr>
            <w:tcW w:w="960" w:type="dxa"/>
            <w:tcBorders>
              <w:top w:val="nil"/>
              <w:left w:val="nil"/>
              <w:bottom w:val="single" w:sz="4" w:space="0" w:color="auto"/>
              <w:right w:val="single" w:sz="4" w:space="0" w:color="auto"/>
            </w:tcBorders>
            <w:shd w:val="clear" w:color="auto" w:fill="auto"/>
            <w:noWrap/>
            <w:vAlign w:val="center"/>
            <w:hideMark/>
          </w:tcPr>
          <w:p w14:paraId="149F294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0.017</w:t>
            </w:r>
          </w:p>
        </w:tc>
        <w:tc>
          <w:tcPr>
            <w:tcW w:w="960" w:type="dxa"/>
            <w:tcBorders>
              <w:top w:val="nil"/>
              <w:left w:val="nil"/>
              <w:bottom w:val="single" w:sz="4" w:space="0" w:color="auto"/>
              <w:right w:val="single" w:sz="4" w:space="0" w:color="auto"/>
            </w:tcBorders>
            <w:shd w:val="clear" w:color="auto" w:fill="auto"/>
            <w:noWrap/>
            <w:vAlign w:val="center"/>
            <w:hideMark/>
          </w:tcPr>
          <w:p w14:paraId="38FEC4A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0.045</w:t>
            </w:r>
          </w:p>
        </w:tc>
        <w:tc>
          <w:tcPr>
            <w:tcW w:w="960" w:type="dxa"/>
            <w:tcBorders>
              <w:top w:val="nil"/>
              <w:left w:val="nil"/>
              <w:bottom w:val="single" w:sz="4" w:space="0" w:color="auto"/>
              <w:right w:val="single" w:sz="4" w:space="0" w:color="auto"/>
            </w:tcBorders>
            <w:shd w:val="clear" w:color="auto" w:fill="auto"/>
            <w:noWrap/>
            <w:vAlign w:val="center"/>
            <w:hideMark/>
          </w:tcPr>
          <w:p w14:paraId="20CC432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0.018</w:t>
            </w:r>
          </w:p>
        </w:tc>
      </w:tr>
      <w:tr w:rsidR="005976AB" w:rsidRPr="005635E7" w14:paraId="58360896"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5A4D5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ME4</w:t>
            </w:r>
          </w:p>
        </w:tc>
        <w:tc>
          <w:tcPr>
            <w:tcW w:w="960" w:type="dxa"/>
            <w:tcBorders>
              <w:top w:val="nil"/>
              <w:left w:val="nil"/>
              <w:bottom w:val="single" w:sz="4" w:space="0" w:color="auto"/>
              <w:right w:val="single" w:sz="4" w:space="0" w:color="auto"/>
            </w:tcBorders>
            <w:shd w:val="clear" w:color="auto" w:fill="auto"/>
            <w:noWrap/>
            <w:vAlign w:val="center"/>
            <w:hideMark/>
          </w:tcPr>
          <w:p w14:paraId="2A55951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0.067</w:t>
            </w:r>
          </w:p>
        </w:tc>
        <w:tc>
          <w:tcPr>
            <w:tcW w:w="960" w:type="dxa"/>
            <w:tcBorders>
              <w:top w:val="nil"/>
              <w:left w:val="nil"/>
              <w:bottom w:val="single" w:sz="4" w:space="0" w:color="auto"/>
              <w:right w:val="single" w:sz="4" w:space="0" w:color="auto"/>
            </w:tcBorders>
            <w:shd w:val="clear" w:color="auto" w:fill="auto"/>
            <w:noWrap/>
            <w:vAlign w:val="center"/>
            <w:hideMark/>
          </w:tcPr>
          <w:p w14:paraId="30464E3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0.121</w:t>
            </w:r>
          </w:p>
        </w:tc>
        <w:tc>
          <w:tcPr>
            <w:tcW w:w="960" w:type="dxa"/>
            <w:tcBorders>
              <w:top w:val="nil"/>
              <w:left w:val="nil"/>
              <w:bottom w:val="single" w:sz="4" w:space="0" w:color="auto"/>
              <w:right w:val="single" w:sz="4" w:space="0" w:color="auto"/>
            </w:tcBorders>
            <w:shd w:val="clear" w:color="auto" w:fill="auto"/>
            <w:noWrap/>
            <w:vAlign w:val="center"/>
            <w:hideMark/>
          </w:tcPr>
          <w:p w14:paraId="1433047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0.264</w:t>
            </w:r>
          </w:p>
        </w:tc>
        <w:tc>
          <w:tcPr>
            <w:tcW w:w="960" w:type="dxa"/>
            <w:tcBorders>
              <w:top w:val="nil"/>
              <w:left w:val="nil"/>
              <w:bottom w:val="single" w:sz="4" w:space="0" w:color="auto"/>
              <w:right w:val="single" w:sz="4" w:space="0" w:color="auto"/>
            </w:tcBorders>
            <w:shd w:val="clear" w:color="auto" w:fill="auto"/>
            <w:noWrap/>
            <w:vAlign w:val="center"/>
            <w:hideMark/>
          </w:tcPr>
          <w:p w14:paraId="043F58CC"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0.627</w:t>
            </w:r>
          </w:p>
        </w:tc>
        <w:tc>
          <w:tcPr>
            <w:tcW w:w="960" w:type="dxa"/>
            <w:tcBorders>
              <w:top w:val="nil"/>
              <w:left w:val="nil"/>
              <w:bottom w:val="single" w:sz="4" w:space="0" w:color="auto"/>
              <w:right w:val="single" w:sz="4" w:space="0" w:color="auto"/>
            </w:tcBorders>
            <w:shd w:val="clear" w:color="auto" w:fill="auto"/>
            <w:noWrap/>
            <w:vAlign w:val="center"/>
            <w:hideMark/>
          </w:tcPr>
          <w:p w14:paraId="0D3E3E7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0.003</w:t>
            </w:r>
          </w:p>
        </w:tc>
        <w:tc>
          <w:tcPr>
            <w:tcW w:w="960" w:type="dxa"/>
            <w:tcBorders>
              <w:top w:val="nil"/>
              <w:left w:val="nil"/>
              <w:bottom w:val="single" w:sz="4" w:space="0" w:color="auto"/>
              <w:right w:val="single" w:sz="4" w:space="0" w:color="auto"/>
            </w:tcBorders>
            <w:shd w:val="clear" w:color="auto" w:fill="auto"/>
            <w:noWrap/>
            <w:vAlign w:val="center"/>
            <w:hideMark/>
          </w:tcPr>
          <w:p w14:paraId="27EFF39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0.071</w:t>
            </w:r>
          </w:p>
        </w:tc>
        <w:tc>
          <w:tcPr>
            <w:tcW w:w="960" w:type="dxa"/>
            <w:tcBorders>
              <w:top w:val="nil"/>
              <w:left w:val="nil"/>
              <w:bottom w:val="single" w:sz="4" w:space="0" w:color="auto"/>
              <w:right w:val="single" w:sz="4" w:space="0" w:color="auto"/>
            </w:tcBorders>
            <w:shd w:val="clear" w:color="auto" w:fill="auto"/>
            <w:noWrap/>
            <w:vAlign w:val="center"/>
            <w:hideMark/>
          </w:tcPr>
          <w:p w14:paraId="3B619C5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-0.007</w:t>
            </w:r>
          </w:p>
        </w:tc>
        <w:tc>
          <w:tcPr>
            <w:tcW w:w="960" w:type="dxa"/>
            <w:tcBorders>
              <w:top w:val="nil"/>
              <w:left w:val="nil"/>
              <w:bottom w:val="single" w:sz="4" w:space="0" w:color="auto"/>
              <w:right w:val="single" w:sz="4" w:space="0" w:color="auto"/>
            </w:tcBorders>
            <w:shd w:val="clear" w:color="auto" w:fill="auto"/>
            <w:noWrap/>
            <w:vAlign w:val="center"/>
            <w:hideMark/>
          </w:tcPr>
          <w:p w14:paraId="2AB761F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0.051</w:t>
            </w:r>
          </w:p>
        </w:tc>
      </w:tr>
      <w:tr w:rsidR="005976AB" w:rsidRPr="005635E7" w14:paraId="1B5994AB"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F443C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OP1</w:t>
            </w:r>
          </w:p>
        </w:tc>
        <w:tc>
          <w:tcPr>
            <w:tcW w:w="960" w:type="dxa"/>
            <w:tcBorders>
              <w:top w:val="nil"/>
              <w:left w:val="nil"/>
              <w:bottom w:val="single" w:sz="4" w:space="0" w:color="auto"/>
              <w:right w:val="single" w:sz="4" w:space="0" w:color="auto"/>
            </w:tcBorders>
            <w:shd w:val="clear" w:color="auto" w:fill="auto"/>
            <w:noWrap/>
            <w:vAlign w:val="center"/>
            <w:hideMark/>
          </w:tcPr>
          <w:p w14:paraId="54D7EDB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0.142</w:t>
            </w:r>
          </w:p>
        </w:tc>
        <w:tc>
          <w:tcPr>
            <w:tcW w:w="960" w:type="dxa"/>
            <w:tcBorders>
              <w:top w:val="nil"/>
              <w:left w:val="nil"/>
              <w:bottom w:val="single" w:sz="4" w:space="0" w:color="auto"/>
              <w:right w:val="single" w:sz="4" w:space="0" w:color="auto"/>
            </w:tcBorders>
            <w:shd w:val="clear" w:color="auto" w:fill="auto"/>
            <w:noWrap/>
            <w:vAlign w:val="center"/>
            <w:hideMark/>
          </w:tcPr>
          <w:p w14:paraId="7AC89FC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0.050</w:t>
            </w:r>
          </w:p>
        </w:tc>
        <w:tc>
          <w:tcPr>
            <w:tcW w:w="960" w:type="dxa"/>
            <w:tcBorders>
              <w:top w:val="nil"/>
              <w:left w:val="nil"/>
              <w:bottom w:val="single" w:sz="4" w:space="0" w:color="auto"/>
              <w:right w:val="single" w:sz="4" w:space="0" w:color="auto"/>
            </w:tcBorders>
            <w:shd w:val="clear" w:color="auto" w:fill="auto"/>
            <w:noWrap/>
            <w:vAlign w:val="center"/>
            <w:hideMark/>
          </w:tcPr>
          <w:p w14:paraId="7DA6D55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0.095</w:t>
            </w:r>
          </w:p>
        </w:tc>
        <w:tc>
          <w:tcPr>
            <w:tcW w:w="960" w:type="dxa"/>
            <w:tcBorders>
              <w:top w:val="nil"/>
              <w:left w:val="nil"/>
              <w:bottom w:val="single" w:sz="4" w:space="0" w:color="auto"/>
              <w:right w:val="single" w:sz="4" w:space="0" w:color="auto"/>
            </w:tcBorders>
            <w:shd w:val="clear" w:color="auto" w:fill="auto"/>
            <w:noWrap/>
            <w:vAlign w:val="center"/>
            <w:hideMark/>
          </w:tcPr>
          <w:p w14:paraId="04530CB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0.057</w:t>
            </w:r>
          </w:p>
        </w:tc>
        <w:tc>
          <w:tcPr>
            <w:tcW w:w="960" w:type="dxa"/>
            <w:tcBorders>
              <w:top w:val="nil"/>
              <w:left w:val="nil"/>
              <w:bottom w:val="single" w:sz="4" w:space="0" w:color="auto"/>
              <w:right w:val="single" w:sz="4" w:space="0" w:color="auto"/>
            </w:tcBorders>
            <w:shd w:val="clear" w:color="auto" w:fill="auto"/>
            <w:noWrap/>
            <w:vAlign w:val="center"/>
            <w:hideMark/>
          </w:tcPr>
          <w:p w14:paraId="011AFB62"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0.693</w:t>
            </w:r>
          </w:p>
        </w:tc>
        <w:tc>
          <w:tcPr>
            <w:tcW w:w="960" w:type="dxa"/>
            <w:tcBorders>
              <w:top w:val="nil"/>
              <w:left w:val="nil"/>
              <w:bottom w:val="single" w:sz="4" w:space="0" w:color="auto"/>
              <w:right w:val="single" w:sz="4" w:space="0" w:color="auto"/>
            </w:tcBorders>
            <w:shd w:val="clear" w:color="auto" w:fill="auto"/>
            <w:noWrap/>
            <w:vAlign w:val="center"/>
            <w:hideMark/>
          </w:tcPr>
          <w:p w14:paraId="032A959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0.160</w:t>
            </w:r>
          </w:p>
        </w:tc>
        <w:tc>
          <w:tcPr>
            <w:tcW w:w="960" w:type="dxa"/>
            <w:tcBorders>
              <w:top w:val="nil"/>
              <w:left w:val="nil"/>
              <w:bottom w:val="single" w:sz="4" w:space="0" w:color="auto"/>
              <w:right w:val="single" w:sz="4" w:space="0" w:color="auto"/>
            </w:tcBorders>
            <w:shd w:val="clear" w:color="auto" w:fill="auto"/>
            <w:noWrap/>
            <w:vAlign w:val="center"/>
            <w:hideMark/>
          </w:tcPr>
          <w:p w14:paraId="13B9F4D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0.249</w:t>
            </w:r>
          </w:p>
        </w:tc>
        <w:tc>
          <w:tcPr>
            <w:tcW w:w="960" w:type="dxa"/>
            <w:tcBorders>
              <w:top w:val="nil"/>
              <w:left w:val="nil"/>
              <w:bottom w:val="single" w:sz="4" w:space="0" w:color="auto"/>
              <w:right w:val="single" w:sz="4" w:space="0" w:color="auto"/>
            </w:tcBorders>
            <w:shd w:val="clear" w:color="auto" w:fill="auto"/>
            <w:noWrap/>
            <w:vAlign w:val="center"/>
            <w:hideMark/>
          </w:tcPr>
          <w:p w14:paraId="5FF37EF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0.128</w:t>
            </w:r>
          </w:p>
        </w:tc>
      </w:tr>
      <w:tr w:rsidR="005976AB" w:rsidRPr="005635E7" w14:paraId="2A72D7FB"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A92D4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OP2</w:t>
            </w:r>
          </w:p>
        </w:tc>
        <w:tc>
          <w:tcPr>
            <w:tcW w:w="960" w:type="dxa"/>
            <w:tcBorders>
              <w:top w:val="nil"/>
              <w:left w:val="nil"/>
              <w:bottom w:val="single" w:sz="4" w:space="0" w:color="auto"/>
              <w:right w:val="single" w:sz="4" w:space="0" w:color="auto"/>
            </w:tcBorders>
            <w:shd w:val="clear" w:color="auto" w:fill="auto"/>
            <w:noWrap/>
            <w:vAlign w:val="center"/>
            <w:hideMark/>
          </w:tcPr>
          <w:p w14:paraId="3339D4E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0.276</w:t>
            </w:r>
          </w:p>
        </w:tc>
        <w:tc>
          <w:tcPr>
            <w:tcW w:w="960" w:type="dxa"/>
            <w:tcBorders>
              <w:top w:val="nil"/>
              <w:left w:val="nil"/>
              <w:bottom w:val="single" w:sz="4" w:space="0" w:color="auto"/>
              <w:right w:val="single" w:sz="4" w:space="0" w:color="auto"/>
            </w:tcBorders>
            <w:shd w:val="clear" w:color="auto" w:fill="auto"/>
            <w:noWrap/>
            <w:vAlign w:val="center"/>
            <w:hideMark/>
          </w:tcPr>
          <w:p w14:paraId="4CA8936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0.042</w:t>
            </w:r>
          </w:p>
        </w:tc>
        <w:tc>
          <w:tcPr>
            <w:tcW w:w="960" w:type="dxa"/>
            <w:tcBorders>
              <w:top w:val="nil"/>
              <w:left w:val="nil"/>
              <w:bottom w:val="single" w:sz="4" w:space="0" w:color="auto"/>
              <w:right w:val="single" w:sz="4" w:space="0" w:color="auto"/>
            </w:tcBorders>
            <w:shd w:val="clear" w:color="auto" w:fill="auto"/>
            <w:noWrap/>
            <w:vAlign w:val="center"/>
            <w:hideMark/>
          </w:tcPr>
          <w:p w14:paraId="7A2BC42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0.069</w:t>
            </w:r>
          </w:p>
        </w:tc>
        <w:tc>
          <w:tcPr>
            <w:tcW w:w="960" w:type="dxa"/>
            <w:tcBorders>
              <w:top w:val="nil"/>
              <w:left w:val="nil"/>
              <w:bottom w:val="single" w:sz="4" w:space="0" w:color="auto"/>
              <w:right w:val="single" w:sz="4" w:space="0" w:color="auto"/>
            </w:tcBorders>
            <w:shd w:val="clear" w:color="auto" w:fill="auto"/>
            <w:noWrap/>
            <w:vAlign w:val="center"/>
            <w:hideMark/>
          </w:tcPr>
          <w:p w14:paraId="7C12433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0.168</w:t>
            </w:r>
          </w:p>
        </w:tc>
        <w:tc>
          <w:tcPr>
            <w:tcW w:w="960" w:type="dxa"/>
            <w:tcBorders>
              <w:top w:val="nil"/>
              <w:left w:val="nil"/>
              <w:bottom w:val="single" w:sz="4" w:space="0" w:color="auto"/>
              <w:right w:val="single" w:sz="4" w:space="0" w:color="auto"/>
            </w:tcBorders>
            <w:shd w:val="clear" w:color="auto" w:fill="auto"/>
            <w:noWrap/>
            <w:vAlign w:val="center"/>
            <w:hideMark/>
          </w:tcPr>
          <w:p w14:paraId="63AAB19C"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0.864</w:t>
            </w:r>
          </w:p>
        </w:tc>
        <w:tc>
          <w:tcPr>
            <w:tcW w:w="960" w:type="dxa"/>
            <w:tcBorders>
              <w:top w:val="nil"/>
              <w:left w:val="nil"/>
              <w:bottom w:val="single" w:sz="4" w:space="0" w:color="auto"/>
              <w:right w:val="single" w:sz="4" w:space="0" w:color="auto"/>
            </w:tcBorders>
            <w:shd w:val="clear" w:color="auto" w:fill="auto"/>
            <w:noWrap/>
            <w:vAlign w:val="center"/>
            <w:hideMark/>
          </w:tcPr>
          <w:p w14:paraId="266C92E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0.146</w:t>
            </w:r>
          </w:p>
        </w:tc>
        <w:tc>
          <w:tcPr>
            <w:tcW w:w="960" w:type="dxa"/>
            <w:tcBorders>
              <w:top w:val="nil"/>
              <w:left w:val="nil"/>
              <w:bottom w:val="single" w:sz="4" w:space="0" w:color="auto"/>
              <w:right w:val="single" w:sz="4" w:space="0" w:color="auto"/>
            </w:tcBorders>
            <w:shd w:val="clear" w:color="auto" w:fill="auto"/>
            <w:noWrap/>
            <w:vAlign w:val="center"/>
            <w:hideMark/>
          </w:tcPr>
          <w:p w14:paraId="2E4C6A9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0.354</w:t>
            </w:r>
          </w:p>
        </w:tc>
        <w:tc>
          <w:tcPr>
            <w:tcW w:w="960" w:type="dxa"/>
            <w:tcBorders>
              <w:top w:val="nil"/>
              <w:left w:val="nil"/>
              <w:bottom w:val="single" w:sz="4" w:space="0" w:color="auto"/>
              <w:right w:val="single" w:sz="4" w:space="0" w:color="auto"/>
            </w:tcBorders>
            <w:shd w:val="clear" w:color="auto" w:fill="auto"/>
            <w:noWrap/>
            <w:vAlign w:val="center"/>
            <w:hideMark/>
          </w:tcPr>
          <w:p w14:paraId="44A2891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0.190</w:t>
            </w:r>
          </w:p>
        </w:tc>
      </w:tr>
      <w:tr w:rsidR="005976AB" w:rsidRPr="005635E7" w14:paraId="0210F685"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D485B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OP3</w:t>
            </w:r>
          </w:p>
        </w:tc>
        <w:tc>
          <w:tcPr>
            <w:tcW w:w="960" w:type="dxa"/>
            <w:tcBorders>
              <w:top w:val="nil"/>
              <w:left w:val="nil"/>
              <w:bottom w:val="single" w:sz="4" w:space="0" w:color="auto"/>
              <w:right w:val="single" w:sz="4" w:space="0" w:color="auto"/>
            </w:tcBorders>
            <w:shd w:val="clear" w:color="auto" w:fill="auto"/>
            <w:noWrap/>
            <w:vAlign w:val="center"/>
            <w:hideMark/>
          </w:tcPr>
          <w:p w14:paraId="7E1B570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0.167</w:t>
            </w:r>
          </w:p>
        </w:tc>
        <w:tc>
          <w:tcPr>
            <w:tcW w:w="960" w:type="dxa"/>
            <w:tcBorders>
              <w:top w:val="nil"/>
              <w:left w:val="nil"/>
              <w:bottom w:val="single" w:sz="4" w:space="0" w:color="auto"/>
              <w:right w:val="single" w:sz="4" w:space="0" w:color="auto"/>
            </w:tcBorders>
            <w:shd w:val="clear" w:color="auto" w:fill="auto"/>
            <w:noWrap/>
            <w:vAlign w:val="center"/>
            <w:hideMark/>
          </w:tcPr>
          <w:p w14:paraId="79E7CB8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-0.086</w:t>
            </w:r>
          </w:p>
        </w:tc>
        <w:tc>
          <w:tcPr>
            <w:tcW w:w="960" w:type="dxa"/>
            <w:tcBorders>
              <w:top w:val="nil"/>
              <w:left w:val="nil"/>
              <w:bottom w:val="single" w:sz="4" w:space="0" w:color="auto"/>
              <w:right w:val="single" w:sz="4" w:space="0" w:color="auto"/>
            </w:tcBorders>
            <w:shd w:val="clear" w:color="auto" w:fill="auto"/>
            <w:noWrap/>
            <w:vAlign w:val="center"/>
            <w:hideMark/>
          </w:tcPr>
          <w:p w14:paraId="4C77648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0.156</w:t>
            </w:r>
          </w:p>
        </w:tc>
        <w:tc>
          <w:tcPr>
            <w:tcW w:w="960" w:type="dxa"/>
            <w:tcBorders>
              <w:top w:val="nil"/>
              <w:left w:val="nil"/>
              <w:bottom w:val="single" w:sz="4" w:space="0" w:color="auto"/>
              <w:right w:val="single" w:sz="4" w:space="0" w:color="auto"/>
            </w:tcBorders>
            <w:shd w:val="clear" w:color="auto" w:fill="auto"/>
            <w:noWrap/>
            <w:vAlign w:val="center"/>
            <w:hideMark/>
          </w:tcPr>
          <w:p w14:paraId="1B58D70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0.003</w:t>
            </w:r>
          </w:p>
        </w:tc>
        <w:tc>
          <w:tcPr>
            <w:tcW w:w="960" w:type="dxa"/>
            <w:tcBorders>
              <w:top w:val="nil"/>
              <w:left w:val="nil"/>
              <w:bottom w:val="single" w:sz="4" w:space="0" w:color="auto"/>
              <w:right w:val="single" w:sz="4" w:space="0" w:color="auto"/>
            </w:tcBorders>
            <w:shd w:val="clear" w:color="auto" w:fill="auto"/>
            <w:noWrap/>
            <w:vAlign w:val="center"/>
            <w:hideMark/>
          </w:tcPr>
          <w:p w14:paraId="3A3DF9AA"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0.744</w:t>
            </w:r>
          </w:p>
        </w:tc>
        <w:tc>
          <w:tcPr>
            <w:tcW w:w="960" w:type="dxa"/>
            <w:tcBorders>
              <w:top w:val="nil"/>
              <w:left w:val="nil"/>
              <w:bottom w:val="single" w:sz="4" w:space="0" w:color="auto"/>
              <w:right w:val="single" w:sz="4" w:space="0" w:color="auto"/>
            </w:tcBorders>
            <w:shd w:val="clear" w:color="auto" w:fill="auto"/>
            <w:noWrap/>
            <w:vAlign w:val="center"/>
            <w:hideMark/>
          </w:tcPr>
          <w:p w14:paraId="769FCB9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0.081</w:t>
            </w:r>
          </w:p>
        </w:tc>
        <w:tc>
          <w:tcPr>
            <w:tcW w:w="960" w:type="dxa"/>
            <w:tcBorders>
              <w:top w:val="nil"/>
              <w:left w:val="nil"/>
              <w:bottom w:val="single" w:sz="4" w:space="0" w:color="auto"/>
              <w:right w:val="single" w:sz="4" w:space="0" w:color="auto"/>
            </w:tcBorders>
            <w:shd w:val="clear" w:color="auto" w:fill="auto"/>
            <w:noWrap/>
            <w:vAlign w:val="center"/>
            <w:hideMark/>
          </w:tcPr>
          <w:p w14:paraId="6B52621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0.334</w:t>
            </w:r>
          </w:p>
        </w:tc>
        <w:tc>
          <w:tcPr>
            <w:tcW w:w="960" w:type="dxa"/>
            <w:tcBorders>
              <w:top w:val="nil"/>
              <w:left w:val="nil"/>
              <w:bottom w:val="single" w:sz="4" w:space="0" w:color="auto"/>
              <w:right w:val="single" w:sz="4" w:space="0" w:color="auto"/>
            </w:tcBorders>
            <w:shd w:val="clear" w:color="auto" w:fill="auto"/>
            <w:noWrap/>
            <w:vAlign w:val="center"/>
            <w:hideMark/>
          </w:tcPr>
          <w:p w14:paraId="52898DC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0.101</w:t>
            </w:r>
          </w:p>
        </w:tc>
      </w:tr>
      <w:tr w:rsidR="005976AB" w:rsidRPr="005635E7" w14:paraId="1EAA54C2"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CDFD0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OP4</w:t>
            </w:r>
          </w:p>
        </w:tc>
        <w:tc>
          <w:tcPr>
            <w:tcW w:w="960" w:type="dxa"/>
            <w:tcBorders>
              <w:top w:val="nil"/>
              <w:left w:val="nil"/>
              <w:bottom w:val="single" w:sz="4" w:space="0" w:color="auto"/>
              <w:right w:val="single" w:sz="4" w:space="0" w:color="auto"/>
            </w:tcBorders>
            <w:shd w:val="clear" w:color="auto" w:fill="auto"/>
            <w:noWrap/>
            <w:vAlign w:val="center"/>
            <w:hideMark/>
          </w:tcPr>
          <w:p w14:paraId="7C70853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0.175</w:t>
            </w:r>
          </w:p>
        </w:tc>
        <w:tc>
          <w:tcPr>
            <w:tcW w:w="960" w:type="dxa"/>
            <w:tcBorders>
              <w:top w:val="nil"/>
              <w:left w:val="nil"/>
              <w:bottom w:val="single" w:sz="4" w:space="0" w:color="auto"/>
              <w:right w:val="single" w:sz="4" w:space="0" w:color="auto"/>
            </w:tcBorders>
            <w:shd w:val="clear" w:color="auto" w:fill="auto"/>
            <w:noWrap/>
            <w:vAlign w:val="center"/>
            <w:hideMark/>
          </w:tcPr>
          <w:p w14:paraId="03B30B5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-0.151</w:t>
            </w:r>
          </w:p>
        </w:tc>
        <w:tc>
          <w:tcPr>
            <w:tcW w:w="960" w:type="dxa"/>
            <w:tcBorders>
              <w:top w:val="nil"/>
              <w:left w:val="nil"/>
              <w:bottom w:val="single" w:sz="4" w:space="0" w:color="auto"/>
              <w:right w:val="single" w:sz="4" w:space="0" w:color="auto"/>
            </w:tcBorders>
            <w:shd w:val="clear" w:color="auto" w:fill="auto"/>
            <w:noWrap/>
            <w:vAlign w:val="center"/>
            <w:hideMark/>
          </w:tcPr>
          <w:p w14:paraId="06C5B37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0.027</w:t>
            </w:r>
          </w:p>
        </w:tc>
        <w:tc>
          <w:tcPr>
            <w:tcW w:w="960" w:type="dxa"/>
            <w:tcBorders>
              <w:top w:val="nil"/>
              <w:left w:val="nil"/>
              <w:bottom w:val="single" w:sz="4" w:space="0" w:color="auto"/>
              <w:right w:val="single" w:sz="4" w:space="0" w:color="auto"/>
            </w:tcBorders>
            <w:shd w:val="clear" w:color="auto" w:fill="auto"/>
            <w:noWrap/>
            <w:vAlign w:val="center"/>
            <w:hideMark/>
          </w:tcPr>
          <w:p w14:paraId="69818C1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-0.009</w:t>
            </w:r>
          </w:p>
        </w:tc>
        <w:tc>
          <w:tcPr>
            <w:tcW w:w="960" w:type="dxa"/>
            <w:tcBorders>
              <w:top w:val="nil"/>
              <w:left w:val="nil"/>
              <w:bottom w:val="single" w:sz="4" w:space="0" w:color="auto"/>
              <w:right w:val="single" w:sz="4" w:space="0" w:color="auto"/>
            </w:tcBorders>
            <w:shd w:val="clear" w:color="auto" w:fill="auto"/>
            <w:noWrap/>
            <w:vAlign w:val="center"/>
            <w:hideMark/>
          </w:tcPr>
          <w:p w14:paraId="29E7C48B"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0.702</w:t>
            </w:r>
          </w:p>
        </w:tc>
        <w:tc>
          <w:tcPr>
            <w:tcW w:w="960" w:type="dxa"/>
            <w:tcBorders>
              <w:top w:val="nil"/>
              <w:left w:val="nil"/>
              <w:bottom w:val="single" w:sz="4" w:space="0" w:color="auto"/>
              <w:right w:val="single" w:sz="4" w:space="0" w:color="auto"/>
            </w:tcBorders>
            <w:shd w:val="clear" w:color="auto" w:fill="auto"/>
            <w:noWrap/>
            <w:vAlign w:val="center"/>
            <w:hideMark/>
          </w:tcPr>
          <w:p w14:paraId="3B6BC3D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0.060</w:t>
            </w:r>
          </w:p>
        </w:tc>
        <w:tc>
          <w:tcPr>
            <w:tcW w:w="960" w:type="dxa"/>
            <w:tcBorders>
              <w:top w:val="nil"/>
              <w:left w:val="nil"/>
              <w:bottom w:val="single" w:sz="4" w:space="0" w:color="auto"/>
              <w:right w:val="single" w:sz="4" w:space="0" w:color="auto"/>
            </w:tcBorders>
            <w:shd w:val="clear" w:color="auto" w:fill="auto"/>
            <w:noWrap/>
            <w:vAlign w:val="center"/>
            <w:hideMark/>
          </w:tcPr>
          <w:p w14:paraId="3044E38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0.265</w:t>
            </w:r>
          </w:p>
        </w:tc>
        <w:tc>
          <w:tcPr>
            <w:tcW w:w="960" w:type="dxa"/>
            <w:tcBorders>
              <w:top w:val="nil"/>
              <w:left w:val="nil"/>
              <w:bottom w:val="single" w:sz="4" w:space="0" w:color="auto"/>
              <w:right w:val="single" w:sz="4" w:space="0" w:color="auto"/>
            </w:tcBorders>
            <w:shd w:val="clear" w:color="auto" w:fill="auto"/>
            <w:noWrap/>
            <w:vAlign w:val="center"/>
            <w:hideMark/>
          </w:tcPr>
          <w:p w14:paraId="5DDA66E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0.055</w:t>
            </w:r>
          </w:p>
        </w:tc>
      </w:tr>
      <w:tr w:rsidR="005976AB" w:rsidRPr="005635E7" w14:paraId="418DEB64"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8249B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P1</w:t>
            </w:r>
          </w:p>
        </w:tc>
        <w:tc>
          <w:tcPr>
            <w:tcW w:w="960" w:type="dxa"/>
            <w:tcBorders>
              <w:top w:val="nil"/>
              <w:left w:val="nil"/>
              <w:bottom w:val="single" w:sz="4" w:space="0" w:color="auto"/>
              <w:right w:val="single" w:sz="4" w:space="0" w:color="auto"/>
            </w:tcBorders>
            <w:shd w:val="clear" w:color="auto" w:fill="auto"/>
            <w:noWrap/>
            <w:vAlign w:val="center"/>
            <w:hideMark/>
          </w:tcPr>
          <w:p w14:paraId="2C5347B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0.417</w:t>
            </w:r>
          </w:p>
        </w:tc>
        <w:tc>
          <w:tcPr>
            <w:tcW w:w="960" w:type="dxa"/>
            <w:tcBorders>
              <w:top w:val="nil"/>
              <w:left w:val="nil"/>
              <w:bottom w:val="single" w:sz="4" w:space="0" w:color="auto"/>
              <w:right w:val="single" w:sz="4" w:space="0" w:color="auto"/>
            </w:tcBorders>
            <w:shd w:val="clear" w:color="auto" w:fill="auto"/>
            <w:noWrap/>
            <w:vAlign w:val="center"/>
            <w:hideMark/>
          </w:tcPr>
          <w:p w14:paraId="11F283C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0.051</w:t>
            </w:r>
          </w:p>
        </w:tc>
        <w:tc>
          <w:tcPr>
            <w:tcW w:w="960" w:type="dxa"/>
            <w:tcBorders>
              <w:top w:val="nil"/>
              <w:left w:val="nil"/>
              <w:bottom w:val="single" w:sz="4" w:space="0" w:color="auto"/>
              <w:right w:val="single" w:sz="4" w:space="0" w:color="auto"/>
            </w:tcBorders>
            <w:shd w:val="clear" w:color="auto" w:fill="auto"/>
            <w:noWrap/>
            <w:vAlign w:val="center"/>
            <w:hideMark/>
          </w:tcPr>
          <w:p w14:paraId="1FB65CC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0.072</w:t>
            </w:r>
          </w:p>
        </w:tc>
        <w:tc>
          <w:tcPr>
            <w:tcW w:w="960" w:type="dxa"/>
            <w:tcBorders>
              <w:top w:val="nil"/>
              <w:left w:val="nil"/>
              <w:bottom w:val="single" w:sz="4" w:space="0" w:color="auto"/>
              <w:right w:val="single" w:sz="4" w:space="0" w:color="auto"/>
            </w:tcBorders>
            <w:shd w:val="clear" w:color="auto" w:fill="auto"/>
            <w:noWrap/>
            <w:vAlign w:val="center"/>
            <w:hideMark/>
          </w:tcPr>
          <w:p w14:paraId="321154C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-0.042</w:t>
            </w:r>
          </w:p>
        </w:tc>
        <w:tc>
          <w:tcPr>
            <w:tcW w:w="960" w:type="dxa"/>
            <w:tcBorders>
              <w:top w:val="nil"/>
              <w:left w:val="nil"/>
              <w:bottom w:val="single" w:sz="4" w:space="0" w:color="auto"/>
              <w:right w:val="single" w:sz="4" w:space="0" w:color="auto"/>
            </w:tcBorders>
            <w:shd w:val="clear" w:color="auto" w:fill="auto"/>
            <w:noWrap/>
            <w:vAlign w:val="center"/>
            <w:hideMark/>
          </w:tcPr>
          <w:p w14:paraId="5DEED32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0.170</w:t>
            </w:r>
          </w:p>
        </w:tc>
        <w:tc>
          <w:tcPr>
            <w:tcW w:w="960" w:type="dxa"/>
            <w:tcBorders>
              <w:top w:val="nil"/>
              <w:left w:val="nil"/>
              <w:bottom w:val="single" w:sz="4" w:space="0" w:color="auto"/>
              <w:right w:val="single" w:sz="4" w:space="0" w:color="auto"/>
            </w:tcBorders>
            <w:shd w:val="clear" w:color="auto" w:fill="auto"/>
            <w:noWrap/>
            <w:vAlign w:val="center"/>
            <w:hideMark/>
          </w:tcPr>
          <w:p w14:paraId="2E28409D"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0.676</w:t>
            </w:r>
          </w:p>
        </w:tc>
        <w:tc>
          <w:tcPr>
            <w:tcW w:w="960" w:type="dxa"/>
            <w:tcBorders>
              <w:top w:val="nil"/>
              <w:left w:val="nil"/>
              <w:bottom w:val="single" w:sz="4" w:space="0" w:color="auto"/>
              <w:right w:val="single" w:sz="4" w:space="0" w:color="auto"/>
            </w:tcBorders>
            <w:shd w:val="clear" w:color="auto" w:fill="auto"/>
            <w:noWrap/>
            <w:vAlign w:val="center"/>
            <w:hideMark/>
          </w:tcPr>
          <w:p w14:paraId="594383A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0.117</w:t>
            </w:r>
          </w:p>
        </w:tc>
        <w:tc>
          <w:tcPr>
            <w:tcW w:w="960" w:type="dxa"/>
            <w:tcBorders>
              <w:top w:val="nil"/>
              <w:left w:val="nil"/>
              <w:bottom w:val="single" w:sz="4" w:space="0" w:color="auto"/>
              <w:right w:val="single" w:sz="4" w:space="0" w:color="auto"/>
            </w:tcBorders>
            <w:shd w:val="clear" w:color="auto" w:fill="auto"/>
            <w:noWrap/>
            <w:vAlign w:val="center"/>
            <w:hideMark/>
          </w:tcPr>
          <w:p w14:paraId="0E1E757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0.357</w:t>
            </w:r>
          </w:p>
        </w:tc>
      </w:tr>
      <w:tr w:rsidR="005976AB" w:rsidRPr="005635E7" w14:paraId="4FF698E7"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8C30E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P2</w:t>
            </w:r>
          </w:p>
        </w:tc>
        <w:tc>
          <w:tcPr>
            <w:tcW w:w="960" w:type="dxa"/>
            <w:tcBorders>
              <w:top w:val="nil"/>
              <w:left w:val="nil"/>
              <w:bottom w:val="single" w:sz="4" w:space="0" w:color="auto"/>
              <w:right w:val="single" w:sz="4" w:space="0" w:color="auto"/>
            </w:tcBorders>
            <w:shd w:val="clear" w:color="auto" w:fill="auto"/>
            <w:noWrap/>
            <w:vAlign w:val="center"/>
            <w:hideMark/>
          </w:tcPr>
          <w:p w14:paraId="293CABA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0.565</w:t>
            </w:r>
          </w:p>
        </w:tc>
        <w:tc>
          <w:tcPr>
            <w:tcW w:w="960" w:type="dxa"/>
            <w:tcBorders>
              <w:top w:val="nil"/>
              <w:left w:val="nil"/>
              <w:bottom w:val="single" w:sz="4" w:space="0" w:color="auto"/>
              <w:right w:val="single" w:sz="4" w:space="0" w:color="auto"/>
            </w:tcBorders>
            <w:shd w:val="clear" w:color="auto" w:fill="auto"/>
            <w:noWrap/>
            <w:vAlign w:val="center"/>
            <w:hideMark/>
          </w:tcPr>
          <w:p w14:paraId="179276F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0.216</w:t>
            </w:r>
          </w:p>
        </w:tc>
        <w:tc>
          <w:tcPr>
            <w:tcW w:w="960" w:type="dxa"/>
            <w:tcBorders>
              <w:top w:val="nil"/>
              <w:left w:val="nil"/>
              <w:bottom w:val="single" w:sz="4" w:space="0" w:color="auto"/>
              <w:right w:val="single" w:sz="4" w:space="0" w:color="auto"/>
            </w:tcBorders>
            <w:shd w:val="clear" w:color="auto" w:fill="auto"/>
            <w:noWrap/>
            <w:vAlign w:val="center"/>
            <w:hideMark/>
          </w:tcPr>
          <w:p w14:paraId="68E9E1C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0.099</w:t>
            </w:r>
          </w:p>
        </w:tc>
        <w:tc>
          <w:tcPr>
            <w:tcW w:w="960" w:type="dxa"/>
            <w:tcBorders>
              <w:top w:val="nil"/>
              <w:left w:val="nil"/>
              <w:bottom w:val="single" w:sz="4" w:space="0" w:color="auto"/>
              <w:right w:val="single" w:sz="4" w:space="0" w:color="auto"/>
            </w:tcBorders>
            <w:shd w:val="clear" w:color="auto" w:fill="auto"/>
            <w:noWrap/>
            <w:vAlign w:val="center"/>
            <w:hideMark/>
          </w:tcPr>
          <w:p w14:paraId="6F8679A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0.133</w:t>
            </w:r>
          </w:p>
        </w:tc>
        <w:tc>
          <w:tcPr>
            <w:tcW w:w="960" w:type="dxa"/>
            <w:tcBorders>
              <w:top w:val="nil"/>
              <w:left w:val="nil"/>
              <w:bottom w:val="single" w:sz="4" w:space="0" w:color="auto"/>
              <w:right w:val="single" w:sz="4" w:space="0" w:color="auto"/>
            </w:tcBorders>
            <w:shd w:val="clear" w:color="auto" w:fill="auto"/>
            <w:noWrap/>
            <w:vAlign w:val="center"/>
            <w:hideMark/>
          </w:tcPr>
          <w:p w14:paraId="14F62C5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0.174</w:t>
            </w:r>
          </w:p>
        </w:tc>
        <w:tc>
          <w:tcPr>
            <w:tcW w:w="960" w:type="dxa"/>
            <w:tcBorders>
              <w:top w:val="nil"/>
              <w:left w:val="nil"/>
              <w:bottom w:val="single" w:sz="4" w:space="0" w:color="auto"/>
              <w:right w:val="single" w:sz="4" w:space="0" w:color="auto"/>
            </w:tcBorders>
            <w:shd w:val="clear" w:color="auto" w:fill="auto"/>
            <w:noWrap/>
            <w:vAlign w:val="center"/>
            <w:hideMark/>
          </w:tcPr>
          <w:p w14:paraId="43103829"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0.864</w:t>
            </w:r>
          </w:p>
        </w:tc>
        <w:tc>
          <w:tcPr>
            <w:tcW w:w="960" w:type="dxa"/>
            <w:tcBorders>
              <w:top w:val="nil"/>
              <w:left w:val="nil"/>
              <w:bottom w:val="single" w:sz="4" w:space="0" w:color="auto"/>
              <w:right w:val="single" w:sz="4" w:space="0" w:color="auto"/>
            </w:tcBorders>
            <w:shd w:val="clear" w:color="auto" w:fill="auto"/>
            <w:noWrap/>
            <w:vAlign w:val="center"/>
            <w:hideMark/>
          </w:tcPr>
          <w:p w14:paraId="604750F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0.119</w:t>
            </w:r>
          </w:p>
        </w:tc>
        <w:tc>
          <w:tcPr>
            <w:tcW w:w="960" w:type="dxa"/>
            <w:tcBorders>
              <w:top w:val="nil"/>
              <w:left w:val="nil"/>
              <w:bottom w:val="single" w:sz="4" w:space="0" w:color="auto"/>
              <w:right w:val="single" w:sz="4" w:space="0" w:color="auto"/>
            </w:tcBorders>
            <w:shd w:val="clear" w:color="auto" w:fill="auto"/>
            <w:noWrap/>
            <w:vAlign w:val="center"/>
            <w:hideMark/>
          </w:tcPr>
          <w:p w14:paraId="2AF9E5E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0.483</w:t>
            </w:r>
          </w:p>
        </w:tc>
      </w:tr>
      <w:tr w:rsidR="005976AB" w:rsidRPr="005635E7" w14:paraId="7E9EF916"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54ADA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P3</w:t>
            </w:r>
          </w:p>
        </w:tc>
        <w:tc>
          <w:tcPr>
            <w:tcW w:w="960" w:type="dxa"/>
            <w:tcBorders>
              <w:top w:val="nil"/>
              <w:left w:val="nil"/>
              <w:bottom w:val="single" w:sz="4" w:space="0" w:color="auto"/>
              <w:right w:val="single" w:sz="4" w:space="0" w:color="auto"/>
            </w:tcBorders>
            <w:shd w:val="clear" w:color="auto" w:fill="auto"/>
            <w:noWrap/>
            <w:vAlign w:val="center"/>
            <w:hideMark/>
          </w:tcPr>
          <w:p w14:paraId="4596FAC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0.448</w:t>
            </w:r>
          </w:p>
        </w:tc>
        <w:tc>
          <w:tcPr>
            <w:tcW w:w="960" w:type="dxa"/>
            <w:tcBorders>
              <w:top w:val="nil"/>
              <w:left w:val="nil"/>
              <w:bottom w:val="single" w:sz="4" w:space="0" w:color="auto"/>
              <w:right w:val="single" w:sz="4" w:space="0" w:color="auto"/>
            </w:tcBorders>
            <w:shd w:val="clear" w:color="auto" w:fill="auto"/>
            <w:noWrap/>
            <w:vAlign w:val="center"/>
            <w:hideMark/>
          </w:tcPr>
          <w:p w14:paraId="4C1F314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0.271</w:t>
            </w:r>
          </w:p>
        </w:tc>
        <w:tc>
          <w:tcPr>
            <w:tcW w:w="960" w:type="dxa"/>
            <w:tcBorders>
              <w:top w:val="nil"/>
              <w:left w:val="nil"/>
              <w:bottom w:val="single" w:sz="4" w:space="0" w:color="auto"/>
              <w:right w:val="single" w:sz="4" w:space="0" w:color="auto"/>
            </w:tcBorders>
            <w:shd w:val="clear" w:color="auto" w:fill="auto"/>
            <w:noWrap/>
            <w:vAlign w:val="center"/>
            <w:hideMark/>
          </w:tcPr>
          <w:p w14:paraId="63B174B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0.075</w:t>
            </w:r>
          </w:p>
        </w:tc>
        <w:tc>
          <w:tcPr>
            <w:tcW w:w="960" w:type="dxa"/>
            <w:tcBorders>
              <w:top w:val="nil"/>
              <w:left w:val="nil"/>
              <w:bottom w:val="single" w:sz="4" w:space="0" w:color="auto"/>
              <w:right w:val="single" w:sz="4" w:space="0" w:color="auto"/>
            </w:tcBorders>
            <w:shd w:val="clear" w:color="auto" w:fill="auto"/>
            <w:noWrap/>
            <w:vAlign w:val="center"/>
            <w:hideMark/>
          </w:tcPr>
          <w:p w14:paraId="29D74BC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0.073</w:t>
            </w:r>
          </w:p>
        </w:tc>
        <w:tc>
          <w:tcPr>
            <w:tcW w:w="960" w:type="dxa"/>
            <w:tcBorders>
              <w:top w:val="nil"/>
              <w:left w:val="nil"/>
              <w:bottom w:val="single" w:sz="4" w:space="0" w:color="auto"/>
              <w:right w:val="single" w:sz="4" w:space="0" w:color="auto"/>
            </w:tcBorders>
            <w:shd w:val="clear" w:color="auto" w:fill="auto"/>
            <w:noWrap/>
            <w:vAlign w:val="center"/>
            <w:hideMark/>
          </w:tcPr>
          <w:p w14:paraId="4381D23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0.109</w:t>
            </w:r>
          </w:p>
        </w:tc>
        <w:tc>
          <w:tcPr>
            <w:tcW w:w="960" w:type="dxa"/>
            <w:tcBorders>
              <w:top w:val="nil"/>
              <w:left w:val="nil"/>
              <w:bottom w:val="single" w:sz="4" w:space="0" w:color="auto"/>
              <w:right w:val="single" w:sz="4" w:space="0" w:color="auto"/>
            </w:tcBorders>
            <w:shd w:val="clear" w:color="auto" w:fill="auto"/>
            <w:noWrap/>
            <w:vAlign w:val="center"/>
            <w:hideMark/>
          </w:tcPr>
          <w:p w14:paraId="666ACDDD"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0.874</w:t>
            </w:r>
          </w:p>
        </w:tc>
        <w:tc>
          <w:tcPr>
            <w:tcW w:w="960" w:type="dxa"/>
            <w:tcBorders>
              <w:top w:val="nil"/>
              <w:left w:val="nil"/>
              <w:bottom w:val="single" w:sz="4" w:space="0" w:color="auto"/>
              <w:right w:val="single" w:sz="4" w:space="0" w:color="auto"/>
            </w:tcBorders>
            <w:shd w:val="clear" w:color="auto" w:fill="auto"/>
            <w:noWrap/>
            <w:vAlign w:val="center"/>
            <w:hideMark/>
          </w:tcPr>
          <w:p w14:paraId="2A688C7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0.037</w:t>
            </w:r>
          </w:p>
        </w:tc>
        <w:tc>
          <w:tcPr>
            <w:tcW w:w="960" w:type="dxa"/>
            <w:tcBorders>
              <w:top w:val="nil"/>
              <w:left w:val="nil"/>
              <w:bottom w:val="single" w:sz="4" w:space="0" w:color="auto"/>
              <w:right w:val="single" w:sz="4" w:space="0" w:color="auto"/>
            </w:tcBorders>
            <w:shd w:val="clear" w:color="auto" w:fill="auto"/>
            <w:noWrap/>
            <w:vAlign w:val="center"/>
            <w:hideMark/>
          </w:tcPr>
          <w:p w14:paraId="07E1DB1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0.487</w:t>
            </w:r>
          </w:p>
        </w:tc>
      </w:tr>
      <w:tr w:rsidR="005976AB" w:rsidRPr="005635E7" w14:paraId="2AF04798"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C6CB3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P4</w:t>
            </w:r>
          </w:p>
        </w:tc>
        <w:tc>
          <w:tcPr>
            <w:tcW w:w="960" w:type="dxa"/>
            <w:tcBorders>
              <w:top w:val="nil"/>
              <w:left w:val="nil"/>
              <w:bottom w:val="single" w:sz="4" w:space="0" w:color="auto"/>
              <w:right w:val="single" w:sz="4" w:space="0" w:color="auto"/>
            </w:tcBorders>
            <w:shd w:val="clear" w:color="auto" w:fill="auto"/>
            <w:noWrap/>
            <w:vAlign w:val="center"/>
            <w:hideMark/>
          </w:tcPr>
          <w:p w14:paraId="6C6F9B9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0.439</w:t>
            </w:r>
          </w:p>
        </w:tc>
        <w:tc>
          <w:tcPr>
            <w:tcW w:w="960" w:type="dxa"/>
            <w:tcBorders>
              <w:top w:val="nil"/>
              <w:left w:val="nil"/>
              <w:bottom w:val="single" w:sz="4" w:space="0" w:color="auto"/>
              <w:right w:val="single" w:sz="4" w:space="0" w:color="auto"/>
            </w:tcBorders>
            <w:shd w:val="clear" w:color="auto" w:fill="auto"/>
            <w:noWrap/>
            <w:vAlign w:val="center"/>
            <w:hideMark/>
          </w:tcPr>
          <w:p w14:paraId="10B0745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0.216</w:t>
            </w:r>
          </w:p>
        </w:tc>
        <w:tc>
          <w:tcPr>
            <w:tcW w:w="960" w:type="dxa"/>
            <w:tcBorders>
              <w:top w:val="nil"/>
              <w:left w:val="nil"/>
              <w:bottom w:val="single" w:sz="4" w:space="0" w:color="auto"/>
              <w:right w:val="single" w:sz="4" w:space="0" w:color="auto"/>
            </w:tcBorders>
            <w:shd w:val="clear" w:color="auto" w:fill="auto"/>
            <w:noWrap/>
            <w:vAlign w:val="center"/>
            <w:hideMark/>
          </w:tcPr>
          <w:p w14:paraId="5C6C76A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0.105</w:t>
            </w:r>
          </w:p>
        </w:tc>
        <w:tc>
          <w:tcPr>
            <w:tcW w:w="960" w:type="dxa"/>
            <w:tcBorders>
              <w:top w:val="nil"/>
              <w:left w:val="nil"/>
              <w:bottom w:val="single" w:sz="4" w:space="0" w:color="auto"/>
              <w:right w:val="single" w:sz="4" w:space="0" w:color="auto"/>
            </w:tcBorders>
            <w:shd w:val="clear" w:color="auto" w:fill="auto"/>
            <w:noWrap/>
            <w:vAlign w:val="center"/>
            <w:hideMark/>
          </w:tcPr>
          <w:p w14:paraId="4810322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0.036</w:t>
            </w:r>
          </w:p>
        </w:tc>
        <w:tc>
          <w:tcPr>
            <w:tcW w:w="960" w:type="dxa"/>
            <w:tcBorders>
              <w:top w:val="nil"/>
              <w:left w:val="nil"/>
              <w:bottom w:val="single" w:sz="4" w:space="0" w:color="auto"/>
              <w:right w:val="single" w:sz="4" w:space="0" w:color="auto"/>
            </w:tcBorders>
            <w:shd w:val="clear" w:color="auto" w:fill="auto"/>
            <w:noWrap/>
            <w:vAlign w:val="center"/>
            <w:hideMark/>
          </w:tcPr>
          <w:p w14:paraId="3061652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0.082</w:t>
            </w:r>
          </w:p>
        </w:tc>
        <w:tc>
          <w:tcPr>
            <w:tcW w:w="960" w:type="dxa"/>
            <w:tcBorders>
              <w:top w:val="nil"/>
              <w:left w:val="nil"/>
              <w:bottom w:val="single" w:sz="4" w:space="0" w:color="auto"/>
              <w:right w:val="single" w:sz="4" w:space="0" w:color="auto"/>
            </w:tcBorders>
            <w:shd w:val="clear" w:color="auto" w:fill="auto"/>
            <w:noWrap/>
            <w:vAlign w:val="center"/>
            <w:hideMark/>
          </w:tcPr>
          <w:p w14:paraId="23715DBC"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0.820</w:t>
            </w:r>
          </w:p>
        </w:tc>
        <w:tc>
          <w:tcPr>
            <w:tcW w:w="960" w:type="dxa"/>
            <w:tcBorders>
              <w:top w:val="nil"/>
              <w:left w:val="nil"/>
              <w:bottom w:val="single" w:sz="4" w:space="0" w:color="auto"/>
              <w:right w:val="single" w:sz="4" w:space="0" w:color="auto"/>
            </w:tcBorders>
            <w:shd w:val="clear" w:color="auto" w:fill="auto"/>
            <w:noWrap/>
            <w:vAlign w:val="center"/>
            <w:hideMark/>
          </w:tcPr>
          <w:p w14:paraId="4F25B85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0.063</w:t>
            </w:r>
          </w:p>
        </w:tc>
        <w:tc>
          <w:tcPr>
            <w:tcW w:w="960" w:type="dxa"/>
            <w:tcBorders>
              <w:top w:val="nil"/>
              <w:left w:val="nil"/>
              <w:bottom w:val="single" w:sz="4" w:space="0" w:color="auto"/>
              <w:right w:val="single" w:sz="4" w:space="0" w:color="auto"/>
            </w:tcBorders>
            <w:shd w:val="clear" w:color="auto" w:fill="auto"/>
            <w:noWrap/>
            <w:vAlign w:val="center"/>
            <w:hideMark/>
          </w:tcPr>
          <w:p w14:paraId="751E6AB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0.403</w:t>
            </w:r>
          </w:p>
        </w:tc>
      </w:tr>
      <w:tr w:rsidR="005976AB" w:rsidRPr="005635E7" w14:paraId="2E209DC4"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F761B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SP1</w:t>
            </w:r>
          </w:p>
        </w:tc>
        <w:tc>
          <w:tcPr>
            <w:tcW w:w="960" w:type="dxa"/>
            <w:tcBorders>
              <w:top w:val="nil"/>
              <w:left w:val="nil"/>
              <w:bottom w:val="single" w:sz="4" w:space="0" w:color="auto"/>
              <w:right w:val="single" w:sz="4" w:space="0" w:color="auto"/>
            </w:tcBorders>
            <w:shd w:val="clear" w:color="auto" w:fill="auto"/>
            <w:noWrap/>
            <w:vAlign w:val="center"/>
            <w:hideMark/>
          </w:tcPr>
          <w:p w14:paraId="536C9EF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0.126</w:t>
            </w:r>
          </w:p>
        </w:tc>
        <w:tc>
          <w:tcPr>
            <w:tcW w:w="960" w:type="dxa"/>
            <w:tcBorders>
              <w:top w:val="nil"/>
              <w:left w:val="nil"/>
              <w:bottom w:val="single" w:sz="4" w:space="0" w:color="auto"/>
              <w:right w:val="single" w:sz="4" w:space="0" w:color="auto"/>
            </w:tcBorders>
            <w:shd w:val="clear" w:color="auto" w:fill="auto"/>
            <w:noWrap/>
            <w:vAlign w:val="center"/>
            <w:hideMark/>
          </w:tcPr>
          <w:p w14:paraId="091B62B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-0.079</w:t>
            </w:r>
          </w:p>
        </w:tc>
        <w:tc>
          <w:tcPr>
            <w:tcW w:w="960" w:type="dxa"/>
            <w:tcBorders>
              <w:top w:val="nil"/>
              <w:left w:val="nil"/>
              <w:bottom w:val="single" w:sz="4" w:space="0" w:color="auto"/>
              <w:right w:val="single" w:sz="4" w:space="0" w:color="auto"/>
            </w:tcBorders>
            <w:shd w:val="clear" w:color="auto" w:fill="auto"/>
            <w:noWrap/>
            <w:vAlign w:val="center"/>
            <w:hideMark/>
          </w:tcPr>
          <w:p w14:paraId="7AA7D3E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0.169</w:t>
            </w:r>
          </w:p>
        </w:tc>
        <w:tc>
          <w:tcPr>
            <w:tcW w:w="960" w:type="dxa"/>
            <w:tcBorders>
              <w:top w:val="nil"/>
              <w:left w:val="nil"/>
              <w:bottom w:val="single" w:sz="4" w:space="0" w:color="auto"/>
              <w:right w:val="single" w:sz="4" w:space="0" w:color="auto"/>
            </w:tcBorders>
            <w:shd w:val="clear" w:color="auto" w:fill="auto"/>
            <w:noWrap/>
            <w:vAlign w:val="center"/>
            <w:hideMark/>
          </w:tcPr>
          <w:p w14:paraId="1379770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0.018</w:t>
            </w:r>
          </w:p>
        </w:tc>
        <w:tc>
          <w:tcPr>
            <w:tcW w:w="960" w:type="dxa"/>
            <w:tcBorders>
              <w:top w:val="nil"/>
              <w:left w:val="nil"/>
              <w:bottom w:val="single" w:sz="4" w:space="0" w:color="auto"/>
              <w:right w:val="single" w:sz="4" w:space="0" w:color="auto"/>
            </w:tcBorders>
            <w:shd w:val="clear" w:color="auto" w:fill="auto"/>
            <w:noWrap/>
            <w:vAlign w:val="center"/>
            <w:hideMark/>
          </w:tcPr>
          <w:p w14:paraId="35D7F1E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0.364</w:t>
            </w:r>
          </w:p>
        </w:tc>
        <w:tc>
          <w:tcPr>
            <w:tcW w:w="960" w:type="dxa"/>
            <w:tcBorders>
              <w:top w:val="nil"/>
              <w:left w:val="nil"/>
              <w:bottom w:val="single" w:sz="4" w:space="0" w:color="auto"/>
              <w:right w:val="single" w:sz="4" w:space="0" w:color="auto"/>
            </w:tcBorders>
            <w:shd w:val="clear" w:color="auto" w:fill="auto"/>
            <w:noWrap/>
            <w:vAlign w:val="center"/>
            <w:hideMark/>
          </w:tcPr>
          <w:p w14:paraId="3867104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0.056</w:t>
            </w:r>
          </w:p>
        </w:tc>
        <w:tc>
          <w:tcPr>
            <w:tcW w:w="960" w:type="dxa"/>
            <w:tcBorders>
              <w:top w:val="nil"/>
              <w:left w:val="nil"/>
              <w:bottom w:val="single" w:sz="4" w:space="0" w:color="auto"/>
              <w:right w:val="single" w:sz="4" w:space="0" w:color="auto"/>
            </w:tcBorders>
            <w:shd w:val="clear" w:color="auto" w:fill="auto"/>
            <w:noWrap/>
            <w:vAlign w:val="center"/>
            <w:hideMark/>
          </w:tcPr>
          <w:p w14:paraId="64E7DE23"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0.860</w:t>
            </w:r>
          </w:p>
        </w:tc>
        <w:tc>
          <w:tcPr>
            <w:tcW w:w="960" w:type="dxa"/>
            <w:tcBorders>
              <w:top w:val="nil"/>
              <w:left w:val="nil"/>
              <w:bottom w:val="single" w:sz="4" w:space="0" w:color="auto"/>
              <w:right w:val="single" w:sz="4" w:space="0" w:color="auto"/>
            </w:tcBorders>
            <w:shd w:val="clear" w:color="auto" w:fill="auto"/>
            <w:noWrap/>
            <w:vAlign w:val="center"/>
            <w:hideMark/>
          </w:tcPr>
          <w:p w14:paraId="2E41D1F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0.042</w:t>
            </w:r>
          </w:p>
        </w:tc>
      </w:tr>
      <w:tr w:rsidR="005976AB" w:rsidRPr="005635E7" w14:paraId="43834FF4"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51220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SP2</w:t>
            </w:r>
          </w:p>
        </w:tc>
        <w:tc>
          <w:tcPr>
            <w:tcW w:w="960" w:type="dxa"/>
            <w:tcBorders>
              <w:top w:val="nil"/>
              <w:left w:val="nil"/>
              <w:bottom w:val="single" w:sz="4" w:space="0" w:color="auto"/>
              <w:right w:val="single" w:sz="4" w:space="0" w:color="auto"/>
            </w:tcBorders>
            <w:shd w:val="clear" w:color="auto" w:fill="auto"/>
            <w:noWrap/>
            <w:vAlign w:val="center"/>
            <w:hideMark/>
          </w:tcPr>
          <w:p w14:paraId="279408E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0.285</w:t>
            </w:r>
          </w:p>
        </w:tc>
        <w:tc>
          <w:tcPr>
            <w:tcW w:w="960" w:type="dxa"/>
            <w:tcBorders>
              <w:top w:val="nil"/>
              <w:left w:val="nil"/>
              <w:bottom w:val="single" w:sz="4" w:space="0" w:color="auto"/>
              <w:right w:val="single" w:sz="4" w:space="0" w:color="auto"/>
            </w:tcBorders>
            <w:shd w:val="clear" w:color="auto" w:fill="auto"/>
            <w:noWrap/>
            <w:vAlign w:val="center"/>
            <w:hideMark/>
          </w:tcPr>
          <w:p w14:paraId="7525E73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-0.012</w:t>
            </w:r>
          </w:p>
        </w:tc>
        <w:tc>
          <w:tcPr>
            <w:tcW w:w="960" w:type="dxa"/>
            <w:tcBorders>
              <w:top w:val="nil"/>
              <w:left w:val="nil"/>
              <w:bottom w:val="single" w:sz="4" w:space="0" w:color="auto"/>
              <w:right w:val="single" w:sz="4" w:space="0" w:color="auto"/>
            </w:tcBorders>
            <w:shd w:val="clear" w:color="auto" w:fill="auto"/>
            <w:noWrap/>
            <w:vAlign w:val="center"/>
            <w:hideMark/>
          </w:tcPr>
          <w:p w14:paraId="4A23573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0.167</w:t>
            </w:r>
          </w:p>
        </w:tc>
        <w:tc>
          <w:tcPr>
            <w:tcW w:w="960" w:type="dxa"/>
            <w:tcBorders>
              <w:top w:val="nil"/>
              <w:left w:val="nil"/>
              <w:bottom w:val="single" w:sz="4" w:space="0" w:color="auto"/>
              <w:right w:val="single" w:sz="4" w:space="0" w:color="auto"/>
            </w:tcBorders>
            <w:shd w:val="clear" w:color="auto" w:fill="auto"/>
            <w:noWrap/>
            <w:vAlign w:val="center"/>
            <w:hideMark/>
          </w:tcPr>
          <w:p w14:paraId="48D66C3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0.081</w:t>
            </w:r>
          </w:p>
        </w:tc>
        <w:tc>
          <w:tcPr>
            <w:tcW w:w="960" w:type="dxa"/>
            <w:tcBorders>
              <w:top w:val="nil"/>
              <w:left w:val="nil"/>
              <w:bottom w:val="single" w:sz="4" w:space="0" w:color="auto"/>
              <w:right w:val="single" w:sz="4" w:space="0" w:color="auto"/>
            </w:tcBorders>
            <w:shd w:val="clear" w:color="auto" w:fill="auto"/>
            <w:noWrap/>
            <w:vAlign w:val="center"/>
            <w:hideMark/>
          </w:tcPr>
          <w:p w14:paraId="6501740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0.350</w:t>
            </w:r>
          </w:p>
        </w:tc>
        <w:tc>
          <w:tcPr>
            <w:tcW w:w="960" w:type="dxa"/>
            <w:tcBorders>
              <w:top w:val="nil"/>
              <w:left w:val="nil"/>
              <w:bottom w:val="single" w:sz="4" w:space="0" w:color="auto"/>
              <w:right w:val="single" w:sz="4" w:space="0" w:color="auto"/>
            </w:tcBorders>
            <w:shd w:val="clear" w:color="auto" w:fill="auto"/>
            <w:noWrap/>
            <w:vAlign w:val="center"/>
            <w:hideMark/>
          </w:tcPr>
          <w:p w14:paraId="03CC534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0.109</w:t>
            </w:r>
          </w:p>
        </w:tc>
        <w:tc>
          <w:tcPr>
            <w:tcW w:w="960" w:type="dxa"/>
            <w:tcBorders>
              <w:top w:val="nil"/>
              <w:left w:val="nil"/>
              <w:bottom w:val="single" w:sz="4" w:space="0" w:color="auto"/>
              <w:right w:val="single" w:sz="4" w:space="0" w:color="auto"/>
            </w:tcBorders>
            <w:shd w:val="clear" w:color="auto" w:fill="auto"/>
            <w:noWrap/>
            <w:vAlign w:val="center"/>
            <w:hideMark/>
          </w:tcPr>
          <w:p w14:paraId="50A2DF58"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0.907</w:t>
            </w:r>
          </w:p>
        </w:tc>
        <w:tc>
          <w:tcPr>
            <w:tcW w:w="960" w:type="dxa"/>
            <w:tcBorders>
              <w:top w:val="nil"/>
              <w:left w:val="nil"/>
              <w:bottom w:val="single" w:sz="4" w:space="0" w:color="auto"/>
              <w:right w:val="single" w:sz="4" w:space="0" w:color="auto"/>
            </w:tcBorders>
            <w:shd w:val="clear" w:color="auto" w:fill="auto"/>
            <w:noWrap/>
            <w:vAlign w:val="center"/>
            <w:hideMark/>
          </w:tcPr>
          <w:p w14:paraId="135F210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0.000</w:t>
            </w:r>
          </w:p>
        </w:tc>
      </w:tr>
      <w:tr w:rsidR="005976AB" w:rsidRPr="005635E7" w14:paraId="2B41C7D3"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9F1CE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TR1</w:t>
            </w:r>
          </w:p>
        </w:tc>
        <w:tc>
          <w:tcPr>
            <w:tcW w:w="960" w:type="dxa"/>
            <w:tcBorders>
              <w:top w:val="nil"/>
              <w:left w:val="nil"/>
              <w:bottom w:val="single" w:sz="4" w:space="0" w:color="auto"/>
              <w:right w:val="single" w:sz="4" w:space="0" w:color="auto"/>
            </w:tcBorders>
            <w:shd w:val="clear" w:color="auto" w:fill="auto"/>
            <w:noWrap/>
            <w:vAlign w:val="center"/>
            <w:hideMark/>
          </w:tcPr>
          <w:p w14:paraId="3623CA6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0.359</w:t>
            </w:r>
          </w:p>
        </w:tc>
        <w:tc>
          <w:tcPr>
            <w:tcW w:w="960" w:type="dxa"/>
            <w:tcBorders>
              <w:top w:val="nil"/>
              <w:left w:val="nil"/>
              <w:bottom w:val="single" w:sz="4" w:space="0" w:color="auto"/>
              <w:right w:val="single" w:sz="4" w:space="0" w:color="auto"/>
            </w:tcBorders>
            <w:shd w:val="clear" w:color="auto" w:fill="auto"/>
            <w:noWrap/>
            <w:vAlign w:val="center"/>
            <w:hideMark/>
          </w:tcPr>
          <w:p w14:paraId="1618325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0.269</w:t>
            </w:r>
          </w:p>
        </w:tc>
        <w:tc>
          <w:tcPr>
            <w:tcW w:w="960" w:type="dxa"/>
            <w:tcBorders>
              <w:top w:val="nil"/>
              <w:left w:val="nil"/>
              <w:bottom w:val="single" w:sz="4" w:space="0" w:color="auto"/>
              <w:right w:val="single" w:sz="4" w:space="0" w:color="auto"/>
            </w:tcBorders>
            <w:shd w:val="clear" w:color="auto" w:fill="auto"/>
            <w:noWrap/>
            <w:vAlign w:val="center"/>
            <w:hideMark/>
          </w:tcPr>
          <w:p w14:paraId="394F656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0.067</w:t>
            </w:r>
          </w:p>
        </w:tc>
        <w:tc>
          <w:tcPr>
            <w:tcW w:w="960" w:type="dxa"/>
            <w:tcBorders>
              <w:top w:val="nil"/>
              <w:left w:val="nil"/>
              <w:bottom w:val="single" w:sz="4" w:space="0" w:color="auto"/>
              <w:right w:val="single" w:sz="4" w:space="0" w:color="auto"/>
            </w:tcBorders>
            <w:shd w:val="clear" w:color="auto" w:fill="auto"/>
            <w:noWrap/>
            <w:vAlign w:val="center"/>
            <w:hideMark/>
          </w:tcPr>
          <w:p w14:paraId="35F1222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0.141</w:t>
            </w:r>
          </w:p>
        </w:tc>
        <w:tc>
          <w:tcPr>
            <w:tcW w:w="960" w:type="dxa"/>
            <w:tcBorders>
              <w:top w:val="nil"/>
              <w:left w:val="nil"/>
              <w:bottom w:val="single" w:sz="4" w:space="0" w:color="auto"/>
              <w:right w:val="single" w:sz="4" w:space="0" w:color="auto"/>
            </w:tcBorders>
            <w:shd w:val="clear" w:color="auto" w:fill="auto"/>
            <w:noWrap/>
            <w:vAlign w:val="center"/>
            <w:hideMark/>
          </w:tcPr>
          <w:p w14:paraId="7EB87C9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0.169</w:t>
            </w:r>
          </w:p>
        </w:tc>
        <w:tc>
          <w:tcPr>
            <w:tcW w:w="960" w:type="dxa"/>
            <w:tcBorders>
              <w:top w:val="nil"/>
              <w:left w:val="nil"/>
              <w:bottom w:val="single" w:sz="4" w:space="0" w:color="auto"/>
              <w:right w:val="single" w:sz="4" w:space="0" w:color="auto"/>
            </w:tcBorders>
            <w:shd w:val="clear" w:color="auto" w:fill="auto"/>
            <w:noWrap/>
            <w:vAlign w:val="center"/>
            <w:hideMark/>
          </w:tcPr>
          <w:p w14:paraId="0691D80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0.462</w:t>
            </w:r>
          </w:p>
        </w:tc>
        <w:tc>
          <w:tcPr>
            <w:tcW w:w="960" w:type="dxa"/>
            <w:tcBorders>
              <w:top w:val="nil"/>
              <w:left w:val="nil"/>
              <w:bottom w:val="single" w:sz="4" w:space="0" w:color="auto"/>
              <w:right w:val="single" w:sz="4" w:space="0" w:color="auto"/>
            </w:tcBorders>
            <w:shd w:val="clear" w:color="auto" w:fill="auto"/>
            <w:noWrap/>
            <w:vAlign w:val="center"/>
            <w:hideMark/>
          </w:tcPr>
          <w:p w14:paraId="2419263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0.041</w:t>
            </w:r>
          </w:p>
        </w:tc>
        <w:tc>
          <w:tcPr>
            <w:tcW w:w="960" w:type="dxa"/>
            <w:tcBorders>
              <w:top w:val="nil"/>
              <w:left w:val="nil"/>
              <w:bottom w:val="single" w:sz="4" w:space="0" w:color="auto"/>
              <w:right w:val="single" w:sz="4" w:space="0" w:color="auto"/>
            </w:tcBorders>
            <w:shd w:val="clear" w:color="auto" w:fill="auto"/>
            <w:noWrap/>
            <w:vAlign w:val="center"/>
            <w:hideMark/>
          </w:tcPr>
          <w:p w14:paraId="73DAC844"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0.811</w:t>
            </w:r>
          </w:p>
        </w:tc>
      </w:tr>
      <w:tr w:rsidR="005976AB" w:rsidRPr="005635E7" w14:paraId="776A0111"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9BAB8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TR2</w:t>
            </w:r>
          </w:p>
        </w:tc>
        <w:tc>
          <w:tcPr>
            <w:tcW w:w="960" w:type="dxa"/>
            <w:tcBorders>
              <w:top w:val="nil"/>
              <w:left w:val="nil"/>
              <w:bottom w:val="single" w:sz="4" w:space="0" w:color="auto"/>
              <w:right w:val="single" w:sz="4" w:space="0" w:color="auto"/>
            </w:tcBorders>
            <w:shd w:val="clear" w:color="auto" w:fill="auto"/>
            <w:noWrap/>
            <w:vAlign w:val="center"/>
            <w:hideMark/>
          </w:tcPr>
          <w:p w14:paraId="100FB3D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0.310</w:t>
            </w:r>
          </w:p>
        </w:tc>
        <w:tc>
          <w:tcPr>
            <w:tcW w:w="960" w:type="dxa"/>
            <w:tcBorders>
              <w:top w:val="nil"/>
              <w:left w:val="nil"/>
              <w:bottom w:val="single" w:sz="4" w:space="0" w:color="auto"/>
              <w:right w:val="single" w:sz="4" w:space="0" w:color="auto"/>
            </w:tcBorders>
            <w:shd w:val="clear" w:color="auto" w:fill="auto"/>
            <w:noWrap/>
            <w:vAlign w:val="center"/>
            <w:hideMark/>
          </w:tcPr>
          <w:p w14:paraId="4572B3C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0.125</w:t>
            </w:r>
          </w:p>
        </w:tc>
        <w:tc>
          <w:tcPr>
            <w:tcW w:w="960" w:type="dxa"/>
            <w:tcBorders>
              <w:top w:val="nil"/>
              <w:left w:val="nil"/>
              <w:bottom w:val="single" w:sz="4" w:space="0" w:color="auto"/>
              <w:right w:val="single" w:sz="4" w:space="0" w:color="auto"/>
            </w:tcBorders>
            <w:shd w:val="clear" w:color="auto" w:fill="auto"/>
            <w:noWrap/>
            <w:vAlign w:val="center"/>
            <w:hideMark/>
          </w:tcPr>
          <w:p w14:paraId="5C683C2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0.179</w:t>
            </w:r>
          </w:p>
        </w:tc>
        <w:tc>
          <w:tcPr>
            <w:tcW w:w="960" w:type="dxa"/>
            <w:tcBorders>
              <w:top w:val="nil"/>
              <w:left w:val="nil"/>
              <w:bottom w:val="single" w:sz="4" w:space="0" w:color="auto"/>
              <w:right w:val="single" w:sz="4" w:space="0" w:color="auto"/>
            </w:tcBorders>
            <w:shd w:val="clear" w:color="auto" w:fill="auto"/>
            <w:noWrap/>
            <w:vAlign w:val="center"/>
            <w:hideMark/>
          </w:tcPr>
          <w:p w14:paraId="25D9647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0.048</w:t>
            </w:r>
          </w:p>
        </w:tc>
        <w:tc>
          <w:tcPr>
            <w:tcW w:w="960" w:type="dxa"/>
            <w:tcBorders>
              <w:top w:val="nil"/>
              <w:left w:val="nil"/>
              <w:bottom w:val="single" w:sz="4" w:space="0" w:color="auto"/>
              <w:right w:val="single" w:sz="4" w:space="0" w:color="auto"/>
            </w:tcBorders>
            <w:shd w:val="clear" w:color="auto" w:fill="auto"/>
            <w:noWrap/>
            <w:vAlign w:val="center"/>
            <w:hideMark/>
          </w:tcPr>
          <w:p w14:paraId="1FF0D69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0.032</w:t>
            </w:r>
          </w:p>
        </w:tc>
        <w:tc>
          <w:tcPr>
            <w:tcW w:w="960" w:type="dxa"/>
            <w:tcBorders>
              <w:top w:val="nil"/>
              <w:left w:val="nil"/>
              <w:bottom w:val="single" w:sz="4" w:space="0" w:color="auto"/>
              <w:right w:val="single" w:sz="4" w:space="0" w:color="auto"/>
            </w:tcBorders>
            <w:shd w:val="clear" w:color="auto" w:fill="auto"/>
            <w:noWrap/>
            <w:vAlign w:val="center"/>
            <w:hideMark/>
          </w:tcPr>
          <w:p w14:paraId="75654E1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0.387</w:t>
            </w:r>
          </w:p>
        </w:tc>
        <w:tc>
          <w:tcPr>
            <w:tcW w:w="960" w:type="dxa"/>
            <w:tcBorders>
              <w:top w:val="nil"/>
              <w:left w:val="nil"/>
              <w:bottom w:val="single" w:sz="4" w:space="0" w:color="auto"/>
              <w:right w:val="single" w:sz="4" w:space="0" w:color="auto"/>
            </w:tcBorders>
            <w:shd w:val="clear" w:color="auto" w:fill="auto"/>
            <w:noWrap/>
            <w:vAlign w:val="center"/>
            <w:hideMark/>
          </w:tcPr>
          <w:p w14:paraId="4A72F15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-0.025</w:t>
            </w:r>
          </w:p>
        </w:tc>
        <w:tc>
          <w:tcPr>
            <w:tcW w:w="960" w:type="dxa"/>
            <w:tcBorders>
              <w:top w:val="nil"/>
              <w:left w:val="nil"/>
              <w:bottom w:val="single" w:sz="4" w:space="0" w:color="auto"/>
              <w:right w:val="single" w:sz="4" w:space="0" w:color="auto"/>
            </w:tcBorders>
            <w:shd w:val="clear" w:color="auto" w:fill="auto"/>
            <w:noWrap/>
            <w:vAlign w:val="center"/>
            <w:hideMark/>
          </w:tcPr>
          <w:p w14:paraId="36A1C75D"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0.787</w:t>
            </w:r>
          </w:p>
        </w:tc>
      </w:tr>
      <w:tr w:rsidR="005976AB" w:rsidRPr="005635E7" w14:paraId="48BCC7A8"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B7D18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TR3</w:t>
            </w:r>
          </w:p>
        </w:tc>
        <w:tc>
          <w:tcPr>
            <w:tcW w:w="960" w:type="dxa"/>
            <w:tcBorders>
              <w:top w:val="nil"/>
              <w:left w:val="nil"/>
              <w:bottom w:val="single" w:sz="4" w:space="0" w:color="auto"/>
              <w:right w:val="single" w:sz="4" w:space="0" w:color="auto"/>
            </w:tcBorders>
            <w:shd w:val="clear" w:color="auto" w:fill="auto"/>
            <w:noWrap/>
            <w:vAlign w:val="center"/>
            <w:hideMark/>
          </w:tcPr>
          <w:p w14:paraId="7EEEE91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0.260</w:t>
            </w:r>
          </w:p>
        </w:tc>
        <w:tc>
          <w:tcPr>
            <w:tcW w:w="960" w:type="dxa"/>
            <w:tcBorders>
              <w:top w:val="nil"/>
              <w:left w:val="nil"/>
              <w:bottom w:val="single" w:sz="4" w:space="0" w:color="auto"/>
              <w:right w:val="single" w:sz="4" w:space="0" w:color="auto"/>
            </w:tcBorders>
            <w:shd w:val="clear" w:color="auto" w:fill="auto"/>
            <w:noWrap/>
            <w:vAlign w:val="center"/>
            <w:hideMark/>
          </w:tcPr>
          <w:p w14:paraId="2E71BDA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0.143</w:t>
            </w:r>
          </w:p>
        </w:tc>
        <w:tc>
          <w:tcPr>
            <w:tcW w:w="960" w:type="dxa"/>
            <w:tcBorders>
              <w:top w:val="nil"/>
              <w:left w:val="nil"/>
              <w:bottom w:val="single" w:sz="4" w:space="0" w:color="auto"/>
              <w:right w:val="single" w:sz="4" w:space="0" w:color="auto"/>
            </w:tcBorders>
            <w:shd w:val="clear" w:color="auto" w:fill="auto"/>
            <w:noWrap/>
            <w:vAlign w:val="center"/>
            <w:hideMark/>
          </w:tcPr>
          <w:p w14:paraId="5C865BE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0.138</w:t>
            </w:r>
          </w:p>
        </w:tc>
        <w:tc>
          <w:tcPr>
            <w:tcW w:w="960" w:type="dxa"/>
            <w:tcBorders>
              <w:top w:val="nil"/>
              <w:left w:val="nil"/>
              <w:bottom w:val="single" w:sz="4" w:space="0" w:color="auto"/>
              <w:right w:val="single" w:sz="4" w:space="0" w:color="auto"/>
            </w:tcBorders>
            <w:shd w:val="clear" w:color="auto" w:fill="auto"/>
            <w:noWrap/>
            <w:vAlign w:val="center"/>
            <w:hideMark/>
          </w:tcPr>
          <w:p w14:paraId="2980A6C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0.022</w:t>
            </w:r>
          </w:p>
        </w:tc>
        <w:tc>
          <w:tcPr>
            <w:tcW w:w="960" w:type="dxa"/>
            <w:tcBorders>
              <w:top w:val="nil"/>
              <w:left w:val="nil"/>
              <w:bottom w:val="single" w:sz="4" w:space="0" w:color="auto"/>
              <w:right w:val="single" w:sz="4" w:space="0" w:color="auto"/>
            </w:tcBorders>
            <w:shd w:val="clear" w:color="auto" w:fill="auto"/>
            <w:noWrap/>
            <w:vAlign w:val="center"/>
            <w:hideMark/>
          </w:tcPr>
          <w:p w14:paraId="4789FAE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0.109</w:t>
            </w:r>
          </w:p>
        </w:tc>
        <w:tc>
          <w:tcPr>
            <w:tcW w:w="960" w:type="dxa"/>
            <w:tcBorders>
              <w:top w:val="nil"/>
              <w:left w:val="nil"/>
              <w:bottom w:val="single" w:sz="4" w:space="0" w:color="auto"/>
              <w:right w:val="single" w:sz="4" w:space="0" w:color="auto"/>
            </w:tcBorders>
            <w:shd w:val="clear" w:color="auto" w:fill="auto"/>
            <w:noWrap/>
            <w:vAlign w:val="center"/>
            <w:hideMark/>
          </w:tcPr>
          <w:p w14:paraId="136C348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0.361</w:t>
            </w:r>
          </w:p>
        </w:tc>
        <w:tc>
          <w:tcPr>
            <w:tcW w:w="960" w:type="dxa"/>
            <w:tcBorders>
              <w:top w:val="nil"/>
              <w:left w:val="nil"/>
              <w:bottom w:val="single" w:sz="4" w:space="0" w:color="auto"/>
              <w:right w:val="single" w:sz="4" w:space="0" w:color="auto"/>
            </w:tcBorders>
            <w:shd w:val="clear" w:color="auto" w:fill="auto"/>
            <w:noWrap/>
            <w:vAlign w:val="center"/>
            <w:hideMark/>
          </w:tcPr>
          <w:p w14:paraId="392733F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-0.063</w:t>
            </w:r>
          </w:p>
        </w:tc>
        <w:tc>
          <w:tcPr>
            <w:tcW w:w="960" w:type="dxa"/>
            <w:tcBorders>
              <w:top w:val="nil"/>
              <w:left w:val="nil"/>
              <w:bottom w:val="single" w:sz="4" w:space="0" w:color="auto"/>
              <w:right w:val="single" w:sz="4" w:space="0" w:color="auto"/>
            </w:tcBorders>
            <w:shd w:val="clear" w:color="auto" w:fill="auto"/>
            <w:noWrap/>
            <w:vAlign w:val="center"/>
            <w:hideMark/>
          </w:tcPr>
          <w:p w14:paraId="30019BA5"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0.763</w:t>
            </w:r>
          </w:p>
        </w:tc>
      </w:tr>
      <w:tr w:rsidR="005976AB" w:rsidRPr="005635E7" w14:paraId="75EA8D8C"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44532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TR4</w:t>
            </w:r>
          </w:p>
        </w:tc>
        <w:tc>
          <w:tcPr>
            <w:tcW w:w="960" w:type="dxa"/>
            <w:tcBorders>
              <w:top w:val="nil"/>
              <w:left w:val="nil"/>
              <w:bottom w:val="single" w:sz="4" w:space="0" w:color="auto"/>
              <w:right w:val="single" w:sz="4" w:space="0" w:color="auto"/>
            </w:tcBorders>
            <w:shd w:val="clear" w:color="auto" w:fill="auto"/>
            <w:noWrap/>
            <w:vAlign w:val="center"/>
            <w:hideMark/>
          </w:tcPr>
          <w:p w14:paraId="1136877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0.472</w:t>
            </w:r>
          </w:p>
        </w:tc>
        <w:tc>
          <w:tcPr>
            <w:tcW w:w="960" w:type="dxa"/>
            <w:tcBorders>
              <w:top w:val="nil"/>
              <w:left w:val="nil"/>
              <w:bottom w:val="single" w:sz="4" w:space="0" w:color="auto"/>
              <w:right w:val="single" w:sz="4" w:space="0" w:color="auto"/>
            </w:tcBorders>
            <w:shd w:val="clear" w:color="auto" w:fill="auto"/>
            <w:noWrap/>
            <w:vAlign w:val="center"/>
            <w:hideMark/>
          </w:tcPr>
          <w:p w14:paraId="73F8801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0.211</w:t>
            </w:r>
          </w:p>
        </w:tc>
        <w:tc>
          <w:tcPr>
            <w:tcW w:w="960" w:type="dxa"/>
            <w:tcBorders>
              <w:top w:val="nil"/>
              <w:left w:val="nil"/>
              <w:bottom w:val="single" w:sz="4" w:space="0" w:color="auto"/>
              <w:right w:val="single" w:sz="4" w:space="0" w:color="auto"/>
            </w:tcBorders>
            <w:shd w:val="clear" w:color="auto" w:fill="auto"/>
            <w:noWrap/>
            <w:vAlign w:val="center"/>
            <w:hideMark/>
          </w:tcPr>
          <w:p w14:paraId="1F57606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0.081</w:t>
            </w:r>
          </w:p>
        </w:tc>
        <w:tc>
          <w:tcPr>
            <w:tcW w:w="960" w:type="dxa"/>
            <w:tcBorders>
              <w:top w:val="nil"/>
              <w:left w:val="nil"/>
              <w:bottom w:val="single" w:sz="4" w:space="0" w:color="auto"/>
              <w:right w:val="single" w:sz="4" w:space="0" w:color="auto"/>
            </w:tcBorders>
            <w:shd w:val="clear" w:color="auto" w:fill="auto"/>
            <w:noWrap/>
            <w:vAlign w:val="center"/>
            <w:hideMark/>
          </w:tcPr>
          <w:p w14:paraId="761A2C1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0.177</w:t>
            </w:r>
          </w:p>
        </w:tc>
        <w:tc>
          <w:tcPr>
            <w:tcW w:w="960" w:type="dxa"/>
            <w:tcBorders>
              <w:top w:val="nil"/>
              <w:left w:val="nil"/>
              <w:bottom w:val="single" w:sz="4" w:space="0" w:color="auto"/>
              <w:right w:val="single" w:sz="4" w:space="0" w:color="auto"/>
            </w:tcBorders>
            <w:shd w:val="clear" w:color="auto" w:fill="auto"/>
            <w:noWrap/>
            <w:vAlign w:val="center"/>
            <w:hideMark/>
          </w:tcPr>
          <w:p w14:paraId="651AD5B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0.219</w:t>
            </w:r>
          </w:p>
        </w:tc>
        <w:tc>
          <w:tcPr>
            <w:tcW w:w="960" w:type="dxa"/>
            <w:tcBorders>
              <w:top w:val="nil"/>
              <w:left w:val="nil"/>
              <w:bottom w:val="single" w:sz="4" w:space="0" w:color="auto"/>
              <w:right w:val="single" w:sz="4" w:space="0" w:color="auto"/>
            </w:tcBorders>
            <w:shd w:val="clear" w:color="auto" w:fill="auto"/>
            <w:noWrap/>
            <w:vAlign w:val="center"/>
            <w:hideMark/>
          </w:tcPr>
          <w:p w14:paraId="5186638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0.471</w:t>
            </w:r>
          </w:p>
        </w:tc>
        <w:tc>
          <w:tcPr>
            <w:tcW w:w="960" w:type="dxa"/>
            <w:tcBorders>
              <w:top w:val="nil"/>
              <w:left w:val="nil"/>
              <w:bottom w:val="single" w:sz="4" w:space="0" w:color="auto"/>
              <w:right w:val="single" w:sz="4" w:space="0" w:color="auto"/>
            </w:tcBorders>
            <w:shd w:val="clear" w:color="auto" w:fill="auto"/>
            <w:noWrap/>
            <w:vAlign w:val="center"/>
            <w:hideMark/>
          </w:tcPr>
          <w:p w14:paraId="2BA5819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0.096</w:t>
            </w:r>
          </w:p>
        </w:tc>
        <w:tc>
          <w:tcPr>
            <w:tcW w:w="960" w:type="dxa"/>
            <w:tcBorders>
              <w:top w:val="nil"/>
              <w:left w:val="nil"/>
              <w:bottom w:val="single" w:sz="4" w:space="0" w:color="auto"/>
              <w:right w:val="single" w:sz="4" w:space="0" w:color="auto"/>
            </w:tcBorders>
            <w:shd w:val="clear" w:color="auto" w:fill="auto"/>
            <w:noWrap/>
            <w:vAlign w:val="center"/>
            <w:hideMark/>
          </w:tcPr>
          <w:p w14:paraId="0769839B" w14:textId="77777777" w:rsidR="005976AB" w:rsidRPr="005635E7" w:rsidRDefault="005976AB" w:rsidP="009E2F41">
            <w:pPr>
              <w:jc w:val="both"/>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0.784</w:t>
            </w:r>
          </w:p>
        </w:tc>
      </w:tr>
    </w:tbl>
    <w:p w14:paraId="4245358F" w14:textId="77777777" w:rsidR="005976AB" w:rsidRDefault="005976AB" w:rsidP="005976AB">
      <w:pPr>
        <w:spacing w:after="240"/>
        <w:rPr>
          <w:rFonts w:asciiTheme="majorBidi" w:hAnsiTheme="majorBidi" w:cstheme="majorBidi"/>
          <w:i/>
          <w:iCs/>
        </w:rPr>
      </w:pPr>
      <w:r w:rsidRPr="005635E7">
        <w:rPr>
          <w:rFonts w:asciiTheme="majorBidi" w:hAnsiTheme="majorBidi" w:cstheme="majorBidi"/>
          <w:i/>
          <w:iCs/>
        </w:rPr>
        <w:t xml:space="preserve">Note: Managerial commitment (MC); Systems perspective (SP); Openness and experimentation (EX); Knowledge transfer and integration (TR); Inbound open innovation practices (IP); Outbound open innovation practices (OP); </w:t>
      </w:r>
    </w:p>
    <w:p w14:paraId="742498F8" w14:textId="77777777" w:rsidR="005976AB" w:rsidRPr="005635E7" w:rsidRDefault="005976AB" w:rsidP="005976AB">
      <w:pPr>
        <w:spacing w:after="240"/>
        <w:rPr>
          <w:rFonts w:asciiTheme="majorBidi" w:hAnsiTheme="majorBidi" w:cstheme="majorBidi"/>
          <w:i/>
          <w:iCs/>
        </w:rPr>
      </w:pPr>
      <w:r w:rsidRPr="005635E7">
        <w:rPr>
          <w:rFonts w:asciiTheme="majorBidi" w:hAnsiTheme="majorBidi" w:cstheme="majorBidi"/>
          <w:i/>
          <w:iCs/>
        </w:rPr>
        <w:t xml:space="preserve"> (ME); Profitability (P)</w:t>
      </w:r>
    </w:p>
    <w:p w14:paraId="3B0D631F" w14:textId="77777777" w:rsidR="005976AB" w:rsidRPr="005635E7" w:rsidRDefault="005976AB" w:rsidP="005976AB">
      <w:pPr>
        <w:shd w:val="clear" w:color="auto" w:fill="FFFFFF"/>
        <w:spacing w:line="480" w:lineRule="auto"/>
        <w:jc w:val="both"/>
        <w:rPr>
          <w:rFonts w:asciiTheme="majorBidi" w:eastAsia="Times New Roman" w:hAnsiTheme="majorBidi" w:cstheme="majorBidi"/>
          <w:lang w:eastAsia="en-GB"/>
        </w:rPr>
      </w:pPr>
      <w:r w:rsidRPr="005635E7">
        <w:rPr>
          <w:rFonts w:asciiTheme="majorBidi" w:hAnsiTheme="majorBidi" w:cstheme="majorBidi"/>
        </w:rPr>
        <w:t xml:space="preserve">According to Hair et al. (2010), </w:t>
      </w:r>
      <w:r w:rsidRPr="005635E7">
        <w:rPr>
          <w:rFonts w:ascii="Times New Roman" w:eastAsia="Calibri" w:hAnsi="Times New Roman" w:cs="Times New Roman"/>
        </w:rPr>
        <w:t xml:space="preserve">poor or dirty loadings were considered if the factor loading </w:t>
      </w:r>
      <w:r w:rsidRPr="005635E7">
        <w:rPr>
          <w:rFonts w:asciiTheme="majorBidi" w:hAnsiTheme="majorBidi" w:cstheme="majorBidi"/>
        </w:rPr>
        <w:t xml:space="preserve">with respect to an item was less than 0.6. Consequently, 72 observations were deleted from </w:t>
      </w:r>
      <w:r w:rsidRPr="005635E7">
        <w:rPr>
          <w:rFonts w:ascii="Times New Roman" w:eastAsia="Calibri" w:hAnsi="Times New Roman" w:cs="Times New Roman"/>
        </w:rPr>
        <w:t xml:space="preserve">the EEA </w:t>
      </w:r>
      <w:r w:rsidRPr="005635E7">
        <w:rPr>
          <w:rFonts w:asciiTheme="majorBidi" w:eastAsia="Times New Roman" w:hAnsiTheme="majorBidi" w:cstheme="majorBidi"/>
          <w:lang w:eastAsia="en-GB"/>
        </w:rPr>
        <w:t xml:space="preserve">based on suggestions provided by </w:t>
      </w:r>
      <w:r w:rsidRPr="005635E7">
        <w:rPr>
          <w:rFonts w:ascii="Times New Roman" w:eastAsia="Times New Roman" w:hAnsi="Times New Roman" w:cs="Times New Roman"/>
          <w:lang w:eastAsia="en-GB"/>
        </w:rPr>
        <w:t xml:space="preserve">the SmartPLS3 outputs. Moreover, two items from the IP construct were removed from the EFA </w:t>
      </w:r>
      <w:r w:rsidRPr="005635E7">
        <w:rPr>
          <w:rFonts w:asciiTheme="majorBidi" w:eastAsia="Times New Roman" w:hAnsiTheme="majorBidi" w:cstheme="majorBidi"/>
          <w:lang w:eastAsia="en-GB"/>
        </w:rPr>
        <w:t xml:space="preserve">because of </w:t>
      </w:r>
      <w:r w:rsidRPr="005635E7">
        <w:rPr>
          <w:rFonts w:ascii="Times New Roman" w:eastAsia="Times New Roman" w:hAnsi="Times New Roman" w:cs="Times New Roman"/>
          <w:lang w:eastAsia="en-GB"/>
        </w:rPr>
        <w:t>their poor loadings (Table 4.</w:t>
      </w:r>
      <w:r w:rsidRPr="005635E7">
        <w:rPr>
          <w:rFonts w:asciiTheme="majorBidi" w:eastAsia="Times New Roman" w:hAnsiTheme="majorBidi" w:cstheme="majorBidi"/>
          <w:lang w:eastAsia="en-GB"/>
        </w:rPr>
        <w:t>2).</w:t>
      </w:r>
    </w:p>
    <w:p w14:paraId="0BA06E03" w14:textId="77777777" w:rsidR="005976AB" w:rsidRPr="005635E7" w:rsidRDefault="005976AB" w:rsidP="005976AB">
      <w:pPr>
        <w:shd w:val="clear" w:color="auto" w:fill="FFFFFF"/>
        <w:spacing w:line="480" w:lineRule="auto"/>
        <w:jc w:val="both"/>
        <w:rPr>
          <w:rFonts w:asciiTheme="majorBidi" w:eastAsia="Times New Roman" w:hAnsiTheme="majorBidi" w:cstheme="majorBidi"/>
          <w:lang w:eastAsia="en-GB"/>
        </w:rPr>
      </w:pPr>
    </w:p>
    <w:p w14:paraId="24A92316" w14:textId="77777777" w:rsidR="005976AB" w:rsidRPr="005635E7" w:rsidRDefault="005976AB" w:rsidP="005976AB">
      <w:pPr>
        <w:pStyle w:val="Caption"/>
        <w:keepNext/>
        <w:jc w:val="both"/>
        <w:rPr>
          <w:rFonts w:asciiTheme="majorBidi" w:hAnsiTheme="majorBidi" w:cstheme="majorBidi"/>
          <w:i w:val="0"/>
          <w:iCs w:val="0"/>
          <w:color w:val="auto"/>
          <w:sz w:val="24"/>
          <w:szCs w:val="24"/>
        </w:rPr>
      </w:pPr>
      <w:bookmarkStart w:id="97" w:name="_Toc126377960"/>
      <w:r w:rsidRPr="005635E7">
        <w:rPr>
          <w:rFonts w:asciiTheme="majorBidi" w:hAnsiTheme="majorBidi" w:cstheme="majorBidi"/>
          <w:i w:val="0"/>
          <w:iCs w:val="0"/>
          <w:color w:val="auto"/>
          <w:sz w:val="24"/>
          <w:szCs w:val="24"/>
        </w:rPr>
        <w:t>Table 4.</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STYLEREF 1 \s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color w:val="auto"/>
          <w:sz w:val="24"/>
          <w:szCs w:val="24"/>
          <w:cs/>
        </w:rPr>
        <w:t>‎</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2</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Variables eliminated from the EFA analysis</w:t>
      </w:r>
      <w:bookmarkEnd w:id="97"/>
    </w:p>
    <w:tbl>
      <w:tblPr>
        <w:tblStyle w:val="TableGrid"/>
        <w:tblW w:w="5000" w:type="pct"/>
        <w:tblLook w:val="04A0" w:firstRow="1" w:lastRow="0" w:firstColumn="1" w:lastColumn="0" w:noHBand="0" w:noVBand="1"/>
      </w:tblPr>
      <w:tblGrid>
        <w:gridCol w:w="1150"/>
        <w:gridCol w:w="7866"/>
      </w:tblGrid>
      <w:tr w:rsidR="005976AB" w:rsidRPr="005635E7" w14:paraId="223E5413" w14:textId="77777777" w:rsidTr="009E2F41">
        <w:trPr>
          <w:trHeight w:val="614"/>
        </w:trPr>
        <w:tc>
          <w:tcPr>
            <w:tcW w:w="594" w:type="pct"/>
          </w:tcPr>
          <w:p w14:paraId="07B3CD1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xml:space="preserve">Construct </w:t>
            </w:r>
          </w:p>
        </w:tc>
        <w:tc>
          <w:tcPr>
            <w:tcW w:w="4406" w:type="pct"/>
          </w:tcPr>
          <w:p w14:paraId="17D0043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xml:space="preserve">Item </w:t>
            </w:r>
          </w:p>
        </w:tc>
      </w:tr>
      <w:tr w:rsidR="005976AB" w:rsidRPr="005635E7" w14:paraId="717B2C06" w14:textId="77777777" w:rsidTr="009E2F41">
        <w:trPr>
          <w:trHeight w:val="1528"/>
        </w:trPr>
        <w:tc>
          <w:tcPr>
            <w:tcW w:w="594" w:type="pct"/>
            <w:hideMark/>
          </w:tcPr>
          <w:p w14:paraId="4C2C292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Inbound Practices (IP)</w:t>
            </w:r>
          </w:p>
        </w:tc>
        <w:tc>
          <w:tcPr>
            <w:tcW w:w="4406" w:type="pct"/>
            <w:hideMark/>
          </w:tcPr>
          <w:p w14:paraId="5534A01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IP1: All of our innovation projects require direct participation from external partners, including clients, rival businesses, academic institutions, consultants, suppliers, the government, and universities.</w:t>
            </w:r>
          </w:p>
          <w:p w14:paraId="5EEEEFD8" w14:textId="77777777" w:rsidR="005976AB" w:rsidRPr="005635E7" w:rsidRDefault="005976AB" w:rsidP="009E2F41">
            <w:pPr>
              <w:jc w:val="both"/>
              <w:rPr>
                <w:rFonts w:asciiTheme="majorBidi" w:eastAsia="Times New Roman" w:hAnsiTheme="majorBidi" w:cstheme="majorBidi"/>
                <w:lang w:eastAsia="en-GB"/>
              </w:rPr>
            </w:pPr>
          </w:p>
          <w:p w14:paraId="0F74089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IP2: All of our innovation projects rely heavily on contributions from outside parties, such clients, rivals, research institutions, consultants, suppliers, the government, or academic institutions.</w:t>
            </w:r>
          </w:p>
        </w:tc>
      </w:tr>
    </w:tbl>
    <w:p w14:paraId="1D54DCD7" w14:textId="77777777" w:rsidR="005976AB" w:rsidRPr="005635E7" w:rsidRDefault="005976AB" w:rsidP="005976AB">
      <w:pPr>
        <w:shd w:val="clear" w:color="auto" w:fill="FFFFFF"/>
        <w:spacing w:line="480" w:lineRule="auto"/>
        <w:jc w:val="both"/>
        <w:rPr>
          <w:rFonts w:asciiTheme="majorBidi" w:eastAsia="Times New Roman" w:hAnsiTheme="majorBidi" w:cstheme="majorBidi"/>
          <w:lang w:eastAsia="en-GB"/>
        </w:rPr>
      </w:pPr>
    </w:p>
    <w:p w14:paraId="5BA8E4EB" w14:textId="77777777" w:rsidR="005976AB" w:rsidRPr="005635E7" w:rsidRDefault="005976AB" w:rsidP="005976AB">
      <w:pPr>
        <w:pStyle w:val="Heading2"/>
        <w:spacing w:before="0" w:after="240"/>
        <w:rPr>
          <w:rFonts w:asciiTheme="majorBidi" w:hAnsiTheme="majorBidi"/>
          <w:b/>
          <w:bCs/>
          <w:color w:val="auto"/>
          <w:sz w:val="28"/>
          <w:szCs w:val="28"/>
        </w:rPr>
      </w:pPr>
      <w:bookmarkStart w:id="98" w:name="_Toc115310405"/>
      <w:r w:rsidRPr="005635E7">
        <w:rPr>
          <w:rFonts w:asciiTheme="majorBidi" w:hAnsiTheme="majorBidi"/>
          <w:b/>
          <w:bCs/>
          <w:color w:val="auto"/>
          <w:sz w:val="28"/>
          <w:szCs w:val="28"/>
        </w:rPr>
        <w:t>4.3 Confirmatory Factor Analysis (CFA)</w:t>
      </w:r>
      <w:bookmarkEnd w:id="98"/>
    </w:p>
    <w:p w14:paraId="7962E9C7" w14:textId="0DFA8CDA" w:rsidR="005976AB" w:rsidRPr="005635E7" w:rsidRDefault="005976AB" w:rsidP="005976AB">
      <w:pPr>
        <w:autoSpaceDE w:val="0"/>
        <w:autoSpaceDN w:val="0"/>
        <w:adjustRightInd w:val="0"/>
        <w:spacing w:line="480" w:lineRule="auto"/>
        <w:jc w:val="both"/>
        <w:rPr>
          <w:rFonts w:asciiTheme="majorBidi" w:hAnsiTheme="majorBidi" w:cstheme="majorBidi"/>
        </w:rPr>
      </w:pPr>
      <w:r w:rsidRPr="005635E7">
        <w:rPr>
          <w:rFonts w:asciiTheme="majorBidi" w:hAnsiTheme="majorBidi" w:cstheme="majorBidi"/>
        </w:rPr>
        <w:t xml:space="preserve">The measurement models employed in this study were </w:t>
      </w:r>
      <w:r w:rsidRPr="005635E7">
        <w:rPr>
          <w:rFonts w:ascii="Times New Roman" w:eastAsia="Calibri" w:hAnsi="Times New Roman" w:cs="Times New Roman"/>
        </w:rPr>
        <w:t>tested statistically</w:t>
      </w:r>
      <w:r w:rsidRPr="005635E7">
        <w:rPr>
          <w:rFonts w:asciiTheme="majorBidi" w:hAnsiTheme="majorBidi" w:cstheme="majorBidi"/>
        </w:rPr>
        <w:t xml:space="preserve"> using CFA and the SEM procedure. According to Hair et al. (2018), a measurement model combines several indicators or items connected to a construct. In </w:t>
      </w:r>
      <w:r w:rsidR="00A64C37">
        <w:rPr>
          <w:rFonts w:asciiTheme="majorBidi" w:hAnsiTheme="majorBidi" w:cstheme="majorBidi"/>
        </w:rPr>
        <w:t xml:space="preserve">order to </w:t>
      </w:r>
      <w:r w:rsidRPr="005635E7">
        <w:rPr>
          <w:rFonts w:asciiTheme="majorBidi" w:hAnsiTheme="majorBidi" w:cstheme="majorBidi"/>
        </w:rPr>
        <w:t>validate the fundamental measures or items of the eight constructs generated by the EFA and confirm the connections between the measurement models used in the current investigation. The reliability, convergent validity, and discriminant validity were evaluated</w:t>
      </w:r>
      <w:r w:rsidRPr="005635E7">
        <w:rPr>
          <w:rFonts w:ascii="Times New Roman" w:eastAsia="Calibri" w:hAnsi="Times New Roman" w:cs="Times New Roman"/>
        </w:rPr>
        <w:t xml:space="preserve"> to verify the validity of the constructs.</w:t>
      </w:r>
    </w:p>
    <w:p w14:paraId="62AF7266" w14:textId="77777777" w:rsidR="005976AB" w:rsidRPr="005635E7" w:rsidRDefault="005976AB" w:rsidP="005976AB">
      <w:pPr>
        <w:pStyle w:val="Heading3"/>
        <w:spacing w:before="0" w:after="240"/>
        <w:rPr>
          <w:rFonts w:asciiTheme="majorBidi" w:hAnsiTheme="majorBidi"/>
          <w:b/>
          <w:bCs/>
          <w:color w:val="auto"/>
        </w:rPr>
      </w:pPr>
      <w:bookmarkStart w:id="99" w:name="_Toc115310406"/>
      <w:r w:rsidRPr="005635E7">
        <w:rPr>
          <w:rFonts w:asciiTheme="majorBidi" w:hAnsiTheme="majorBidi"/>
          <w:b/>
          <w:bCs/>
          <w:color w:val="auto"/>
        </w:rPr>
        <w:t>4.3.1 Reliability</w:t>
      </w:r>
      <w:bookmarkEnd w:id="99"/>
    </w:p>
    <w:p w14:paraId="7FC49DAD"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Cronbach's alpha</w:t>
      </w:r>
      <w:r w:rsidRPr="005635E7">
        <w:rPr>
          <w:rFonts w:ascii="Times New Roman" w:eastAsia="Calibri" w:hAnsi="Times New Roman" w:cs="Times New Roman"/>
        </w:rPr>
        <w:t xml:space="preserve">, which is a scale’s internal consistency, can be used to determine </w:t>
      </w:r>
      <w:r w:rsidRPr="005635E7">
        <w:rPr>
          <w:rFonts w:asciiTheme="majorBidi" w:hAnsiTheme="majorBidi" w:cstheme="majorBidi"/>
        </w:rPr>
        <w:t>a construct’s reliability. According to Hair et al. (2018), a Cronbach's alpha value greater than 0.7 is regarded as statistically reliable. All eight constructs' Cronbach's alpha values in Table 4.3 are greater than 0.7, indicating statistical reliability.</w:t>
      </w:r>
    </w:p>
    <w:p w14:paraId="34E1E1E5" w14:textId="77777777" w:rsidR="005976AB" w:rsidRPr="005635E7" w:rsidRDefault="005976AB" w:rsidP="005976AB">
      <w:pPr>
        <w:spacing w:line="480" w:lineRule="auto"/>
        <w:jc w:val="both"/>
        <w:rPr>
          <w:rFonts w:asciiTheme="majorBidi" w:hAnsiTheme="majorBidi" w:cstheme="majorBidi"/>
        </w:rPr>
      </w:pPr>
    </w:p>
    <w:p w14:paraId="58A3E555" w14:textId="77777777" w:rsidR="005976AB" w:rsidRPr="005635E7" w:rsidRDefault="005976AB" w:rsidP="005976AB">
      <w:pPr>
        <w:spacing w:line="480" w:lineRule="auto"/>
        <w:jc w:val="both"/>
        <w:rPr>
          <w:rFonts w:asciiTheme="majorBidi" w:hAnsiTheme="majorBidi" w:cstheme="majorBidi"/>
        </w:rPr>
        <w:sectPr w:rsidR="005976AB" w:rsidRPr="005635E7">
          <w:pgSz w:w="11906" w:h="16838"/>
          <w:pgMar w:top="1440" w:right="1440" w:bottom="1440" w:left="1440" w:header="708" w:footer="708" w:gutter="0"/>
          <w:cols w:space="708"/>
          <w:docGrid w:linePitch="360"/>
        </w:sectPr>
      </w:pPr>
    </w:p>
    <w:p w14:paraId="22A1D13C" w14:textId="77777777" w:rsidR="005976AB" w:rsidRPr="005635E7" w:rsidRDefault="005976AB" w:rsidP="005976AB">
      <w:pPr>
        <w:pStyle w:val="Caption"/>
        <w:keepNext/>
        <w:jc w:val="both"/>
        <w:rPr>
          <w:rFonts w:asciiTheme="majorBidi" w:hAnsiTheme="majorBidi" w:cstheme="majorBidi"/>
          <w:i w:val="0"/>
          <w:iCs w:val="0"/>
          <w:color w:val="auto"/>
          <w:sz w:val="24"/>
          <w:szCs w:val="24"/>
        </w:rPr>
      </w:pPr>
      <w:bookmarkStart w:id="100" w:name="_Toc126377961"/>
      <w:r w:rsidRPr="005635E7">
        <w:rPr>
          <w:rFonts w:asciiTheme="majorBidi" w:hAnsiTheme="majorBidi" w:cstheme="majorBidi"/>
          <w:i w:val="0"/>
          <w:iCs w:val="0"/>
          <w:color w:val="auto"/>
          <w:sz w:val="24"/>
          <w:szCs w:val="24"/>
        </w:rPr>
        <w:t>Table 4.</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3</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Construct reliability and convergent validity</w:t>
      </w:r>
      <w:bookmarkEnd w:id="100"/>
    </w:p>
    <w:tbl>
      <w:tblPr>
        <w:tblW w:w="5000" w:type="pct"/>
        <w:tblLook w:val="04A0" w:firstRow="1" w:lastRow="0" w:firstColumn="1" w:lastColumn="0" w:noHBand="0" w:noVBand="1"/>
      </w:tblPr>
      <w:tblGrid>
        <w:gridCol w:w="1348"/>
        <w:gridCol w:w="1371"/>
        <w:gridCol w:w="1156"/>
        <w:gridCol w:w="1107"/>
        <w:gridCol w:w="1297"/>
        <w:gridCol w:w="1283"/>
        <w:gridCol w:w="999"/>
        <w:gridCol w:w="1520"/>
        <w:gridCol w:w="1105"/>
        <w:gridCol w:w="1451"/>
        <w:gridCol w:w="1311"/>
      </w:tblGrid>
      <w:tr w:rsidR="005976AB" w:rsidRPr="005635E7" w14:paraId="2CC3FDCD" w14:textId="77777777" w:rsidTr="009E2F41">
        <w:trPr>
          <w:trHeight w:val="1035"/>
        </w:trPr>
        <w:tc>
          <w:tcPr>
            <w:tcW w:w="483" w:type="pct"/>
            <w:tcBorders>
              <w:top w:val="single" w:sz="4" w:space="0" w:color="auto"/>
              <w:left w:val="single" w:sz="4" w:space="0" w:color="auto"/>
              <w:bottom w:val="nil"/>
              <w:right w:val="single" w:sz="4" w:space="0" w:color="auto"/>
            </w:tcBorders>
            <w:shd w:val="clear" w:color="auto" w:fill="auto"/>
            <w:noWrap/>
            <w:vAlign w:val="center"/>
            <w:hideMark/>
          </w:tcPr>
          <w:p w14:paraId="34E4BF1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Construct</w:t>
            </w:r>
          </w:p>
        </w:tc>
        <w:tc>
          <w:tcPr>
            <w:tcW w:w="491" w:type="pct"/>
            <w:tcBorders>
              <w:top w:val="single" w:sz="4" w:space="0" w:color="auto"/>
              <w:left w:val="nil"/>
              <w:bottom w:val="nil"/>
              <w:right w:val="single" w:sz="4" w:space="0" w:color="auto"/>
            </w:tcBorders>
            <w:shd w:val="clear" w:color="auto" w:fill="auto"/>
            <w:noWrap/>
            <w:vAlign w:val="center"/>
            <w:hideMark/>
          </w:tcPr>
          <w:p w14:paraId="4683BC7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Indicator</w:t>
            </w:r>
          </w:p>
        </w:tc>
        <w:tc>
          <w:tcPr>
            <w:tcW w:w="414" w:type="pct"/>
            <w:tcBorders>
              <w:top w:val="single" w:sz="4" w:space="0" w:color="auto"/>
              <w:left w:val="nil"/>
              <w:bottom w:val="nil"/>
              <w:right w:val="single" w:sz="4" w:space="0" w:color="auto"/>
            </w:tcBorders>
            <w:shd w:val="clear" w:color="auto" w:fill="auto"/>
            <w:vAlign w:val="center"/>
            <w:hideMark/>
          </w:tcPr>
          <w:p w14:paraId="46E1ABF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Outer Loading</w:t>
            </w:r>
          </w:p>
        </w:tc>
        <w:tc>
          <w:tcPr>
            <w:tcW w:w="397" w:type="pct"/>
            <w:tcBorders>
              <w:top w:val="single" w:sz="4" w:space="0" w:color="auto"/>
              <w:left w:val="nil"/>
              <w:bottom w:val="nil"/>
              <w:right w:val="single" w:sz="4" w:space="0" w:color="auto"/>
            </w:tcBorders>
            <w:shd w:val="clear" w:color="auto" w:fill="auto"/>
            <w:vAlign w:val="center"/>
            <w:hideMark/>
          </w:tcPr>
          <w:p w14:paraId="5A8E3BC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Sample Mean</w:t>
            </w:r>
          </w:p>
        </w:tc>
        <w:tc>
          <w:tcPr>
            <w:tcW w:w="465" w:type="pct"/>
            <w:tcBorders>
              <w:top w:val="single" w:sz="4" w:space="0" w:color="auto"/>
              <w:left w:val="nil"/>
              <w:bottom w:val="nil"/>
              <w:right w:val="single" w:sz="4" w:space="0" w:color="auto"/>
            </w:tcBorders>
            <w:shd w:val="clear" w:color="auto" w:fill="auto"/>
            <w:vAlign w:val="center"/>
            <w:hideMark/>
          </w:tcPr>
          <w:p w14:paraId="1D982B7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Standard Deviation</w:t>
            </w:r>
          </w:p>
        </w:tc>
        <w:tc>
          <w:tcPr>
            <w:tcW w:w="460" w:type="pct"/>
            <w:tcBorders>
              <w:top w:val="single" w:sz="4" w:space="0" w:color="auto"/>
              <w:left w:val="nil"/>
              <w:bottom w:val="nil"/>
              <w:right w:val="single" w:sz="4" w:space="0" w:color="auto"/>
            </w:tcBorders>
            <w:shd w:val="clear" w:color="auto" w:fill="auto"/>
            <w:vAlign w:val="center"/>
            <w:hideMark/>
          </w:tcPr>
          <w:p w14:paraId="71C85CD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T Statistics</w:t>
            </w:r>
          </w:p>
        </w:tc>
        <w:tc>
          <w:tcPr>
            <w:tcW w:w="358" w:type="pct"/>
            <w:tcBorders>
              <w:top w:val="single" w:sz="4" w:space="0" w:color="auto"/>
              <w:left w:val="nil"/>
              <w:bottom w:val="nil"/>
              <w:right w:val="single" w:sz="4" w:space="0" w:color="auto"/>
            </w:tcBorders>
            <w:shd w:val="clear" w:color="auto" w:fill="auto"/>
            <w:vAlign w:val="center"/>
            <w:hideMark/>
          </w:tcPr>
          <w:p w14:paraId="2E9E20B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P Values</w:t>
            </w:r>
          </w:p>
        </w:tc>
        <w:tc>
          <w:tcPr>
            <w:tcW w:w="545" w:type="pct"/>
            <w:tcBorders>
              <w:top w:val="single" w:sz="4" w:space="0" w:color="auto"/>
              <w:left w:val="nil"/>
              <w:bottom w:val="nil"/>
              <w:right w:val="single" w:sz="4" w:space="0" w:color="auto"/>
            </w:tcBorders>
            <w:shd w:val="clear" w:color="auto" w:fill="auto"/>
            <w:vAlign w:val="center"/>
            <w:hideMark/>
          </w:tcPr>
          <w:p w14:paraId="035A9F8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Cronbach's Alpha</w:t>
            </w:r>
          </w:p>
        </w:tc>
        <w:tc>
          <w:tcPr>
            <w:tcW w:w="396" w:type="pct"/>
            <w:tcBorders>
              <w:top w:val="single" w:sz="4" w:space="0" w:color="auto"/>
              <w:left w:val="nil"/>
              <w:bottom w:val="nil"/>
              <w:right w:val="single" w:sz="4" w:space="0" w:color="auto"/>
            </w:tcBorders>
            <w:shd w:val="clear" w:color="auto" w:fill="auto"/>
            <w:vAlign w:val="center"/>
            <w:hideMark/>
          </w:tcPr>
          <w:p w14:paraId="46A769C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rho_A</w:t>
            </w:r>
          </w:p>
        </w:tc>
        <w:tc>
          <w:tcPr>
            <w:tcW w:w="520" w:type="pct"/>
            <w:tcBorders>
              <w:top w:val="single" w:sz="4" w:space="0" w:color="auto"/>
              <w:left w:val="nil"/>
              <w:bottom w:val="nil"/>
              <w:right w:val="single" w:sz="4" w:space="0" w:color="auto"/>
            </w:tcBorders>
            <w:shd w:val="clear" w:color="auto" w:fill="auto"/>
            <w:vAlign w:val="center"/>
            <w:hideMark/>
          </w:tcPr>
          <w:p w14:paraId="1F916EF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Composite Reliability</w:t>
            </w:r>
          </w:p>
        </w:tc>
        <w:tc>
          <w:tcPr>
            <w:tcW w:w="470" w:type="pct"/>
            <w:tcBorders>
              <w:top w:val="single" w:sz="4" w:space="0" w:color="auto"/>
              <w:left w:val="nil"/>
              <w:bottom w:val="nil"/>
              <w:right w:val="single" w:sz="4" w:space="0" w:color="auto"/>
            </w:tcBorders>
            <w:shd w:val="clear" w:color="auto" w:fill="auto"/>
            <w:vAlign w:val="center"/>
            <w:hideMark/>
          </w:tcPr>
          <w:p w14:paraId="295B407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Average Variance Extracted (AVE)</w:t>
            </w:r>
          </w:p>
        </w:tc>
      </w:tr>
      <w:tr w:rsidR="005976AB" w:rsidRPr="005635E7" w14:paraId="51D14915" w14:textId="77777777" w:rsidTr="009E2F41">
        <w:trPr>
          <w:trHeight w:val="300"/>
        </w:trPr>
        <w:tc>
          <w:tcPr>
            <w:tcW w:w="483" w:type="pct"/>
            <w:tcBorders>
              <w:top w:val="single" w:sz="8" w:space="0" w:color="auto"/>
              <w:left w:val="single" w:sz="8" w:space="0" w:color="auto"/>
              <w:bottom w:val="single" w:sz="4" w:space="0" w:color="auto"/>
              <w:right w:val="nil"/>
            </w:tcBorders>
            <w:shd w:val="clear" w:color="auto" w:fill="auto"/>
            <w:noWrap/>
            <w:vAlign w:val="center"/>
            <w:hideMark/>
          </w:tcPr>
          <w:p w14:paraId="75EC77A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EX</w:t>
            </w:r>
          </w:p>
        </w:tc>
        <w:tc>
          <w:tcPr>
            <w:tcW w:w="491"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BB6A41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EX1</w:t>
            </w:r>
          </w:p>
        </w:tc>
        <w:tc>
          <w:tcPr>
            <w:tcW w:w="414" w:type="pct"/>
            <w:tcBorders>
              <w:top w:val="single" w:sz="8" w:space="0" w:color="auto"/>
              <w:left w:val="nil"/>
              <w:bottom w:val="single" w:sz="4" w:space="0" w:color="auto"/>
              <w:right w:val="single" w:sz="4" w:space="0" w:color="auto"/>
            </w:tcBorders>
            <w:shd w:val="clear" w:color="auto" w:fill="auto"/>
            <w:noWrap/>
            <w:vAlign w:val="center"/>
            <w:hideMark/>
          </w:tcPr>
          <w:p w14:paraId="78C12A1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0.857</w:t>
            </w:r>
          </w:p>
        </w:tc>
        <w:tc>
          <w:tcPr>
            <w:tcW w:w="397" w:type="pct"/>
            <w:tcBorders>
              <w:top w:val="single" w:sz="8" w:space="0" w:color="auto"/>
              <w:left w:val="nil"/>
              <w:bottom w:val="single" w:sz="4" w:space="0" w:color="auto"/>
              <w:right w:val="single" w:sz="4" w:space="0" w:color="auto"/>
            </w:tcBorders>
            <w:shd w:val="clear" w:color="auto" w:fill="auto"/>
            <w:noWrap/>
            <w:vAlign w:val="center"/>
            <w:hideMark/>
          </w:tcPr>
          <w:p w14:paraId="2579AA1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0.857</w:t>
            </w:r>
          </w:p>
        </w:tc>
        <w:tc>
          <w:tcPr>
            <w:tcW w:w="465" w:type="pct"/>
            <w:tcBorders>
              <w:top w:val="single" w:sz="8" w:space="0" w:color="auto"/>
              <w:left w:val="nil"/>
              <w:bottom w:val="single" w:sz="4" w:space="0" w:color="auto"/>
              <w:right w:val="single" w:sz="4" w:space="0" w:color="auto"/>
            </w:tcBorders>
            <w:shd w:val="clear" w:color="auto" w:fill="auto"/>
            <w:noWrap/>
            <w:vAlign w:val="center"/>
            <w:hideMark/>
          </w:tcPr>
          <w:p w14:paraId="477F5BD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0.019</w:t>
            </w:r>
          </w:p>
        </w:tc>
        <w:tc>
          <w:tcPr>
            <w:tcW w:w="460" w:type="pct"/>
            <w:tcBorders>
              <w:top w:val="single" w:sz="8" w:space="0" w:color="auto"/>
              <w:left w:val="nil"/>
              <w:bottom w:val="single" w:sz="4" w:space="0" w:color="auto"/>
              <w:right w:val="single" w:sz="4" w:space="0" w:color="auto"/>
            </w:tcBorders>
            <w:shd w:val="clear" w:color="auto" w:fill="auto"/>
            <w:noWrap/>
            <w:vAlign w:val="center"/>
            <w:hideMark/>
          </w:tcPr>
          <w:p w14:paraId="7BF25FD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44.137</w:t>
            </w:r>
          </w:p>
        </w:tc>
        <w:tc>
          <w:tcPr>
            <w:tcW w:w="358" w:type="pct"/>
            <w:tcBorders>
              <w:top w:val="single" w:sz="8" w:space="0" w:color="auto"/>
              <w:left w:val="nil"/>
              <w:bottom w:val="single" w:sz="4" w:space="0" w:color="auto"/>
              <w:right w:val="nil"/>
            </w:tcBorders>
            <w:shd w:val="clear" w:color="auto" w:fill="auto"/>
            <w:noWrap/>
            <w:vAlign w:val="center"/>
            <w:hideMark/>
          </w:tcPr>
          <w:p w14:paraId="1C5422D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2CA24B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0.820</w:t>
            </w:r>
          </w:p>
        </w:tc>
        <w:tc>
          <w:tcPr>
            <w:tcW w:w="396" w:type="pct"/>
            <w:tcBorders>
              <w:top w:val="single" w:sz="8" w:space="0" w:color="auto"/>
              <w:left w:val="nil"/>
              <w:bottom w:val="single" w:sz="4" w:space="0" w:color="auto"/>
              <w:right w:val="single" w:sz="4" w:space="0" w:color="auto"/>
            </w:tcBorders>
            <w:shd w:val="clear" w:color="auto" w:fill="auto"/>
            <w:noWrap/>
            <w:vAlign w:val="center"/>
            <w:hideMark/>
          </w:tcPr>
          <w:p w14:paraId="7FEF75A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0.820</w:t>
            </w:r>
          </w:p>
        </w:tc>
        <w:tc>
          <w:tcPr>
            <w:tcW w:w="520" w:type="pct"/>
            <w:tcBorders>
              <w:top w:val="single" w:sz="8" w:space="0" w:color="auto"/>
              <w:left w:val="nil"/>
              <w:bottom w:val="single" w:sz="4" w:space="0" w:color="auto"/>
              <w:right w:val="single" w:sz="4" w:space="0" w:color="auto"/>
            </w:tcBorders>
            <w:shd w:val="clear" w:color="auto" w:fill="auto"/>
            <w:noWrap/>
            <w:vAlign w:val="center"/>
            <w:hideMark/>
          </w:tcPr>
          <w:p w14:paraId="2081FE4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0.893</w:t>
            </w:r>
          </w:p>
        </w:tc>
        <w:tc>
          <w:tcPr>
            <w:tcW w:w="470" w:type="pct"/>
            <w:tcBorders>
              <w:top w:val="single" w:sz="8" w:space="0" w:color="auto"/>
              <w:left w:val="nil"/>
              <w:bottom w:val="single" w:sz="4" w:space="0" w:color="auto"/>
              <w:right w:val="single" w:sz="8" w:space="0" w:color="auto"/>
            </w:tcBorders>
            <w:shd w:val="clear" w:color="auto" w:fill="auto"/>
            <w:noWrap/>
            <w:vAlign w:val="center"/>
            <w:hideMark/>
          </w:tcPr>
          <w:p w14:paraId="3603FB6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0.735</w:t>
            </w:r>
          </w:p>
        </w:tc>
      </w:tr>
      <w:tr w:rsidR="005976AB" w:rsidRPr="005635E7" w14:paraId="009367B8"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64ED853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071C7FF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EX2</w:t>
            </w:r>
          </w:p>
        </w:tc>
        <w:tc>
          <w:tcPr>
            <w:tcW w:w="414" w:type="pct"/>
            <w:tcBorders>
              <w:top w:val="nil"/>
              <w:left w:val="nil"/>
              <w:bottom w:val="single" w:sz="4" w:space="0" w:color="auto"/>
              <w:right w:val="single" w:sz="4" w:space="0" w:color="auto"/>
            </w:tcBorders>
            <w:shd w:val="clear" w:color="auto" w:fill="auto"/>
            <w:noWrap/>
            <w:vAlign w:val="center"/>
            <w:hideMark/>
          </w:tcPr>
          <w:p w14:paraId="6B6649F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0.875</w:t>
            </w:r>
          </w:p>
        </w:tc>
        <w:tc>
          <w:tcPr>
            <w:tcW w:w="397" w:type="pct"/>
            <w:tcBorders>
              <w:top w:val="nil"/>
              <w:left w:val="nil"/>
              <w:bottom w:val="single" w:sz="4" w:space="0" w:color="auto"/>
              <w:right w:val="single" w:sz="4" w:space="0" w:color="auto"/>
            </w:tcBorders>
            <w:shd w:val="clear" w:color="auto" w:fill="auto"/>
            <w:noWrap/>
            <w:vAlign w:val="center"/>
            <w:hideMark/>
          </w:tcPr>
          <w:p w14:paraId="4E31B3F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0.875</w:t>
            </w:r>
          </w:p>
        </w:tc>
        <w:tc>
          <w:tcPr>
            <w:tcW w:w="465" w:type="pct"/>
            <w:tcBorders>
              <w:top w:val="nil"/>
              <w:left w:val="nil"/>
              <w:bottom w:val="single" w:sz="4" w:space="0" w:color="auto"/>
              <w:right w:val="single" w:sz="4" w:space="0" w:color="auto"/>
            </w:tcBorders>
            <w:shd w:val="clear" w:color="auto" w:fill="auto"/>
            <w:noWrap/>
            <w:vAlign w:val="center"/>
            <w:hideMark/>
          </w:tcPr>
          <w:p w14:paraId="63D2268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0.015</w:t>
            </w:r>
          </w:p>
        </w:tc>
        <w:tc>
          <w:tcPr>
            <w:tcW w:w="460" w:type="pct"/>
            <w:tcBorders>
              <w:top w:val="nil"/>
              <w:left w:val="nil"/>
              <w:bottom w:val="single" w:sz="4" w:space="0" w:color="auto"/>
              <w:right w:val="single" w:sz="4" w:space="0" w:color="auto"/>
            </w:tcBorders>
            <w:shd w:val="clear" w:color="auto" w:fill="auto"/>
            <w:noWrap/>
            <w:vAlign w:val="center"/>
            <w:hideMark/>
          </w:tcPr>
          <w:p w14:paraId="101C14E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58.528</w:t>
            </w:r>
          </w:p>
        </w:tc>
        <w:tc>
          <w:tcPr>
            <w:tcW w:w="358" w:type="pct"/>
            <w:tcBorders>
              <w:top w:val="nil"/>
              <w:left w:val="nil"/>
              <w:bottom w:val="single" w:sz="4" w:space="0" w:color="auto"/>
              <w:right w:val="nil"/>
            </w:tcBorders>
            <w:shd w:val="clear" w:color="auto" w:fill="auto"/>
            <w:noWrap/>
            <w:vAlign w:val="center"/>
            <w:hideMark/>
          </w:tcPr>
          <w:p w14:paraId="205ACD4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568274E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65CAFC9B"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3749C5D6"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2437826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7A0C2742" w14:textId="77777777" w:rsidTr="009E2F41">
        <w:trPr>
          <w:trHeight w:val="315"/>
        </w:trPr>
        <w:tc>
          <w:tcPr>
            <w:tcW w:w="483" w:type="pct"/>
            <w:tcBorders>
              <w:top w:val="nil"/>
              <w:left w:val="single" w:sz="8" w:space="0" w:color="auto"/>
              <w:bottom w:val="single" w:sz="8" w:space="0" w:color="auto"/>
              <w:right w:val="nil"/>
            </w:tcBorders>
            <w:shd w:val="clear" w:color="auto" w:fill="auto"/>
            <w:noWrap/>
            <w:vAlign w:val="bottom"/>
            <w:hideMark/>
          </w:tcPr>
          <w:p w14:paraId="31FEA25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14:paraId="10A6825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EX3</w:t>
            </w:r>
          </w:p>
        </w:tc>
        <w:tc>
          <w:tcPr>
            <w:tcW w:w="414" w:type="pct"/>
            <w:tcBorders>
              <w:top w:val="nil"/>
              <w:left w:val="nil"/>
              <w:bottom w:val="single" w:sz="8" w:space="0" w:color="auto"/>
              <w:right w:val="single" w:sz="4" w:space="0" w:color="auto"/>
            </w:tcBorders>
            <w:shd w:val="clear" w:color="auto" w:fill="auto"/>
            <w:noWrap/>
            <w:vAlign w:val="center"/>
            <w:hideMark/>
          </w:tcPr>
          <w:p w14:paraId="5EE2A1A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0.840</w:t>
            </w:r>
          </w:p>
        </w:tc>
        <w:tc>
          <w:tcPr>
            <w:tcW w:w="397" w:type="pct"/>
            <w:tcBorders>
              <w:top w:val="nil"/>
              <w:left w:val="nil"/>
              <w:bottom w:val="single" w:sz="8" w:space="0" w:color="auto"/>
              <w:right w:val="single" w:sz="4" w:space="0" w:color="auto"/>
            </w:tcBorders>
            <w:shd w:val="clear" w:color="auto" w:fill="auto"/>
            <w:noWrap/>
            <w:vAlign w:val="center"/>
            <w:hideMark/>
          </w:tcPr>
          <w:p w14:paraId="375F55C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0.840</w:t>
            </w:r>
          </w:p>
        </w:tc>
        <w:tc>
          <w:tcPr>
            <w:tcW w:w="465" w:type="pct"/>
            <w:tcBorders>
              <w:top w:val="nil"/>
              <w:left w:val="nil"/>
              <w:bottom w:val="single" w:sz="8" w:space="0" w:color="auto"/>
              <w:right w:val="single" w:sz="4" w:space="0" w:color="auto"/>
            </w:tcBorders>
            <w:shd w:val="clear" w:color="auto" w:fill="auto"/>
            <w:noWrap/>
            <w:vAlign w:val="center"/>
            <w:hideMark/>
          </w:tcPr>
          <w:p w14:paraId="5F6B4D0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0.023</w:t>
            </w:r>
          </w:p>
        </w:tc>
        <w:tc>
          <w:tcPr>
            <w:tcW w:w="460" w:type="pct"/>
            <w:tcBorders>
              <w:top w:val="nil"/>
              <w:left w:val="nil"/>
              <w:bottom w:val="single" w:sz="8" w:space="0" w:color="auto"/>
              <w:right w:val="single" w:sz="4" w:space="0" w:color="auto"/>
            </w:tcBorders>
            <w:shd w:val="clear" w:color="auto" w:fill="auto"/>
            <w:noWrap/>
            <w:vAlign w:val="center"/>
            <w:hideMark/>
          </w:tcPr>
          <w:p w14:paraId="3276B7D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37.043</w:t>
            </w:r>
          </w:p>
        </w:tc>
        <w:tc>
          <w:tcPr>
            <w:tcW w:w="358" w:type="pct"/>
            <w:tcBorders>
              <w:top w:val="nil"/>
              <w:left w:val="nil"/>
              <w:bottom w:val="single" w:sz="8" w:space="0" w:color="auto"/>
              <w:right w:val="nil"/>
            </w:tcBorders>
            <w:shd w:val="clear" w:color="auto" w:fill="auto"/>
            <w:noWrap/>
            <w:vAlign w:val="center"/>
            <w:hideMark/>
          </w:tcPr>
          <w:p w14:paraId="0F76C89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single" w:sz="8" w:space="0" w:color="auto"/>
              <w:right w:val="nil"/>
            </w:tcBorders>
            <w:shd w:val="clear" w:color="auto" w:fill="auto"/>
            <w:noWrap/>
            <w:vAlign w:val="bottom"/>
            <w:hideMark/>
          </w:tcPr>
          <w:p w14:paraId="5AF8E48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single" w:sz="8" w:space="0" w:color="auto"/>
              <w:right w:val="nil"/>
            </w:tcBorders>
            <w:shd w:val="clear" w:color="auto" w:fill="auto"/>
            <w:noWrap/>
            <w:vAlign w:val="bottom"/>
            <w:hideMark/>
          </w:tcPr>
          <w:p w14:paraId="1964BD7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520" w:type="pct"/>
            <w:tcBorders>
              <w:top w:val="nil"/>
              <w:left w:val="nil"/>
              <w:bottom w:val="single" w:sz="8" w:space="0" w:color="auto"/>
              <w:right w:val="nil"/>
            </w:tcBorders>
            <w:shd w:val="clear" w:color="auto" w:fill="auto"/>
            <w:noWrap/>
            <w:vAlign w:val="bottom"/>
            <w:hideMark/>
          </w:tcPr>
          <w:p w14:paraId="48C4E8E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70" w:type="pct"/>
            <w:tcBorders>
              <w:top w:val="nil"/>
              <w:left w:val="nil"/>
              <w:bottom w:val="single" w:sz="8" w:space="0" w:color="auto"/>
              <w:right w:val="single" w:sz="8" w:space="0" w:color="auto"/>
            </w:tcBorders>
            <w:shd w:val="clear" w:color="auto" w:fill="auto"/>
            <w:noWrap/>
            <w:vAlign w:val="bottom"/>
            <w:hideMark/>
          </w:tcPr>
          <w:p w14:paraId="4526BC2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7F5E294F" w14:textId="77777777" w:rsidTr="009E2F41">
        <w:trPr>
          <w:trHeight w:val="300"/>
        </w:trPr>
        <w:tc>
          <w:tcPr>
            <w:tcW w:w="483" w:type="pct"/>
            <w:tcBorders>
              <w:top w:val="nil"/>
              <w:left w:val="single" w:sz="8" w:space="0" w:color="auto"/>
              <w:bottom w:val="single" w:sz="4" w:space="0" w:color="auto"/>
              <w:right w:val="nil"/>
            </w:tcBorders>
            <w:shd w:val="clear" w:color="auto" w:fill="auto"/>
            <w:noWrap/>
            <w:vAlign w:val="center"/>
            <w:hideMark/>
          </w:tcPr>
          <w:p w14:paraId="3F4B170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IP</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3EBFFBC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IP3</w:t>
            </w:r>
          </w:p>
        </w:tc>
        <w:tc>
          <w:tcPr>
            <w:tcW w:w="414" w:type="pct"/>
            <w:tcBorders>
              <w:top w:val="nil"/>
              <w:left w:val="nil"/>
              <w:bottom w:val="single" w:sz="4" w:space="0" w:color="auto"/>
              <w:right w:val="single" w:sz="4" w:space="0" w:color="auto"/>
            </w:tcBorders>
            <w:shd w:val="clear" w:color="auto" w:fill="auto"/>
            <w:noWrap/>
            <w:vAlign w:val="center"/>
            <w:hideMark/>
          </w:tcPr>
          <w:p w14:paraId="662BDC8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0.898</w:t>
            </w:r>
          </w:p>
        </w:tc>
        <w:tc>
          <w:tcPr>
            <w:tcW w:w="397" w:type="pct"/>
            <w:tcBorders>
              <w:top w:val="nil"/>
              <w:left w:val="nil"/>
              <w:bottom w:val="single" w:sz="4" w:space="0" w:color="auto"/>
              <w:right w:val="single" w:sz="4" w:space="0" w:color="auto"/>
            </w:tcBorders>
            <w:shd w:val="clear" w:color="auto" w:fill="auto"/>
            <w:noWrap/>
            <w:vAlign w:val="center"/>
            <w:hideMark/>
          </w:tcPr>
          <w:p w14:paraId="3BB75CC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0.897</w:t>
            </w:r>
          </w:p>
        </w:tc>
        <w:tc>
          <w:tcPr>
            <w:tcW w:w="465" w:type="pct"/>
            <w:tcBorders>
              <w:top w:val="nil"/>
              <w:left w:val="nil"/>
              <w:bottom w:val="single" w:sz="4" w:space="0" w:color="auto"/>
              <w:right w:val="single" w:sz="4" w:space="0" w:color="auto"/>
            </w:tcBorders>
            <w:shd w:val="clear" w:color="auto" w:fill="auto"/>
            <w:noWrap/>
            <w:vAlign w:val="center"/>
            <w:hideMark/>
          </w:tcPr>
          <w:p w14:paraId="046F8B0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0.018</w:t>
            </w:r>
          </w:p>
        </w:tc>
        <w:tc>
          <w:tcPr>
            <w:tcW w:w="460" w:type="pct"/>
            <w:tcBorders>
              <w:top w:val="nil"/>
              <w:left w:val="nil"/>
              <w:bottom w:val="single" w:sz="4" w:space="0" w:color="auto"/>
              <w:right w:val="single" w:sz="4" w:space="0" w:color="auto"/>
            </w:tcBorders>
            <w:shd w:val="clear" w:color="auto" w:fill="auto"/>
            <w:noWrap/>
            <w:vAlign w:val="center"/>
            <w:hideMark/>
          </w:tcPr>
          <w:p w14:paraId="46343BC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50.096</w:t>
            </w:r>
          </w:p>
        </w:tc>
        <w:tc>
          <w:tcPr>
            <w:tcW w:w="358" w:type="pct"/>
            <w:tcBorders>
              <w:top w:val="nil"/>
              <w:left w:val="nil"/>
              <w:bottom w:val="single" w:sz="4" w:space="0" w:color="auto"/>
              <w:right w:val="nil"/>
            </w:tcBorders>
            <w:shd w:val="clear" w:color="auto" w:fill="auto"/>
            <w:noWrap/>
            <w:vAlign w:val="center"/>
            <w:hideMark/>
          </w:tcPr>
          <w:p w14:paraId="5CE5B3F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single" w:sz="4" w:space="0" w:color="auto"/>
              <w:right w:val="single" w:sz="4" w:space="0" w:color="auto"/>
            </w:tcBorders>
            <w:shd w:val="clear" w:color="auto" w:fill="auto"/>
            <w:noWrap/>
            <w:vAlign w:val="center"/>
            <w:hideMark/>
          </w:tcPr>
          <w:p w14:paraId="73358B1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0.804</w:t>
            </w:r>
          </w:p>
        </w:tc>
        <w:tc>
          <w:tcPr>
            <w:tcW w:w="396" w:type="pct"/>
            <w:tcBorders>
              <w:top w:val="nil"/>
              <w:left w:val="nil"/>
              <w:bottom w:val="single" w:sz="4" w:space="0" w:color="auto"/>
              <w:right w:val="single" w:sz="4" w:space="0" w:color="auto"/>
            </w:tcBorders>
            <w:shd w:val="clear" w:color="auto" w:fill="auto"/>
            <w:noWrap/>
            <w:vAlign w:val="center"/>
            <w:hideMark/>
          </w:tcPr>
          <w:p w14:paraId="6826612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0.821</w:t>
            </w:r>
          </w:p>
        </w:tc>
        <w:tc>
          <w:tcPr>
            <w:tcW w:w="520" w:type="pct"/>
            <w:tcBorders>
              <w:top w:val="nil"/>
              <w:left w:val="nil"/>
              <w:bottom w:val="single" w:sz="4" w:space="0" w:color="auto"/>
              <w:right w:val="single" w:sz="4" w:space="0" w:color="auto"/>
            </w:tcBorders>
            <w:shd w:val="clear" w:color="auto" w:fill="auto"/>
            <w:noWrap/>
            <w:vAlign w:val="center"/>
            <w:hideMark/>
          </w:tcPr>
          <w:p w14:paraId="2368EC0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0.910</w:t>
            </w:r>
          </w:p>
        </w:tc>
        <w:tc>
          <w:tcPr>
            <w:tcW w:w="470" w:type="pct"/>
            <w:tcBorders>
              <w:top w:val="nil"/>
              <w:left w:val="nil"/>
              <w:bottom w:val="single" w:sz="4" w:space="0" w:color="auto"/>
              <w:right w:val="single" w:sz="8" w:space="0" w:color="auto"/>
            </w:tcBorders>
            <w:shd w:val="clear" w:color="auto" w:fill="auto"/>
            <w:noWrap/>
            <w:vAlign w:val="center"/>
            <w:hideMark/>
          </w:tcPr>
          <w:p w14:paraId="0B34B05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0.835</w:t>
            </w:r>
          </w:p>
        </w:tc>
      </w:tr>
      <w:tr w:rsidR="005976AB" w:rsidRPr="005635E7" w14:paraId="4B075267" w14:textId="77777777" w:rsidTr="009E2F41">
        <w:trPr>
          <w:trHeight w:val="315"/>
        </w:trPr>
        <w:tc>
          <w:tcPr>
            <w:tcW w:w="483" w:type="pct"/>
            <w:tcBorders>
              <w:top w:val="nil"/>
              <w:left w:val="single" w:sz="8" w:space="0" w:color="auto"/>
              <w:bottom w:val="nil"/>
              <w:right w:val="nil"/>
            </w:tcBorders>
            <w:shd w:val="clear" w:color="auto" w:fill="auto"/>
            <w:noWrap/>
            <w:vAlign w:val="bottom"/>
            <w:hideMark/>
          </w:tcPr>
          <w:p w14:paraId="5A63B9E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nil"/>
              <w:right w:val="single" w:sz="8" w:space="0" w:color="auto"/>
            </w:tcBorders>
            <w:shd w:val="clear" w:color="auto" w:fill="auto"/>
            <w:noWrap/>
            <w:vAlign w:val="center"/>
            <w:hideMark/>
          </w:tcPr>
          <w:p w14:paraId="3EDEC21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IP4</w:t>
            </w:r>
          </w:p>
        </w:tc>
        <w:tc>
          <w:tcPr>
            <w:tcW w:w="414" w:type="pct"/>
            <w:tcBorders>
              <w:top w:val="nil"/>
              <w:left w:val="nil"/>
              <w:bottom w:val="nil"/>
              <w:right w:val="single" w:sz="4" w:space="0" w:color="auto"/>
            </w:tcBorders>
            <w:shd w:val="clear" w:color="auto" w:fill="auto"/>
            <w:noWrap/>
            <w:vAlign w:val="center"/>
            <w:hideMark/>
          </w:tcPr>
          <w:p w14:paraId="02C8753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0.929</w:t>
            </w:r>
          </w:p>
        </w:tc>
        <w:tc>
          <w:tcPr>
            <w:tcW w:w="397" w:type="pct"/>
            <w:tcBorders>
              <w:top w:val="nil"/>
              <w:left w:val="nil"/>
              <w:bottom w:val="nil"/>
              <w:right w:val="single" w:sz="4" w:space="0" w:color="auto"/>
            </w:tcBorders>
            <w:shd w:val="clear" w:color="auto" w:fill="auto"/>
            <w:noWrap/>
            <w:vAlign w:val="center"/>
            <w:hideMark/>
          </w:tcPr>
          <w:p w14:paraId="5F44E9A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0.928</w:t>
            </w:r>
          </w:p>
        </w:tc>
        <w:tc>
          <w:tcPr>
            <w:tcW w:w="465" w:type="pct"/>
            <w:tcBorders>
              <w:top w:val="nil"/>
              <w:left w:val="nil"/>
              <w:bottom w:val="nil"/>
              <w:right w:val="single" w:sz="4" w:space="0" w:color="auto"/>
            </w:tcBorders>
            <w:shd w:val="clear" w:color="auto" w:fill="auto"/>
            <w:noWrap/>
            <w:vAlign w:val="center"/>
            <w:hideMark/>
          </w:tcPr>
          <w:p w14:paraId="71C3F05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0.013</w:t>
            </w:r>
          </w:p>
        </w:tc>
        <w:tc>
          <w:tcPr>
            <w:tcW w:w="460" w:type="pct"/>
            <w:tcBorders>
              <w:top w:val="nil"/>
              <w:left w:val="nil"/>
              <w:bottom w:val="nil"/>
              <w:right w:val="single" w:sz="4" w:space="0" w:color="auto"/>
            </w:tcBorders>
            <w:shd w:val="clear" w:color="auto" w:fill="auto"/>
            <w:noWrap/>
            <w:vAlign w:val="center"/>
            <w:hideMark/>
          </w:tcPr>
          <w:p w14:paraId="04E7966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69.509</w:t>
            </w:r>
          </w:p>
        </w:tc>
        <w:tc>
          <w:tcPr>
            <w:tcW w:w="358" w:type="pct"/>
            <w:tcBorders>
              <w:top w:val="nil"/>
              <w:left w:val="nil"/>
              <w:bottom w:val="nil"/>
              <w:right w:val="nil"/>
            </w:tcBorders>
            <w:shd w:val="clear" w:color="auto" w:fill="auto"/>
            <w:noWrap/>
            <w:vAlign w:val="center"/>
            <w:hideMark/>
          </w:tcPr>
          <w:p w14:paraId="4381461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516A5F9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78E29E30"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28DB9252"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0A89297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4771F9EB" w14:textId="77777777" w:rsidTr="009E2F41">
        <w:trPr>
          <w:trHeight w:val="300"/>
        </w:trPr>
        <w:tc>
          <w:tcPr>
            <w:tcW w:w="483" w:type="pct"/>
            <w:tcBorders>
              <w:top w:val="single" w:sz="8" w:space="0" w:color="auto"/>
              <w:left w:val="single" w:sz="8" w:space="0" w:color="auto"/>
              <w:bottom w:val="single" w:sz="4" w:space="0" w:color="auto"/>
              <w:right w:val="nil"/>
            </w:tcBorders>
            <w:shd w:val="clear" w:color="auto" w:fill="auto"/>
            <w:noWrap/>
            <w:vAlign w:val="center"/>
            <w:hideMark/>
          </w:tcPr>
          <w:p w14:paraId="72F1136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MC</w:t>
            </w:r>
          </w:p>
        </w:tc>
        <w:tc>
          <w:tcPr>
            <w:tcW w:w="491"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5825C6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MC1</w:t>
            </w:r>
          </w:p>
        </w:tc>
        <w:tc>
          <w:tcPr>
            <w:tcW w:w="414" w:type="pct"/>
            <w:tcBorders>
              <w:top w:val="single" w:sz="8" w:space="0" w:color="auto"/>
              <w:left w:val="nil"/>
              <w:bottom w:val="single" w:sz="4" w:space="0" w:color="auto"/>
              <w:right w:val="single" w:sz="4" w:space="0" w:color="auto"/>
            </w:tcBorders>
            <w:shd w:val="clear" w:color="auto" w:fill="auto"/>
            <w:noWrap/>
            <w:vAlign w:val="center"/>
            <w:hideMark/>
          </w:tcPr>
          <w:p w14:paraId="151F397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0.722</w:t>
            </w:r>
          </w:p>
        </w:tc>
        <w:tc>
          <w:tcPr>
            <w:tcW w:w="397" w:type="pct"/>
            <w:tcBorders>
              <w:top w:val="single" w:sz="8" w:space="0" w:color="auto"/>
              <w:left w:val="nil"/>
              <w:bottom w:val="single" w:sz="4" w:space="0" w:color="auto"/>
              <w:right w:val="single" w:sz="4" w:space="0" w:color="auto"/>
            </w:tcBorders>
            <w:shd w:val="clear" w:color="auto" w:fill="auto"/>
            <w:noWrap/>
            <w:vAlign w:val="center"/>
            <w:hideMark/>
          </w:tcPr>
          <w:p w14:paraId="69ECCC4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0.716</w:t>
            </w:r>
          </w:p>
        </w:tc>
        <w:tc>
          <w:tcPr>
            <w:tcW w:w="465" w:type="pct"/>
            <w:tcBorders>
              <w:top w:val="single" w:sz="8" w:space="0" w:color="auto"/>
              <w:left w:val="nil"/>
              <w:bottom w:val="single" w:sz="4" w:space="0" w:color="auto"/>
              <w:right w:val="single" w:sz="4" w:space="0" w:color="auto"/>
            </w:tcBorders>
            <w:shd w:val="clear" w:color="auto" w:fill="auto"/>
            <w:noWrap/>
            <w:vAlign w:val="center"/>
            <w:hideMark/>
          </w:tcPr>
          <w:p w14:paraId="3C66445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0.073</w:t>
            </w:r>
          </w:p>
        </w:tc>
        <w:tc>
          <w:tcPr>
            <w:tcW w:w="460" w:type="pct"/>
            <w:tcBorders>
              <w:top w:val="single" w:sz="8" w:space="0" w:color="auto"/>
              <w:left w:val="nil"/>
              <w:bottom w:val="single" w:sz="4" w:space="0" w:color="auto"/>
              <w:right w:val="single" w:sz="4" w:space="0" w:color="auto"/>
            </w:tcBorders>
            <w:shd w:val="clear" w:color="auto" w:fill="auto"/>
            <w:noWrap/>
            <w:vAlign w:val="center"/>
            <w:hideMark/>
          </w:tcPr>
          <w:p w14:paraId="3A57C6E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9.822</w:t>
            </w:r>
          </w:p>
        </w:tc>
        <w:tc>
          <w:tcPr>
            <w:tcW w:w="358" w:type="pct"/>
            <w:tcBorders>
              <w:top w:val="single" w:sz="8" w:space="0" w:color="auto"/>
              <w:left w:val="nil"/>
              <w:bottom w:val="single" w:sz="4" w:space="0" w:color="auto"/>
              <w:right w:val="nil"/>
            </w:tcBorders>
            <w:shd w:val="clear" w:color="auto" w:fill="auto"/>
            <w:noWrap/>
            <w:vAlign w:val="center"/>
            <w:hideMark/>
          </w:tcPr>
          <w:p w14:paraId="54770A0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5C779A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0.775</w:t>
            </w:r>
          </w:p>
        </w:tc>
        <w:tc>
          <w:tcPr>
            <w:tcW w:w="396" w:type="pct"/>
            <w:tcBorders>
              <w:top w:val="single" w:sz="8" w:space="0" w:color="auto"/>
              <w:left w:val="nil"/>
              <w:bottom w:val="single" w:sz="4" w:space="0" w:color="auto"/>
              <w:right w:val="single" w:sz="4" w:space="0" w:color="auto"/>
            </w:tcBorders>
            <w:shd w:val="clear" w:color="auto" w:fill="auto"/>
            <w:noWrap/>
            <w:vAlign w:val="center"/>
            <w:hideMark/>
          </w:tcPr>
          <w:p w14:paraId="00935C8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0.819</w:t>
            </w:r>
          </w:p>
        </w:tc>
        <w:tc>
          <w:tcPr>
            <w:tcW w:w="520" w:type="pct"/>
            <w:tcBorders>
              <w:top w:val="single" w:sz="8" w:space="0" w:color="auto"/>
              <w:left w:val="nil"/>
              <w:bottom w:val="single" w:sz="4" w:space="0" w:color="auto"/>
              <w:right w:val="single" w:sz="4" w:space="0" w:color="auto"/>
            </w:tcBorders>
            <w:shd w:val="clear" w:color="auto" w:fill="auto"/>
            <w:noWrap/>
            <w:vAlign w:val="center"/>
            <w:hideMark/>
          </w:tcPr>
          <w:p w14:paraId="305184E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0.854</w:t>
            </w:r>
          </w:p>
        </w:tc>
        <w:tc>
          <w:tcPr>
            <w:tcW w:w="470" w:type="pct"/>
            <w:tcBorders>
              <w:top w:val="single" w:sz="8" w:space="0" w:color="auto"/>
              <w:left w:val="nil"/>
              <w:bottom w:val="single" w:sz="4" w:space="0" w:color="auto"/>
              <w:right w:val="single" w:sz="8" w:space="0" w:color="auto"/>
            </w:tcBorders>
            <w:shd w:val="clear" w:color="auto" w:fill="auto"/>
            <w:noWrap/>
            <w:vAlign w:val="center"/>
            <w:hideMark/>
          </w:tcPr>
          <w:p w14:paraId="426568C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0.597</w:t>
            </w:r>
          </w:p>
        </w:tc>
      </w:tr>
      <w:tr w:rsidR="005976AB" w:rsidRPr="005635E7" w14:paraId="6DF84E99"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7A8D772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2020D14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MC3</w:t>
            </w:r>
          </w:p>
        </w:tc>
        <w:tc>
          <w:tcPr>
            <w:tcW w:w="414" w:type="pct"/>
            <w:tcBorders>
              <w:top w:val="nil"/>
              <w:left w:val="nil"/>
              <w:bottom w:val="single" w:sz="4" w:space="0" w:color="auto"/>
              <w:right w:val="single" w:sz="4" w:space="0" w:color="auto"/>
            </w:tcBorders>
            <w:shd w:val="clear" w:color="auto" w:fill="auto"/>
            <w:noWrap/>
            <w:vAlign w:val="center"/>
            <w:hideMark/>
          </w:tcPr>
          <w:p w14:paraId="2609A75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0.680</w:t>
            </w:r>
          </w:p>
        </w:tc>
        <w:tc>
          <w:tcPr>
            <w:tcW w:w="397" w:type="pct"/>
            <w:tcBorders>
              <w:top w:val="nil"/>
              <w:left w:val="nil"/>
              <w:bottom w:val="single" w:sz="4" w:space="0" w:color="auto"/>
              <w:right w:val="single" w:sz="4" w:space="0" w:color="auto"/>
            </w:tcBorders>
            <w:shd w:val="clear" w:color="auto" w:fill="auto"/>
            <w:noWrap/>
            <w:vAlign w:val="center"/>
            <w:hideMark/>
          </w:tcPr>
          <w:p w14:paraId="5B64F1C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0.669</w:t>
            </w:r>
          </w:p>
        </w:tc>
        <w:tc>
          <w:tcPr>
            <w:tcW w:w="465" w:type="pct"/>
            <w:tcBorders>
              <w:top w:val="nil"/>
              <w:left w:val="nil"/>
              <w:bottom w:val="single" w:sz="4" w:space="0" w:color="auto"/>
              <w:right w:val="single" w:sz="4" w:space="0" w:color="auto"/>
            </w:tcBorders>
            <w:shd w:val="clear" w:color="auto" w:fill="auto"/>
            <w:noWrap/>
            <w:vAlign w:val="center"/>
            <w:hideMark/>
          </w:tcPr>
          <w:p w14:paraId="4A9BEB8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0.091</w:t>
            </w:r>
          </w:p>
        </w:tc>
        <w:tc>
          <w:tcPr>
            <w:tcW w:w="460" w:type="pct"/>
            <w:tcBorders>
              <w:top w:val="nil"/>
              <w:left w:val="nil"/>
              <w:bottom w:val="single" w:sz="4" w:space="0" w:color="auto"/>
              <w:right w:val="single" w:sz="4" w:space="0" w:color="auto"/>
            </w:tcBorders>
            <w:shd w:val="clear" w:color="auto" w:fill="auto"/>
            <w:noWrap/>
            <w:vAlign w:val="center"/>
            <w:hideMark/>
          </w:tcPr>
          <w:p w14:paraId="5AA6A50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7.457</w:t>
            </w:r>
          </w:p>
        </w:tc>
        <w:tc>
          <w:tcPr>
            <w:tcW w:w="358" w:type="pct"/>
            <w:tcBorders>
              <w:top w:val="nil"/>
              <w:left w:val="nil"/>
              <w:bottom w:val="single" w:sz="4" w:space="0" w:color="auto"/>
              <w:right w:val="nil"/>
            </w:tcBorders>
            <w:shd w:val="clear" w:color="auto" w:fill="auto"/>
            <w:noWrap/>
            <w:vAlign w:val="center"/>
            <w:hideMark/>
          </w:tcPr>
          <w:p w14:paraId="4614FBD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2E0E573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77340F2C"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23370E69"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12309CB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4F1AF18B"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69EC400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27618E3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MC4</w:t>
            </w:r>
          </w:p>
        </w:tc>
        <w:tc>
          <w:tcPr>
            <w:tcW w:w="414" w:type="pct"/>
            <w:tcBorders>
              <w:top w:val="nil"/>
              <w:left w:val="nil"/>
              <w:bottom w:val="single" w:sz="4" w:space="0" w:color="auto"/>
              <w:right w:val="single" w:sz="4" w:space="0" w:color="auto"/>
            </w:tcBorders>
            <w:shd w:val="clear" w:color="auto" w:fill="auto"/>
            <w:noWrap/>
            <w:vAlign w:val="center"/>
            <w:hideMark/>
          </w:tcPr>
          <w:p w14:paraId="649A5C0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0.792</w:t>
            </w:r>
          </w:p>
        </w:tc>
        <w:tc>
          <w:tcPr>
            <w:tcW w:w="397" w:type="pct"/>
            <w:tcBorders>
              <w:top w:val="nil"/>
              <w:left w:val="nil"/>
              <w:bottom w:val="single" w:sz="4" w:space="0" w:color="auto"/>
              <w:right w:val="single" w:sz="4" w:space="0" w:color="auto"/>
            </w:tcBorders>
            <w:shd w:val="clear" w:color="auto" w:fill="auto"/>
            <w:noWrap/>
            <w:vAlign w:val="center"/>
            <w:hideMark/>
          </w:tcPr>
          <w:p w14:paraId="10C9564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0.781</w:t>
            </w:r>
          </w:p>
        </w:tc>
        <w:tc>
          <w:tcPr>
            <w:tcW w:w="465" w:type="pct"/>
            <w:tcBorders>
              <w:top w:val="nil"/>
              <w:left w:val="nil"/>
              <w:bottom w:val="single" w:sz="4" w:space="0" w:color="auto"/>
              <w:right w:val="single" w:sz="4" w:space="0" w:color="auto"/>
            </w:tcBorders>
            <w:shd w:val="clear" w:color="auto" w:fill="auto"/>
            <w:noWrap/>
            <w:vAlign w:val="center"/>
            <w:hideMark/>
          </w:tcPr>
          <w:p w14:paraId="16FFC48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0.079</w:t>
            </w:r>
          </w:p>
        </w:tc>
        <w:tc>
          <w:tcPr>
            <w:tcW w:w="460" w:type="pct"/>
            <w:tcBorders>
              <w:top w:val="nil"/>
              <w:left w:val="nil"/>
              <w:bottom w:val="single" w:sz="4" w:space="0" w:color="auto"/>
              <w:right w:val="single" w:sz="4" w:space="0" w:color="auto"/>
            </w:tcBorders>
            <w:shd w:val="clear" w:color="auto" w:fill="auto"/>
            <w:noWrap/>
            <w:vAlign w:val="center"/>
            <w:hideMark/>
          </w:tcPr>
          <w:p w14:paraId="6D24182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10.006</w:t>
            </w:r>
          </w:p>
        </w:tc>
        <w:tc>
          <w:tcPr>
            <w:tcW w:w="358" w:type="pct"/>
            <w:tcBorders>
              <w:top w:val="nil"/>
              <w:left w:val="nil"/>
              <w:bottom w:val="single" w:sz="4" w:space="0" w:color="auto"/>
              <w:right w:val="nil"/>
            </w:tcBorders>
            <w:shd w:val="clear" w:color="auto" w:fill="auto"/>
            <w:noWrap/>
            <w:vAlign w:val="center"/>
            <w:hideMark/>
          </w:tcPr>
          <w:p w14:paraId="1CBEB20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5AC1BDE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559EC8DD"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478CBBD9"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7D0F4D7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22B377D3" w14:textId="77777777" w:rsidTr="009E2F41">
        <w:trPr>
          <w:trHeight w:val="315"/>
        </w:trPr>
        <w:tc>
          <w:tcPr>
            <w:tcW w:w="483" w:type="pct"/>
            <w:tcBorders>
              <w:top w:val="nil"/>
              <w:left w:val="single" w:sz="8" w:space="0" w:color="auto"/>
              <w:bottom w:val="single" w:sz="8" w:space="0" w:color="auto"/>
              <w:right w:val="nil"/>
            </w:tcBorders>
            <w:shd w:val="clear" w:color="auto" w:fill="auto"/>
            <w:noWrap/>
            <w:vAlign w:val="bottom"/>
            <w:hideMark/>
          </w:tcPr>
          <w:p w14:paraId="57B1475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14:paraId="470A0F3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MC5</w:t>
            </w:r>
          </w:p>
        </w:tc>
        <w:tc>
          <w:tcPr>
            <w:tcW w:w="414" w:type="pct"/>
            <w:tcBorders>
              <w:top w:val="nil"/>
              <w:left w:val="nil"/>
              <w:bottom w:val="single" w:sz="8" w:space="0" w:color="auto"/>
              <w:right w:val="single" w:sz="4" w:space="0" w:color="auto"/>
            </w:tcBorders>
            <w:shd w:val="clear" w:color="auto" w:fill="auto"/>
            <w:noWrap/>
            <w:vAlign w:val="center"/>
            <w:hideMark/>
          </w:tcPr>
          <w:p w14:paraId="67F6CFE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0.882</w:t>
            </w:r>
          </w:p>
        </w:tc>
        <w:tc>
          <w:tcPr>
            <w:tcW w:w="397" w:type="pct"/>
            <w:tcBorders>
              <w:top w:val="nil"/>
              <w:left w:val="nil"/>
              <w:bottom w:val="single" w:sz="8" w:space="0" w:color="auto"/>
              <w:right w:val="single" w:sz="4" w:space="0" w:color="auto"/>
            </w:tcBorders>
            <w:shd w:val="clear" w:color="auto" w:fill="auto"/>
            <w:noWrap/>
            <w:vAlign w:val="center"/>
            <w:hideMark/>
          </w:tcPr>
          <w:p w14:paraId="0292B4B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0.881</w:t>
            </w:r>
          </w:p>
        </w:tc>
        <w:tc>
          <w:tcPr>
            <w:tcW w:w="465" w:type="pct"/>
            <w:tcBorders>
              <w:top w:val="nil"/>
              <w:left w:val="nil"/>
              <w:bottom w:val="single" w:sz="8" w:space="0" w:color="auto"/>
              <w:right w:val="single" w:sz="4" w:space="0" w:color="auto"/>
            </w:tcBorders>
            <w:shd w:val="clear" w:color="auto" w:fill="auto"/>
            <w:noWrap/>
            <w:vAlign w:val="center"/>
            <w:hideMark/>
          </w:tcPr>
          <w:p w14:paraId="512BF4F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0.045</w:t>
            </w:r>
          </w:p>
        </w:tc>
        <w:tc>
          <w:tcPr>
            <w:tcW w:w="460" w:type="pct"/>
            <w:tcBorders>
              <w:top w:val="nil"/>
              <w:left w:val="nil"/>
              <w:bottom w:val="single" w:sz="8" w:space="0" w:color="auto"/>
              <w:right w:val="single" w:sz="4" w:space="0" w:color="auto"/>
            </w:tcBorders>
            <w:shd w:val="clear" w:color="auto" w:fill="auto"/>
            <w:noWrap/>
            <w:vAlign w:val="center"/>
            <w:hideMark/>
          </w:tcPr>
          <w:p w14:paraId="1E60DCA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19.767</w:t>
            </w:r>
          </w:p>
        </w:tc>
        <w:tc>
          <w:tcPr>
            <w:tcW w:w="358" w:type="pct"/>
            <w:tcBorders>
              <w:top w:val="nil"/>
              <w:left w:val="nil"/>
              <w:bottom w:val="single" w:sz="8" w:space="0" w:color="auto"/>
              <w:right w:val="nil"/>
            </w:tcBorders>
            <w:shd w:val="clear" w:color="auto" w:fill="auto"/>
            <w:noWrap/>
            <w:vAlign w:val="center"/>
            <w:hideMark/>
          </w:tcPr>
          <w:p w14:paraId="04FDE35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single" w:sz="8" w:space="0" w:color="auto"/>
              <w:right w:val="nil"/>
            </w:tcBorders>
            <w:shd w:val="clear" w:color="auto" w:fill="auto"/>
            <w:noWrap/>
            <w:vAlign w:val="bottom"/>
            <w:hideMark/>
          </w:tcPr>
          <w:p w14:paraId="1B08217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single" w:sz="8" w:space="0" w:color="auto"/>
              <w:right w:val="nil"/>
            </w:tcBorders>
            <w:shd w:val="clear" w:color="auto" w:fill="auto"/>
            <w:noWrap/>
            <w:vAlign w:val="bottom"/>
            <w:hideMark/>
          </w:tcPr>
          <w:p w14:paraId="21F8419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520" w:type="pct"/>
            <w:tcBorders>
              <w:top w:val="nil"/>
              <w:left w:val="nil"/>
              <w:bottom w:val="single" w:sz="8" w:space="0" w:color="auto"/>
              <w:right w:val="nil"/>
            </w:tcBorders>
            <w:shd w:val="clear" w:color="auto" w:fill="auto"/>
            <w:noWrap/>
            <w:vAlign w:val="bottom"/>
            <w:hideMark/>
          </w:tcPr>
          <w:p w14:paraId="4BF957F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70" w:type="pct"/>
            <w:tcBorders>
              <w:top w:val="nil"/>
              <w:left w:val="nil"/>
              <w:bottom w:val="single" w:sz="8" w:space="0" w:color="auto"/>
              <w:right w:val="single" w:sz="8" w:space="0" w:color="auto"/>
            </w:tcBorders>
            <w:shd w:val="clear" w:color="auto" w:fill="auto"/>
            <w:noWrap/>
            <w:vAlign w:val="bottom"/>
            <w:hideMark/>
          </w:tcPr>
          <w:p w14:paraId="37B12A6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0911BF7F" w14:textId="77777777" w:rsidTr="009E2F41">
        <w:trPr>
          <w:trHeight w:val="300"/>
        </w:trPr>
        <w:tc>
          <w:tcPr>
            <w:tcW w:w="483" w:type="pct"/>
            <w:tcBorders>
              <w:top w:val="nil"/>
              <w:left w:val="single" w:sz="8" w:space="0" w:color="auto"/>
              <w:bottom w:val="single" w:sz="4" w:space="0" w:color="auto"/>
              <w:right w:val="nil"/>
            </w:tcBorders>
            <w:shd w:val="clear" w:color="auto" w:fill="auto"/>
            <w:noWrap/>
            <w:vAlign w:val="center"/>
            <w:hideMark/>
          </w:tcPr>
          <w:p w14:paraId="5A08900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ME</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158B179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ME1</w:t>
            </w:r>
          </w:p>
        </w:tc>
        <w:tc>
          <w:tcPr>
            <w:tcW w:w="414" w:type="pct"/>
            <w:tcBorders>
              <w:top w:val="nil"/>
              <w:left w:val="nil"/>
              <w:bottom w:val="single" w:sz="4" w:space="0" w:color="auto"/>
              <w:right w:val="single" w:sz="4" w:space="0" w:color="auto"/>
            </w:tcBorders>
            <w:shd w:val="clear" w:color="auto" w:fill="auto"/>
            <w:noWrap/>
            <w:vAlign w:val="center"/>
            <w:hideMark/>
          </w:tcPr>
          <w:p w14:paraId="1415DA8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0.884</w:t>
            </w:r>
          </w:p>
        </w:tc>
        <w:tc>
          <w:tcPr>
            <w:tcW w:w="397" w:type="pct"/>
            <w:tcBorders>
              <w:top w:val="nil"/>
              <w:left w:val="nil"/>
              <w:bottom w:val="single" w:sz="4" w:space="0" w:color="auto"/>
              <w:right w:val="single" w:sz="4" w:space="0" w:color="auto"/>
            </w:tcBorders>
            <w:shd w:val="clear" w:color="auto" w:fill="auto"/>
            <w:noWrap/>
            <w:vAlign w:val="center"/>
            <w:hideMark/>
          </w:tcPr>
          <w:p w14:paraId="256CFD2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0.880</w:t>
            </w:r>
          </w:p>
        </w:tc>
        <w:tc>
          <w:tcPr>
            <w:tcW w:w="465" w:type="pct"/>
            <w:tcBorders>
              <w:top w:val="nil"/>
              <w:left w:val="nil"/>
              <w:bottom w:val="single" w:sz="4" w:space="0" w:color="auto"/>
              <w:right w:val="single" w:sz="4" w:space="0" w:color="auto"/>
            </w:tcBorders>
            <w:shd w:val="clear" w:color="auto" w:fill="auto"/>
            <w:noWrap/>
            <w:vAlign w:val="center"/>
            <w:hideMark/>
          </w:tcPr>
          <w:p w14:paraId="61389D0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0.029</w:t>
            </w:r>
          </w:p>
        </w:tc>
        <w:tc>
          <w:tcPr>
            <w:tcW w:w="460" w:type="pct"/>
            <w:tcBorders>
              <w:top w:val="nil"/>
              <w:left w:val="nil"/>
              <w:bottom w:val="single" w:sz="4" w:space="0" w:color="auto"/>
              <w:right w:val="single" w:sz="4" w:space="0" w:color="auto"/>
            </w:tcBorders>
            <w:shd w:val="clear" w:color="auto" w:fill="auto"/>
            <w:noWrap/>
            <w:vAlign w:val="center"/>
            <w:hideMark/>
          </w:tcPr>
          <w:p w14:paraId="53ED09E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30.686</w:t>
            </w:r>
          </w:p>
        </w:tc>
        <w:tc>
          <w:tcPr>
            <w:tcW w:w="358" w:type="pct"/>
            <w:tcBorders>
              <w:top w:val="nil"/>
              <w:left w:val="nil"/>
              <w:bottom w:val="single" w:sz="4" w:space="0" w:color="auto"/>
              <w:right w:val="nil"/>
            </w:tcBorders>
            <w:shd w:val="clear" w:color="auto" w:fill="auto"/>
            <w:noWrap/>
            <w:vAlign w:val="center"/>
            <w:hideMark/>
          </w:tcPr>
          <w:p w14:paraId="47A1E67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single" w:sz="4" w:space="0" w:color="auto"/>
              <w:right w:val="single" w:sz="4" w:space="0" w:color="auto"/>
            </w:tcBorders>
            <w:shd w:val="clear" w:color="auto" w:fill="auto"/>
            <w:noWrap/>
            <w:vAlign w:val="center"/>
            <w:hideMark/>
          </w:tcPr>
          <w:p w14:paraId="2914481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0.815</w:t>
            </w:r>
          </w:p>
        </w:tc>
        <w:tc>
          <w:tcPr>
            <w:tcW w:w="396" w:type="pct"/>
            <w:tcBorders>
              <w:top w:val="nil"/>
              <w:left w:val="nil"/>
              <w:bottom w:val="single" w:sz="4" w:space="0" w:color="auto"/>
              <w:right w:val="single" w:sz="4" w:space="0" w:color="auto"/>
            </w:tcBorders>
            <w:shd w:val="clear" w:color="auto" w:fill="auto"/>
            <w:noWrap/>
            <w:vAlign w:val="center"/>
            <w:hideMark/>
          </w:tcPr>
          <w:p w14:paraId="0A1F604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0.907</w:t>
            </w:r>
          </w:p>
        </w:tc>
        <w:tc>
          <w:tcPr>
            <w:tcW w:w="520" w:type="pct"/>
            <w:tcBorders>
              <w:top w:val="nil"/>
              <w:left w:val="nil"/>
              <w:bottom w:val="single" w:sz="4" w:space="0" w:color="auto"/>
              <w:right w:val="single" w:sz="4" w:space="0" w:color="auto"/>
            </w:tcBorders>
            <w:shd w:val="clear" w:color="auto" w:fill="auto"/>
            <w:noWrap/>
            <w:vAlign w:val="center"/>
            <w:hideMark/>
          </w:tcPr>
          <w:p w14:paraId="70BDFC5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0.871</w:t>
            </w:r>
          </w:p>
        </w:tc>
        <w:tc>
          <w:tcPr>
            <w:tcW w:w="470" w:type="pct"/>
            <w:tcBorders>
              <w:top w:val="nil"/>
              <w:left w:val="nil"/>
              <w:bottom w:val="single" w:sz="4" w:space="0" w:color="auto"/>
              <w:right w:val="single" w:sz="8" w:space="0" w:color="auto"/>
            </w:tcBorders>
            <w:shd w:val="clear" w:color="auto" w:fill="auto"/>
            <w:noWrap/>
            <w:vAlign w:val="center"/>
            <w:hideMark/>
          </w:tcPr>
          <w:p w14:paraId="43860F9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0.631</w:t>
            </w:r>
          </w:p>
        </w:tc>
      </w:tr>
      <w:tr w:rsidR="005976AB" w:rsidRPr="005635E7" w14:paraId="21E9A7C8"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08EC2D3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678FC57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ME2</w:t>
            </w:r>
          </w:p>
        </w:tc>
        <w:tc>
          <w:tcPr>
            <w:tcW w:w="414" w:type="pct"/>
            <w:tcBorders>
              <w:top w:val="nil"/>
              <w:left w:val="nil"/>
              <w:bottom w:val="single" w:sz="4" w:space="0" w:color="auto"/>
              <w:right w:val="single" w:sz="4" w:space="0" w:color="auto"/>
            </w:tcBorders>
            <w:shd w:val="clear" w:color="auto" w:fill="auto"/>
            <w:noWrap/>
            <w:vAlign w:val="center"/>
            <w:hideMark/>
          </w:tcPr>
          <w:p w14:paraId="119827D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0.885</w:t>
            </w:r>
          </w:p>
        </w:tc>
        <w:tc>
          <w:tcPr>
            <w:tcW w:w="397" w:type="pct"/>
            <w:tcBorders>
              <w:top w:val="nil"/>
              <w:left w:val="nil"/>
              <w:bottom w:val="single" w:sz="4" w:space="0" w:color="auto"/>
              <w:right w:val="single" w:sz="4" w:space="0" w:color="auto"/>
            </w:tcBorders>
            <w:shd w:val="clear" w:color="auto" w:fill="auto"/>
            <w:noWrap/>
            <w:vAlign w:val="center"/>
            <w:hideMark/>
          </w:tcPr>
          <w:p w14:paraId="153C943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0.880</w:t>
            </w:r>
          </w:p>
        </w:tc>
        <w:tc>
          <w:tcPr>
            <w:tcW w:w="465" w:type="pct"/>
            <w:tcBorders>
              <w:top w:val="nil"/>
              <w:left w:val="nil"/>
              <w:bottom w:val="single" w:sz="4" w:space="0" w:color="auto"/>
              <w:right w:val="single" w:sz="4" w:space="0" w:color="auto"/>
            </w:tcBorders>
            <w:shd w:val="clear" w:color="auto" w:fill="auto"/>
            <w:noWrap/>
            <w:vAlign w:val="center"/>
            <w:hideMark/>
          </w:tcPr>
          <w:p w14:paraId="500E84D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0.022</w:t>
            </w:r>
          </w:p>
        </w:tc>
        <w:tc>
          <w:tcPr>
            <w:tcW w:w="460" w:type="pct"/>
            <w:tcBorders>
              <w:top w:val="nil"/>
              <w:left w:val="nil"/>
              <w:bottom w:val="single" w:sz="4" w:space="0" w:color="auto"/>
              <w:right w:val="single" w:sz="4" w:space="0" w:color="auto"/>
            </w:tcBorders>
            <w:shd w:val="clear" w:color="auto" w:fill="auto"/>
            <w:noWrap/>
            <w:vAlign w:val="center"/>
            <w:hideMark/>
          </w:tcPr>
          <w:p w14:paraId="580A8F1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40.086</w:t>
            </w:r>
          </w:p>
        </w:tc>
        <w:tc>
          <w:tcPr>
            <w:tcW w:w="358" w:type="pct"/>
            <w:tcBorders>
              <w:top w:val="nil"/>
              <w:left w:val="nil"/>
              <w:bottom w:val="single" w:sz="4" w:space="0" w:color="auto"/>
              <w:right w:val="nil"/>
            </w:tcBorders>
            <w:shd w:val="clear" w:color="auto" w:fill="auto"/>
            <w:noWrap/>
            <w:vAlign w:val="center"/>
            <w:hideMark/>
          </w:tcPr>
          <w:p w14:paraId="2820F3B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1331DB4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7AB687BC"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4782400A"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6ADFAC8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41B8EB39"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1BD6721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0CE4567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ME3</w:t>
            </w:r>
          </w:p>
        </w:tc>
        <w:tc>
          <w:tcPr>
            <w:tcW w:w="414" w:type="pct"/>
            <w:tcBorders>
              <w:top w:val="nil"/>
              <w:left w:val="nil"/>
              <w:bottom w:val="single" w:sz="4" w:space="0" w:color="auto"/>
              <w:right w:val="single" w:sz="4" w:space="0" w:color="auto"/>
            </w:tcBorders>
            <w:shd w:val="clear" w:color="auto" w:fill="auto"/>
            <w:noWrap/>
            <w:vAlign w:val="center"/>
            <w:hideMark/>
          </w:tcPr>
          <w:p w14:paraId="2ED5F93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0.752</w:t>
            </w:r>
          </w:p>
        </w:tc>
        <w:tc>
          <w:tcPr>
            <w:tcW w:w="397" w:type="pct"/>
            <w:tcBorders>
              <w:top w:val="nil"/>
              <w:left w:val="nil"/>
              <w:bottom w:val="single" w:sz="4" w:space="0" w:color="auto"/>
              <w:right w:val="single" w:sz="4" w:space="0" w:color="auto"/>
            </w:tcBorders>
            <w:shd w:val="clear" w:color="auto" w:fill="auto"/>
            <w:noWrap/>
            <w:vAlign w:val="center"/>
            <w:hideMark/>
          </w:tcPr>
          <w:p w14:paraId="61C6484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0.749</w:t>
            </w:r>
          </w:p>
        </w:tc>
        <w:tc>
          <w:tcPr>
            <w:tcW w:w="465" w:type="pct"/>
            <w:tcBorders>
              <w:top w:val="nil"/>
              <w:left w:val="nil"/>
              <w:bottom w:val="single" w:sz="4" w:space="0" w:color="auto"/>
              <w:right w:val="single" w:sz="4" w:space="0" w:color="auto"/>
            </w:tcBorders>
            <w:shd w:val="clear" w:color="auto" w:fill="auto"/>
            <w:noWrap/>
            <w:vAlign w:val="center"/>
            <w:hideMark/>
          </w:tcPr>
          <w:p w14:paraId="0ECEFC4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0.054</w:t>
            </w:r>
          </w:p>
        </w:tc>
        <w:tc>
          <w:tcPr>
            <w:tcW w:w="460" w:type="pct"/>
            <w:tcBorders>
              <w:top w:val="nil"/>
              <w:left w:val="nil"/>
              <w:bottom w:val="single" w:sz="4" w:space="0" w:color="auto"/>
              <w:right w:val="single" w:sz="4" w:space="0" w:color="auto"/>
            </w:tcBorders>
            <w:shd w:val="clear" w:color="auto" w:fill="auto"/>
            <w:noWrap/>
            <w:vAlign w:val="center"/>
            <w:hideMark/>
          </w:tcPr>
          <w:p w14:paraId="35B1ADC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13.886</w:t>
            </w:r>
          </w:p>
        </w:tc>
        <w:tc>
          <w:tcPr>
            <w:tcW w:w="358" w:type="pct"/>
            <w:tcBorders>
              <w:top w:val="nil"/>
              <w:left w:val="nil"/>
              <w:bottom w:val="single" w:sz="4" w:space="0" w:color="auto"/>
              <w:right w:val="nil"/>
            </w:tcBorders>
            <w:shd w:val="clear" w:color="auto" w:fill="auto"/>
            <w:noWrap/>
            <w:vAlign w:val="center"/>
            <w:hideMark/>
          </w:tcPr>
          <w:p w14:paraId="7C65622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5873FD8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74D16806"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20909B6D"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66A7782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4C3FF9DB" w14:textId="77777777" w:rsidTr="009E2F41">
        <w:trPr>
          <w:trHeight w:val="315"/>
        </w:trPr>
        <w:tc>
          <w:tcPr>
            <w:tcW w:w="483" w:type="pct"/>
            <w:tcBorders>
              <w:top w:val="nil"/>
              <w:left w:val="single" w:sz="8" w:space="0" w:color="auto"/>
              <w:bottom w:val="nil"/>
              <w:right w:val="nil"/>
            </w:tcBorders>
            <w:shd w:val="clear" w:color="auto" w:fill="auto"/>
            <w:noWrap/>
            <w:vAlign w:val="bottom"/>
            <w:hideMark/>
          </w:tcPr>
          <w:p w14:paraId="6E24C3F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nil"/>
              <w:right w:val="single" w:sz="8" w:space="0" w:color="auto"/>
            </w:tcBorders>
            <w:shd w:val="clear" w:color="auto" w:fill="auto"/>
            <w:noWrap/>
            <w:vAlign w:val="center"/>
            <w:hideMark/>
          </w:tcPr>
          <w:p w14:paraId="137FE2C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ME4</w:t>
            </w:r>
          </w:p>
        </w:tc>
        <w:tc>
          <w:tcPr>
            <w:tcW w:w="414" w:type="pct"/>
            <w:tcBorders>
              <w:top w:val="nil"/>
              <w:left w:val="nil"/>
              <w:bottom w:val="nil"/>
              <w:right w:val="single" w:sz="4" w:space="0" w:color="auto"/>
            </w:tcBorders>
            <w:shd w:val="clear" w:color="auto" w:fill="auto"/>
            <w:noWrap/>
            <w:vAlign w:val="center"/>
            <w:hideMark/>
          </w:tcPr>
          <w:p w14:paraId="2C2AED2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0.627</w:t>
            </w:r>
          </w:p>
        </w:tc>
        <w:tc>
          <w:tcPr>
            <w:tcW w:w="397" w:type="pct"/>
            <w:tcBorders>
              <w:top w:val="nil"/>
              <w:left w:val="nil"/>
              <w:bottom w:val="nil"/>
              <w:right w:val="single" w:sz="4" w:space="0" w:color="auto"/>
            </w:tcBorders>
            <w:shd w:val="clear" w:color="auto" w:fill="auto"/>
            <w:noWrap/>
            <w:vAlign w:val="center"/>
            <w:hideMark/>
          </w:tcPr>
          <w:p w14:paraId="05D84E8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0.621</w:t>
            </w:r>
          </w:p>
        </w:tc>
        <w:tc>
          <w:tcPr>
            <w:tcW w:w="465" w:type="pct"/>
            <w:tcBorders>
              <w:top w:val="nil"/>
              <w:left w:val="nil"/>
              <w:bottom w:val="nil"/>
              <w:right w:val="single" w:sz="4" w:space="0" w:color="auto"/>
            </w:tcBorders>
            <w:shd w:val="clear" w:color="auto" w:fill="auto"/>
            <w:noWrap/>
            <w:vAlign w:val="center"/>
            <w:hideMark/>
          </w:tcPr>
          <w:p w14:paraId="564A543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0.085</w:t>
            </w:r>
          </w:p>
        </w:tc>
        <w:tc>
          <w:tcPr>
            <w:tcW w:w="460" w:type="pct"/>
            <w:tcBorders>
              <w:top w:val="nil"/>
              <w:left w:val="nil"/>
              <w:bottom w:val="nil"/>
              <w:right w:val="single" w:sz="4" w:space="0" w:color="auto"/>
            </w:tcBorders>
            <w:shd w:val="clear" w:color="auto" w:fill="auto"/>
            <w:noWrap/>
            <w:vAlign w:val="center"/>
            <w:hideMark/>
          </w:tcPr>
          <w:p w14:paraId="7C8D5F0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7.391</w:t>
            </w:r>
          </w:p>
        </w:tc>
        <w:tc>
          <w:tcPr>
            <w:tcW w:w="358" w:type="pct"/>
            <w:tcBorders>
              <w:top w:val="nil"/>
              <w:left w:val="nil"/>
              <w:bottom w:val="nil"/>
              <w:right w:val="nil"/>
            </w:tcBorders>
            <w:shd w:val="clear" w:color="auto" w:fill="auto"/>
            <w:noWrap/>
            <w:vAlign w:val="center"/>
            <w:hideMark/>
          </w:tcPr>
          <w:p w14:paraId="568461D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2FAA798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3A042221"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4B9E24C7"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0CF5C98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193A7E06" w14:textId="77777777" w:rsidTr="009E2F41">
        <w:trPr>
          <w:trHeight w:val="300"/>
        </w:trPr>
        <w:tc>
          <w:tcPr>
            <w:tcW w:w="483" w:type="pct"/>
            <w:tcBorders>
              <w:top w:val="single" w:sz="8" w:space="0" w:color="auto"/>
              <w:left w:val="single" w:sz="8" w:space="0" w:color="auto"/>
              <w:bottom w:val="single" w:sz="4" w:space="0" w:color="auto"/>
              <w:right w:val="nil"/>
            </w:tcBorders>
            <w:shd w:val="clear" w:color="auto" w:fill="auto"/>
            <w:noWrap/>
            <w:vAlign w:val="center"/>
            <w:hideMark/>
          </w:tcPr>
          <w:p w14:paraId="4D6135E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OP</w:t>
            </w:r>
          </w:p>
        </w:tc>
        <w:tc>
          <w:tcPr>
            <w:tcW w:w="491"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55DB59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OP1</w:t>
            </w:r>
          </w:p>
        </w:tc>
        <w:tc>
          <w:tcPr>
            <w:tcW w:w="414" w:type="pct"/>
            <w:tcBorders>
              <w:top w:val="single" w:sz="8" w:space="0" w:color="auto"/>
              <w:left w:val="nil"/>
              <w:bottom w:val="single" w:sz="4" w:space="0" w:color="auto"/>
              <w:right w:val="single" w:sz="4" w:space="0" w:color="auto"/>
            </w:tcBorders>
            <w:shd w:val="clear" w:color="auto" w:fill="auto"/>
            <w:noWrap/>
            <w:vAlign w:val="center"/>
            <w:hideMark/>
          </w:tcPr>
          <w:p w14:paraId="170D019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0.693</w:t>
            </w:r>
          </w:p>
        </w:tc>
        <w:tc>
          <w:tcPr>
            <w:tcW w:w="397" w:type="pct"/>
            <w:tcBorders>
              <w:top w:val="single" w:sz="8" w:space="0" w:color="auto"/>
              <w:left w:val="nil"/>
              <w:bottom w:val="single" w:sz="4" w:space="0" w:color="auto"/>
              <w:right w:val="single" w:sz="4" w:space="0" w:color="auto"/>
            </w:tcBorders>
            <w:shd w:val="clear" w:color="auto" w:fill="auto"/>
            <w:noWrap/>
            <w:vAlign w:val="center"/>
            <w:hideMark/>
          </w:tcPr>
          <w:p w14:paraId="690277C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0.689</w:t>
            </w:r>
          </w:p>
        </w:tc>
        <w:tc>
          <w:tcPr>
            <w:tcW w:w="465" w:type="pct"/>
            <w:tcBorders>
              <w:top w:val="single" w:sz="8" w:space="0" w:color="auto"/>
              <w:left w:val="nil"/>
              <w:bottom w:val="single" w:sz="4" w:space="0" w:color="auto"/>
              <w:right w:val="single" w:sz="4" w:space="0" w:color="auto"/>
            </w:tcBorders>
            <w:shd w:val="clear" w:color="auto" w:fill="auto"/>
            <w:noWrap/>
            <w:vAlign w:val="center"/>
            <w:hideMark/>
          </w:tcPr>
          <w:p w14:paraId="1EBA3EE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0.070</w:t>
            </w:r>
          </w:p>
        </w:tc>
        <w:tc>
          <w:tcPr>
            <w:tcW w:w="460" w:type="pct"/>
            <w:tcBorders>
              <w:top w:val="single" w:sz="8" w:space="0" w:color="auto"/>
              <w:left w:val="nil"/>
              <w:bottom w:val="single" w:sz="4" w:space="0" w:color="auto"/>
              <w:right w:val="single" w:sz="4" w:space="0" w:color="auto"/>
            </w:tcBorders>
            <w:shd w:val="clear" w:color="auto" w:fill="auto"/>
            <w:noWrap/>
            <w:vAlign w:val="center"/>
            <w:hideMark/>
          </w:tcPr>
          <w:p w14:paraId="6A0ADD9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9.957</w:t>
            </w:r>
          </w:p>
        </w:tc>
        <w:tc>
          <w:tcPr>
            <w:tcW w:w="358" w:type="pct"/>
            <w:tcBorders>
              <w:top w:val="single" w:sz="8" w:space="0" w:color="auto"/>
              <w:left w:val="nil"/>
              <w:bottom w:val="single" w:sz="4" w:space="0" w:color="auto"/>
              <w:right w:val="nil"/>
            </w:tcBorders>
            <w:shd w:val="clear" w:color="auto" w:fill="auto"/>
            <w:noWrap/>
            <w:vAlign w:val="center"/>
            <w:hideMark/>
          </w:tcPr>
          <w:p w14:paraId="3DE37E8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B7A2CB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0.751</w:t>
            </w:r>
          </w:p>
        </w:tc>
        <w:tc>
          <w:tcPr>
            <w:tcW w:w="396" w:type="pct"/>
            <w:tcBorders>
              <w:top w:val="single" w:sz="8" w:space="0" w:color="auto"/>
              <w:left w:val="nil"/>
              <w:bottom w:val="single" w:sz="4" w:space="0" w:color="auto"/>
              <w:right w:val="single" w:sz="4" w:space="0" w:color="auto"/>
            </w:tcBorders>
            <w:shd w:val="clear" w:color="auto" w:fill="auto"/>
            <w:noWrap/>
            <w:vAlign w:val="center"/>
            <w:hideMark/>
          </w:tcPr>
          <w:p w14:paraId="7911D48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0.809</w:t>
            </w:r>
          </w:p>
        </w:tc>
        <w:tc>
          <w:tcPr>
            <w:tcW w:w="520" w:type="pct"/>
            <w:tcBorders>
              <w:top w:val="single" w:sz="8" w:space="0" w:color="auto"/>
              <w:left w:val="nil"/>
              <w:bottom w:val="single" w:sz="4" w:space="0" w:color="auto"/>
              <w:right w:val="single" w:sz="4" w:space="0" w:color="auto"/>
            </w:tcBorders>
            <w:shd w:val="clear" w:color="auto" w:fill="auto"/>
            <w:noWrap/>
            <w:vAlign w:val="center"/>
            <w:hideMark/>
          </w:tcPr>
          <w:p w14:paraId="3C13F2E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0.839</w:t>
            </w:r>
          </w:p>
        </w:tc>
        <w:tc>
          <w:tcPr>
            <w:tcW w:w="470" w:type="pct"/>
            <w:tcBorders>
              <w:top w:val="single" w:sz="8" w:space="0" w:color="auto"/>
              <w:left w:val="nil"/>
              <w:bottom w:val="single" w:sz="4" w:space="0" w:color="auto"/>
              <w:right w:val="single" w:sz="8" w:space="0" w:color="auto"/>
            </w:tcBorders>
            <w:shd w:val="clear" w:color="auto" w:fill="auto"/>
            <w:noWrap/>
            <w:vAlign w:val="center"/>
            <w:hideMark/>
          </w:tcPr>
          <w:p w14:paraId="645B2F8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0.568</w:t>
            </w:r>
          </w:p>
        </w:tc>
      </w:tr>
      <w:tr w:rsidR="005976AB" w:rsidRPr="005635E7" w14:paraId="0450E2F6"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74015FF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73CB012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OP2</w:t>
            </w:r>
          </w:p>
        </w:tc>
        <w:tc>
          <w:tcPr>
            <w:tcW w:w="414" w:type="pct"/>
            <w:tcBorders>
              <w:top w:val="nil"/>
              <w:left w:val="nil"/>
              <w:bottom w:val="single" w:sz="4" w:space="0" w:color="auto"/>
              <w:right w:val="single" w:sz="4" w:space="0" w:color="auto"/>
            </w:tcBorders>
            <w:shd w:val="clear" w:color="auto" w:fill="auto"/>
            <w:noWrap/>
            <w:vAlign w:val="center"/>
            <w:hideMark/>
          </w:tcPr>
          <w:p w14:paraId="4DF9577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0.864</w:t>
            </w:r>
          </w:p>
        </w:tc>
        <w:tc>
          <w:tcPr>
            <w:tcW w:w="397" w:type="pct"/>
            <w:tcBorders>
              <w:top w:val="nil"/>
              <w:left w:val="nil"/>
              <w:bottom w:val="single" w:sz="4" w:space="0" w:color="auto"/>
              <w:right w:val="single" w:sz="4" w:space="0" w:color="auto"/>
            </w:tcBorders>
            <w:shd w:val="clear" w:color="auto" w:fill="auto"/>
            <w:noWrap/>
            <w:vAlign w:val="center"/>
            <w:hideMark/>
          </w:tcPr>
          <w:p w14:paraId="719E5A8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0.859</w:t>
            </w:r>
          </w:p>
        </w:tc>
        <w:tc>
          <w:tcPr>
            <w:tcW w:w="465" w:type="pct"/>
            <w:tcBorders>
              <w:top w:val="nil"/>
              <w:left w:val="nil"/>
              <w:bottom w:val="single" w:sz="4" w:space="0" w:color="auto"/>
              <w:right w:val="single" w:sz="4" w:space="0" w:color="auto"/>
            </w:tcBorders>
            <w:shd w:val="clear" w:color="auto" w:fill="auto"/>
            <w:noWrap/>
            <w:vAlign w:val="center"/>
            <w:hideMark/>
          </w:tcPr>
          <w:p w14:paraId="63030FF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0.036</w:t>
            </w:r>
          </w:p>
        </w:tc>
        <w:tc>
          <w:tcPr>
            <w:tcW w:w="460" w:type="pct"/>
            <w:tcBorders>
              <w:top w:val="nil"/>
              <w:left w:val="nil"/>
              <w:bottom w:val="single" w:sz="4" w:space="0" w:color="auto"/>
              <w:right w:val="single" w:sz="4" w:space="0" w:color="auto"/>
            </w:tcBorders>
            <w:shd w:val="clear" w:color="auto" w:fill="auto"/>
            <w:noWrap/>
            <w:vAlign w:val="center"/>
            <w:hideMark/>
          </w:tcPr>
          <w:p w14:paraId="0788F99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24.123</w:t>
            </w:r>
          </w:p>
        </w:tc>
        <w:tc>
          <w:tcPr>
            <w:tcW w:w="358" w:type="pct"/>
            <w:tcBorders>
              <w:top w:val="nil"/>
              <w:left w:val="nil"/>
              <w:bottom w:val="single" w:sz="4" w:space="0" w:color="auto"/>
              <w:right w:val="nil"/>
            </w:tcBorders>
            <w:shd w:val="clear" w:color="auto" w:fill="auto"/>
            <w:noWrap/>
            <w:vAlign w:val="center"/>
            <w:hideMark/>
          </w:tcPr>
          <w:p w14:paraId="2CDC9EF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26CAC2D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4BA1A7E4"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13B2C45A"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4C23611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18ECC26F"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2E1FB9E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122BB82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OP3</w:t>
            </w:r>
          </w:p>
        </w:tc>
        <w:tc>
          <w:tcPr>
            <w:tcW w:w="414" w:type="pct"/>
            <w:tcBorders>
              <w:top w:val="nil"/>
              <w:left w:val="nil"/>
              <w:bottom w:val="single" w:sz="4" w:space="0" w:color="auto"/>
              <w:right w:val="single" w:sz="4" w:space="0" w:color="auto"/>
            </w:tcBorders>
            <w:shd w:val="clear" w:color="auto" w:fill="auto"/>
            <w:noWrap/>
            <w:vAlign w:val="center"/>
            <w:hideMark/>
          </w:tcPr>
          <w:p w14:paraId="32444C7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0.744</w:t>
            </w:r>
          </w:p>
        </w:tc>
        <w:tc>
          <w:tcPr>
            <w:tcW w:w="397" w:type="pct"/>
            <w:tcBorders>
              <w:top w:val="nil"/>
              <w:left w:val="nil"/>
              <w:bottom w:val="single" w:sz="4" w:space="0" w:color="auto"/>
              <w:right w:val="single" w:sz="4" w:space="0" w:color="auto"/>
            </w:tcBorders>
            <w:shd w:val="clear" w:color="auto" w:fill="auto"/>
            <w:noWrap/>
            <w:vAlign w:val="center"/>
            <w:hideMark/>
          </w:tcPr>
          <w:p w14:paraId="01374A9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0.729</w:t>
            </w:r>
          </w:p>
        </w:tc>
        <w:tc>
          <w:tcPr>
            <w:tcW w:w="465" w:type="pct"/>
            <w:tcBorders>
              <w:top w:val="nil"/>
              <w:left w:val="nil"/>
              <w:bottom w:val="single" w:sz="4" w:space="0" w:color="auto"/>
              <w:right w:val="single" w:sz="4" w:space="0" w:color="auto"/>
            </w:tcBorders>
            <w:shd w:val="clear" w:color="auto" w:fill="auto"/>
            <w:noWrap/>
            <w:vAlign w:val="center"/>
            <w:hideMark/>
          </w:tcPr>
          <w:p w14:paraId="4134CA3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0.070</w:t>
            </w:r>
          </w:p>
        </w:tc>
        <w:tc>
          <w:tcPr>
            <w:tcW w:w="460" w:type="pct"/>
            <w:tcBorders>
              <w:top w:val="nil"/>
              <w:left w:val="nil"/>
              <w:bottom w:val="single" w:sz="4" w:space="0" w:color="auto"/>
              <w:right w:val="single" w:sz="4" w:space="0" w:color="auto"/>
            </w:tcBorders>
            <w:shd w:val="clear" w:color="auto" w:fill="auto"/>
            <w:noWrap/>
            <w:vAlign w:val="center"/>
            <w:hideMark/>
          </w:tcPr>
          <w:p w14:paraId="213E472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10.696</w:t>
            </w:r>
          </w:p>
        </w:tc>
        <w:tc>
          <w:tcPr>
            <w:tcW w:w="358" w:type="pct"/>
            <w:tcBorders>
              <w:top w:val="nil"/>
              <w:left w:val="nil"/>
              <w:bottom w:val="single" w:sz="4" w:space="0" w:color="auto"/>
              <w:right w:val="nil"/>
            </w:tcBorders>
            <w:shd w:val="clear" w:color="auto" w:fill="auto"/>
            <w:noWrap/>
            <w:vAlign w:val="center"/>
            <w:hideMark/>
          </w:tcPr>
          <w:p w14:paraId="6D3D21D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5D486AE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3E392D0E"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32823A78"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4909D2E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311A740C" w14:textId="77777777" w:rsidTr="009E2F41">
        <w:trPr>
          <w:trHeight w:val="315"/>
        </w:trPr>
        <w:tc>
          <w:tcPr>
            <w:tcW w:w="483" w:type="pct"/>
            <w:tcBorders>
              <w:top w:val="nil"/>
              <w:left w:val="single" w:sz="8" w:space="0" w:color="auto"/>
              <w:bottom w:val="single" w:sz="8" w:space="0" w:color="auto"/>
              <w:right w:val="nil"/>
            </w:tcBorders>
            <w:shd w:val="clear" w:color="auto" w:fill="auto"/>
            <w:noWrap/>
            <w:vAlign w:val="bottom"/>
            <w:hideMark/>
          </w:tcPr>
          <w:p w14:paraId="4DEBDFF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14:paraId="6CFCA13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OP4</w:t>
            </w:r>
          </w:p>
        </w:tc>
        <w:tc>
          <w:tcPr>
            <w:tcW w:w="414" w:type="pct"/>
            <w:tcBorders>
              <w:top w:val="nil"/>
              <w:left w:val="nil"/>
              <w:bottom w:val="single" w:sz="8" w:space="0" w:color="auto"/>
              <w:right w:val="single" w:sz="4" w:space="0" w:color="auto"/>
            </w:tcBorders>
            <w:shd w:val="clear" w:color="auto" w:fill="auto"/>
            <w:noWrap/>
            <w:vAlign w:val="center"/>
            <w:hideMark/>
          </w:tcPr>
          <w:p w14:paraId="32C1663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0.702</w:t>
            </w:r>
          </w:p>
        </w:tc>
        <w:tc>
          <w:tcPr>
            <w:tcW w:w="397" w:type="pct"/>
            <w:tcBorders>
              <w:top w:val="nil"/>
              <w:left w:val="nil"/>
              <w:bottom w:val="single" w:sz="8" w:space="0" w:color="auto"/>
              <w:right w:val="single" w:sz="4" w:space="0" w:color="auto"/>
            </w:tcBorders>
            <w:shd w:val="clear" w:color="auto" w:fill="auto"/>
            <w:noWrap/>
            <w:vAlign w:val="center"/>
            <w:hideMark/>
          </w:tcPr>
          <w:p w14:paraId="407B1E7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0.690</w:t>
            </w:r>
          </w:p>
        </w:tc>
        <w:tc>
          <w:tcPr>
            <w:tcW w:w="465" w:type="pct"/>
            <w:tcBorders>
              <w:top w:val="nil"/>
              <w:left w:val="nil"/>
              <w:bottom w:val="single" w:sz="8" w:space="0" w:color="auto"/>
              <w:right w:val="single" w:sz="4" w:space="0" w:color="auto"/>
            </w:tcBorders>
            <w:shd w:val="clear" w:color="auto" w:fill="auto"/>
            <w:noWrap/>
            <w:vAlign w:val="center"/>
            <w:hideMark/>
          </w:tcPr>
          <w:p w14:paraId="4E4D07A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0.086</w:t>
            </w:r>
          </w:p>
        </w:tc>
        <w:tc>
          <w:tcPr>
            <w:tcW w:w="460" w:type="pct"/>
            <w:tcBorders>
              <w:top w:val="nil"/>
              <w:left w:val="nil"/>
              <w:bottom w:val="single" w:sz="8" w:space="0" w:color="auto"/>
              <w:right w:val="single" w:sz="4" w:space="0" w:color="auto"/>
            </w:tcBorders>
            <w:shd w:val="clear" w:color="auto" w:fill="auto"/>
            <w:noWrap/>
            <w:vAlign w:val="center"/>
            <w:hideMark/>
          </w:tcPr>
          <w:p w14:paraId="7C2ABF7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8.170</w:t>
            </w:r>
          </w:p>
        </w:tc>
        <w:tc>
          <w:tcPr>
            <w:tcW w:w="358" w:type="pct"/>
            <w:tcBorders>
              <w:top w:val="nil"/>
              <w:left w:val="nil"/>
              <w:bottom w:val="single" w:sz="8" w:space="0" w:color="auto"/>
              <w:right w:val="nil"/>
            </w:tcBorders>
            <w:shd w:val="clear" w:color="auto" w:fill="auto"/>
            <w:noWrap/>
            <w:vAlign w:val="center"/>
            <w:hideMark/>
          </w:tcPr>
          <w:p w14:paraId="0F0054D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single" w:sz="8" w:space="0" w:color="auto"/>
              <w:right w:val="nil"/>
            </w:tcBorders>
            <w:shd w:val="clear" w:color="auto" w:fill="auto"/>
            <w:noWrap/>
            <w:vAlign w:val="bottom"/>
            <w:hideMark/>
          </w:tcPr>
          <w:p w14:paraId="1AC33B2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single" w:sz="8" w:space="0" w:color="auto"/>
              <w:right w:val="nil"/>
            </w:tcBorders>
            <w:shd w:val="clear" w:color="auto" w:fill="auto"/>
            <w:noWrap/>
            <w:vAlign w:val="bottom"/>
            <w:hideMark/>
          </w:tcPr>
          <w:p w14:paraId="4EC0535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520" w:type="pct"/>
            <w:tcBorders>
              <w:top w:val="nil"/>
              <w:left w:val="nil"/>
              <w:bottom w:val="single" w:sz="8" w:space="0" w:color="auto"/>
              <w:right w:val="nil"/>
            </w:tcBorders>
            <w:shd w:val="clear" w:color="auto" w:fill="auto"/>
            <w:noWrap/>
            <w:vAlign w:val="bottom"/>
            <w:hideMark/>
          </w:tcPr>
          <w:p w14:paraId="43499E6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70" w:type="pct"/>
            <w:tcBorders>
              <w:top w:val="nil"/>
              <w:left w:val="nil"/>
              <w:bottom w:val="single" w:sz="8" w:space="0" w:color="auto"/>
              <w:right w:val="single" w:sz="8" w:space="0" w:color="auto"/>
            </w:tcBorders>
            <w:shd w:val="clear" w:color="auto" w:fill="auto"/>
            <w:noWrap/>
            <w:vAlign w:val="bottom"/>
            <w:hideMark/>
          </w:tcPr>
          <w:p w14:paraId="7A4E839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2D86533E" w14:textId="77777777" w:rsidTr="009E2F41">
        <w:trPr>
          <w:trHeight w:val="300"/>
        </w:trPr>
        <w:tc>
          <w:tcPr>
            <w:tcW w:w="483" w:type="pct"/>
            <w:tcBorders>
              <w:top w:val="nil"/>
              <w:left w:val="single" w:sz="8" w:space="0" w:color="auto"/>
              <w:bottom w:val="single" w:sz="4" w:space="0" w:color="auto"/>
              <w:right w:val="nil"/>
            </w:tcBorders>
            <w:shd w:val="clear" w:color="auto" w:fill="auto"/>
            <w:noWrap/>
            <w:vAlign w:val="center"/>
            <w:hideMark/>
          </w:tcPr>
          <w:p w14:paraId="5EE2BB8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P</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3B40718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P1</w:t>
            </w:r>
          </w:p>
        </w:tc>
        <w:tc>
          <w:tcPr>
            <w:tcW w:w="414" w:type="pct"/>
            <w:tcBorders>
              <w:top w:val="nil"/>
              <w:left w:val="nil"/>
              <w:bottom w:val="single" w:sz="4" w:space="0" w:color="auto"/>
              <w:right w:val="single" w:sz="4" w:space="0" w:color="auto"/>
            </w:tcBorders>
            <w:shd w:val="clear" w:color="auto" w:fill="auto"/>
            <w:noWrap/>
            <w:vAlign w:val="center"/>
            <w:hideMark/>
          </w:tcPr>
          <w:p w14:paraId="3250E35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0.676</w:t>
            </w:r>
          </w:p>
        </w:tc>
        <w:tc>
          <w:tcPr>
            <w:tcW w:w="397" w:type="pct"/>
            <w:tcBorders>
              <w:top w:val="nil"/>
              <w:left w:val="nil"/>
              <w:bottom w:val="single" w:sz="4" w:space="0" w:color="auto"/>
              <w:right w:val="single" w:sz="4" w:space="0" w:color="auto"/>
            </w:tcBorders>
            <w:shd w:val="clear" w:color="auto" w:fill="auto"/>
            <w:noWrap/>
            <w:vAlign w:val="center"/>
            <w:hideMark/>
          </w:tcPr>
          <w:p w14:paraId="642E9ED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0.667</w:t>
            </w:r>
          </w:p>
        </w:tc>
        <w:tc>
          <w:tcPr>
            <w:tcW w:w="465" w:type="pct"/>
            <w:tcBorders>
              <w:top w:val="nil"/>
              <w:left w:val="nil"/>
              <w:bottom w:val="single" w:sz="4" w:space="0" w:color="auto"/>
              <w:right w:val="single" w:sz="4" w:space="0" w:color="auto"/>
            </w:tcBorders>
            <w:shd w:val="clear" w:color="auto" w:fill="auto"/>
            <w:noWrap/>
            <w:vAlign w:val="center"/>
            <w:hideMark/>
          </w:tcPr>
          <w:p w14:paraId="6B91030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0.082</w:t>
            </w:r>
          </w:p>
        </w:tc>
        <w:tc>
          <w:tcPr>
            <w:tcW w:w="460" w:type="pct"/>
            <w:tcBorders>
              <w:top w:val="nil"/>
              <w:left w:val="nil"/>
              <w:bottom w:val="single" w:sz="4" w:space="0" w:color="auto"/>
              <w:right w:val="single" w:sz="4" w:space="0" w:color="auto"/>
            </w:tcBorders>
            <w:shd w:val="clear" w:color="auto" w:fill="auto"/>
            <w:noWrap/>
            <w:vAlign w:val="center"/>
            <w:hideMark/>
          </w:tcPr>
          <w:p w14:paraId="352D608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8.265</w:t>
            </w:r>
          </w:p>
        </w:tc>
        <w:tc>
          <w:tcPr>
            <w:tcW w:w="358" w:type="pct"/>
            <w:tcBorders>
              <w:top w:val="nil"/>
              <w:left w:val="nil"/>
              <w:bottom w:val="single" w:sz="4" w:space="0" w:color="auto"/>
              <w:right w:val="nil"/>
            </w:tcBorders>
            <w:shd w:val="clear" w:color="auto" w:fill="auto"/>
            <w:noWrap/>
            <w:vAlign w:val="center"/>
            <w:hideMark/>
          </w:tcPr>
          <w:p w14:paraId="28DE191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single" w:sz="4" w:space="0" w:color="auto"/>
              <w:right w:val="single" w:sz="4" w:space="0" w:color="auto"/>
            </w:tcBorders>
            <w:shd w:val="clear" w:color="auto" w:fill="auto"/>
            <w:noWrap/>
            <w:vAlign w:val="center"/>
            <w:hideMark/>
          </w:tcPr>
          <w:p w14:paraId="6B75DB6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0.830</w:t>
            </w:r>
          </w:p>
        </w:tc>
        <w:tc>
          <w:tcPr>
            <w:tcW w:w="396" w:type="pct"/>
            <w:tcBorders>
              <w:top w:val="nil"/>
              <w:left w:val="nil"/>
              <w:bottom w:val="single" w:sz="4" w:space="0" w:color="auto"/>
              <w:right w:val="single" w:sz="4" w:space="0" w:color="auto"/>
            </w:tcBorders>
            <w:shd w:val="clear" w:color="auto" w:fill="auto"/>
            <w:noWrap/>
            <w:vAlign w:val="center"/>
            <w:hideMark/>
          </w:tcPr>
          <w:p w14:paraId="236ED9E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0.873</w:t>
            </w:r>
          </w:p>
        </w:tc>
        <w:tc>
          <w:tcPr>
            <w:tcW w:w="520" w:type="pct"/>
            <w:tcBorders>
              <w:top w:val="nil"/>
              <w:left w:val="nil"/>
              <w:bottom w:val="single" w:sz="4" w:space="0" w:color="auto"/>
              <w:right w:val="single" w:sz="4" w:space="0" w:color="auto"/>
            </w:tcBorders>
            <w:shd w:val="clear" w:color="auto" w:fill="auto"/>
            <w:noWrap/>
            <w:vAlign w:val="center"/>
            <w:hideMark/>
          </w:tcPr>
          <w:p w14:paraId="6EAA6AE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0.885</w:t>
            </w:r>
          </w:p>
        </w:tc>
        <w:tc>
          <w:tcPr>
            <w:tcW w:w="470" w:type="pct"/>
            <w:tcBorders>
              <w:top w:val="nil"/>
              <w:left w:val="nil"/>
              <w:bottom w:val="single" w:sz="4" w:space="0" w:color="auto"/>
              <w:right w:val="single" w:sz="8" w:space="0" w:color="auto"/>
            </w:tcBorders>
            <w:shd w:val="clear" w:color="auto" w:fill="auto"/>
            <w:noWrap/>
            <w:vAlign w:val="center"/>
            <w:hideMark/>
          </w:tcPr>
          <w:p w14:paraId="1AD30C2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0.660</w:t>
            </w:r>
          </w:p>
        </w:tc>
      </w:tr>
      <w:tr w:rsidR="005976AB" w:rsidRPr="005635E7" w14:paraId="699B047C"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15343CE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1011396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P2</w:t>
            </w:r>
          </w:p>
        </w:tc>
        <w:tc>
          <w:tcPr>
            <w:tcW w:w="414" w:type="pct"/>
            <w:tcBorders>
              <w:top w:val="nil"/>
              <w:left w:val="nil"/>
              <w:bottom w:val="single" w:sz="4" w:space="0" w:color="auto"/>
              <w:right w:val="single" w:sz="4" w:space="0" w:color="auto"/>
            </w:tcBorders>
            <w:shd w:val="clear" w:color="auto" w:fill="auto"/>
            <w:noWrap/>
            <w:vAlign w:val="center"/>
            <w:hideMark/>
          </w:tcPr>
          <w:p w14:paraId="7FD48CF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0.864</w:t>
            </w:r>
          </w:p>
        </w:tc>
        <w:tc>
          <w:tcPr>
            <w:tcW w:w="397" w:type="pct"/>
            <w:tcBorders>
              <w:top w:val="nil"/>
              <w:left w:val="nil"/>
              <w:bottom w:val="single" w:sz="4" w:space="0" w:color="auto"/>
              <w:right w:val="single" w:sz="4" w:space="0" w:color="auto"/>
            </w:tcBorders>
            <w:shd w:val="clear" w:color="auto" w:fill="auto"/>
            <w:noWrap/>
            <w:vAlign w:val="center"/>
            <w:hideMark/>
          </w:tcPr>
          <w:p w14:paraId="1831E54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0.859</w:t>
            </w:r>
          </w:p>
        </w:tc>
        <w:tc>
          <w:tcPr>
            <w:tcW w:w="465" w:type="pct"/>
            <w:tcBorders>
              <w:top w:val="nil"/>
              <w:left w:val="nil"/>
              <w:bottom w:val="single" w:sz="4" w:space="0" w:color="auto"/>
              <w:right w:val="single" w:sz="4" w:space="0" w:color="auto"/>
            </w:tcBorders>
            <w:shd w:val="clear" w:color="auto" w:fill="auto"/>
            <w:noWrap/>
            <w:vAlign w:val="center"/>
            <w:hideMark/>
          </w:tcPr>
          <w:p w14:paraId="4D35E27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0.029</w:t>
            </w:r>
          </w:p>
        </w:tc>
        <w:tc>
          <w:tcPr>
            <w:tcW w:w="460" w:type="pct"/>
            <w:tcBorders>
              <w:top w:val="nil"/>
              <w:left w:val="nil"/>
              <w:bottom w:val="single" w:sz="4" w:space="0" w:color="auto"/>
              <w:right w:val="single" w:sz="4" w:space="0" w:color="auto"/>
            </w:tcBorders>
            <w:shd w:val="clear" w:color="auto" w:fill="auto"/>
            <w:noWrap/>
            <w:vAlign w:val="center"/>
            <w:hideMark/>
          </w:tcPr>
          <w:p w14:paraId="273E750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29.923</w:t>
            </w:r>
          </w:p>
        </w:tc>
        <w:tc>
          <w:tcPr>
            <w:tcW w:w="358" w:type="pct"/>
            <w:tcBorders>
              <w:top w:val="nil"/>
              <w:left w:val="nil"/>
              <w:bottom w:val="single" w:sz="4" w:space="0" w:color="auto"/>
              <w:right w:val="nil"/>
            </w:tcBorders>
            <w:shd w:val="clear" w:color="auto" w:fill="auto"/>
            <w:noWrap/>
            <w:vAlign w:val="center"/>
            <w:hideMark/>
          </w:tcPr>
          <w:p w14:paraId="221C806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3A77011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02713A4E"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4CD6743D"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5A3620F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54B755FE"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7B07ECB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7A107F3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P3</w:t>
            </w:r>
          </w:p>
        </w:tc>
        <w:tc>
          <w:tcPr>
            <w:tcW w:w="414" w:type="pct"/>
            <w:tcBorders>
              <w:top w:val="nil"/>
              <w:left w:val="nil"/>
              <w:bottom w:val="single" w:sz="4" w:space="0" w:color="auto"/>
              <w:right w:val="single" w:sz="4" w:space="0" w:color="auto"/>
            </w:tcBorders>
            <w:shd w:val="clear" w:color="auto" w:fill="auto"/>
            <w:noWrap/>
            <w:vAlign w:val="center"/>
            <w:hideMark/>
          </w:tcPr>
          <w:p w14:paraId="65EC77D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0.874</w:t>
            </w:r>
          </w:p>
        </w:tc>
        <w:tc>
          <w:tcPr>
            <w:tcW w:w="397" w:type="pct"/>
            <w:tcBorders>
              <w:top w:val="nil"/>
              <w:left w:val="nil"/>
              <w:bottom w:val="single" w:sz="4" w:space="0" w:color="auto"/>
              <w:right w:val="single" w:sz="4" w:space="0" w:color="auto"/>
            </w:tcBorders>
            <w:shd w:val="clear" w:color="auto" w:fill="auto"/>
            <w:noWrap/>
            <w:vAlign w:val="center"/>
            <w:hideMark/>
          </w:tcPr>
          <w:p w14:paraId="3BBEEC8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0.874</w:t>
            </w:r>
          </w:p>
        </w:tc>
        <w:tc>
          <w:tcPr>
            <w:tcW w:w="465" w:type="pct"/>
            <w:tcBorders>
              <w:top w:val="nil"/>
              <w:left w:val="nil"/>
              <w:bottom w:val="single" w:sz="4" w:space="0" w:color="auto"/>
              <w:right w:val="single" w:sz="4" w:space="0" w:color="auto"/>
            </w:tcBorders>
            <w:shd w:val="clear" w:color="auto" w:fill="auto"/>
            <w:noWrap/>
            <w:vAlign w:val="center"/>
            <w:hideMark/>
          </w:tcPr>
          <w:p w14:paraId="26855E2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0.023</w:t>
            </w:r>
          </w:p>
        </w:tc>
        <w:tc>
          <w:tcPr>
            <w:tcW w:w="460" w:type="pct"/>
            <w:tcBorders>
              <w:top w:val="nil"/>
              <w:left w:val="nil"/>
              <w:bottom w:val="single" w:sz="4" w:space="0" w:color="auto"/>
              <w:right w:val="single" w:sz="4" w:space="0" w:color="auto"/>
            </w:tcBorders>
            <w:shd w:val="clear" w:color="auto" w:fill="auto"/>
            <w:noWrap/>
            <w:vAlign w:val="center"/>
            <w:hideMark/>
          </w:tcPr>
          <w:p w14:paraId="6578ABF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37.413</w:t>
            </w:r>
          </w:p>
        </w:tc>
        <w:tc>
          <w:tcPr>
            <w:tcW w:w="358" w:type="pct"/>
            <w:tcBorders>
              <w:top w:val="nil"/>
              <w:left w:val="nil"/>
              <w:bottom w:val="single" w:sz="4" w:space="0" w:color="auto"/>
              <w:right w:val="nil"/>
            </w:tcBorders>
            <w:shd w:val="clear" w:color="auto" w:fill="auto"/>
            <w:noWrap/>
            <w:vAlign w:val="center"/>
            <w:hideMark/>
          </w:tcPr>
          <w:p w14:paraId="616B1C3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65266E3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0E5F97C4"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044DF4E0"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3DB7F17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3FCEAE94" w14:textId="77777777" w:rsidTr="009E2F41">
        <w:trPr>
          <w:trHeight w:val="315"/>
        </w:trPr>
        <w:tc>
          <w:tcPr>
            <w:tcW w:w="483" w:type="pct"/>
            <w:tcBorders>
              <w:top w:val="nil"/>
              <w:left w:val="single" w:sz="8" w:space="0" w:color="auto"/>
              <w:bottom w:val="nil"/>
              <w:right w:val="nil"/>
            </w:tcBorders>
            <w:shd w:val="clear" w:color="auto" w:fill="auto"/>
            <w:noWrap/>
            <w:vAlign w:val="bottom"/>
            <w:hideMark/>
          </w:tcPr>
          <w:p w14:paraId="186AE37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nil"/>
              <w:right w:val="single" w:sz="8" w:space="0" w:color="auto"/>
            </w:tcBorders>
            <w:shd w:val="clear" w:color="auto" w:fill="auto"/>
            <w:noWrap/>
            <w:vAlign w:val="center"/>
            <w:hideMark/>
          </w:tcPr>
          <w:p w14:paraId="57A51F2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P4</w:t>
            </w:r>
          </w:p>
        </w:tc>
        <w:tc>
          <w:tcPr>
            <w:tcW w:w="414" w:type="pct"/>
            <w:tcBorders>
              <w:top w:val="nil"/>
              <w:left w:val="nil"/>
              <w:bottom w:val="nil"/>
              <w:right w:val="single" w:sz="4" w:space="0" w:color="auto"/>
            </w:tcBorders>
            <w:shd w:val="clear" w:color="auto" w:fill="auto"/>
            <w:noWrap/>
            <w:vAlign w:val="center"/>
            <w:hideMark/>
          </w:tcPr>
          <w:p w14:paraId="74A9DE1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0.820</w:t>
            </w:r>
          </w:p>
        </w:tc>
        <w:tc>
          <w:tcPr>
            <w:tcW w:w="397" w:type="pct"/>
            <w:tcBorders>
              <w:top w:val="nil"/>
              <w:left w:val="nil"/>
              <w:bottom w:val="nil"/>
              <w:right w:val="single" w:sz="4" w:space="0" w:color="auto"/>
            </w:tcBorders>
            <w:shd w:val="clear" w:color="auto" w:fill="auto"/>
            <w:noWrap/>
            <w:vAlign w:val="center"/>
            <w:hideMark/>
          </w:tcPr>
          <w:p w14:paraId="33BAAD1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0.820</w:t>
            </w:r>
          </w:p>
        </w:tc>
        <w:tc>
          <w:tcPr>
            <w:tcW w:w="465" w:type="pct"/>
            <w:tcBorders>
              <w:top w:val="nil"/>
              <w:left w:val="nil"/>
              <w:bottom w:val="nil"/>
              <w:right w:val="single" w:sz="4" w:space="0" w:color="auto"/>
            </w:tcBorders>
            <w:shd w:val="clear" w:color="auto" w:fill="auto"/>
            <w:noWrap/>
            <w:vAlign w:val="center"/>
            <w:hideMark/>
          </w:tcPr>
          <w:p w14:paraId="1B8E376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0.033</w:t>
            </w:r>
          </w:p>
        </w:tc>
        <w:tc>
          <w:tcPr>
            <w:tcW w:w="460" w:type="pct"/>
            <w:tcBorders>
              <w:top w:val="nil"/>
              <w:left w:val="nil"/>
              <w:bottom w:val="nil"/>
              <w:right w:val="single" w:sz="4" w:space="0" w:color="auto"/>
            </w:tcBorders>
            <w:shd w:val="clear" w:color="auto" w:fill="auto"/>
            <w:noWrap/>
            <w:vAlign w:val="center"/>
            <w:hideMark/>
          </w:tcPr>
          <w:p w14:paraId="39EF1B5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24.546</w:t>
            </w:r>
          </w:p>
        </w:tc>
        <w:tc>
          <w:tcPr>
            <w:tcW w:w="358" w:type="pct"/>
            <w:tcBorders>
              <w:top w:val="nil"/>
              <w:left w:val="nil"/>
              <w:bottom w:val="nil"/>
              <w:right w:val="nil"/>
            </w:tcBorders>
            <w:shd w:val="clear" w:color="auto" w:fill="auto"/>
            <w:noWrap/>
            <w:vAlign w:val="center"/>
            <w:hideMark/>
          </w:tcPr>
          <w:p w14:paraId="24F7CA2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5113A1F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793A8D53"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564C9340"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52B9DFE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45A999D2" w14:textId="77777777" w:rsidTr="009E2F41">
        <w:trPr>
          <w:trHeight w:val="300"/>
        </w:trPr>
        <w:tc>
          <w:tcPr>
            <w:tcW w:w="483" w:type="pct"/>
            <w:tcBorders>
              <w:top w:val="single" w:sz="8" w:space="0" w:color="auto"/>
              <w:left w:val="single" w:sz="8" w:space="0" w:color="auto"/>
              <w:bottom w:val="single" w:sz="4" w:space="0" w:color="auto"/>
              <w:right w:val="nil"/>
            </w:tcBorders>
            <w:shd w:val="clear" w:color="auto" w:fill="auto"/>
            <w:noWrap/>
            <w:vAlign w:val="center"/>
            <w:hideMark/>
          </w:tcPr>
          <w:p w14:paraId="770C368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SP</w:t>
            </w:r>
          </w:p>
        </w:tc>
        <w:tc>
          <w:tcPr>
            <w:tcW w:w="491"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A96012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SP1</w:t>
            </w:r>
          </w:p>
        </w:tc>
        <w:tc>
          <w:tcPr>
            <w:tcW w:w="414" w:type="pct"/>
            <w:tcBorders>
              <w:top w:val="single" w:sz="8" w:space="0" w:color="auto"/>
              <w:left w:val="nil"/>
              <w:bottom w:val="single" w:sz="4" w:space="0" w:color="auto"/>
              <w:right w:val="single" w:sz="4" w:space="0" w:color="auto"/>
            </w:tcBorders>
            <w:shd w:val="clear" w:color="auto" w:fill="auto"/>
            <w:noWrap/>
            <w:vAlign w:val="center"/>
            <w:hideMark/>
          </w:tcPr>
          <w:p w14:paraId="57B678D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0.860</w:t>
            </w:r>
          </w:p>
        </w:tc>
        <w:tc>
          <w:tcPr>
            <w:tcW w:w="397" w:type="pct"/>
            <w:tcBorders>
              <w:top w:val="single" w:sz="8" w:space="0" w:color="auto"/>
              <w:left w:val="nil"/>
              <w:bottom w:val="single" w:sz="4" w:space="0" w:color="auto"/>
              <w:right w:val="single" w:sz="4" w:space="0" w:color="auto"/>
            </w:tcBorders>
            <w:shd w:val="clear" w:color="auto" w:fill="auto"/>
            <w:noWrap/>
            <w:vAlign w:val="center"/>
            <w:hideMark/>
          </w:tcPr>
          <w:p w14:paraId="0E47149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0.854</w:t>
            </w:r>
          </w:p>
        </w:tc>
        <w:tc>
          <w:tcPr>
            <w:tcW w:w="465" w:type="pct"/>
            <w:tcBorders>
              <w:top w:val="single" w:sz="8" w:space="0" w:color="auto"/>
              <w:left w:val="nil"/>
              <w:bottom w:val="single" w:sz="4" w:space="0" w:color="auto"/>
              <w:right w:val="single" w:sz="4" w:space="0" w:color="auto"/>
            </w:tcBorders>
            <w:shd w:val="clear" w:color="auto" w:fill="auto"/>
            <w:noWrap/>
            <w:vAlign w:val="center"/>
            <w:hideMark/>
          </w:tcPr>
          <w:p w14:paraId="57ECE28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0.050</w:t>
            </w:r>
          </w:p>
        </w:tc>
        <w:tc>
          <w:tcPr>
            <w:tcW w:w="460" w:type="pct"/>
            <w:tcBorders>
              <w:top w:val="single" w:sz="8" w:space="0" w:color="auto"/>
              <w:left w:val="nil"/>
              <w:bottom w:val="single" w:sz="4" w:space="0" w:color="auto"/>
              <w:right w:val="single" w:sz="4" w:space="0" w:color="auto"/>
            </w:tcBorders>
            <w:shd w:val="clear" w:color="auto" w:fill="auto"/>
            <w:noWrap/>
            <w:vAlign w:val="center"/>
            <w:hideMark/>
          </w:tcPr>
          <w:p w14:paraId="35BC404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17.311</w:t>
            </w:r>
          </w:p>
        </w:tc>
        <w:tc>
          <w:tcPr>
            <w:tcW w:w="358" w:type="pct"/>
            <w:tcBorders>
              <w:top w:val="single" w:sz="8" w:space="0" w:color="auto"/>
              <w:left w:val="nil"/>
              <w:bottom w:val="single" w:sz="4" w:space="0" w:color="auto"/>
              <w:right w:val="nil"/>
            </w:tcBorders>
            <w:shd w:val="clear" w:color="auto" w:fill="auto"/>
            <w:noWrap/>
            <w:vAlign w:val="center"/>
            <w:hideMark/>
          </w:tcPr>
          <w:p w14:paraId="11FB6DD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5B2915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0.722</w:t>
            </w:r>
          </w:p>
        </w:tc>
        <w:tc>
          <w:tcPr>
            <w:tcW w:w="396" w:type="pct"/>
            <w:tcBorders>
              <w:top w:val="single" w:sz="8" w:space="0" w:color="auto"/>
              <w:left w:val="nil"/>
              <w:bottom w:val="single" w:sz="4" w:space="0" w:color="auto"/>
              <w:right w:val="single" w:sz="4" w:space="0" w:color="auto"/>
            </w:tcBorders>
            <w:shd w:val="clear" w:color="auto" w:fill="auto"/>
            <w:noWrap/>
            <w:vAlign w:val="center"/>
            <w:hideMark/>
          </w:tcPr>
          <w:p w14:paraId="5E7EE9E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0.741</w:t>
            </w:r>
          </w:p>
        </w:tc>
        <w:tc>
          <w:tcPr>
            <w:tcW w:w="520" w:type="pct"/>
            <w:tcBorders>
              <w:top w:val="single" w:sz="8" w:space="0" w:color="auto"/>
              <w:left w:val="nil"/>
              <w:bottom w:val="single" w:sz="4" w:space="0" w:color="auto"/>
              <w:right w:val="single" w:sz="4" w:space="0" w:color="auto"/>
            </w:tcBorders>
            <w:shd w:val="clear" w:color="auto" w:fill="auto"/>
            <w:noWrap/>
            <w:vAlign w:val="center"/>
            <w:hideMark/>
          </w:tcPr>
          <w:p w14:paraId="45E05CB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0.877</w:t>
            </w:r>
          </w:p>
        </w:tc>
        <w:tc>
          <w:tcPr>
            <w:tcW w:w="470" w:type="pct"/>
            <w:tcBorders>
              <w:top w:val="single" w:sz="8" w:space="0" w:color="auto"/>
              <w:left w:val="nil"/>
              <w:bottom w:val="single" w:sz="4" w:space="0" w:color="auto"/>
              <w:right w:val="single" w:sz="8" w:space="0" w:color="auto"/>
            </w:tcBorders>
            <w:shd w:val="clear" w:color="auto" w:fill="auto"/>
            <w:noWrap/>
            <w:vAlign w:val="center"/>
            <w:hideMark/>
          </w:tcPr>
          <w:p w14:paraId="4B52E1B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0.781</w:t>
            </w:r>
          </w:p>
        </w:tc>
      </w:tr>
      <w:tr w:rsidR="005976AB" w:rsidRPr="005635E7" w14:paraId="46FB1412" w14:textId="77777777" w:rsidTr="009E2F41">
        <w:trPr>
          <w:trHeight w:val="315"/>
        </w:trPr>
        <w:tc>
          <w:tcPr>
            <w:tcW w:w="483" w:type="pct"/>
            <w:tcBorders>
              <w:top w:val="nil"/>
              <w:left w:val="single" w:sz="8" w:space="0" w:color="auto"/>
              <w:bottom w:val="single" w:sz="8" w:space="0" w:color="auto"/>
              <w:right w:val="nil"/>
            </w:tcBorders>
            <w:shd w:val="clear" w:color="auto" w:fill="auto"/>
            <w:noWrap/>
            <w:vAlign w:val="bottom"/>
            <w:hideMark/>
          </w:tcPr>
          <w:p w14:paraId="167EE88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14:paraId="1DAC4C3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SP2</w:t>
            </w:r>
          </w:p>
        </w:tc>
        <w:tc>
          <w:tcPr>
            <w:tcW w:w="414" w:type="pct"/>
            <w:tcBorders>
              <w:top w:val="nil"/>
              <w:left w:val="nil"/>
              <w:bottom w:val="single" w:sz="8" w:space="0" w:color="auto"/>
              <w:right w:val="single" w:sz="4" w:space="0" w:color="auto"/>
            </w:tcBorders>
            <w:shd w:val="clear" w:color="auto" w:fill="auto"/>
            <w:noWrap/>
            <w:vAlign w:val="center"/>
            <w:hideMark/>
          </w:tcPr>
          <w:p w14:paraId="75F43EB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0.907</w:t>
            </w:r>
          </w:p>
        </w:tc>
        <w:tc>
          <w:tcPr>
            <w:tcW w:w="397" w:type="pct"/>
            <w:tcBorders>
              <w:top w:val="nil"/>
              <w:left w:val="nil"/>
              <w:bottom w:val="single" w:sz="8" w:space="0" w:color="auto"/>
              <w:right w:val="single" w:sz="4" w:space="0" w:color="auto"/>
            </w:tcBorders>
            <w:shd w:val="clear" w:color="auto" w:fill="auto"/>
            <w:noWrap/>
            <w:vAlign w:val="center"/>
            <w:hideMark/>
          </w:tcPr>
          <w:p w14:paraId="36167B1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0.907</w:t>
            </w:r>
          </w:p>
        </w:tc>
        <w:tc>
          <w:tcPr>
            <w:tcW w:w="465" w:type="pct"/>
            <w:tcBorders>
              <w:top w:val="nil"/>
              <w:left w:val="nil"/>
              <w:bottom w:val="single" w:sz="8" w:space="0" w:color="auto"/>
              <w:right w:val="single" w:sz="4" w:space="0" w:color="auto"/>
            </w:tcBorders>
            <w:shd w:val="clear" w:color="auto" w:fill="auto"/>
            <w:noWrap/>
            <w:vAlign w:val="center"/>
            <w:hideMark/>
          </w:tcPr>
          <w:p w14:paraId="177D43B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0.031</w:t>
            </w:r>
          </w:p>
        </w:tc>
        <w:tc>
          <w:tcPr>
            <w:tcW w:w="460" w:type="pct"/>
            <w:tcBorders>
              <w:top w:val="nil"/>
              <w:left w:val="nil"/>
              <w:bottom w:val="single" w:sz="8" w:space="0" w:color="auto"/>
              <w:right w:val="single" w:sz="4" w:space="0" w:color="auto"/>
            </w:tcBorders>
            <w:shd w:val="clear" w:color="auto" w:fill="auto"/>
            <w:noWrap/>
            <w:vAlign w:val="center"/>
            <w:hideMark/>
          </w:tcPr>
          <w:p w14:paraId="3B9C01A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29.723</w:t>
            </w:r>
          </w:p>
        </w:tc>
        <w:tc>
          <w:tcPr>
            <w:tcW w:w="358" w:type="pct"/>
            <w:tcBorders>
              <w:top w:val="nil"/>
              <w:left w:val="nil"/>
              <w:bottom w:val="single" w:sz="8" w:space="0" w:color="auto"/>
              <w:right w:val="nil"/>
            </w:tcBorders>
            <w:shd w:val="clear" w:color="auto" w:fill="auto"/>
            <w:noWrap/>
            <w:vAlign w:val="center"/>
            <w:hideMark/>
          </w:tcPr>
          <w:p w14:paraId="6AF8174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single" w:sz="8" w:space="0" w:color="auto"/>
              <w:right w:val="nil"/>
            </w:tcBorders>
            <w:shd w:val="clear" w:color="auto" w:fill="auto"/>
            <w:noWrap/>
            <w:vAlign w:val="bottom"/>
            <w:hideMark/>
          </w:tcPr>
          <w:p w14:paraId="4AA277D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single" w:sz="8" w:space="0" w:color="auto"/>
              <w:right w:val="nil"/>
            </w:tcBorders>
            <w:shd w:val="clear" w:color="auto" w:fill="auto"/>
            <w:noWrap/>
            <w:vAlign w:val="bottom"/>
            <w:hideMark/>
          </w:tcPr>
          <w:p w14:paraId="55DCDDB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520" w:type="pct"/>
            <w:tcBorders>
              <w:top w:val="nil"/>
              <w:left w:val="nil"/>
              <w:bottom w:val="single" w:sz="8" w:space="0" w:color="auto"/>
              <w:right w:val="nil"/>
            </w:tcBorders>
            <w:shd w:val="clear" w:color="auto" w:fill="auto"/>
            <w:noWrap/>
            <w:vAlign w:val="bottom"/>
            <w:hideMark/>
          </w:tcPr>
          <w:p w14:paraId="153237B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70" w:type="pct"/>
            <w:tcBorders>
              <w:top w:val="nil"/>
              <w:left w:val="nil"/>
              <w:bottom w:val="single" w:sz="8" w:space="0" w:color="auto"/>
              <w:right w:val="single" w:sz="8" w:space="0" w:color="auto"/>
            </w:tcBorders>
            <w:shd w:val="clear" w:color="auto" w:fill="auto"/>
            <w:noWrap/>
            <w:vAlign w:val="bottom"/>
            <w:hideMark/>
          </w:tcPr>
          <w:p w14:paraId="4290C5A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7B8FA993" w14:textId="77777777" w:rsidTr="009E2F41">
        <w:trPr>
          <w:trHeight w:val="300"/>
        </w:trPr>
        <w:tc>
          <w:tcPr>
            <w:tcW w:w="483" w:type="pct"/>
            <w:tcBorders>
              <w:top w:val="nil"/>
              <w:left w:val="single" w:sz="8" w:space="0" w:color="auto"/>
              <w:bottom w:val="single" w:sz="4" w:space="0" w:color="auto"/>
              <w:right w:val="nil"/>
            </w:tcBorders>
            <w:shd w:val="clear" w:color="auto" w:fill="auto"/>
            <w:noWrap/>
            <w:vAlign w:val="center"/>
            <w:hideMark/>
          </w:tcPr>
          <w:p w14:paraId="293DDB2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TR</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450DD84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TR1</w:t>
            </w:r>
          </w:p>
        </w:tc>
        <w:tc>
          <w:tcPr>
            <w:tcW w:w="414" w:type="pct"/>
            <w:tcBorders>
              <w:top w:val="nil"/>
              <w:left w:val="nil"/>
              <w:bottom w:val="single" w:sz="4" w:space="0" w:color="auto"/>
              <w:right w:val="single" w:sz="4" w:space="0" w:color="auto"/>
            </w:tcBorders>
            <w:shd w:val="clear" w:color="auto" w:fill="auto"/>
            <w:noWrap/>
            <w:vAlign w:val="center"/>
            <w:hideMark/>
          </w:tcPr>
          <w:p w14:paraId="3F2F564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0.811</w:t>
            </w:r>
          </w:p>
        </w:tc>
        <w:tc>
          <w:tcPr>
            <w:tcW w:w="397" w:type="pct"/>
            <w:tcBorders>
              <w:top w:val="nil"/>
              <w:left w:val="nil"/>
              <w:bottom w:val="single" w:sz="4" w:space="0" w:color="auto"/>
              <w:right w:val="single" w:sz="4" w:space="0" w:color="auto"/>
            </w:tcBorders>
            <w:shd w:val="clear" w:color="auto" w:fill="auto"/>
            <w:noWrap/>
            <w:vAlign w:val="center"/>
            <w:hideMark/>
          </w:tcPr>
          <w:p w14:paraId="160E32B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0.810</w:t>
            </w:r>
          </w:p>
        </w:tc>
        <w:tc>
          <w:tcPr>
            <w:tcW w:w="465" w:type="pct"/>
            <w:tcBorders>
              <w:top w:val="nil"/>
              <w:left w:val="nil"/>
              <w:bottom w:val="single" w:sz="4" w:space="0" w:color="auto"/>
              <w:right w:val="single" w:sz="4" w:space="0" w:color="auto"/>
            </w:tcBorders>
            <w:shd w:val="clear" w:color="auto" w:fill="auto"/>
            <w:noWrap/>
            <w:vAlign w:val="center"/>
            <w:hideMark/>
          </w:tcPr>
          <w:p w14:paraId="39BB9A0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0.025</w:t>
            </w:r>
          </w:p>
        </w:tc>
        <w:tc>
          <w:tcPr>
            <w:tcW w:w="460" w:type="pct"/>
            <w:tcBorders>
              <w:top w:val="nil"/>
              <w:left w:val="nil"/>
              <w:bottom w:val="single" w:sz="4" w:space="0" w:color="auto"/>
              <w:right w:val="single" w:sz="4" w:space="0" w:color="auto"/>
            </w:tcBorders>
            <w:shd w:val="clear" w:color="auto" w:fill="auto"/>
            <w:noWrap/>
            <w:vAlign w:val="center"/>
            <w:hideMark/>
          </w:tcPr>
          <w:p w14:paraId="6D10BD5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32.793</w:t>
            </w:r>
          </w:p>
        </w:tc>
        <w:tc>
          <w:tcPr>
            <w:tcW w:w="358" w:type="pct"/>
            <w:tcBorders>
              <w:top w:val="nil"/>
              <w:left w:val="nil"/>
              <w:bottom w:val="single" w:sz="4" w:space="0" w:color="auto"/>
              <w:right w:val="nil"/>
            </w:tcBorders>
            <w:shd w:val="clear" w:color="auto" w:fill="auto"/>
            <w:noWrap/>
            <w:vAlign w:val="center"/>
            <w:hideMark/>
          </w:tcPr>
          <w:p w14:paraId="363C47F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single" w:sz="4" w:space="0" w:color="auto"/>
              <w:right w:val="single" w:sz="4" w:space="0" w:color="auto"/>
            </w:tcBorders>
            <w:shd w:val="clear" w:color="auto" w:fill="auto"/>
            <w:noWrap/>
            <w:vAlign w:val="center"/>
            <w:hideMark/>
          </w:tcPr>
          <w:p w14:paraId="41A1795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0.795</w:t>
            </w:r>
          </w:p>
        </w:tc>
        <w:tc>
          <w:tcPr>
            <w:tcW w:w="396" w:type="pct"/>
            <w:tcBorders>
              <w:top w:val="nil"/>
              <w:left w:val="nil"/>
              <w:bottom w:val="single" w:sz="4" w:space="0" w:color="auto"/>
              <w:right w:val="single" w:sz="4" w:space="0" w:color="auto"/>
            </w:tcBorders>
            <w:shd w:val="clear" w:color="auto" w:fill="auto"/>
            <w:noWrap/>
            <w:vAlign w:val="center"/>
            <w:hideMark/>
          </w:tcPr>
          <w:p w14:paraId="6AB9CC2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0.798</w:t>
            </w:r>
          </w:p>
        </w:tc>
        <w:tc>
          <w:tcPr>
            <w:tcW w:w="520" w:type="pct"/>
            <w:tcBorders>
              <w:top w:val="nil"/>
              <w:left w:val="nil"/>
              <w:bottom w:val="single" w:sz="4" w:space="0" w:color="auto"/>
              <w:right w:val="single" w:sz="4" w:space="0" w:color="auto"/>
            </w:tcBorders>
            <w:shd w:val="clear" w:color="auto" w:fill="auto"/>
            <w:noWrap/>
            <w:vAlign w:val="center"/>
            <w:hideMark/>
          </w:tcPr>
          <w:p w14:paraId="74DB1A6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0.866</w:t>
            </w:r>
          </w:p>
        </w:tc>
        <w:tc>
          <w:tcPr>
            <w:tcW w:w="470" w:type="pct"/>
            <w:tcBorders>
              <w:top w:val="nil"/>
              <w:left w:val="nil"/>
              <w:bottom w:val="single" w:sz="4" w:space="0" w:color="auto"/>
              <w:right w:val="single" w:sz="8" w:space="0" w:color="auto"/>
            </w:tcBorders>
            <w:shd w:val="clear" w:color="auto" w:fill="auto"/>
            <w:noWrap/>
            <w:vAlign w:val="center"/>
            <w:hideMark/>
          </w:tcPr>
          <w:p w14:paraId="149036B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0.618</w:t>
            </w:r>
          </w:p>
        </w:tc>
      </w:tr>
      <w:tr w:rsidR="005976AB" w:rsidRPr="005635E7" w14:paraId="15CD1758"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516954D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50E9112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TR2</w:t>
            </w:r>
          </w:p>
        </w:tc>
        <w:tc>
          <w:tcPr>
            <w:tcW w:w="414" w:type="pct"/>
            <w:tcBorders>
              <w:top w:val="nil"/>
              <w:left w:val="nil"/>
              <w:bottom w:val="single" w:sz="4" w:space="0" w:color="auto"/>
              <w:right w:val="single" w:sz="4" w:space="0" w:color="auto"/>
            </w:tcBorders>
            <w:shd w:val="clear" w:color="auto" w:fill="auto"/>
            <w:noWrap/>
            <w:vAlign w:val="center"/>
            <w:hideMark/>
          </w:tcPr>
          <w:p w14:paraId="1842E1F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0.787</w:t>
            </w:r>
          </w:p>
        </w:tc>
        <w:tc>
          <w:tcPr>
            <w:tcW w:w="397" w:type="pct"/>
            <w:tcBorders>
              <w:top w:val="nil"/>
              <w:left w:val="nil"/>
              <w:bottom w:val="single" w:sz="4" w:space="0" w:color="auto"/>
              <w:right w:val="single" w:sz="4" w:space="0" w:color="auto"/>
            </w:tcBorders>
            <w:shd w:val="clear" w:color="auto" w:fill="auto"/>
            <w:noWrap/>
            <w:vAlign w:val="center"/>
            <w:hideMark/>
          </w:tcPr>
          <w:p w14:paraId="58E3F62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0.786</w:t>
            </w:r>
          </w:p>
        </w:tc>
        <w:tc>
          <w:tcPr>
            <w:tcW w:w="465" w:type="pct"/>
            <w:tcBorders>
              <w:top w:val="nil"/>
              <w:left w:val="nil"/>
              <w:bottom w:val="single" w:sz="4" w:space="0" w:color="auto"/>
              <w:right w:val="single" w:sz="4" w:space="0" w:color="auto"/>
            </w:tcBorders>
            <w:shd w:val="clear" w:color="auto" w:fill="auto"/>
            <w:noWrap/>
            <w:vAlign w:val="center"/>
            <w:hideMark/>
          </w:tcPr>
          <w:p w14:paraId="3C6646A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0.027</w:t>
            </w:r>
          </w:p>
        </w:tc>
        <w:tc>
          <w:tcPr>
            <w:tcW w:w="460" w:type="pct"/>
            <w:tcBorders>
              <w:top w:val="nil"/>
              <w:left w:val="nil"/>
              <w:bottom w:val="single" w:sz="4" w:space="0" w:color="auto"/>
              <w:right w:val="single" w:sz="4" w:space="0" w:color="auto"/>
            </w:tcBorders>
            <w:shd w:val="clear" w:color="auto" w:fill="auto"/>
            <w:noWrap/>
            <w:vAlign w:val="center"/>
            <w:hideMark/>
          </w:tcPr>
          <w:p w14:paraId="3AB229E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28.773</w:t>
            </w:r>
          </w:p>
        </w:tc>
        <w:tc>
          <w:tcPr>
            <w:tcW w:w="358" w:type="pct"/>
            <w:tcBorders>
              <w:top w:val="nil"/>
              <w:left w:val="nil"/>
              <w:bottom w:val="single" w:sz="4" w:space="0" w:color="auto"/>
              <w:right w:val="nil"/>
            </w:tcBorders>
            <w:shd w:val="clear" w:color="auto" w:fill="auto"/>
            <w:noWrap/>
            <w:vAlign w:val="center"/>
            <w:hideMark/>
          </w:tcPr>
          <w:p w14:paraId="5FFE283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345A4AC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06F4A5D8"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728AFD3F"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5922596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679815BC" w14:textId="77777777" w:rsidTr="009E2F41">
        <w:trPr>
          <w:trHeight w:val="300"/>
        </w:trPr>
        <w:tc>
          <w:tcPr>
            <w:tcW w:w="483" w:type="pct"/>
            <w:tcBorders>
              <w:top w:val="nil"/>
              <w:left w:val="single" w:sz="8" w:space="0" w:color="auto"/>
              <w:bottom w:val="nil"/>
              <w:right w:val="nil"/>
            </w:tcBorders>
            <w:shd w:val="clear" w:color="auto" w:fill="auto"/>
            <w:noWrap/>
            <w:vAlign w:val="bottom"/>
            <w:hideMark/>
          </w:tcPr>
          <w:p w14:paraId="78054AA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14:paraId="7E0DF80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TR3</w:t>
            </w:r>
          </w:p>
        </w:tc>
        <w:tc>
          <w:tcPr>
            <w:tcW w:w="414" w:type="pct"/>
            <w:tcBorders>
              <w:top w:val="nil"/>
              <w:left w:val="nil"/>
              <w:bottom w:val="single" w:sz="4" w:space="0" w:color="auto"/>
              <w:right w:val="single" w:sz="4" w:space="0" w:color="auto"/>
            </w:tcBorders>
            <w:shd w:val="clear" w:color="auto" w:fill="auto"/>
            <w:noWrap/>
            <w:vAlign w:val="center"/>
            <w:hideMark/>
          </w:tcPr>
          <w:p w14:paraId="78F02AA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0.763</w:t>
            </w:r>
          </w:p>
        </w:tc>
        <w:tc>
          <w:tcPr>
            <w:tcW w:w="397" w:type="pct"/>
            <w:tcBorders>
              <w:top w:val="nil"/>
              <w:left w:val="nil"/>
              <w:bottom w:val="single" w:sz="4" w:space="0" w:color="auto"/>
              <w:right w:val="single" w:sz="4" w:space="0" w:color="auto"/>
            </w:tcBorders>
            <w:shd w:val="clear" w:color="auto" w:fill="auto"/>
            <w:noWrap/>
            <w:vAlign w:val="center"/>
            <w:hideMark/>
          </w:tcPr>
          <w:p w14:paraId="30A074D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0.762</w:t>
            </w:r>
          </w:p>
        </w:tc>
        <w:tc>
          <w:tcPr>
            <w:tcW w:w="465" w:type="pct"/>
            <w:tcBorders>
              <w:top w:val="nil"/>
              <w:left w:val="nil"/>
              <w:bottom w:val="single" w:sz="4" w:space="0" w:color="auto"/>
              <w:right w:val="single" w:sz="4" w:space="0" w:color="auto"/>
            </w:tcBorders>
            <w:shd w:val="clear" w:color="auto" w:fill="auto"/>
            <w:noWrap/>
            <w:vAlign w:val="center"/>
            <w:hideMark/>
          </w:tcPr>
          <w:p w14:paraId="16AE92C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0.034</w:t>
            </w:r>
          </w:p>
        </w:tc>
        <w:tc>
          <w:tcPr>
            <w:tcW w:w="460" w:type="pct"/>
            <w:tcBorders>
              <w:top w:val="nil"/>
              <w:left w:val="nil"/>
              <w:bottom w:val="single" w:sz="4" w:space="0" w:color="auto"/>
              <w:right w:val="single" w:sz="4" w:space="0" w:color="auto"/>
            </w:tcBorders>
            <w:shd w:val="clear" w:color="auto" w:fill="auto"/>
            <w:noWrap/>
            <w:vAlign w:val="center"/>
            <w:hideMark/>
          </w:tcPr>
          <w:p w14:paraId="4240B042"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22.448</w:t>
            </w:r>
          </w:p>
        </w:tc>
        <w:tc>
          <w:tcPr>
            <w:tcW w:w="358" w:type="pct"/>
            <w:tcBorders>
              <w:top w:val="nil"/>
              <w:left w:val="nil"/>
              <w:bottom w:val="single" w:sz="4" w:space="0" w:color="auto"/>
              <w:right w:val="nil"/>
            </w:tcBorders>
            <w:shd w:val="clear" w:color="auto" w:fill="auto"/>
            <w:noWrap/>
            <w:vAlign w:val="center"/>
            <w:hideMark/>
          </w:tcPr>
          <w:p w14:paraId="46B6AC04"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nil"/>
              <w:right w:val="nil"/>
            </w:tcBorders>
            <w:shd w:val="clear" w:color="auto" w:fill="auto"/>
            <w:noWrap/>
            <w:vAlign w:val="bottom"/>
            <w:hideMark/>
          </w:tcPr>
          <w:p w14:paraId="68F1FFB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nil"/>
              <w:right w:val="nil"/>
            </w:tcBorders>
            <w:shd w:val="clear" w:color="auto" w:fill="auto"/>
            <w:noWrap/>
            <w:vAlign w:val="bottom"/>
            <w:hideMark/>
          </w:tcPr>
          <w:p w14:paraId="26EB6599"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520" w:type="pct"/>
            <w:tcBorders>
              <w:top w:val="nil"/>
              <w:left w:val="nil"/>
              <w:bottom w:val="nil"/>
              <w:right w:val="nil"/>
            </w:tcBorders>
            <w:shd w:val="clear" w:color="auto" w:fill="auto"/>
            <w:noWrap/>
            <w:vAlign w:val="bottom"/>
            <w:hideMark/>
          </w:tcPr>
          <w:p w14:paraId="2FA563D1" w14:textId="77777777" w:rsidR="005976AB" w:rsidRPr="005635E7" w:rsidRDefault="005976AB" w:rsidP="009E2F41">
            <w:pPr>
              <w:jc w:val="both"/>
              <w:rPr>
                <w:rFonts w:asciiTheme="majorBidi" w:eastAsia="Times New Roman" w:hAnsiTheme="majorBidi" w:cstheme="majorBidi"/>
                <w:sz w:val="22"/>
                <w:szCs w:val="22"/>
                <w:lang w:eastAsia="en-GB"/>
              </w:rPr>
            </w:pPr>
          </w:p>
        </w:tc>
        <w:tc>
          <w:tcPr>
            <w:tcW w:w="470" w:type="pct"/>
            <w:tcBorders>
              <w:top w:val="nil"/>
              <w:left w:val="nil"/>
              <w:bottom w:val="nil"/>
              <w:right w:val="single" w:sz="8" w:space="0" w:color="auto"/>
            </w:tcBorders>
            <w:shd w:val="clear" w:color="auto" w:fill="auto"/>
            <w:noWrap/>
            <w:vAlign w:val="bottom"/>
            <w:hideMark/>
          </w:tcPr>
          <w:p w14:paraId="76F31C7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r w:rsidR="005976AB" w:rsidRPr="005635E7" w14:paraId="014B9165" w14:textId="77777777" w:rsidTr="009E2F41">
        <w:trPr>
          <w:trHeight w:val="315"/>
        </w:trPr>
        <w:tc>
          <w:tcPr>
            <w:tcW w:w="483" w:type="pct"/>
            <w:tcBorders>
              <w:top w:val="nil"/>
              <w:left w:val="single" w:sz="8" w:space="0" w:color="auto"/>
              <w:bottom w:val="single" w:sz="8" w:space="0" w:color="auto"/>
              <w:right w:val="nil"/>
            </w:tcBorders>
            <w:shd w:val="clear" w:color="auto" w:fill="auto"/>
            <w:noWrap/>
            <w:vAlign w:val="bottom"/>
            <w:hideMark/>
          </w:tcPr>
          <w:p w14:paraId="5086CE1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91" w:type="pct"/>
            <w:tcBorders>
              <w:top w:val="nil"/>
              <w:left w:val="single" w:sz="8" w:space="0" w:color="auto"/>
              <w:bottom w:val="single" w:sz="8" w:space="0" w:color="auto"/>
              <w:right w:val="single" w:sz="8" w:space="0" w:color="auto"/>
            </w:tcBorders>
            <w:shd w:val="clear" w:color="auto" w:fill="auto"/>
            <w:noWrap/>
            <w:vAlign w:val="center"/>
            <w:hideMark/>
          </w:tcPr>
          <w:p w14:paraId="5E9D782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TR4</w:t>
            </w:r>
          </w:p>
        </w:tc>
        <w:tc>
          <w:tcPr>
            <w:tcW w:w="414" w:type="pct"/>
            <w:tcBorders>
              <w:top w:val="nil"/>
              <w:left w:val="nil"/>
              <w:bottom w:val="single" w:sz="8" w:space="0" w:color="auto"/>
              <w:right w:val="single" w:sz="4" w:space="0" w:color="auto"/>
            </w:tcBorders>
            <w:shd w:val="clear" w:color="auto" w:fill="auto"/>
            <w:noWrap/>
            <w:vAlign w:val="center"/>
            <w:hideMark/>
          </w:tcPr>
          <w:p w14:paraId="5A16B57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0.784</w:t>
            </w:r>
          </w:p>
        </w:tc>
        <w:tc>
          <w:tcPr>
            <w:tcW w:w="397" w:type="pct"/>
            <w:tcBorders>
              <w:top w:val="nil"/>
              <w:left w:val="nil"/>
              <w:bottom w:val="single" w:sz="8" w:space="0" w:color="auto"/>
              <w:right w:val="single" w:sz="4" w:space="0" w:color="auto"/>
            </w:tcBorders>
            <w:shd w:val="clear" w:color="auto" w:fill="auto"/>
            <w:noWrap/>
            <w:vAlign w:val="center"/>
            <w:hideMark/>
          </w:tcPr>
          <w:p w14:paraId="343DC0B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0.785</w:t>
            </w:r>
          </w:p>
        </w:tc>
        <w:tc>
          <w:tcPr>
            <w:tcW w:w="465" w:type="pct"/>
            <w:tcBorders>
              <w:top w:val="nil"/>
              <w:left w:val="nil"/>
              <w:bottom w:val="single" w:sz="8" w:space="0" w:color="auto"/>
              <w:right w:val="single" w:sz="4" w:space="0" w:color="auto"/>
            </w:tcBorders>
            <w:shd w:val="clear" w:color="auto" w:fill="auto"/>
            <w:noWrap/>
            <w:vAlign w:val="center"/>
            <w:hideMark/>
          </w:tcPr>
          <w:p w14:paraId="40174F2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0.025</w:t>
            </w:r>
          </w:p>
        </w:tc>
        <w:tc>
          <w:tcPr>
            <w:tcW w:w="460" w:type="pct"/>
            <w:tcBorders>
              <w:top w:val="nil"/>
              <w:left w:val="nil"/>
              <w:bottom w:val="single" w:sz="8" w:space="0" w:color="auto"/>
              <w:right w:val="single" w:sz="4" w:space="0" w:color="auto"/>
            </w:tcBorders>
            <w:shd w:val="clear" w:color="auto" w:fill="auto"/>
            <w:noWrap/>
            <w:vAlign w:val="center"/>
            <w:hideMark/>
          </w:tcPr>
          <w:p w14:paraId="59444BC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31.166</w:t>
            </w:r>
          </w:p>
        </w:tc>
        <w:tc>
          <w:tcPr>
            <w:tcW w:w="358" w:type="pct"/>
            <w:tcBorders>
              <w:top w:val="nil"/>
              <w:left w:val="nil"/>
              <w:bottom w:val="single" w:sz="8" w:space="0" w:color="auto"/>
              <w:right w:val="nil"/>
            </w:tcBorders>
            <w:shd w:val="clear" w:color="auto" w:fill="auto"/>
            <w:noWrap/>
            <w:vAlign w:val="center"/>
            <w:hideMark/>
          </w:tcPr>
          <w:p w14:paraId="2C1B1AF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0.000</w:t>
            </w:r>
          </w:p>
        </w:tc>
        <w:tc>
          <w:tcPr>
            <w:tcW w:w="545" w:type="pct"/>
            <w:tcBorders>
              <w:top w:val="nil"/>
              <w:left w:val="single" w:sz="8" w:space="0" w:color="auto"/>
              <w:bottom w:val="single" w:sz="8" w:space="0" w:color="auto"/>
              <w:right w:val="nil"/>
            </w:tcBorders>
            <w:shd w:val="clear" w:color="auto" w:fill="auto"/>
            <w:noWrap/>
            <w:vAlign w:val="bottom"/>
            <w:hideMark/>
          </w:tcPr>
          <w:p w14:paraId="26E6F04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396" w:type="pct"/>
            <w:tcBorders>
              <w:top w:val="nil"/>
              <w:left w:val="nil"/>
              <w:bottom w:val="single" w:sz="8" w:space="0" w:color="auto"/>
              <w:right w:val="nil"/>
            </w:tcBorders>
            <w:shd w:val="clear" w:color="auto" w:fill="auto"/>
            <w:noWrap/>
            <w:vAlign w:val="bottom"/>
            <w:hideMark/>
          </w:tcPr>
          <w:p w14:paraId="049D305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520" w:type="pct"/>
            <w:tcBorders>
              <w:top w:val="nil"/>
              <w:left w:val="nil"/>
              <w:bottom w:val="single" w:sz="8" w:space="0" w:color="auto"/>
              <w:right w:val="nil"/>
            </w:tcBorders>
            <w:shd w:val="clear" w:color="auto" w:fill="auto"/>
            <w:noWrap/>
            <w:vAlign w:val="bottom"/>
            <w:hideMark/>
          </w:tcPr>
          <w:p w14:paraId="1D530FFB"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c>
          <w:tcPr>
            <w:tcW w:w="470" w:type="pct"/>
            <w:tcBorders>
              <w:top w:val="nil"/>
              <w:left w:val="nil"/>
              <w:bottom w:val="single" w:sz="8" w:space="0" w:color="auto"/>
              <w:right w:val="single" w:sz="8" w:space="0" w:color="auto"/>
            </w:tcBorders>
            <w:shd w:val="clear" w:color="auto" w:fill="auto"/>
            <w:noWrap/>
            <w:vAlign w:val="bottom"/>
            <w:hideMark/>
          </w:tcPr>
          <w:p w14:paraId="1698DC6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w:t>
            </w:r>
          </w:p>
        </w:tc>
      </w:tr>
    </w:tbl>
    <w:p w14:paraId="4B15717C" w14:textId="77777777" w:rsidR="005976AB" w:rsidRPr="005635E7" w:rsidRDefault="005976AB" w:rsidP="005976AB">
      <w:pPr>
        <w:jc w:val="both"/>
        <w:rPr>
          <w:rFonts w:asciiTheme="majorBidi" w:hAnsiTheme="majorBidi" w:cstheme="majorBidi"/>
          <w:i/>
          <w:iCs/>
          <w:sz w:val="22"/>
          <w:szCs w:val="22"/>
        </w:rPr>
      </w:pPr>
    </w:p>
    <w:p w14:paraId="10AF78D1" w14:textId="77777777" w:rsidR="005976AB" w:rsidRPr="005635E7" w:rsidRDefault="005976AB" w:rsidP="005976AB">
      <w:pPr>
        <w:jc w:val="both"/>
        <w:rPr>
          <w:rFonts w:asciiTheme="majorBidi" w:hAnsiTheme="majorBidi" w:cstheme="majorBidi"/>
          <w:i/>
          <w:iCs/>
          <w:sz w:val="22"/>
          <w:szCs w:val="22"/>
        </w:rPr>
      </w:pPr>
      <w:r w:rsidRPr="005635E7">
        <w:rPr>
          <w:rFonts w:asciiTheme="majorBidi" w:hAnsiTheme="majorBidi" w:cstheme="majorBidi"/>
          <w:i/>
          <w:iCs/>
          <w:sz w:val="22"/>
          <w:szCs w:val="22"/>
        </w:rPr>
        <w:t>Note: Managerial commitment (MC); Systems perspective (SP); Openness and experimentation (EX); Knowledge transfer and integration (TR); Inbound open innovation practices (IP); Outbound open innovation practices (OP); Market effectiveness (ME); Profitability (P)</w:t>
      </w:r>
    </w:p>
    <w:p w14:paraId="36BAB5E7" w14:textId="77777777" w:rsidR="005976AB" w:rsidRPr="005635E7" w:rsidRDefault="005976AB" w:rsidP="005976AB">
      <w:pPr>
        <w:spacing w:line="480" w:lineRule="auto"/>
        <w:jc w:val="both"/>
        <w:rPr>
          <w:rFonts w:asciiTheme="majorBidi" w:hAnsiTheme="majorBidi" w:cstheme="majorBidi"/>
        </w:rPr>
      </w:pPr>
    </w:p>
    <w:p w14:paraId="33E13FCD" w14:textId="77777777" w:rsidR="005976AB" w:rsidRPr="005635E7" w:rsidRDefault="005976AB" w:rsidP="005976AB">
      <w:pPr>
        <w:spacing w:line="480" w:lineRule="auto"/>
        <w:jc w:val="both"/>
        <w:rPr>
          <w:rFonts w:asciiTheme="majorBidi" w:hAnsiTheme="majorBidi" w:cstheme="majorBidi"/>
        </w:rPr>
      </w:pPr>
    </w:p>
    <w:p w14:paraId="63596FFD" w14:textId="77777777" w:rsidR="005976AB" w:rsidRPr="005635E7" w:rsidRDefault="005976AB" w:rsidP="005976AB">
      <w:pPr>
        <w:spacing w:line="480" w:lineRule="auto"/>
        <w:jc w:val="both"/>
        <w:rPr>
          <w:rFonts w:asciiTheme="majorBidi" w:hAnsiTheme="majorBidi" w:cstheme="majorBidi"/>
        </w:rPr>
      </w:pPr>
    </w:p>
    <w:p w14:paraId="792A38EA" w14:textId="77777777" w:rsidR="005976AB" w:rsidRPr="005635E7" w:rsidRDefault="005976AB" w:rsidP="005976AB">
      <w:pPr>
        <w:spacing w:line="480" w:lineRule="auto"/>
        <w:jc w:val="both"/>
        <w:rPr>
          <w:rFonts w:asciiTheme="majorBidi" w:hAnsiTheme="majorBidi" w:cstheme="majorBidi"/>
        </w:rPr>
        <w:sectPr w:rsidR="005976AB" w:rsidRPr="005635E7" w:rsidSect="00C76B21">
          <w:pgSz w:w="16838" w:h="11906" w:orient="landscape"/>
          <w:pgMar w:top="1440" w:right="1440" w:bottom="1440" w:left="1440" w:header="708" w:footer="708" w:gutter="0"/>
          <w:cols w:space="708"/>
          <w:docGrid w:linePitch="360"/>
        </w:sectPr>
      </w:pPr>
    </w:p>
    <w:p w14:paraId="63D65A73" w14:textId="77777777" w:rsidR="005976AB" w:rsidRPr="005635E7" w:rsidRDefault="005976AB" w:rsidP="005976AB">
      <w:pPr>
        <w:pStyle w:val="Heading3"/>
        <w:spacing w:before="0" w:after="240"/>
        <w:rPr>
          <w:rFonts w:asciiTheme="majorBidi" w:hAnsiTheme="majorBidi"/>
          <w:b/>
          <w:bCs/>
          <w:color w:val="auto"/>
        </w:rPr>
      </w:pPr>
      <w:bookmarkStart w:id="101" w:name="_Toc115310407"/>
      <w:r w:rsidRPr="005635E7">
        <w:rPr>
          <w:rFonts w:asciiTheme="majorBidi" w:hAnsiTheme="majorBidi"/>
          <w:b/>
          <w:bCs/>
          <w:color w:val="auto"/>
        </w:rPr>
        <w:t>4.3.2 Convergent Validity</w:t>
      </w:r>
      <w:bookmarkEnd w:id="101"/>
    </w:p>
    <w:p w14:paraId="3158C7EB" w14:textId="77777777" w:rsidR="005976AB" w:rsidRPr="005635E7" w:rsidRDefault="005976AB" w:rsidP="005976AB">
      <w:pPr>
        <w:autoSpaceDE w:val="0"/>
        <w:autoSpaceDN w:val="0"/>
        <w:adjustRightInd w:val="0"/>
        <w:spacing w:line="480" w:lineRule="auto"/>
        <w:jc w:val="both"/>
        <w:rPr>
          <w:rFonts w:asciiTheme="majorBidi" w:hAnsiTheme="majorBidi" w:cstheme="majorBidi"/>
        </w:rPr>
      </w:pPr>
      <w:r w:rsidRPr="005635E7">
        <w:rPr>
          <w:rFonts w:asciiTheme="majorBidi" w:hAnsiTheme="majorBidi" w:cstheme="majorBidi"/>
        </w:rPr>
        <w:t>The degree of agreement among the variables used to measure the same construct indicated convergent validity. Convergent validity was tested using composite reliability (CR) and average variance extracted (AVE) (Hair et al., 2010). According to Zaiţ and Bertea (2011), statistical significance is defined as a CR value greater than 0.70 and an AVE value greater than 0.50. According to the measurement model's results (Table 4.4), AVE and CR are above 0.5 and 0.7, respectively. The results show that the measures advocated in this study have convergent validity.</w:t>
      </w:r>
    </w:p>
    <w:p w14:paraId="35FA498E" w14:textId="77777777" w:rsidR="005976AB" w:rsidRPr="005635E7" w:rsidRDefault="005976AB" w:rsidP="005976AB">
      <w:pPr>
        <w:pStyle w:val="Heading3"/>
        <w:spacing w:before="0" w:after="240"/>
        <w:rPr>
          <w:rFonts w:asciiTheme="majorBidi" w:hAnsiTheme="majorBidi"/>
          <w:b/>
          <w:bCs/>
          <w:color w:val="auto"/>
        </w:rPr>
      </w:pPr>
      <w:bookmarkStart w:id="102" w:name="_Toc115310408"/>
      <w:r w:rsidRPr="005635E7">
        <w:rPr>
          <w:rFonts w:asciiTheme="majorBidi" w:hAnsiTheme="majorBidi"/>
          <w:b/>
          <w:bCs/>
          <w:color w:val="auto"/>
        </w:rPr>
        <w:t>4.3.3 Discriminant Validity</w:t>
      </w:r>
      <w:bookmarkEnd w:id="102"/>
    </w:p>
    <w:p w14:paraId="5DE4957D" w14:textId="2BAB747C"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Discriminant validity was proven using the Fornell and Larcker (1981) criterion</w:t>
      </w:r>
      <w:r>
        <w:rPr>
          <w:rFonts w:asciiTheme="majorBidi" w:hAnsiTheme="majorBidi" w:cstheme="majorBidi"/>
        </w:rPr>
        <w:t xml:space="preserve">. The </w:t>
      </w:r>
      <w:r w:rsidRPr="005635E7">
        <w:rPr>
          <w:rFonts w:asciiTheme="majorBidi" w:hAnsiTheme="majorBidi" w:cstheme="majorBidi"/>
        </w:rPr>
        <w:t xml:space="preserve">square root of the AVE should be greater than the squared correlation between the dimensions. Discriminant validity refers to the degree to which variables differ among concepts (Hair et al., 2014). The findings demonstrated that the square root of </w:t>
      </w:r>
      <w:r w:rsidRPr="005635E7">
        <w:rPr>
          <w:rFonts w:ascii="Times New Roman" w:eastAsia="Calibri" w:hAnsi="Times New Roman" w:cs="Times New Roman"/>
        </w:rPr>
        <w:t>the AVE for each of the eight constructs was greater than the squared correction</w:t>
      </w:r>
      <w:r w:rsidRPr="005635E7">
        <w:rPr>
          <w:rFonts w:asciiTheme="majorBidi" w:hAnsiTheme="majorBidi" w:cstheme="majorBidi"/>
        </w:rPr>
        <w:t xml:space="preserve"> values involving the construct, confirming that the values of each construct strengthen</w:t>
      </w:r>
      <w:r w:rsidRPr="005635E7">
        <w:rPr>
          <w:rFonts w:ascii="Times New Roman" w:eastAsia="Calibri" w:hAnsi="Times New Roman" w:cs="Times New Roman"/>
        </w:rPr>
        <w:t>ed discriminant validity (Table 4.4). Additionally, Table 4.1's comparison of cross-loadings note</w:t>
      </w:r>
      <w:r>
        <w:rPr>
          <w:rFonts w:ascii="Times New Roman" w:eastAsia="Calibri" w:hAnsi="Times New Roman" w:cs="Times New Roman"/>
        </w:rPr>
        <w:t>d</w:t>
      </w:r>
      <w:r w:rsidRPr="005635E7">
        <w:rPr>
          <w:rFonts w:ascii="Times New Roman" w:eastAsia="Calibri" w:hAnsi="Times New Roman" w:cs="Times New Roman"/>
        </w:rPr>
        <w:t xml:space="preserve"> that an item's loadings </w:t>
      </w:r>
      <w:r w:rsidRPr="005635E7">
        <w:rPr>
          <w:rFonts w:asciiTheme="majorBidi" w:hAnsiTheme="majorBidi" w:cstheme="majorBidi"/>
        </w:rPr>
        <w:t xml:space="preserve">were greater than those of </w:t>
      </w:r>
      <w:r w:rsidRPr="005635E7">
        <w:rPr>
          <w:rFonts w:ascii="Times New Roman" w:eastAsia="Calibri" w:hAnsi="Times New Roman" w:cs="Times New Roman"/>
        </w:rPr>
        <w:t xml:space="preserve">the other factor loadings for its own construct in the same column and </w:t>
      </w:r>
      <w:r w:rsidRPr="005635E7">
        <w:rPr>
          <w:rFonts w:asciiTheme="majorBidi" w:hAnsiTheme="majorBidi" w:cstheme="majorBidi"/>
        </w:rPr>
        <w:t>row, indicating sufficient discriminant validity.</w:t>
      </w:r>
    </w:p>
    <w:p w14:paraId="2547D280"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Additionally, the </w:t>
      </w:r>
      <w:r>
        <w:rPr>
          <w:rFonts w:asciiTheme="majorBidi" w:hAnsiTheme="majorBidi" w:cstheme="majorBidi"/>
        </w:rPr>
        <w:t>H</w:t>
      </w:r>
      <w:r w:rsidRPr="005635E7">
        <w:rPr>
          <w:rFonts w:asciiTheme="majorBidi" w:hAnsiTheme="majorBidi" w:cstheme="majorBidi"/>
        </w:rPr>
        <w:t>eterotrait</w:t>
      </w:r>
      <w:r>
        <w:rPr>
          <w:rFonts w:asciiTheme="majorBidi" w:hAnsiTheme="majorBidi" w:cstheme="majorBidi"/>
        </w:rPr>
        <w:t>-M</w:t>
      </w:r>
      <w:r w:rsidRPr="005635E7">
        <w:rPr>
          <w:rFonts w:asciiTheme="majorBidi" w:hAnsiTheme="majorBidi" w:cstheme="majorBidi"/>
        </w:rPr>
        <w:t>onotrait ratio of correlation (HTMT) was employed to guarantee that all constructs met the criteria for discriminant validity. According to Gold et al. (2001), discriminant validity exists if the HTMT value is greater than 0.90. Table 4.5 demonstrates that all constructs had HTMT values less than 0.9, demonstrating discriminant validity.</w:t>
      </w:r>
    </w:p>
    <w:p w14:paraId="4F63362A" w14:textId="77777777" w:rsidR="005976AB" w:rsidRPr="005635E7" w:rsidRDefault="005976AB" w:rsidP="005976AB">
      <w:pPr>
        <w:spacing w:line="480" w:lineRule="auto"/>
        <w:jc w:val="both"/>
        <w:rPr>
          <w:rFonts w:asciiTheme="majorBidi" w:hAnsiTheme="majorBidi" w:cstheme="majorBidi"/>
        </w:rPr>
      </w:pPr>
    </w:p>
    <w:p w14:paraId="2C21D5E8" w14:textId="77777777" w:rsidR="005976AB" w:rsidRPr="005635E7" w:rsidRDefault="005976AB" w:rsidP="005976AB">
      <w:pPr>
        <w:spacing w:line="480" w:lineRule="auto"/>
        <w:jc w:val="both"/>
        <w:rPr>
          <w:rFonts w:asciiTheme="majorBidi" w:hAnsiTheme="majorBidi" w:cstheme="majorBidi"/>
        </w:rPr>
      </w:pPr>
    </w:p>
    <w:p w14:paraId="2917E74B" w14:textId="77777777" w:rsidR="005976AB" w:rsidRPr="005635E7" w:rsidRDefault="005976AB" w:rsidP="005976AB">
      <w:pPr>
        <w:spacing w:line="480" w:lineRule="auto"/>
        <w:jc w:val="both"/>
        <w:rPr>
          <w:rFonts w:asciiTheme="majorBidi" w:hAnsiTheme="majorBidi" w:cstheme="majorBidi"/>
        </w:rPr>
      </w:pPr>
    </w:p>
    <w:p w14:paraId="15110310" w14:textId="77777777" w:rsidR="005976AB" w:rsidRPr="005635E7" w:rsidRDefault="005976AB" w:rsidP="005976AB">
      <w:pPr>
        <w:pStyle w:val="Caption"/>
        <w:rPr>
          <w:rFonts w:asciiTheme="majorBidi" w:hAnsiTheme="majorBidi" w:cstheme="majorBidi"/>
          <w:color w:val="auto"/>
        </w:rPr>
      </w:pPr>
    </w:p>
    <w:p w14:paraId="48AF35FC" w14:textId="77777777" w:rsidR="005976AB" w:rsidRPr="005635E7" w:rsidRDefault="005976AB" w:rsidP="005976AB">
      <w:pPr>
        <w:pStyle w:val="Caption"/>
        <w:rPr>
          <w:rFonts w:asciiTheme="majorBidi" w:hAnsiTheme="majorBidi" w:cstheme="majorBidi"/>
          <w:i w:val="0"/>
          <w:iCs w:val="0"/>
          <w:color w:val="auto"/>
          <w:sz w:val="24"/>
          <w:szCs w:val="24"/>
        </w:rPr>
      </w:pPr>
      <w:bookmarkStart w:id="103" w:name="_Toc126377962"/>
      <w:r w:rsidRPr="005635E7">
        <w:rPr>
          <w:rFonts w:asciiTheme="majorBidi" w:hAnsiTheme="majorBidi" w:cstheme="majorBidi"/>
          <w:i w:val="0"/>
          <w:iCs w:val="0"/>
          <w:color w:val="auto"/>
          <w:sz w:val="24"/>
          <w:szCs w:val="24"/>
        </w:rPr>
        <w:t>Table 4.</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4</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Discriminant validity (Fornell-Larcker’s 1981 criterion)</w:t>
      </w:r>
      <w:bookmarkEnd w:id="103"/>
    </w:p>
    <w:tbl>
      <w:tblPr>
        <w:tblW w:w="8640" w:type="dxa"/>
        <w:tblLook w:val="04A0" w:firstRow="1" w:lastRow="0" w:firstColumn="1" w:lastColumn="0" w:noHBand="0" w:noVBand="1"/>
      </w:tblPr>
      <w:tblGrid>
        <w:gridCol w:w="960"/>
        <w:gridCol w:w="960"/>
        <w:gridCol w:w="960"/>
        <w:gridCol w:w="960"/>
        <w:gridCol w:w="960"/>
        <w:gridCol w:w="960"/>
        <w:gridCol w:w="960"/>
        <w:gridCol w:w="960"/>
        <w:gridCol w:w="960"/>
      </w:tblGrid>
      <w:tr w:rsidR="005976AB" w:rsidRPr="005635E7" w14:paraId="2C82C3CE" w14:textId="77777777" w:rsidTr="009E2F4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6CEB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42588A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EX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EF8CC7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9C8712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A9DE6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4C5EB3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OP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7DD4FA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044CB9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SP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A438CF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TR</w:t>
            </w:r>
          </w:p>
        </w:tc>
      </w:tr>
      <w:tr w:rsidR="005976AB" w:rsidRPr="005635E7" w14:paraId="729B9992"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9E8FE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EX</w:t>
            </w:r>
          </w:p>
        </w:tc>
        <w:tc>
          <w:tcPr>
            <w:tcW w:w="960" w:type="dxa"/>
            <w:tcBorders>
              <w:top w:val="nil"/>
              <w:left w:val="nil"/>
              <w:bottom w:val="single" w:sz="4" w:space="0" w:color="auto"/>
              <w:right w:val="single" w:sz="4" w:space="0" w:color="auto"/>
            </w:tcBorders>
            <w:shd w:val="clear" w:color="auto" w:fill="auto"/>
            <w:noWrap/>
            <w:vAlign w:val="center"/>
            <w:hideMark/>
          </w:tcPr>
          <w:p w14:paraId="71035121" w14:textId="77777777" w:rsidR="005976AB" w:rsidRPr="00AC37AF" w:rsidRDefault="005976AB" w:rsidP="009E2F41">
            <w:pPr>
              <w:jc w:val="both"/>
              <w:rPr>
                <w:rFonts w:asciiTheme="majorBidi" w:eastAsia="Times New Roman" w:hAnsiTheme="majorBidi" w:cstheme="majorBidi"/>
                <w:b/>
                <w:bCs/>
                <w:i/>
                <w:iCs/>
                <w:lang w:eastAsia="en-GB"/>
              </w:rPr>
            </w:pPr>
            <w:r w:rsidRPr="00AC37AF">
              <w:rPr>
                <w:rFonts w:asciiTheme="majorBidi" w:eastAsia="Times New Roman" w:hAnsiTheme="majorBidi" w:cstheme="majorBidi"/>
                <w:b/>
                <w:bCs/>
                <w:i/>
                <w:iCs/>
                <w:lang w:eastAsia="en-GB"/>
              </w:rPr>
              <w:t>0.857</w:t>
            </w:r>
          </w:p>
        </w:tc>
        <w:tc>
          <w:tcPr>
            <w:tcW w:w="960" w:type="dxa"/>
            <w:tcBorders>
              <w:top w:val="nil"/>
              <w:left w:val="nil"/>
              <w:bottom w:val="single" w:sz="4" w:space="0" w:color="auto"/>
              <w:right w:val="single" w:sz="4" w:space="0" w:color="auto"/>
            </w:tcBorders>
            <w:shd w:val="clear" w:color="auto" w:fill="auto"/>
            <w:noWrap/>
            <w:vAlign w:val="center"/>
            <w:hideMark/>
          </w:tcPr>
          <w:p w14:paraId="274C526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3601229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6498BC0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5272CCE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192AE09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1CF7605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5938C99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257999F4"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5F7AD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IP</w:t>
            </w:r>
          </w:p>
        </w:tc>
        <w:tc>
          <w:tcPr>
            <w:tcW w:w="960" w:type="dxa"/>
            <w:tcBorders>
              <w:top w:val="nil"/>
              <w:left w:val="nil"/>
              <w:bottom w:val="single" w:sz="4" w:space="0" w:color="auto"/>
              <w:right w:val="single" w:sz="4" w:space="0" w:color="auto"/>
            </w:tcBorders>
            <w:shd w:val="clear" w:color="auto" w:fill="auto"/>
            <w:noWrap/>
            <w:vAlign w:val="center"/>
            <w:hideMark/>
          </w:tcPr>
          <w:p w14:paraId="27F7524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0.108</w:t>
            </w:r>
          </w:p>
        </w:tc>
        <w:tc>
          <w:tcPr>
            <w:tcW w:w="960" w:type="dxa"/>
            <w:tcBorders>
              <w:top w:val="nil"/>
              <w:left w:val="nil"/>
              <w:bottom w:val="single" w:sz="4" w:space="0" w:color="auto"/>
              <w:right w:val="single" w:sz="4" w:space="0" w:color="auto"/>
            </w:tcBorders>
            <w:shd w:val="clear" w:color="auto" w:fill="auto"/>
            <w:noWrap/>
            <w:vAlign w:val="center"/>
            <w:hideMark/>
          </w:tcPr>
          <w:p w14:paraId="561D64E2" w14:textId="77777777" w:rsidR="005976AB" w:rsidRPr="00AC37AF" w:rsidRDefault="005976AB" w:rsidP="009E2F41">
            <w:pPr>
              <w:jc w:val="both"/>
              <w:rPr>
                <w:rFonts w:asciiTheme="majorBidi" w:eastAsia="Times New Roman" w:hAnsiTheme="majorBidi" w:cstheme="majorBidi"/>
                <w:b/>
                <w:bCs/>
                <w:i/>
                <w:iCs/>
                <w:lang w:eastAsia="en-GB"/>
              </w:rPr>
            </w:pPr>
            <w:r w:rsidRPr="00AC37AF">
              <w:rPr>
                <w:rFonts w:asciiTheme="majorBidi" w:eastAsia="Times New Roman" w:hAnsiTheme="majorBidi" w:cstheme="majorBidi"/>
                <w:b/>
                <w:bCs/>
                <w:i/>
                <w:iCs/>
                <w:lang w:eastAsia="en-GB"/>
              </w:rPr>
              <w:t>0.914</w:t>
            </w:r>
          </w:p>
        </w:tc>
        <w:tc>
          <w:tcPr>
            <w:tcW w:w="960" w:type="dxa"/>
            <w:tcBorders>
              <w:top w:val="nil"/>
              <w:left w:val="nil"/>
              <w:bottom w:val="single" w:sz="4" w:space="0" w:color="auto"/>
              <w:right w:val="single" w:sz="4" w:space="0" w:color="auto"/>
            </w:tcBorders>
            <w:shd w:val="clear" w:color="auto" w:fill="auto"/>
            <w:noWrap/>
            <w:vAlign w:val="center"/>
            <w:hideMark/>
          </w:tcPr>
          <w:p w14:paraId="40B4172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57EA1AD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B13E5B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555FBDB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54FE36C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3789331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0585BFA8"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13D9A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MC</w:t>
            </w:r>
          </w:p>
        </w:tc>
        <w:tc>
          <w:tcPr>
            <w:tcW w:w="960" w:type="dxa"/>
            <w:tcBorders>
              <w:top w:val="nil"/>
              <w:left w:val="nil"/>
              <w:bottom w:val="single" w:sz="4" w:space="0" w:color="auto"/>
              <w:right w:val="single" w:sz="4" w:space="0" w:color="auto"/>
            </w:tcBorders>
            <w:shd w:val="clear" w:color="auto" w:fill="auto"/>
            <w:noWrap/>
            <w:vAlign w:val="center"/>
            <w:hideMark/>
          </w:tcPr>
          <w:p w14:paraId="259144A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0.091</w:t>
            </w:r>
          </w:p>
        </w:tc>
        <w:tc>
          <w:tcPr>
            <w:tcW w:w="960" w:type="dxa"/>
            <w:tcBorders>
              <w:top w:val="nil"/>
              <w:left w:val="nil"/>
              <w:bottom w:val="single" w:sz="4" w:space="0" w:color="auto"/>
              <w:right w:val="single" w:sz="4" w:space="0" w:color="auto"/>
            </w:tcBorders>
            <w:shd w:val="clear" w:color="auto" w:fill="auto"/>
            <w:noWrap/>
            <w:vAlign w:val="center"/>
            <w:hideMark/>
          </w:tcPr>
          <w:p w14:paraId="510410A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0.147</w:t>
            </w:r>
          </w:p>
        </w:tc>
        <w:tc>
          <w:tcPr>
            <w:tcW w:w="960" w:type="dxa"/>
            <w:tcBorders>
              <w:top w:val="nil"/>
              <w:left w:val="nil"/>
              <w:bottom w:val="single" w:sz="4" w:space="0" w:color="auto"/>
              <w:right w:val="single" w:sz="4" w:space="0" w:color="auto"/>
            </w:tcBorders>
            <w:shd w:val="clear" w:color="auto" w:fill="auto"/>
            <w:noWrap/>
            <w:vAlign w:val="center"/>
            <w:hideMark/>
          </w:tcPr>
          <w:p w14:paraId="24001A9C" w14:textId="77777777" w:rsidR="005976AB" w:rsidRPr="00AC37AF" w:rsidRDefault="005976AB" w:rsidP="009E2F41">
            <w:pPr>
              <w:jc w:val="both"/>
              <w:rPr>
                <w:rFonts w:asciiTheme="majorBidi" w:eastAsia="Times New Roman" w:hAnsiTheme="majorBidi" w:cstheme="majorBidi"/>
                <w:b/>
                <w:bCs/>
                <w:i/>
                <w:iCs/>
                <w:lang w:eastAsia="en-GB"/>
              </w:rPr>
            </w:pPr>
            <w:r w:rsidRPr="00AC37AF">
              <w:rPr>
                <w:rFonts w:asciiTheme="majorBidi" w:eastAsia="Times New Roman" w:hAnsiTheme="majorBidi" w:cstheme="majorBidi"/>
                <w:b/>
                <w:bCs/>
                <w:i/>
                <w:iCs/>
                <w:lang w:eastAsia="en-GB"/>
              </w:rPr>
              <w:t>0.773</w:t>
            </w:r>
          </w:p>
        </w:tc>
        <w:tc>
          <w:tcPr>
            <w:tcW w:w="960" w:type="dxa"/>
            <w:tcBorders>
              <w:top w:val="nil"/>
              <w:left w:val="nil"/>
              <w:bottom w:val="single" w:sz="4" w:space="0" w:color="auto"/>
              <w:right w:val="single" w:sz="4" w:space="0" w:color="auto"/>
            </w:tcBorders>
            <w:shd w:val="clear" w:color="auto" w:fill="auto"/>
            <w:noWrap/>
            <w:vAlign w:val="center"/>
            <w:hideMark/>
          </w:tcPr>
          <w:p w14:paraId="330985C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0F5DD22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1D52DD4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0EFEF95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66AFE8E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799A6556"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16412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ME</w:t>
            </w:r>
          </w:p>
        </w:tc>
        <w:tc>
          <w:tcPr>
            <w:tcW w:w="960" w:type="dxa"/>
            <w:tcBorders>
              <w:top w:val="nil"/>
              <w:left w:val="nil"/>
              <w:bottom w:val="single" w:sz="4" w:space="0" w:color="auto"/>
              <w:right w:val="single" w:sz="4" w:space="0" w:color="auto"/>
            </w:tcBorders>
            <w:shd w:val="clear" w:color="auto" w:fill="auto"/>
            <w:noWrap/>
            <w:vAlign w:val="center"/>
            <w:hideMark/>
          </w:tcPr>
          <w:p w14:paraId="2BCF87E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0.154</w:t>
            </w:r>
          </w:p>
        </w:tc>
        <w:tc>
          <w:tcPr>
            <w:tcW w:w="960" w:type="dxa"/>
            <w:tcBorders>
              <w:top w:val="nil"/>
              <w:left w:val="nil"/>
              <w:bottom w:val="single" w:sz="4" w:space="0" w:color="auto"/>
              <w:right w:val="single" w:sz="4" w:space="0" w:color="auto"/>
            </w:tcBorders>
            <w:shd w:val="clear" w:color="auto" w:fill="auto"/>
            <w:noWrap/>
            <w:vAlign w:val="center"/>
            <w:hideMark/>
          </w:tcPr>
          <w:p w14:paraId="539DB56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0.296</w:t>
            </w:r>
          </w:p>
        </w:tc>
        <w:tc>
          <w:tcPr>
            <w:tcW w:w="960" w:type="dxa"/>
            <w:tcBorders>
              <w:top w:val="nil"/>
              <w:left w:val="nil"/>
              <w:bottom w:val="single" w:sz="4" w:space="0" w:color="auto"/>
              <w:right w:val="single" w:sz="4" w:space="0" w:color="auto"/>
            </w:tcBorders>
            <w:shd w:val="clear" w:color="auto" w:fill="auto"/>
            <w:noWrap/>
            <w:vAlign w:val="center"/>
            <w:hideMark/>
          </w:tcPr>
          <w:p w14:paraId="644546B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0.325</w:t>
            </w:r>
          </w:p>
        </w:tc>
        <w:tc>
          <w:tcPr>
            <w:tcW w:w="960" w:type="dxa"/>
            <w:tcBorders>
              <w:top w:val="nil"/>
              <w:left w:val="nil"/>
              <w:bottom w:val="single" w:sz="4" w:space="0" w:color="auto"/>
              <w:right w:val="single" w:sz="4" w:space="0" w:color="auto"/>
            </w:tcBorders>
            <w:shd w:val="clear" w:color="auto" w:fill="auto"/>
            <w:noWrap/>
            <w:vAlign w:val="center"/>
            <w:hideMark/>
          </w:tcPr>
          <w:p w14:paraId="50B70F48" w14:textId="77777777" w:rsidR="005976AB" w:rsidRPr="00AC37AF" w:rsidRDefault="005976AB" w:rsidP="009E2F41">
            <w:pPr>
              <w:jc w:val="both"/>
              <w:rPr>
                <w:rFonts w:asciiTheme="majorBidi" w:eastAsia="Times New Roman" w:hAnsiTheme="majorBidi" w:cstheme="majorBidi"/>
                <w:b/>
                <w:bCs/>
                <w:i/>
                <w:iCs/>
                <w:lang w:eastAsia="en-GB"/>
              </w:rPr>
            </w:pPr>
            <w:r w:rsidRPr="00AC37AF">
              <w:rPr>
                <w:rFonts w:asciiTheme="majorBidi" w:eastAsia="Times New Roman" w:hAnsiTheme="majorBidi" w:cstheme="majorBidi"/>
                <w:b/>
                <w:bCs/>
                <w:i/>
                <w:iCs/>
                <w:lang w:eastAsia="en-GB"/>
              </w:rPr>
              <w:t>0.795</w:t>
            </w:r>
          </w:p>
        </w:tc>
        <w:tc>
          <w:tcPr>
            <w:tcW w:w="960" w:type="dxa"/>
            <w:tcBorders>
              <w:top w:val="nil"/>
              <w:left w:val="nil"/>
              <w:bottom w:val="single" w:sz="4" w:space="0" w:color="auto"/>
              <w:right w:val="single" w:sz="4" w:space="0" w:color="auto"/>
            </w:tcBorders>
            <w:shd w:val="clear" w:color="auto" w:fill="auto"/>
            <w:noWrap/>
            <w:vAlign w:val="center"/>
            <w:hideMark/>
          </w:tcPr>
          <w:p w14:paraId="19D2227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2D80D28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219275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5A07D59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57B8C9F9"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2E7FC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OP</w:t>
            </w:r>
          </w:p>
        </w:tc>
        <w:tc>
          <w:tcPr>
            <w:tcW w:w="960" w:type="dxa"/>
            <w:tcBorders>
              <w:top w:val="nil"/>
              <w:left w:val="nil"/>
              <w:bottom w:val="single" w:sz="4" w:space="0" w:color="auto"/>
              <w:right w:val="single" w:sz="4" w:space="0" w:color="auto"/>
            </w:tcBorders>
            <w:shd w:val="clear" w:color="auto" w:fill="auto"/>
            <w:noWrap/>
            <w:vAlign w:val="center"/>
            <w:hideMark/>
          </w:tcPr>
          <w:p w14:paraId="19E84ED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0.262</w:t>
            </w:r>
          </w:p>
        </w:tc>
        <w:tc>
          <w:tcPr>
            <w:tcW w:w="960" w:type="dxa"/>
            <w:tcBorders>
              <w:top w:val="nil"/>
              <w:left w:val="nil"/>
              <w:bottom w:val="single" w:sz="4" w:space="0" w:color="auto"/>
              <w:right w:val="single" w:sz="4" w:space="0" w:color="auto"/>
            </w:tcBorders>
            <w:shd w:val="clear" w:color="auto" w:fill="auto"/>
            <w:noWrap/>
            <w:vAlign w:val="center"/>
            <w:hideMark/>
          </w:tcPr>
          <w:p w14:paraId="0025FA6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-0.021</w:t>
            </w:r>
          </w:p>
        </w:tc>
        <w:tc>
          <w:tcPr>
            <w:tcW w:w="960" w:type="dxa"/>
            <w:tcBorders>
              <w:top w:val="nil"/>
              <w:left w:val="nil"/>
              <w:bottom w:val="single" w:sz="4" w:space="0" w:color="auto"/>
              <w:right w:val="single" w:sz="4" w:space="0" w:color="auto"/>
            </w:tcBorders>
            <w:shd w:val="clear" w:color="auto" w:fill="auto"/>
            <w:noWrap/>
            <w:vAlign w:val="center"/>
            <w:hideMark/>
          </w:tcPr>
          <w:p w14:paraId="4C0523C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0.115</w:t>
            </w:r>
          </w:p>
        </w:tc>
        <w:tc>
          <w:tcPr>
            <w:tcW w:w="960" w:type="dxa"/>
            <w:tcBorders>
              <w:top w:val="nil"/>
              <w:left w:val="nil"/>
              <w:bottom w:val="single" w:sz="4" w:space="0" w:color="auto"/>
              <w:right w:val="single" w:sz="4" w:space="0" w:color="auto"/>
            </w:tcBorders>
            <w:shd w:val="clear" w:color="auto" w:fill="auto"/>
            <w:noWrap/>
            <w:vAlign w:val="center"/>
            <w:hideMark/>
          </w:tcPr>
          <w:p w14:paraId="7C397C2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0.097</w:t>
            </w:r>
          </w:p>
        </w:tc>
        <w:tc>
          <w:tcPr>
            <w:tcW w:w="960" w:type="dxa"/>
            <w:tcBorders>
              <w:top w:val="nil"/>
              <w:left w:val="nil"/>
              <w:bottom w:val="single" w:sz="4" w:space="0" w:color="auto"/>
              <w:right w:val="single" w:sz="4" w:space="0" w:color="auto"/>
            </w:tcBorders>
            <w:shd w:val="clear" w:color="auto" w:fill="auto"/>
            <w:noWrap/>
            <w:vAlign w:val="center"/>
            <w:hideMark/>
          </w:tcPr>
          <w:p w14:paraId="445BDE1F" w14:textId="77777777" w:rsidR="005976AB" w:rsidRPr="00AC37AF" w:rsidRDefault="005976AB" w:rsidP="009E2F41">
            <w:pPr>
              <w:jc w:val="both"/>
              <w:rPr>
                <w:rFonts w:asciiTheme="majorBidi" w:eastAsia="Times New Roman" w:hAnsiTheme="majorBidi" w:cstheme="majorBidi"/>
                <w:b/>
                <w:bCs/>
                <w:i/>
                <w:iCs/>
                <w:lang w:eastAsia="en-GB"/>
              </w:rPr>
            </w:pPr>
            <w:r w:rsidRPr="00AC37AF">
              <w:rPr>
                <w:rFonts w:asciiTheme="majorBidi" w:eastAsia="Times New Roman" w:hAnsiTheme="majorBidi" w:cstheme="majorBidi"/>
                <w:b/>
                <w:bCs/>
                <w:i/>
                <w:iCs/>
                <w:lang w:eastAsia="en-GB"/>
              </w:rPr>
              <w:t>0.754</w:t>
            </w:r>
          </w:p>
        </w:tc>
        <w:tc>
          <w:tcPr>
            <w:tcW w:w="960" w:type="dxa"/>
            <w:tcBorders>
              <w:top w:val="nil"/>
              <w:left w:val="nil"/>
              <w:bottom w:val="single" w:sz="4" w:space="0" w:color="auto"/>
              <w:right w:val="single" w:sz="4" w:space="0" w:color="auto"/>
            </w:tcBorders>
            <w:shd w:val="clear" w:color="auto" w:fill="auto"/>
            <w:noWrap/>
            <w:vAlign w:val="center"/>
            <w:hideMark/>
          </w:tcPr>
          <w:p w14:paraId="136526E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2A92250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3A2CDA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F774560"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293FC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P</w:t>
            </w:r>
          </w:p>
        </w:tc>
        <w:tc>
          <w:tcPr>
            <w:tcW w:w="960" w:type="dxa"/>
            <w:tcBorders>
              <w:top w:val="nil"/>
              <w:left w:val="nil"/>
              <w:bottom w:val="single" w:sz="4" w:space="0" w:color="auto"/>
              <w:right w:val="single" w:sz="4" w:space="0" w:color="auto"/>
            </w:tcBorders>
            <w:shd w:val="clear" w:color="auto" w:fill="auto"/>
            <w:noWrap/>
            <w:vAlign w:val="center"/>
            <w:hideMark/>
          </w:tcPr>
          <w:p w14:paraId="3480ABD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0.574</w:t>
            </w:r>
          </w:p>
        </w:tc>
        <w:tc>
          <w:tcPr>
            <w:tcW w:w="960" w:type="dxa"/>
            <w:tcBorders>
              <w:top w:val="nil"/>
              <w:left w:val="nil"/>
              <w:bottom w:val="single" w:sz="4" w:space="0" w:color="auto"/>
              <w:right w:val="single" w:sz="4" w:space="0" w:color="auto"/>
            </w:tcBorders>
            <w:shd w:val="clear" w:color="auto" w:fill="auto"/>
            <w:noWrap/>
            <w:vAlign w:val="center"/>
            <w:hideMark/>
          </w:tcPr>
          <w:p w14:paraId="474CCB7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0.252</w:t>
            </w:r>
          </w:p>
        </w:tc>
        <w:tc>
          <w:tcPr>
            <w:tcW w:w="960" w:type="dxa"/>
            <w:tcBorders>
              <w:top w:val="nil"/>
              <w:left w:val="nil"/>
              <w:bottom w:val="single" w:sz="4" w:space="0" w:color="auto"/>
              <w:right w:val="single" w:sz="4" w:space="0" w:color="auto"/>
            </w:tcBorders>
            <w:shd w:val="clear" w:color="auto" w:fill="auto"/>
            <w:noWrap/>
            <w:vAlign w:val="center"/>
            <w:hideMark/>
          </w:tcPr>
          <w:p w14:paraId="682774B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0.107</w:t>
            </w:r>
          </w:p>
        </w:tc>
        <w:tc>
          <w:tcPr>
            <w:tcW w:w="960" w:type="dxa"/>
            <w:tcBorders>
              <w:top w:val="nil"/>
              <w:left w:val="nil"/>
              <w:bottom w:val="single" w:sz="4" w:space="0" w:color="auto"/>
              <w:right w:val="single" w:sz="4" w:space="0" w:color="auto"/>
            </w:tcBorders>
            <w:shd w:val="clear" w:color="auto" w:fill="auto"/>
            <w:noWrap/>
            <w:vAlign w:val="center"/>
            <w:hideMark/>
          </w:tcPr>
          <w:p w14:paraId="4CB494E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0.079</w:t>
            </w:r>
          </w:p>
        </w:tc>
        <w:tc>
          <w:tcPr>
            <w:tcW w:w="960" w:type="dxa"/>
            <w:tcBorders>
              <w:top w:val="nil"/>
              <w:left w:val="nil"/>
              <w:bottom w:val="single" w:sz="4" w:space="0" w:color="auto"/>
              <w:right w:val="single" w:sz="4" w:space="0" w:color="auto"/>
            </w:tcBorders>
            <w:shd w:val="clear" w:color="auto" w:fill="auto"/>
            <w:noWrap/>
            <w:vAlign w:val="center"/>
            <w:hideMark/>
          </w:tcPr>
          <w:p w14:paraId="46C20DC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0.157</w:t>
            </w:r>
          </w:p>
        </w:tc>
        <w:tc>
          <w:tcPr>
            <w:tcW w:w="960" w:type="dxa"/>
            <w:tcBorders>
              <w:top w:val="nil"/>
              <w:left w:val="nil"/>
              <w:bottom w:val="single" w:sz="4" w:space="0" w:color="auto"/>
              <w:right w:val="single" w:sz="4" w:space="0" w:color="auto"/>
            </w:tcBorders>
            <w:shd w:val="clear" w:color="auto" w:fill="auto"/>
            <w:noWrap/>
            <w:vAlign w:val="center"/>
            <w:hideMark/>
          </w:tcPr>
          <w:p w14:paraId="1D9788A7" w14:textId="77777777" w:rsidR="005976AB" w:rsidRPr="00AC37AF" w:rsidRDefault="005976AB" w:rsidP="009E2F41">
            <w:pPr>
              <w:jc w:val="both"/>
              <w:rPr>
                <w:rFonts w:asciiTheme="majorBidi" w:eastAsia="Times New Roman" w:hAnsiTheme="majorBidi" w:cstheme="majorBidi"/>
                <w:b/>
                <w:bCs/>
                <w:i/>
                <w:iCs/>
                <w:lang w:eastAsia="en-GB"/>
              </w:rPr>
            </w:pPr>
            <w:r w:rsidRPr="00AC37AF">
              <w:rPr>
                <w:rFonts w:asciiTheme="majorBidi" w:eastAsia="Times New Roman" w:hAnsiTheme="majorBidi" w:cstheme="majorBidi"/>
                <w:b/>
                <w:bCs/>
                <w:i/>
                <w:iCs/>
                <w:lang w:eastAsia="en-GB"/>
              </w:rPr>
              <w:t>0.812</w:t>
            </w:r>
          </w:p>
        </w:tc>
        <w:tc>
          <w:tcPr>
            <w:tcW w:w="960" w:type="dxa"/>
            <w:tcBorders>
              <w:top w:val="nil"/>
              <w:left w:val="nil"/>
              <w:bottom w:val="single" w:sz="4" w:space="0" w:color="auto"/>
              <w:right w:val="single" w:sz="4" w:space="0" w:color="auto"/>
            </w:tcBorders>
            <w:shd w:val="clear" w:color="auto" w:fill="auto"/>
            <w:noWrap/>
            <w:vAlign w:val="center"/>
            <w:hideMark/>
          </w:tcPr>
          <w:p w14:paraId="59621DB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241B1EB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66DB4BE0"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AD525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SP</w:t>
            </w:r>
          </w:p>
        </w:tc>
        <w:tc>
          <w:tcPr>
            <w:tcW w:w="960" w:type="dxa"/>
            <w:tcBorders>
              <w:top w:val="nil"/>
              <w:left w:val="nil"/>
              <w:bottom w:val="single" w:sz="4" w:space="0" w:color="auto"/>
              <w:right w:val="single" w:sz="4" w:space="0" w:color="auto"/>
            </w:tcBorders>
            <w:shd w:val="clear" w:color="auto" w:fill="auto"/>
            <w:noWrap/>
            <w:vAlign w:val="center"/>
            <w:hideMark/>
          </w:tcPr>
          <w:p w14:paraId="5D3D6F2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0.240</w:t>
            </w:r>
          </w:p>
        </w:tc>
        <w:tc>
          <w:tcPr>
            <w:tcW w:w="960" w:type="dxa"/>
            <w:tcBorders>
              <w:top w:val="nil"/>
              <w:left w:val="nil"/>
              <w:bottom w:val="single" w:sz="4" w:space="0" w:color="auto"/>
              <w:right w:val="single" w:sz="4" w:space="0" w:color="auto"/>
            </w:tcBorders>
            <w:shd w:val="clear" w:color="auto" w:fill="auto"/>
            <w:noWrap/>
            <w:vAlign w:val="center"/>
            <w:hideMark/>
          </w:tcPr>
          <w:p w14:paraId="18DD51C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-0.048</w:t>
            </w:r>
          </w:p>
        </w:tc>
        <w:tc>
          <w:tcPr>
            <w:tcW w:w="960" w:type="dxa"/>
            <w:tcBorders>
              <w:top w:val="nil"/>
              <w:left w:val="nil"/>
              <w:bottom w:val="single" w:sz="4" w:space="0" w:color="auto"/>
              <w:right w:val="single" w:sz="4" w:space="0" w:color="auto"/>
            </w:tcBorders>
            <w:shd w:val="clear" w:color="auto" w:fill="auto"/>
            <w:noWrap/>
            <w:vAlign w:val="center"/>
            <w:hideMark/>
          </w:tcPr>
          <w:p w14:paraId="7D9724B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0.189</w:t>
            </w:r>
          </w:p>
        </w:tc>
        <w:tc>
          <w:tcPr>
            <w:tcW w:w="960" w:type="dxa"/>
            <w:tcBorders>
              <w:top w:val="nil"/>
              <w:left w:val="nil"/>
              <w:bottom w:val="single" w:sz="4" w:space="0" w:color="auto"/>
              <w:right w:val="single" w:sz="4" w:space="0" w:color="auto"/>
            </w:tcBorders>
            <w:shd w:val="clear" w:color="auto" w:fill="auto"/>
            <w:noWrap/>
            <w:vAlign w:val="center"/>
            <w:hideMark/>
          </w:tcPr>
          <w:p w14:paraId="2A698AF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0.059</w:t>
            </w:r>
          </w:p>
        </w:tc>
        <w:tc>
          <w:tcPr>
            <w:tcW w:w="960" w:type="dxa"/>
            <w:tcBorders>
              <w:top w:val="nil"/>
              <w:left w:val="nil"/>
              <w:bottom w:val="single" w:sz="4" w:space="0" w:color="auto"/>
              <w:right w:val="single" w:sz="4" w:space="0" w:color="auto"/>
            </w:tcBorders>
            <w:shd w:val="clear" w:color="auto" w:fill="auto"/>
            <w:noWrap/>
            <w:vAlign w:val="center"/>
            <w:hideMark/>
          </w:tcPr>
          <w:p w14:paraId="2E057FB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0.402</w:t>
            </w:r>
          </w:p>
        </w:tc>
        <w:tc>
          <w:tcPr>
            <w:tcW w:w="960" w:type="dxa"/>
            <w:tcBorders>
              <w:top w:val="nil"/>
              <w:left w:val="nil"/>
              <w:bottom w:val="single" w:sz="4" w:space="0" w:color="auto"/>
              <w:right w:val="single" w:sz="4" w:space="0" w:color="auto"/>
            </w:tcBorders>
            <w:shd w:val="clear" w:color="auto" w:fill="auto"/>
            <w:noWrap/>
            <w:vAlign w:val="center"/>
            <w:hideMark/>
          </w:tcPr>
          <w:p w14:paraId="2400B89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0.096</w:t>
            </w:r>
          </w:p>
        </w:tc>
        <w:tc>
          <w:tcPr>
            <w:tcW w:w="960" w:type="dxa"/>
            <w:tcBorders>
              <w:top w:val="nil"/>
              <w:left w:val="nil"/>
              <w:bottom w:val="single" w:sz="4" w:space="0" w:color="auto"/>
              <w:right w:val="single" w:sz="4" w:space="0" w:color="auto"/>
            </w:tcBorders>
            <w:shd w:val="clear" w:color="auto" w:fill="auto"/>
            <w:noWrap/>
            <w:vAlign w:val="center"/>
            <w:hideMark/>
          </w:tcPr>
          <w:p w14:paraId="4AB5518A" w14:textId="77777777" w:rsidR="005976AB" w:rsidRPr="00AC37AF" w:rsidRDefault="005976AB" w:rsidP="009E2F41">
            <w:pPr>
              <w:jc w:val="both"/>
              <w:rPr>
                <w:rFonts w:asciiTheme="majorBidi" w:eastAsia="Times New Roman" w:hAnsiTheme="majorBidi" w:cstheme="majorBidi"/>
                <w:b/>
                <w:bCs/>
                <w:i/>
                <w:iCs/>
                <w:lang w:eastAsia="en-GB"/>
              </w:rPr>
            </w:pPr>
            <w:r w:rsidRPr="00AC37AF">
              <w:rPr>
                <w:rFonts w:asciiTheme="majorBidi" w:eastAsia="Times New Roman" w:hAnsiTheme="majorBidi" w:cstheme="majorBidi"/>
                <w:b/>
                <w:bCs/>
                <w:i/>
                <w:iCs/>
                <w:lang w:eastAsia="en-GB"/>
              </w:rPr>
              <w:t>0.884</w:t>
            </w:r>
          </w:p>
        </w:tc>
        <w:tc>
          <w:tcPr>
            <w:tcW w:w="960" w:type="dxa"/>
            <w:tcBorders>
              <w:top w:val="nil"/>
              <w:left w:val="nil"/>
              <w:bottom w:val="single" w:sz="4" w:space="0" w:color="auto"/>
              <w:right w:val="single" w:sz="4" w:space="0" w:color="auto"/>
            </w:tcBorders>
            <w:shd w:val="clear" w:color="auto" w:fill="auto"/>
            <w:noWrap/>
            <w:vAlign w:val="center"/>
            <w:hideMark/>
          </w:tcPr>
          <w:p w14:paraId="2906042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2436C200"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FAB13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TR</w:t>
            </w:r>
          </w:p>
        </w:tc>
        <w:tc>
          <w:tcPr>
            <w:tcW w:w="960" w:type="dxa"/>
            <w:tcBorders>
              <w:top w:val="nil"/>
              <w:left w:val="nil"/>
              <w:bottom w:val="single" w:sz="4" w:space="0" w:color="auto"/>
              <w:right w:val="single" w:sz="4" w:space="0" w:color="auto"/>
            </w:tcBorders>
            <w:shd w:val="clear" w:color="auto" w:fill="auto"/>
            <w:noWrap/>
            <w:vAlign w:val="center"/>
            <w:hideMark/>
          </w:tcPr>
          <w:p w14:paraId="7D6C259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0.453</w:t>
            </w:r>
          </w:p>
        </w:tc>
        <w:tc>
          <w:tcPr>
            <w:tcW w:w="960" w:type="dxa"/>
            <w:tcBorders>
              <w:top w:val="nil"/>
              <w:left w:val="nil"/>
              <w:bottom w:val="single" w:sz="4" w:space="0" w:color="auto"/>
              <w:right w:val="single" w:sz="4" w:space="0" w:color="auto"/>
            </w:tcBorders>
            <w:shd w:val="clear" w:color="auto" w:fill="auto"/>
            <w:noWrap/>
            <w:vAlign w:val="center"/>
            <w:hideMark/>
          </w:tcPr>
          <w:p w14:paraId="38EC44E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0.241</w:t>
            </w:r>
          </w:p>
        </w:tc>
        <w:tc>
          <w:tcPr>
            <w:tcW w:w="960" w:type="dxa"/>
            <w:tcBorders>
              <w:top w:val="nil"/>
              <w:left w:val="nil"/>
              <w:bottom w:val="single" w:sz="4" w:space="0" w:color="auto"/>
              <w:right w:val="single" w:sz="4" w:space="0" w:color="auto"/>
            </w:tcBorders>
            <w:shd w:val="clear" w:color="auto" w:fill="auto"/>
            <w:noWrap/>
            <w:vAlign w:val="center"/>
            <w:hideMark/>
          </w:tcPr>
          <w:p w14:paraId="5B1BA9A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0.145</w:t>
            </w:r>
          </w:p>
        </w:tc>
        <w:tc>
          <w:tcPr>
            <w:tcW w:w="960" w:type="dxa"/>
            <w:tcBorders>
              <w:top w:val="nil"/>
              <w:left w:val="nil"/>
              <w:bottom w:val="single" w:sz="4" w:space="0" w:color="auto"/>
              <w:right w:val="single" w:sz="4" w:space="0" w:color="auto"/>
            </w:tcBorders>
            <w:shd w:val="clear" w:color="auto" w:fill="auto"/>
            <w:noWrap/>
            <w:vAlign w:val="center"/>
            <w:hideMark/>
          </w:tcPr>
          <w:p w14:paraId="4F4963A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0.129</w:t>
            </w:r>
          </w:p>
        </w:tc>
        <w:tc>
          <w:tcPr>
            <w:tcW w:w="960" w:type="dxa"/>
            <w:tcBorders>
              <w:top w:val="nil"/>
              <w:left w:val="nil"/>
              <w:bottom w:val="single" w:sz="4" w:space="0" w:color="auto"/>
              <w:right w:val="single" w:sz="4" w:space="0" w:color="auto"/>
            </w:tcBorders>
            <w:shd w:val="clear" w:color="auto" w:fill="auto"/>
            <w:noWrap/>
            <w:vAlign w:val="center"/>
            <w:hideMark/>
          </w:tcPr>
          <w:p w14:paraId="4D81100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0.173</w:t>
            </w:r>
          </w:p>
        </w:tc>
        <w:tc>
          <w:tcPr>
            <w:tcW w:w="960" w:type="dxa"/>
            <w:tcBorders>
              <w:top w:val="nil"/>
              <w:left w:val="nil"/>
              <w:bottom w:val="single" w:sz="4" w:space="0" w:color="auto"/>
              <w:right w:val="single" w:sz="4" w:space="0" w:color="auto"/>
            </w:tcBorders>
            <w:shd w:val="clear" w:color="auto" w:fill="auto"/>
            <w:noWrap/>
            <w:vAlign w:val="center"/>
            <w:hideMark/>
          </w:tcPr>
          <w:p w14:paraId="6B4FC66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0.538</w:t>
            </w:r>
          </w:p>
        </w:tc>
        <w:tc>
          <w:tcPr>
            <w:tcW w:w="960" w:type="dxa"/>
            <w:tcBorders>
              <w:top w:val="nil"/>
              <w:left w:val="nil"/>
              <w:bottom w:val="single" w:sz="4" w:space="0" w:color="auto"/>
              <w:right w:val="single" w:sz="4" w:space="0" w:color="auto"/>
            </w:tcBorders>
            <w:shd w:val="clear" w:color="auto" w:fill="auto"/>
            <w:noWrap/>
            <w:vAlign w:val="center"/>
            <w:hideMark/>
          </w:tcPr>
          <w:p w14:paraId="6E7A9D8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0.021</w:t>
            </w:r>
          </w:p>
        </w:tc>
        <w:tc>
          <w:tcPr>
            <w:tcW w:w="960" w:type="dxa"/>
            <w:tcBorders>
              <w:top w:val="nil"/>
              <w:left w:val="nil"/>
              <w:bottom w:val="single" w:sz="4" w:space="0" w:color="auto"/>
              <w:right w:val="single" w:sz="4" w:space="0" w:color="auto"/>
            </w:tcBorders>
            <w:shd w:val="clear" w:color="auto" w:fill="auto"/>
            <w:noWrap/>
            <w:vAlign w:val="center"/>
            <w:hideMark/>
          </w:tcPr>
          <w:p w14:paraId="70F93A19" w14:textId="77777777" w:rsidR="005976AB" w:rsidRPr="00AC37AF" w:rsidRDefault="005976AB" w:rsidP="009E2F41">
            <w:pPr>
              <w:jc w:val="both"/>
              <w:rPr>
                <w:rFonts w:asciiTheme="majorBidi" w:eastAsia="Times New Roman" w:hAnsiTheme="majorBidi" w:cstheme="majorBidi"/>
                <w:b/>
                <w:bCs/>
                <w:i/>
                <w:iCs/>
                <w:lang w:eastAsia="en-GB"/>
              </w:rPr>
            </w:pPr>
            <w:r w:rsidRPr="00AC37AF">
              <w:rPr>
                <w:rFonts w:asciiTheme="majorBidi" w:eastAsia="Times New Roman" w:hAnsiTheme="majorBidi" w:cstheme="majorBidi"/>
                <w:b/>
                <w:bCs/>
                <w:i/>
                <w:iCs/>
                <w:lang w:eastAsia="en-GB"/>
              </w:rPr>
              <w:t>0.786</w:t>
            </w:r>
          </w:p>
        </w:tc>
      </w:tr>
    </w:tbl>
    <w:p w14:paraId="63BD49A6" w14:textId="77777777" w:rsidR="005976AB" w:rsidRPr="005635E7" w:rsidRDefault="005976AB" w:rsidP="005976AB">
      <w:pPr>
        <w:jc w:val="both"/>
        <w:rPr>
          <w:rFonts w:asciiTheme="majorBidi" w:hAnsiTheme="majorBidi" w:cstheme="majorBidi"/>
          <w:i/>
          <w:iCs/>
          <w:sz w:val="20"/>
          <w:szCs w:val="20"/>
        </w:rPr>
      </w:pPr>
      <w:r w:rsidRPr="005635E7">
        <w:rPr>
          <w:rFonts w:asciiTheme="majorBidi" w:hAnsiTheme="majorBidi" w:cstheme="majorBidi"/>
          <w:i/>
          <w:iCs/>
          <w:sz w:val="20"/>
          <w:szCs w:val="20"/>
        </w:rPr>
        <w:t>Note: Managerial commitment (MC); Systems perspective (SP); Openness and experimentation (EX); Knowledge transfer and integration (TR); Inbound open innovation practices (IP); Outbound open innovation practices (OP); Market effectiveness (ME); Profitability (P)</w:t>
      </w:r>
    </w:p>
    <w:p w14:paraId="6FBF425D" w14:textId="77777777" w:rsidR="005976AB" w:rsidRPr="005635E7" w:rsidRDefault="005976AB" w:rsidP="005976AB">
      <w:pPr>
        <w:jc w:val="both"/>
        <w:rPr>
          <w:rFonts w:asciiTheme="majorBidi" w:hAnsiTheme="majorBidi" w:cstheme="majorBidi"/>
          <w:i/>
          <w:iCs/>
          <w:sz w:val="20"/>
          <w:szCs w:val="20"/>
        </w:rPr>
      </w:pPr>
    </w:p>
    <w:p w14:paraId="1761DA8E" w14:textId="77777777" w:rsidR="005976AB" w:rsidRPr="005635E7" w:rsidRDefault="005976AB" w:rsidP="005976AB">
      <w:pPr>
        <w:jc w:val="both"/>
        <w:rPr>
          <w:rFonts w:asciiTheme="majorBidi" w:hAnsiTheme="majorBidi" w:cstheme="majorBidi"/>
          <w:i/>
          <w:iCs/>
          <w:sz w:val="22"/>
          <w:szCs w:val="22"/>
        </w:rPr>
      </w:pPr>
      <w:r w:rsidRPr="005635E7">
        <w:rPr>
          <w:rFonts w:asciiTheme="majorBidi" w:hAnsiTheme="majorBidi" w:cstheme="majorBidi"/>
          <w:i/>
          <w:iCs/>
          <w:sz w:val="22"/>
          <w:szCs w:val="22"/>
        </w:rPr>
        <w:t>Note: Bold figures reflects the square root of AVE</w:t>
      </w:r>
    </w:p>
    <w:p w14:paraId="200A3B4D" w14:textId="77777777" w:rsidR="005976AB" w:rsidRPr="005635E7" w:rsidRDefault="005976AB" w:rsidP="005976AB">
      <w:pPr>
        <w:spacing w:line="480" w:lineRule="auto"/>
        <w:jc w:val="both"/>
        <w:rPr>
          <w:rFonts w:asciiTheme="majorBidi" w:hAnsiTheme="majorBidi" w:cstheme="majorBidi"/>
        </w:rPr>
      </w:pPr>
    </w:p>
    <w:p w14:paraId="4391B7EA" w14:textId="77777777" w:rsidR="005976AB" w:rsidRPr="005635E7" w:rsidRDefault="005976AB" w:rsidP="005976AB">
      <w:pPr>
        <w:pStyle w:val="Caption"/>
        <w:rPr>
          <w:rFonts w:asciiTheme="majorBidi" w:hAnsiTheme="majorBidi" w:cstheme="majorBidi"/>
          <w:i w:val="0"/>
          <w:iCs w:val="0"/>
          <w:color w:val="auto"/>
          <w:sz w:val="24"/>
          <w:szCs w:val="24"/>
        </w:rPr>
      </w:pPr>
      <w:bookmarkStart w:id="104" w:name="_Toc126377963"/>
      <w:r w:rsidRPr="005635E7">
        <w:rPr>
          <w:rFonts w:asciiTheme="majorBidi" w:hAnsiTheme="majorBidi" w:cstheme="majorBidi"/>
          <w:i w:val="0"/>
          <w:iCs w:val="0"/>
          <w:color w:val="auto"/>
          <w:sz w:val="24"/>
          <w:szCs w:val="24"/>
        </w:rPr>
        <w:t>Table 4.</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5</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Discriminant validity (HTMT Criterion)</w:t>
      </w:r>
      <w:bookmarkEnd w:id="104"/>
    </w:p>
    <w:tbl>
      <w:tblPr>
        <w:tblW w:w="8640" w:type="dxa"/>
        <w:tblLook w:val="04A0" w:firstRow="1" w:lastRow="0" w:firstColumn="1" w:lastColumn="0" w:noHBand="0" w:noVBand="1"/>
      </w:tblPr>
      <w:tblGrid>
        <w:gridCol w:w="960"/>
        <w:gridCol w:w="960"/>
        <w:gridCol w:w="960"/>
        <w:gridCol w:w="960"/>
        <w:gridCol w:w="960"/>
        <w:gridCol w:w="960"/>
        <w:gridCol w:w="960"/>
        <w:gridCol w:w="960"/>
        <w:gridCol w:w="960"/>
      </w:tblGrid>
      <w:tr w:rsidR="005976AB" w:rsidRPr="005635E7" w14:paraId="443A0C18" w14:textId="77777777" w:rsidTr="009E2F4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955A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068237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EX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62460D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CA5150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4250C2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C50272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OP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9FC08F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4F001D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SP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684158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TR</w:t>
            </w:r>
          </w:p>
        </w:tc>
      </w:tr>
      <w:tr w:rsidR="005976AB" w:rsidRPr="005635E7" w14:paraId="60C9CE82"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EED5E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EX</w:t>
            </w:r>
          </w:p>
        </w:tc>
        <w:tc>
          <w:tcPr>
            <w:tcW w:w="960" w:type="dxa"/>
            <w:tcBorders>
              <w:top w:val="nil"/>
              <w:left w:val="nil"/>
              <w:bottom w:val="single" w:sz="4" w:space="0" w:color="auto"/>
              <w:right w:val="single" w:sz="4" w:space="0" w:color="auto"/>
            </w:tcBorders>
            <w:shd w:val="clear" w:color="auto" w:fill="auto"/>
            <w:noWrap/>
            <w:vAlign w:val="center"/>
            <w:hideMark/>
          </w:tcPr>
          <w:p w14:paraId="4290C8F3" w14:textId="3B8E6556" w:rsidR="005976AB" w:rsidRPr="005635E7" w:rsidRDefault="005976AB" w:rsidP="00B431FC">
            <w:pPr>
              <w:jc w:val="center"/>
              <w:rPr>
                <w:rFonts w:asciiTheme="majorBidi" w:eastAsia="Times New Roman" w:hAnsiTheme="majorBidi" w:cstheme="majorBidi"/>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4779D77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284AC74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57CB64E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30EACCA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3ABA219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11A7B8E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6A6C88D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4F80D73F"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04327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IP</w:t>
            </w:r>
          </w:p>
        </w:tc>
        <w:tc>
          <w:tcPr>
            <w:tcW w:w="960" w:type="dxa"/>
            <w:tcBorders>
              <w:top w:val="nil"/>
              <w:left w:val="nil"/>
              <w:bottom w:val="single" w:sz="4" w:space="0" w:color="auto"/>
              <w:right w:val="single" w:sz="4" w:space="0" w:color="auto"/>
            </w:tcBorders>
            <w:shd w:val="clear" w:color="auto" w:fill="auto"/>
            <w:noWrap/>
            <w:vAlign w:val="center"/>
            <w:hideMark/>
          </w:tcPr>
          <w:p w14:paraId="7111900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0.134</w:t>
            </w:r>
          </w:p>
        </w:tc>
        <w:tc>
          <w:tcPr>
            <w:tcW w:w="960" w:type="dxa"/>
            <w:tcBorders>
              <w:top w:val="nil"/>
              <w:left w:val="nil"/>
              <w:bottom w:val="single" w:sz="4" w:space="0" w:color="auto"/>
              <w:right w:val="single" w:sz="4" w:space="0" w:color="auto"/>
            </w:tcBorders>
            <w:shd w:val="clear" w:color="auto" w:fill="auto"/>
            <w:noWrap/>
            <w:vAlign w:val="center"/>
            <w:hideMark/>
          </w:tcPr>
          <w:p w14:paraId="49CFDD6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66D5F0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6CE2981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BF22F7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25145C4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1924B41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301C79F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03DAB90D"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CE5AC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MC</w:t>
            </w:r>
          </w:p>
        </w:tc>
        <w:tc>
          <w:tcPr>
            <w:tcW w:w="960" w:type="dxa"/>
            <w:tcBorders>
              <w:top w:val="nil"/>
              <w:left w:val="nil"/>
              <w:bottom w:val="single" w:sz="4" w:space="0" w:color="auto"/>
              <w:right w:val="single" w:sz="4" w:space="0" w:color="auto"/>
            </w:tcBorders>
            <w:shd w:val="clear" w:color="auto" w:fill="auto"/>
            <w:noWrap/>
            <w:vAlign w:val="center"/>
            <w:hideMark/>
          </w:tcPr>
          <w:p w14:paraId="337DB52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0.121</w:t>
            </w:r>
          </w:p>
        </w:tc>
        <w:tc>
          <w:tcPr>
            <w:tcW w:w="960" w:type="dxa"/>
            <w:tcBorders>
              <w:top w:val="nil"/>
              <w:left w:val="nil"/>
              <w:bottom w:val="single" w:sz="4" w:space="0" w:color="auto"/>
              <w:right w:val="single" w:sz="4" w:space="0" w:color="auto"/>
            </w:tcBorders>
            <w:shd w:val="clear" w:color="auto" w:fill="auto"/>
            <w:noWrap/>
            <w:vAlign w:val="center"/>
            <w:hideMark/>
          </w:tcPr>
          <w:p w14:paraId="789A59D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0.183</w:t>
            </w:r>
          </w:p>
        </w:tc>
        <w:tc>
          <w:tcPr>
            <w:tcW w:w="960" w:type="dxa"/>
            <w:tcBorders>
              <w:top w:val="nil"/>
              <w:left w:val="nil"/>
              <w:bottom w:val="single" w:sz="4" w:space="0" w:color="auto"/>
              <w:right w:val="single" w:sz="4" w:space="0" w:color="auto"/>
            </w:tcBorders>
            <w:shd w:val="clear" w:color="auto" w:fill="auto"/>
            <w:noWrap/>
            <w:vAlign w:val="center"/>
            <w:hideMark/>
          </w:tcPr>
          <w:p w14:paraId="5476CAA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6C485DD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2F44519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6AFB54C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6F0AD0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1A2B229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2FF63294"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F9D20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ME</w:t>
            </w:r>
          </w:p>
        </w:tc>
        <w:tc>
          <w:tcPr>
            <w:tcW w:w="960" w:type="dxa"/>
            <w:tcBorders>
              <w:top w:val="nil"/>
              <w:left w:val="nil"/>
              <w:bottom w:val="single" w:sz="4" w:space="0" w:color="auto"/>
              <w:right w:val="single" w:sz="4" w:space="0" w:color="auto"/>
            </w:tcBorders>
            <w:shd w:val="clear" w:color="auto" w:fill="auto"/>
            <w:noWrap/>
            <w:vAlign w:val="center"/>
            <w:hideMark/>
          </w:tcPr>
          <w:p w14:paraId="22FC54F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0.170</w:t>
            </w:r>
          </w:p>
        </w:tc>
        <w:tc>
          <w:tcPr>
            <w:tcW w:w="960" w:type="dxa"/>
            <w:tcBorders>
              <w:top w:val="nil"/>
              <w:left w:val="nil"/>
              <w:bottom w:val="single" w:sz="4" w:space="0" w:color="auto"/>
              <w:right w:val="single" w:sz="4" w:space="0" w:color="auto"/>
            </w:tcBorders>
            <w:shd w:val="clear" w:color="auto" w:fill="auto"/>
            <w:noWrap/>
            <w:vAlign w:val="center"/>
            <w:hideMark/>
          </w:tcPr>
          <w:p w14:paraId="4554D84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0.333</w:t>
            </w:r>
          </w:p>
        </w:tc>
        <w:tc>
          <w:tcPr>
            <w:tcW w:w="960" w:type="dxa"/>
            <w:tcBorders>
              <w:top w:val="nil"/>
              <w:left w:val="nil"/>
              <w:bottom w:val="single" w:sz="4" w:space="0" w:color="auto"/>
              <w:right w:val="single" w:sz="4" w:space="0" w:color="auto"/>
            </w:tcBorders>
            <w:shd w:val="clear" w:color="auto" w:fill="auto"/>
            <w:noWrap/>
            <w:vAlign w:val="center"/>
            <w:hideMark/>
          </w:tcPr>
          <w:p w14:paraId="62F922D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0.407</w:t>
            </w:r>
          </w:p>
        </w:tc>
        <w:tc>
          <w:tcPr>
            <w:tcW w:w="960" w:type="dxa"/>
            <w:tcBorders>
              <w:top w:val="nil"/>
              <w:left w:val="nil"/>
              <w:bottom w:val="single" w:sz="4" w:space="0" w:color="auto"/>
              <w:right w:val="single" w:sz="4" w:space="0" w:color="auto"/>
            </w:tcBorders>
            <w:shd w:val="clear" w:color="auto" w:fill="auto"/>
            <w:noWrap/>
            <w:vAlign w:val="center"/>
            <w:hideMark/>
          </w:tcPr>
          <w:p w14:paraId="0ABB255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89374A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5BEE4D6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601B7CF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1996242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43831A2"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FF310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OP</w:t>
            </w:r>
          </w:p>
        </w:tc>
        <w:tc>
          <w:tcPr>
            <w:tcW w:w="960" w:type="dxa"/>
            <w:tcBorders>
              <w:top w:val="nil"/>
              <w:left w:val="nil"/>
              <w:bottom w:val="single" w:sz="4" w:space="0" w:color="auto"/>
              <w:right w:val="single" w:sz="4" w:space="0" w:color="auto"/>
            </w:tcBorders>
            <w:shd w:val="clear" w:color="auto" w:fill="auto"/>
            <w:noWrap/>
            <w:vAlign w:val="center"/>
            <w:hideMark/>
          </w:tcPr>
          <w:p w14:paraId="6307DA0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0.320</w:t>
            </w:r>
          </w:p>
        </w:tc>
        <w:tc>
          <w:tcPr>
            <w:tcW w:w="960" w:type="dxa"/>
            <w:tcBorders>
              <w:top w:val="nil"/>
              <w:left w:val="nil"/>
              <w:bottom w:val="single" w:sz="4" w:space="0" w:color="auto"/>
              <w:right w:val="single" w:sz="4" w:space="0" w:color="auto"/>
            </w:tcBorders>
            <w:shd w:val="clear" w:color="auto" w:fill="auto"/>
            <w:noWrap/>
            <w:vAlign w:val="center"/>
            <w:hideMark/>
          </w:tcPr>
          <w:p w14:paraId="3F439F7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0.138</w:t>
            </w:r>
          </w:p>
        </w:tc>
        <w:tc>
          <w:tcPr>
            <w:tcW w:w="960" w:type="dxa"/>
            <w:tcBorders>
              <w:top w:val="nil"/>
              <w:left w:val="nil"/>
              <w:bottom w:val="single" w:sz="4" w:space="0" w:color="auto"/>
              <w:right w:val="single" w:sz="4" w:space="0" w:color="auto"/>
            </w:tcBorders>
            <w:shd w:val="clear" w:color="auto" w:fill="auto"/>
            <w:noWrap/>
            <w:vAlign w:val="center"/>
            <w:hideMark/>
          </w:tcPr>
          <w:p w14:paraId="2048CA0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0.149</w:t>
            </w:r>
          </w:p>
        </w:tc>
        <w:tc>
          <w:tcPr>
            <w:tcW w:w="960" w:type="dxa"/>
            <w:tcBorders>
              <w:top w:val="nil"/>
              <w:left w:val="nil"/>
              <w:bottom w:val="single" w:sz="4" w:space="0" w:color="auto"/>
              <w:right w:val="single" w:sz="4" w:space="0" w:color="auto"/>
            </w:tcBorders>
            <w:shd w:val="clear" w:color="auto" w:fill="auto"/>
            <w:noWrap/>
            <w:vAlign w:val="center"/>
            <w:hideMark/>
          </w:tcPr>
          <w:p w14:paraId="237A704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0.106</w:t>
            </w:r>
          </w:p>
        </w:tc>
        <w:tc>
          <w:tcPr>
            <w:tcW w:w="960" w:type="dxa"/>
            <w:tcBorders>
              <w:top w:val="nil"/>
              <w:left w:val="nil"/>
              <w:bottom w:val="single" w:sz="4" w:space="0" w:color="auto"/>
              <w:right w:val="single" w:sz="4" w:space="0" w:color="auto"/>
            </w:tcBorders>
            <w:shd w:val="clear" w:color="auto" w:fill="auto"/>
            <w:noWrap/>
            <w:vAlign w:val="center"/>
            <w:hideMark/>
          </w:tcPr>
          <w:p w14:paraId="2B329E4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4FEDCF2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7130ACB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735F908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1322C3EF"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D4DC4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P</w:t>
            </w:r>
          </w:p>
        </w:tc>
        <w:tc>
          <w:tcPr>
            <w:tcW w:w="960" w:type="dxa"/>
            <w:tcBorders>
              <w:top w:val="nil"/>
              <w:left w:val="nil"/>
              <w:bottom w:val="single" w:sz="4" w:space="0" w:color="auto"/>
              <w:right w:val="single" w:sz="4" w:space="0" w:color="auto"/>
            </w:tcBorders>
            <w:shd w:val="clear" w:color="auto" w:fill="auto"/>
            <w:noWrap/>
            <w:vAlign w:val="center"/>
            <w:hideMark/>
          </w:tcPr>
          <w:p w14:paraId="03148EF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0.695</w:t>
            </w:r>
          </w:p>
        </w:tc>
        <w:tc>
          <w:tcPr>
            <w:tcW w:w="960" w:type="dxa"/>
            <w:tcBorders>
              <w:top w:val="nil"/>
              <w:left w:val="nil"/>
              <w:bottom w:val="single" w:sz="4" w:space="0" w:color="auto"/>
              <w:right w:val="single" w:sz="4" w:space="0" w:color="auto"/>
            </w:tcBorders>
            <w:shd w:val="clear" w:color="auto" w:fill="auto"/>
            <w:noWrap/>
            <w:vAlign w:val="center"/>
            <w:hideMark/>
          </w:tcPr>
          <w:p w14:paraId="46BDE35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0.282</w:t>
            </w:r>
          </w:p>
        </w:tc>
        <w:tc>
          <w:tcPr>
            <w:tcW w:w="960" w:type="dxa"/>
            <w:tcBorders>
              <w:top w:val="nil"/>
              <w:left w:val="nil"/>
              <w:bottom w:val="single" w:sz="4" w:space="0" w:color="auto"/>
              <w:right w:val="single" w:sz="4" w:space="0" w:color="auto"/>
            </w:tcBorders>
            <w:shd w:val="clear" w:color="auto" w:fill="auto"/>
            <w:noWrap/>
            <w:vAlign w:val="center"/>
            <w:hideMark/>
          </w:tcPr>
          <w:p w14:paraId="7DC838C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0.126</w:t>
            </w:r>
          </w:p>
        </w:tc>
        <w:tc>
          <w:tcPr>
            <w:tcW w:w="960" w:type="dxa"/>
            <w:tcBorders>
              <w:top w:val="nil"/>
              <w:left w:val="nil"/>
              <w:bottom w:val="single" w:sz="4" w:space="0" w:color="auto"/>
              <w:right w:val="single" w:sz="4" w:space="0" w:color="auto"/>
            </w:tcBorders>
            <w:shd w:val="clear" w:color="auto" w:fill="auto"/>
            <w:noWrap/>
            <w:vAlign w:val="center"/>
            <w:hideMark/>
          </w:tcPr>
          <w:p w14:paraId="0536506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0.106</w:t>
            </w:r>
          </w:p>
        </w:tc>
        <w:tc>
          <w:tcPr>
            <w:tcW w:w="960" w:type="dxa"/>
            <w:tcBorders>
              <w:top w:val="nil"/>
              <w:left w:val="nil"/>
              <w:bottom w:val="single" w:sz="4" w:space="0" w:color="auto"/>
              <w:right w:val="single" w:sz="4" w:space="0" w:color="auto"/>
            </w:tcBorders>
            <w:shd w:val="clear" w:color="auto" w:fill="auto"/>
            <w:noWrap/>
            <w:vAlign w:val="center"/>
            <w:hideMark/>
          </w:tcPr>
          <w:p w14:paraId="0FB6744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0.198</w:t>
            </w:r>
          </w:p>
        </w:tc>
        <w:tc>
          <w:tcPr>
            <w:tcW w:w="960" w:type="dxa"/>
            <w:tcBorders>
              <w:top w:val="nil"/>
              <w:left w:val="nil"/>
              <w:bottom w:val="single" w:sz="4" w:space="0" w:color="auto"/>
              <w:right w:val="single" w:sz="4" w:space="0" w:color="auto"/>
            </w:tcBorders>
            <w:shd w:val="clear" w:color="auto" w:fill="auto"/>
            <w:noWrap/>
            <w:vAlign w:val="center"/>
            <w:hideMark/>
          </w:tcPr>
          <w:p w14:paraId="659795D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035D49D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2CE61E3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2A86005C"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C35D06"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SP</w:t>
            </w:r>
          </w:p>
        </w:tc>
        <w:tc>
          <w:tcPr>
            <w:tcW w:w="960" w:type="dxa"/>
            <w:tcBorders>
              <w:top w:val="nil"/>
              <w:left w:val="nil"/>
              <w:bottom w:val="single" w:sz="4" w:space="0" w:color="auto"/>
              <w:right w:val="single" w:sz="4" w:space="0" w:color="auto"/>
            </w:tcBorders>
            <w:shd w:val="clear" w:color="auto" w:fill="auto"/>
            <w:noWrap/>
            <w:vAlign w:val="center"/>
            <w:hideMark/>
          </w:tcPr>
          <w:p w14:paraId="5CD487AB"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0.302</w:t>
            </w:r>
          </w:p>
        </w:tc>
        <w:tc>
          <w:tcPr>
            <w:tcW w:w="960" w:type="dxa"/>
            <w:tcBorders>
              <w:top w:val="nil"/>
              <w:left w:val="nil"/>
              <w:bottom w:val="single" w:sz="4" w:space="0" w:color="auto"/>
              <w:right w:val="single" w:sz="4" w:space="0" w:color="auto"/>
            </w:tcBorders>
            <w:shd w:val="clear" w:color="auto" w:fill="auto"/>
            <w:noWrap/>
            <w:vAlign w:val="center"/>
            <w:hideMark/>
          </w:tcPr>
          <w:p w14:paraId="606598D1"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0.070</w:t>
            </w:r>
          </w:p>
        </w:tc>
        <w:tc>
          <w:tcPr>
            <w:tcW w:w="960" w:type="dxa"/>
            <w:tcBorders>
              <w:top w:val="nil"/>
              <w:left w:val="nil"/>
              <w:bottom w:val="single" w:sz="4" w:space="0" w:color="auto"/>
              <w:right w:val="single" w:sz="4" w:space="0" w:color="auto"/>
            </w:tcBorders>
            <w:shd w:val="clear" w:color="auto" w:fill="auto"/>
            <w:noWrap/>
            <w:vAlign w:val="center"/>
            <w:hideMark/>
          </w:tcPr>
          <w:p w14:paraId="34A460C5"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0.240</w:t>
            </w:r>
          </w:p>
        </w:tc>
        <w:tc>
          <w:tcPr>
            <w:tcW w:w="960" w:type="dxa"/>
            <w:tcBorders>
              <w:top w:val="nil"/>
              <w:left w:val="nil"/>
              <w:bottom w:val="single" w:sz="4" w:space="0" w:color="auto"/>
              <w:right w:val="single" w:sz="4" w:space="0" w:color="auto"/>
            </w:tcBorders>
            <w:shd w:val="clear" w:color="auto" w:fill="auto"/>
            <w:noWrap/>
            <w:vAlign w:val="center"/>
            <w:hideMark/>
          </w:tcPr>
          <w:p w14:paraId="21212D0D"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0.086</w:t>
            </w:r>
          </w:p>
        </w:tc>
        <w:tc>
          <w:tcPr>
            <w:tcW w:w="960" w:type="dxa"/>
            <w:tcBorders>
              <w:top w:val="nil"/>
              <w:left w:val="nil"/>
              <w:bottom w:val="single" w:sz="4" w:space="0" w:color="auto"/>
              <w:right w:val="single" w:sz="4" w:space="0" w:color="auto"/>
            </w:tcBorders>
            <w:shd w:val="clear" w:color="auto" w:fill="auto"/>
            <w:noWrap/>
            <w:vAlign w:val="center"/>
            <w:hideMark/>
          </w:tcPr>
          <w:p w14:paraId="10CA0A2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0.541</w:t>
            </w:r>
          </w:p>
        </w:tc>
        <w:tc>
          <w:tcPr>
            <w:tcW w:w="960" w:type="dxa"/>
            <w:tcBorders>
              <w:top w:val="nil"/>
              <w:left w:val="nil"/>
              <w:bottom w:val="single" w:sz="4" w:space="0" w:color="auto"/>
              <w:right w:val="single" w:sz="4" w:space="0" w:color="auto"/>
            </w:tcBorders>
            <w:shd w:val="clear" w:color="auto" w:fill="auto"/>
            <w:noWrap/>
            <w:vAlign w:val="center"/>
            <w:hideMark/>
          </w:tcPr>
          <w:p w14:paraId="31F3C652"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0.130</w:t>
            </w:r>
          </w:p>
        </w:tc>
        <w:tc>
          <w:tcPr>
            <w:tcW w:w="960" w:type="dxa"/>
            <w:tcBorders>
              <w:top w:val="nil"/>
              <w:left w:val="nil"/>
              <w:bottom w:val="single" w:sz="4" w:space="0" w:color="auto"/>
              <w:right w:val="single" w:sz="4" w:space="0" w:color="auto"/>
            </w:tcBorders>
            <w:shd w:val="clear" w:color="auto" w:fill="auto"/>
            <w:noWrap/>
            <w:vAlign w:val="center"/>
            <w:hideMark/>
          </w:tcPr>
          <w:p w14:paraId="700BF6F3"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960" w:type="dxa"/>
            <w:tcBorders>
              <w:top w:val="nil"/>
              <w:left w:val="nil"/>
              <w:bottom w:val="single" w:sz="4" w:space="0" w:color="auto"/>
              <w:right w:val="single" w:sz="4" w:space="0" w:color="auto"/>
            </w:tcBorders>
            <w:shd w:val="clear" w:color="auto" w:fill="auto"/>
            <w:noWrap/>
            <w:vAlign w:val="center"/>
            <w:hideMark/>
          </w:tcPr>
          <w:p w14:paraId="160DCD34"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AEE0075" w14:textId="77777777" w:rsidTr="009E2F4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C8934C"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TR</w:t>
            </w:r>
          </w:p>
        </w:tc>
        <w:tc>
          <w:tcPr>
            <w:tcW w:w="960" w:type="dxa"/>
            <w:tcBorders>
              <w:top w:val="nil"/>
              <w:left w:val="nil"/>
              <w:bottom w:val="single" w:sz="4" w:space="0" w:color="auto"/>
              <w:right w:val="single" w:sz="4" w:space="0" w:color="auto"/>
            </w:tcBorders>
            <w:shd w:val="clear" w:color="auto" w:fill="auto"/>
            <w:noWrap/>
            <w:vAlign w:val="center"/>
            <w:hideMark/>
          </w:tcPr>
          <w:p w14:paraId="36C7CE8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0.551</w:t>
            </w:r>
          </w:p>
        </w:tc>
        <w:tc>
          <w:tcPr>
            <w:tcW w:w="960" w:type="dxa"/>
            <w:tcBorders>
              <w:top w:val="nil"/>
              <w:left w:val="nil"/>
              <w:bottom w:val="single" w:sz="4" w:space="0" w:color="auto"/>
              <w:right w:val="single" w:sz="4" w:space="0" w:color="auto"/>
            </w:tcBorders>
            <w:shd w:val="clear" w:color="auto" w:fill="auto"/>
            <w:noWrap/>
            <w:vAlign w:val="center"/>
            <w:hideMark/>
          </w:tcPr>
          <w:p w14:paraId="2A4C18D8"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0.295</w:t>
            </w:r>
          </w:p>
        </w:tc>
        <w:tc>
          <w:tcPr>
            <w:tcW w:w="960" w:type="dxa"/>
            <w:tcBorders>
              <w:top w:val="nil"/>
              <w:left w:val="nil"/>
              <w:bottom w:val="single" w:sz="4" w:space="0" w:color="auto"/>
              <w:right w:val="single" w:sz="4" w:space="0" w:color="auto"/>
            </w:tcBorders>
            <w:shd w:val="clear" w:color="auto" w:fill="auto"/>
            <w:noWrap/>
            <w:vAlign w:val="center"/>
            <w:hideMark/>
          </w:tcPr>
          <w:p w14:paraId="4461E897"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0.178</w:t>
            </w:r>
          </w:p>
        </w:tc>
        <w:tc>
          <w:tcPr>
            <w:tcW w:w="960" w:type="dxa"/>
            <w:tcBorders>
              <w:top w:val="nil"/>
              <w:left w:val="nil"/>
              <w:bottom w:val="single" w:sz="4" w:space="0" w:color="auto"/>
              <w:right w:val="single" w:sz="4" w:space="0" w:color="auto"/>
            </w:tcBorders>
            <w:shd w:val="clear" w:color="auto" w:fill="auto"/>
            <w:noWrap/>
            <w:vAlign w:val="center"/>
            <w:hideMark/>
          </w:tcPr>
          <w:p w14:paraId="7B24C5B0"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0.146</w:t>
            </w:r>
          </w:p>
        </w:tc>
        <w:tc>
          <w:tcPr>
            <w:tcW w:w="960" w:type="dxa"/>
            <w:tcBorders>
              <w:top w:val="nil"/>
              <w:left w:val="nil"/>
              <w:bottom w:val="single" w:sz="4" w:space="0" w:color="auto"/>
              <w:right w:val="single" w:sz="4" w:space="0" w:color="auto"/>
            </w:tcBorders>
            <w:shd w:val="clear" w:color="auto" w:fill="auto"/>
            <w:noWrap/>
            <w:vAlign w:val="center"/>
            <w:hideMark/>
          </w:tcPr>
          <w:p w14:paraId="4CC0F32A"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0.211</w:t>
            </w:r>
          </w:p>
        </w:tc>
        <w:tc>
          <w:tcPr>
            <w:tcW w:w="960" w:type="dxa"/>
            <w:tcBorders>
              <w:top w:val="nil"/>
              <w:left w:val="nil"/>
              <w:bottom w:val="single" w:sz="4" w:space="0" w:color="auto"/>
              <w:right w:val="single" w:sz="4" w:space="0" w:color="auto"/>
            </w:tcBorders>
            <w:shd w:val="clear" w:color="auto" w:fill="auto"/>
            <w:noWrap/>
            <w:vAlign w:val="center"/>
            <w:hideMark/>
          </w:tcPr>
          <w:p w14:paraId="213D6069"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0.650</w:t>
            </w:r>
          </w:p>
        </w:tc>
        <w:tc>
          <w:tcPr>
            <w:tcW w:w="960" w:type="dxa"/>
            <w:tcBorders>
              <w:top w:val="nil"/>
              <w:left w:val="nil"/>
              <w:bottom w:val="single" w:sz="4" w:space="0" w:color="auto"/>
              <w:right w:val="single" w:sz="4" w:space="0" w:color="auto"/>
            </w:tcBorders>
            <w:shd w:val="clear" w:color="auto" w:fill="auto"/>
            <w:noWrap/>
            <w:vAlign w:val="center"/>
            <w:hideMark/>
          </w:tcPr>
          <w:p w14:paraId="4AA860EE"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0.106</w:t>
            </w:r>
          </w:p>
        </w:tc>
        <w:tc>
          <w:tcPr>
            <w:tcW w:w="960" w:type="dxa"/>
            <w:tcBorders>
              <w:top w:val="nil"/>
              <w:left w:val="nil"/>
              <w:bottom w:val="single" w:sz="4" w:space="0" w:color="auto"/>
              <w:right w:val="single" w:sz="4" w:space="0" w:color="auto"/>
            </w:tcBorders>
            <w:shd w:val="clear" w:color="auto" w:fill="auto"/>
            <w:noWrap/>
            <w:vAlign w:val="center"/>
            <w:hideMark/>
          </w:tcPr>
          <w:p w14:paraId="389B5A8F" w14:textId="77777777" w:rsidR="005976AB" w:rsidRPr="005635E7" w:rsidRDefault="005976AB" w:rsidP="009E2F41">
            <w:p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bl>
    <w:p w14:paraId="5794608B" w14:textId="77777777" w:rsidR="005976AB" w:rsidRPr="005635E7" w:rsidRDefault="005976AB" w:rsidP="005976AB">
      <w:pPr>
        <w:jc w:val="both"/>
        <w:rPr>
          <w:rFonts w:asciiTheme="majorBidi" w:hAnsiTheme="majorBidi" w:cstheme="majorBidi"/>
          <w:i/>
          <w:iCs/>
          <w:sz w:val="22"/>
          <w:szCs w:val="22"/>
        </w:rPr>
      </w:pPr>
    </w:p>
    <w:p w14:paraId="72489EBE" w14:textId="77777777" w:rsidR="005976AB" w:rsidRPr="005635E7" w:rsidRDefault="005976AB" w:rsidP="005976AB">
      <w:pPr>
        <w:jc w:val="both"/>
        <w:rPr>
          <w:rFonts w:asciiTheme="majorBidi" w:hAnsiTheme="majorBidi" w:cstheme="majorBidi"/>
          <w:i/>
          <w:iCs/>
          <w:sz w:val="22"/>
          <w:szCs w:val="22"/>
        </w:rPr>
      </w:pPr>
      <w:r w:rsidRPr="005635E7">
        <w:rPr>
          <w:rFonts w:asciiTheme="majorBidi" w:hAnsiTheme="majorBidi" w:cstheme="majorBidi"/>
          <w:i/>
          <w:iCs/>
          <w:sz w:val="22"/>
          <w:szCs w:val="22"/>
        </w:rPr>
        <w:t>Note: Managerial commitment (MC); Systems perspective (SP); Openness and experimentation (EX); Knowledge transfer and integration (TR); Inbound open innovation practices (IP); Outbound open innovation practices (OP); Market effectiveness (ME); Profitability (P)</w:t>
      </w:r>
    </w:p>
    <w:p w14:paraId="66FECE97" w14:textId="77777777" w:rsidR="005976AB" w:rsidRPr="005635E7" w:rsidRDefault="005976AB" w:rsidP="005976AB">
      <w:pPr>
        <w:jc w:val="both"/>
        <w:rPr>
          <w:rFonts w:asciiTheme="majorBidi" w:hAnsiTheme="majorBidi" w:cstheme="majorBidi"/>
          <w:i/>
          <w:iCs/>
        </w:rPr>
      </w:pPr>
    </w:p>
    <w:p w14:paraId="58486287" w14:textId="77777777" w:rsidR="005976AB" w:rsidRPr="005635E7" w:rsidRDefault="005976AB" w:rsidP="005976AB">
      <w:pPr>
        <w:pStyle w:val="Heading3"/>
        <w:spacing w:before="0" w:after="240"/>
        <w:rPr>
          <w:rFonts w:asciiTheme="majorBidi" w:hAnsiTheme="majorBidi"/>
          <w:b/>
          <w:bCs/>
          <w:color w:val="auto"/>
        </w:rPr>
      </w:pPr>
      <w:bookmarkStart w:id="105" w:name="_Toc115310409"/>
      <w:r w:rsidRPr="005635E7">
        <w:rPr>
          <w:rFonts w:asciiTheme="majorBidi" w:hAnsiTheme="majorBidi"/>
          <w:b/>
          <w:bCs/>
          <w:color w:val="auto"/>
        </w:rPr>
        <w:t>4.3.4 The First-Order and Second-Order Constructs</w:t>
      </w:r>
      <w:bookmarkEnd w:id="105"/>
    </w:p>
    <w:p w14:paraId="6BF8AF8E"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In this study, the OLC construct was conceptualized as a second-order construct consisting of four formative first-order indicators: EX, </w:t>
      </w:r>
      <w:r w:rsidRPr="00D73F8E">
        <w:rPr>
          <w:rFonts w:asciiTheme="majorBidi" w:hAnsiTheme="majorBidi" w:cstheme="majorBidi"/>
        </w:rPr>
        <w:t>MP, SP, and TR. According</w:t>
      </w:r>
      <w:r w:rsidRPr="005635E7">
        <w:rPr>
          <w:rFonts w:asciiTheme="majorBidi" w:hAnsiTheme="majorBidi" w:cstheme="majorBidi"/>
        </w:rPr>
        <w:t xml:space="preserve"> to Byrne (2010), first-order constructs should be adequately explained by hypothesized second-order constructs</w:t>
      </w:r>
      <w:r w:rsidRPr="005635E7">
        <w:rPr>
          <w:rFonts w:ascii="Times New Roman" w:eastAsia="Calibri" w:hAnsi="Times New Roman" w:cs="Times New Roman"/>
        </w:rPr>
        <w:t xml:space="preserve"> despite being distinct. Table 4.6 demonstrates the validity of the OLC construct and the significance of the route coefficients for </w:t>
      </w:r>
      <w:r w:rsidRPr="005635E7">
        <w:rPr>
          <w:rFonts w:asciiTheme="majorBidi" w:hAnsiTheme="majorBidi" w:cstheme="majorBidi"/>
        </w:rPr>
        <w:t>the four formative indicators.</w:t>
      </w:r>
    </w:p>
    <w:p w14:paraId="3E73C49C" w14:textId="77777777" w:rsidR="005976AB" w:rsidRPr="005635E7" w:rsidRDefault="005976AB" w:rsidP="005976AB">
      <w:pPr>
        <w:pStyle w:val="Caption"/>
        <w:rPr>
          <w:rFonts w:asciiTheme="majorBidi" w:hAnsiTheme="majorBidi" w:cstheme="majorBidi"/>
          <w:i w:val="0"/>
          <w:iCs w:val="0"/>
          <w:color w:val="auto"/>
          <w:sz w:val="24"/>
          <w:szCs w:val="24"/>
        </w:rPr>
      </w:pPr>
      <w:bookmarkStart w:id="106" w:name="_Toc126377964"/>
      <w:r w:rsidRPr="005635E7">
        <w:rPr>
          <w:rFonts w:asciiTheme="majorBidi" w:hAnsiTheme="majorBidi" w:cstheme="majorBidi"/>
          <w:i w:val="0"/>
          <w:iCs w:val="0"/>
          <w:color w:val="auto"/>
          <w:sz w:val="24"/>
          <w:szCs w:val="24"/>
        </w:rPr>
        <w:t>Table 4.</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6</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Validity and Reliability of second</w:t>
      </w:r>
      <w:r>
        <w:rPr>
          <w:rFonts w:asciiTheme="majorBidi" w:hAnsiTheme="majorBidi" w:cstheme="majorBidi"/>
          <w:i w:val="0"/>
          <w:iCs w:val="0"/>
          <w:color w:val="auto"/>
          <w:sz w:val="24"/>
          <w:szCs w:val="24"/>
        </w:rPr>
        <w:t>-</w:t>
      </w:r>
      <w:r w:rsidRPr="005635E7">
        <w:rPr>
          <w:rFonts w:asciiTheme="majorBidi" w:hAnsiTheme="majorBidi" w:cstheme="majorBidi"/>
          <w:i w:val="0"/>
          <w:iCs w:val="0"/>
          <w:color w:val="auto"/>
          <w:sz w:val="24"/>
          <w:szCs w:val="24"/>
        </w:rPr>
        <w:t>order construct</w:t>
      </w:r>
      <w:bookmarkEnd w:id="106"/>
    </w:p>
    <w:tbl>
      <w:tblPr>
        <w:tblW w:w="5000" w:type="pct"/>
        <w:tblLook w:val="04A0" w:firstRow="1" w:lastRow="0" w:firstColumn="1" w:lastColumn="0" w:noHBand="0" w:noVBand="1"/>
      </w:tblPr>
      <w:tblGrid>
        <w:gridCol w:w="1019"/>
        <w:gridCol w:w="1198"/>
        <w:gridCol w:w="1090"/>
        <w:gridCol w:w="809"/>
        <w:gridCol w:w="988"/>
        <w:gridCol w:w="935"/>
        <w:gridCol w:w="759"/>
        <w:gridCol w:w="1144"/>
        <w:gridCol w:w="1069"/>
      </w:tblGrid>
      <w:tr w:rsidR="005976AB" w:rsidRPr="005635E7" w14:paraId="3EC72869" w14:textId="77777777" w:rsidTr="009E2F41">
        <w:trPr>
          <w:trHeight w:val="1035"/>
        </w:trPr>
        <w:tc>
          <w:tcPr>
            <w:tcW w:w="565" w:type="pct"/>
            <w:tcBorders>
              <w:top w:val="single" w:sz="8" w:space="0" w:color="auto"/>
              <w:left w:val="single" w:sz="8" w:space="0" w:color="auto"/>
              <w:bottom w:val="nil"/>
              <w:right w:val="single" w:sz="8" w:space="0" w:color="auto"/>
            </w:tcBorders>
            <w:shd w:val="clear" w:color="auto" w:fill="auto"/>
            <w:noWrap/>
            <w:vAlign w:val="center"/>
            <w:hideMark/>
          </w:tcPr>
          <w:p w14:paraId="7A4A6F68"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Construct</w:t>
            </w:r>
          </w:p>
        </w:tc>
        <w:tc>
          <w:tcPr>
            <w:tcW w:w="665" w:type="pct"/>
            <w:tcBorders>
              <w:top w:val="single" w:sz="8" w:space="0" w:color="auto"/>
              <w:left w:val="nil"/>
              <w:bottom w:val="nil"/>
              <w:right w:val="single" w:sz="8" w:space="0" w:color="auto"/>
            </w:tcBorders>
            <w:shd w:val="clear" w:color="auto" w:fill="auto"/>
            <w:vAlign w:val="center"/>
            <w:hideMark/>
          </w:tcPr>
          <w:p w14:paraId="14A0E7B6"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Formative Indicator</w:t>
            </w:r>
          </w:p>
        </w:tc>
        <w:tc>
          <w:tcPr>
            <w:tcW w:w="605" w:type="pct"/>
            <w:tcBorders>
              <w:top w:val="single" w:sz="8" w:space="0" w:color="auto"/>
              <w:left w:val="nil"/>
              <w:bottom w:val="nil"/>
              <w:right w:val="single" w:sz="4" w:space="0" w:color="auto"/>
            </w:tcBorders>
            <w:shd w:val="clear" w:color="auto" w:fill="auto"/>
            <w:vAlign w:val="center"/>
            <w:hideMark/>
          </w:tcPr>
          <w:p w14:paraId="7BE5FF90"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Path Coefficient</w:t>
            </w:r>
          </w:p>
        </w:tc>
        <w:tc>
          <w:tcPr>
            <w:tcW w:w="449" w:type="pct"/>
            <w:tcBorders>
              <w:top w:val="single" w:sz="8" w:space="0" w:color="auto"/>
              <w:left w:val="nil"/>
              <w:bottom w:val="nil"/>
              <w:right w:val="single" w:sz="4" w:space="0" w:color="auto"/>
            </w:tcBorders>
            <w:shd w:val="clear" w:color="auto" w:fill="auto"/>
            <w:vAlign w:val="center"/>
            <w:hideMark/>
          </w:tcPr>
          <w:p w14:paraId="418A3E55"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Sample Mean</w:t>
            </w:r>
          </w:p>
        </w:tc>
        <w:tc>
          <w:tcPr>
            <w:tcW w:w="548" w:type="pct"/>
            <w:tcBorders>
              <w:top w:val="single" w:sz="8" w:space="0" w:color="auto"/>
              <w:left w:val="nil"/>
              <w:bottom w:val="nil"/>
              <w:right w:val="single" w:sz="4" w:space="0" w:color="auto"/>
            </w:tcBorders>
            <w:shd w:val="clear" w:color="auto" w:fill="auto"/>
            <w:vAlign w:val="center"/>
            <w:hideMark/>
          </w:tcPr>
          <w:p w14:paraId="6F862901"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Standard Deviation</w:t>
            </w:r>
          </w:p>
        </w:tc>
        <w:tc>
          <w:tcPr>
            <w:tcW w:w="519" w:type="pct"/>
            <w:tcBorders>
              <w:top w:val="single" w:sz="8" w:space="0" w:color="auto"/>
              <w:left w:val="nil"/>
              <w:bottom w:val="nil"/>
              <w:right w:val="single" w:sz="4" w:space="0" w:color="auto"/>
            </w:tcBorders>
            <w:shd w:val="clear" w:color="auto" w:fill="auto"/>
            <w:vAlign w:val="center"/>
            <w:hideMark/>
          </w:tcPr>
          <w:p w14:paraId="08DFFB4F"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T Statistics</w:t>
            </w:r>
          </w:p>
        </w:tc>
        <w:tc>
          <w:tcPr>
            <w:tcW w:w="421" w:type="pct"/>
            <w:tcBorders>
              <w:top w:val="single" w:sz="8" w:space="0" w:color="auto"/>
              <w:left w:val="nil"/>
              <w:bottom w:val="nil"/>
              <w:right w:val="single" w:sz="8" w:space="0" w:color="auto"/>
            </w:tcBorders>
            <w:shd w:val="clear" w:color="auto" w:fill="auto"/>
            <w:vAlign w:val="center"/>
            <w:hideMark/>
          </w:tcPr>
          <w:p w14:paraId="13B8C790"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P Values</w:t>
            </w:r>
          </w:p>
        </w:tc>
        <w:tc>
          <w:tcPr>
            <w:tcW w:w="635" w:type="pct"/>
            <w:tcBorders>
              <w:top w:val="single" w:sz="8" w:space="0" w:color="auto"/>
              <w:left w:val="nil"/>
              <w:bottom w:val="nil"/>
              <w:right w:val="single" w:sz="4" w:space="0" w:color="auto"/>
            </w:tcBorders>
            <w:shd w:val="clear" w:color="auto" w:fill="auto"/>
            <w:vAlign w:val="center"/>
            <w:hideMark/>
          </w:tcPr>
          <w:p w14:paraId="32CCAC31"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Cronbach's Alpha</w:t>
            </w:r>
          </w:p>
        </w:tc>
        <w:tc>
          <w:tcPr>
            <w:tcW w:w="594" w:type="pct"/>
            <w:tcBorders>
              <w:top w:val="single" w:sz="8" w:space="0" w:color="auto"/>
              <w:left w:val="nil"/>
              <w:bottom w:val="nil"/>
              <w:right w:val="single" w:sz="4" w:space="0" w:color="auto"/>
            </w:tcBorders>
            <w:shd w:val="clear" w:color="auto" w:fill="auto"/>
            <w:vAlign w:val="center"/>
            <w:hideMark/>
          </w:tcPr>
          <w:p w14:paraId="70F69536"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Composite Reliability</w:t>
            </w:r>
          </w:p>
        </w:tc>
      </w:tr>
      <w:tr w:rsidR="005976AB" w:rsidRPr="005635E7" w14:paraId="1F2B2479" w14:textId="77777777" w:rsidTr="009E2F41">
        <w:trPr>
          <w:trHeight w:val="300"/>
        </w:trPr>
        <w:tc>
          <w:tcPr>
            <w:tcW w:w="565"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9661E48"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OLC</w:t>
            </w:r>
          </w:p>
        </w:tc>
        <w:tc>
          <w:tcPr>
            <w:tcW w:w="665" w:type="pct"/>
            <w:tcBorders>
              <w:top w:val="single" w:sz="4" w:space="0" w:color="auto"/>
              <w:left w:val="nil"/>
              <w:bottom w:val="single" w:sz="4" w:space="0" w:color="auto"/>
              <w:right w:val="single" w:sz="8" w:space="0" w:color="auto"/>
            </w:tcBorders>
            <w:shd w:val="clear" w:color="auto" w:fill="auto"/>
            <w:noWrap/>
            <w:vAlign w:val="center"/>
            <w:hideMark/>
          </w:tcPr>
          <w:p w14:paraId="5DA49DB3"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EX -&gt; OLC</w:t>
            </w:r>
          </w:p>
        </w:tc>
        <w:tc>
          <w:tcPr>
            <w:tcW w:w="605" w:type="pct"/>
            <w:tcBorders>
              <w:top w:val="single" w:sz="8" w:space="0" w:color="auto"/>
              <w:left w:val="nil"/>
              <w:bottom w:val="single" w:sz="4" w:space="0" w:color="auto"/>
              <w:right w:val="single" w:sz="4" w:space="0" w:color="auto"/>
            </w:tcBorders>
            <w:shd w:val="clear" w:color="auto" w:fill="auto"/>
            <w:noWrap/>
            <w:vAlign w:val="center"/>
            <w:hideMark/>
          </w:tcPr>
          <w:p w14:paraId="0F42CB73"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0.478</w:t>
            </w:r>
          </w:p>
        </w:tc>
        <w:tc>
          <w:tcPr>
            <w:tcW w:w="449" w:type="pct"/>
            <w:tcBorders>
              <w:top w:val="single" w:sz="8" w:space="0" w:color="auto"/>
              <w:left w:val="nil"/>
              <w:bottom w:val="single" w:sz="4" w:space="0" w:color="auto"/>
              <w:right w:val="single" w:sz="4" w:space="0" w:color="auto"/>
            </w:tcBorders>
            <w:shd w:val="clear" w:color="auto" w:fill="auto"/>
            <w:noWrap/>
            <w:vAlign w:val="center"/>
            <w:hideMark/>
          </w:tcPr>
          <w:p w14:paraId="1083B214"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0.473</w:t>
            </w:r>
          </w:p>
        </w:tc>
        <w:tc>
          <w:tcPr>
            <w:tcW w:w="548" w:type="pct"/>
            <w:tcBorders>
              <w:top w:val="single" w:sz="8" w:space="0" w:color="auto"/>
              <w:left w:val="nil"/>
              <w:bottom w:val="single" w:sz="4" w:space="0" w:color="auto"/>
              <w:right w:val="single" w:sz="4" w:space="0" w:color="auto"/>
            </w:tcBorders>
            <w:shd w:val="clear" w:color="auto" w:fill="auto"/>
            <w:noWrap/>
            <w:vAlign w:val="center"/>
            <w:hideMark/>
          </w:tcPr>
          <w:p w14:paraId="27535EB1"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0.031</w:t>
            </w:r>
          </w:p>
        </w:tc>
        <w:tc>
          <w:tcPr>
            <w:tcW w:w="519" w:type="pct"/>
            <w:tcBorders>
              <w:top w:val="single" w:sz="8" w:space="0" w:color="auto"/>
              <w:left w:val="nil"/>
              <w:bottom w:val="single" w:sz="4" w:space="0" w:color="auto"/>
              <w:right w:val="single" w:sz="4" w:space="0" w:color="auto"/>
            </w:tcBorders>
            <w:shd w:val="clear" w:color="auto" w:fill="auto"/>
            <w:noWrap/>
            <w:vAlign w:val="center"/>
            <w:hideMark/>
          </w:tcPr>
          <w:p w14:paraId="44647355"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15.587</w:t>
            </w:r>
          </w:p>
        </w:tc>
        <w:tc>
          <w:tcPr>
            <w:tcW w:w="421" w:type="pct"/>
            <w:tcBorders>
              <w:top w:val="single" w:sz="8" w:space="0" w:color="auto"/>
              <w:left w:val="nil"/>
              <w:bottom w:val="single" w:sz="4" w:space="0" w:color="auto"/>
              <w:right w:val="single" w:sz="8" w:space="0" w:color="auto"/>
            </w:tcBorders>
            <w:shd w:val="clear" w:color="auto" w:fill="auto"/>
            <w:noWrap/>
            <w:vAlign w:val="center"/>
            <w:hideMark/>
          </w:tcPr>
          <w:p w14:paraId="5CA96536"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0.000</w:t>
            </w:r>
          </w:p>
        </w:tc>
        <w:tc>
          <w:tcPr>
            <w:tcW w:w="635"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99CA095"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0.767</w:t>
            </w:r>
          </w:p>
        </w:tc>
        <w:tc>
          <w:tcPr>
            <w:tcW w:w="594" w:type="pct"/>
            <w:tcBorders>
              <w:top w:val="single" w:sz="8" w:space="0" w:color="auto"/>
              <w:left w:val="nil"/>
              <w:bottom w:val="single" w:sz="4" w:space="0" w:color="auto"/>
              <w:right w:val="single" w:sz="4" w:space="0" w:color="auto"/>
            </w:tcBorders>
            <w:shd w:val="clear" w:color="auto" w:fill="auto"/>
            <w:noWrap/>
            <w:vAlign w:val="center"/>
            <w:hideMark/>
          </w:tcPr>
          <w:p w14:paraId="38C95769"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0.818</w:t>
            </w:r>
          </w:p>
        </w:tc>
      </w:tr>
      <w:tr w:rsidR="005976AB" w:rsidRPr="005635E7" w14:paraId="52932693" w14:textId="77777777" w:rsidTr="009E2F41">
        <w:trPr>
          <w:trHeight w:val="300"/>
        </w:trPr>
        <w:tc>
          <w:tcPr>
            <w:tcW w:w="565" w:type="pct"/>
            <w:tcBorders>
              <w:top w:val="nil"/>
              <w:left w:val="single" w:sz="8" w:space="0" w:color="auto"/>
              <w:bottom w:val="nil"/>
              <w:right w:val="single" w:sz="8" w:space="0" w:color="auto"/>
            </w:tcBorders>
            <w:shd w:val="clear" w:color="auto" w:fill="auto"/>
            <w:noWrap/>
            <w:vAlign w:val="bottom"/>
            <w:hideMark/>
          </w:tcPr>
          <w:p w14:paraId="5522FAD1"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 </w:t>
            </w:r>
          </w:p>
        </w:tc>
        <w:tc>
          <w:tcPr>
            <w:tcW w:w="665" w:type="pct"/>
            <w:tcBorders>
              <w:top w:val="nil"/>
              <w:left w:val="nil"/>
              <w:bottom w:val="single" w:sz="4" w:space="0" w:color="auto"/>
              <w:right w:val="single" w:sz="8" w:space="0" w:color="auto"/>
            </w:tcBorders>
            <w:shd w:val="clear" w:color="auto" w:fill="auto"/>
            <w:noWrap/>
            <w:vAlign w:val="center"/>
            <w:hideMark/>
          </w:tcPr>
          <w:p w14:paraId="39FCFAFE"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MC -&gt; OLC</w:t>
            </w:r>
          </w:p>
        </w:tc>
        <w:tc>
          <w:tcPr>
            <w:tcW w:w="605" w:type="pct"/>
            <w:tcBorders>
              <w:top w:val="nil"/>
              <w:left w:val="nil"/>
              <w:bottom w:val="single" w:sz="4" w:space="0" w:color="auto"/>
              <w:right w:val="single" w:sz="4" w:space="0" w:color="auto"/>
            </w:tcBorders>
            <w:shd w:val="clear" w:color="auto" w:fill="auto"/>
            <w:noWrap/>
            <w:vAlign w:val="center"/>
            <w:hideMark/>
          </w:tcPr>
          <w:p w14:paraId="3935BEA9"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0.287</w:t>
            </w:r>
          </w:p>
        </w:tc>
        <w:tc>
          <w:tcPr>
            <w:tcW w:w="449" w:type="pct"/>
            <w:tcBorders>
              <w:top w:val="nil"/>
              <w:left w:val="nil"/>
              <w:bottom w:val="single" w:sz="4" w:space="0" w:color="auto"/>
              <w:right w:val="single" w:sz="4" w:space="0" w:color="auto"/>
            </w:tcBorders>
            <w:shd w:val="clear" w:color="auto" w:fill="auto"/>
            <w:noWrap/>
            <w:vAlign w:val="center"/>
            <w:hideMark/>
          </w:tcPr>
          <w:p w14:paraId="5DE031CF"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0.281</w:t>
            </w:r>
          </w:p>
        </w:tc>
        <w:tc>
          <w:tcPr>
            <w:tcW w:w="548" w:type="pct"/>
            <w:tcBorders>
              <w:top w:val="nil"/>
              <w:left w:val="nil"/>
              <w:bottom w:val="single" w:sz="4" w:space="0" w:color="auto"/>
              <w:right w:val="single" w:sz="4" w:space="0" w:color="auto"/>
            </w:tcBorders>
            <w:shd w:val="clear" w:color="auto" w:fill="auto"/>
            <w:noWrap/>
            <w:vAlign w:val="center"/>
            <w:hideMark/>
          </w:tcPr>
          <w:p w14:paraId="7CE3B8EC"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0.080</w:t>
            </w:r>
          </w:p>
        </w:tc>
        <w:tc>
          <w:tcPr>
            <w:tcW w:w="519" w:type="pct"/>
            <w:tcBorders>
              <w:top w:val="nil"/>
              <w:left w:val="nil"/>
              <w:bottom w:val="single" w:sz="4" w:space="0" w:color="auto"/>
              <w:right w:val="single" w:sz="4" w:space="0" w:color="auto"/>
            </w:tcBorders>
            <w:shd w:val="clear" w:color="auto" w:fill="auto"/>
            <w:noWrap/>
            <w:vAlign w:val="center"/>
            <w:hideMark/>
          </w:tcPr>
          <w:p w14:paraId="473A370F"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3.573</w:t>
            </w:r>
          </w:p>
        </w:tc>
        <w:tc>
          <w:tcPr>
            <w:tcW w:w="421" w:type="pct"/>
            <w:tcBorders>
              <w:top w:val="nil"/>
              <w:left w:val="nil"/>
              <w:bottom w:val="single" w:sz="4" w:space="0" w:color="auto"/>
              <w:right w:val="single" w:sz="8" w:space="0" w:color="auto"/>
            </w:tcBorders>
            <w:shd w:val="clear" w:color="auto" w:fill="auto"/>
            <w:noWrap/>
            <w:vAlign w:val="center"/>
            <w:hideMark/>
          </w:tcPr>
          <w:p w14:paraId="1F5F2812"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0.000</w:t>
            </w:r>
          </w:p>
        </w:tc>
        <w:tc>
          <w:tcPr>
            <w:tcW w:w="635" w:type="pct"/>
            <w:tcBorders>
              <w:top w:val="nil"/>
              <w:left w:val="nil"/>
              <w:bottom w:val="nil"/>
              <w:right w:val="nil"/>
            </w:tcBorders>
            <w:shd w:val="clear" w:color="auto" w:fill="auto"/>
            <w:noWrap/>
            <w:vAlign w:val="bottom"/>
            <w:hideMark/>
          </w:tcPr>
          <w:p w14:paraId="20910A6A"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 </w:t>
            </w:r>
          </w:p>
        </w:tc>
        <w:tc>
          <w:tcPr>
            <w:tcW w:w="594" w:type="pct"/>
            <w:tcBorders>
              <w:top w:val="nil"/>
              <w:left w:val="nil"/>
              <w:bottom w:val="nil"/>
              <w:right w:val="single" w:sz="4" w:space="0" w:color="auto"/>
            </w:tcBorders>
            <w:shd w:val="clear" w:color="auto" w:fill="auto"/>
            <w:noWrap/>
            <w:vAlign w:val="bottom"/>
            <w:hideMark/>
          </w:tcPr>
          <w:p w14:paraId="7749501B"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 </w:t>
            </w:r>
          </w:p>
        </w:tc>
      </w:tr>
      <w:tr w:rsidR="005976AB" w:rsidRPr="005635E7" w14:paraId="04816DBC" w14:textId="77777777" w:rsidTr="009E2F41">
        <w:trPr>
          <w:trHeight w:val="300"/>
        </w:trPr>
        <w:tc>
          <w:tcPr>
            <w:tcW w:w="565" w:type="pct"/>
            <w:tcBorders>
              <w:top w:val="nil"/>
              <w:left w:val="single" w:sz="8" w:space="0" w:color="auto"/>
              <w:bottom w:val="nil"/>
              <w:right w:val="single" w:sz="8" w:space="0" w:color="auto"/>
            </w:tcBorders>
            <w:shd w:val="clear" w:color="auto" w:fill="auto"/>
            <w:noWrap/>
            <w:vAlign w:val="bottom"/>
            <w:hideMark/>
          </w:tcPr>
          <w:p w14:paraId="723BBE86"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 </w:t>
            </w:r>
          </w:p>
        </w:tc>
        <w:tc>
          <w:tcPr>
            <w:tcW w:w="665" w:type="pct"/>
            <w:tcBorders>
              <w:top w:val="nil"/>
              <w:left w:val="nil"/>
              <w:bottom w:val="single" w:sz="4" w:space="0" w:color="auto"/>
              <w:right w:val="single" w:sz="8" w:space="0" w:color="auto"/>
            </w:tcBorders>
            <w:shd w:val="clear" w:color="auto" w:fill="auto"/>
            <w:noWrap/>
            <w:vAlign w:val="center"/>
            <w:hideMark/>
          </w:tcPr>
          <w:p w14:paraId="790914CF"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SP -&gt; OLC</w:t>
            </w:r>
          </w:p>
        </w:tc>
        <w:tc>
          <w:tcPr>
            <w:tcW w:w="605" w:type="pct"/>
            <w:tcBorders>
              <w:top w:val="nil"/>
              <w:left w:val="nil"/>
              <w:bottom w:val="single" w:sz="4" w:space="0" w:color="auto"/>
              <w:right w:val="single" w:sz="4" w:space="0" w:color="auto"/>
            </w:tcBorders>
            <w:shd w:val="clear" w:color="auto" w:fill="auto"/>
            <w:noWrap/>
            <w:vAlign w:val="center"/>
            <w:hideMark/>
          </w:tcPr>
          <w:p w14:paraId="6C704C65"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0.181</w:t>
            </w:r>
          </w:p>
        </w:tc>
        <w:tc>
          <w:tcPr>
            <w:tcW w:w="449" w:type="pct"/>
            <w:tcBorders>
              <w:top w:val="nil"/>
              <w:left w:val="nil"/>
              <w:bottom w:val="single" w:sz="4" w:space="0" w:color="auto"/>
              <w:right w:val="single" w:sz="4" w:space="0" w:color="auto"/>
            </w:tcBorders>
            <w:shd w:val="clear" w:color="auto" w:fill="auto"/>
            <w:noWrap/>
            <w:vAlign w:val="center"/>
            <w:hideMark/>
          </w:tcPr>
          <w:p w14:paraId="2B2FC0FE"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0.174</w:t>
            </w:r>
          </w:p>
        </w:tc>
        <w:tc>
          <w:tcPr>
            <w:tcW w:w="548" w:type="pct"/>
            <w:tcBorders>
              <w:top w:val="nil"/>
              <w:left w:val="nil"/>
              <w:bottom w:val="single" w:sz="4" w:space="0" w:color="auto"/>
              <w:right w:val="single" w:sz="4" w:space="0" w:color="auto"/>
            </w:tcBorders>
            <w:shd w:val="clear" w:color="auto" w:fill="auto"/>
            <w:noWrap/>
            <w:vAlign w:val="center"/>
            <w:hideMark/>
          </w:tcPr>
          <w:p w14:paraId="620BA551"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0.045</w:t>
            </w:r>
          </w:p>
        </w:tc>
        <w:tc>
          <w:tcPr>
            <w:tcW w:w="519" w:type="pct"/>
            <w:tcBorders>
              <w:top w:val="nil"/>
              <w:left w:val="nil"/>
              <w:bottom w:val="single" w:sz="4" w:space="0" w:color="auto"/>
              <w:right w:val="single" w:sz="4" w:space="0" w:color="auto"/>
            </w:tcBorders>
            <w:shd w:val="clear" w:color="auto" w:fill="auto"/>
            <w:noWrap/>
            <w:vAlign w:val="center"/>
            <w:hideMark/>
          </w:tcPr>
          <w:p w14:paraId="73D1F47B"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4.042</w:t>
            </w:r>
          </w:p>
        </w:tc>
        <w:tc>
          <w:tcPr>
            <w:tcW w:w="421" w:type="pct"/>
            <w:tcBorders>
              <w:top w:val="nil"/>
              <w:left w:val="nil"/>
              <w:bottom w:val="single" w:sz="4" w:space="0" w:color="auto"/>
              <w:right w:val="single" w:sz="8" w:space="0" w:color="auto"/>
            </w:tcBorders>
            <w:shd w:val="clear" w:color="auto" w:fill="auto"/>
            <w:noWrap/>
            <w:vAlign w:val="center"/>
            <w:hideMark/>
          </w:tcPr>
          <w:p w14:paraId="589D0DA4"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0.000</w:t>
            </w:r>
          </w:p>
        </w:tc>
        <w:tc>
          <w:tcPr>
            <w:tcW w:w="635" w:type="pct"/>
            <w:tcBorders>
              <w:top w:val="nil"/>
              <w:left w:val="nil"/>
              <w:bottom w:val="nil"/>
              <w:right w:val="nil"/>
            </w:tcBorders>
            <w:shd w:val="clear" w:color="auto" w:fill="auto"/>
            <w:noWrap/>
            <w:vAlign w:val="bottom"/>
            <w:hideMark/>
          </w:tcPr>
          <w:p w14:paraId="1C212944"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 </w:t>
            </w:r>
          </w:p>
        </w:tc>
        <w:tc>
          <w:tcPr>
            <w:tcW w:w="594" w:type="pct"/>
            <w:tcBorders>
              <w:top w:val="nil"/>
              <w:left w:val="nil"/>
              <w:bottom w:val="nil"/>
              <w:right w:val="single" w:sz="4" w:space="0" w:color="auto"/>
            </w:tcBorders>
            <w:shd w:val="clear" w:color="auto" w:fill="auto"/>
            <w:noWrap/>
            <w:vAlign w:val="bottom"/>
            <w:hideMark/>
          </w:tcPr>
          <w:p w14:paraId="3F38E3A1"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 </w:t>
            </w:r>
          </w:p>
        </w:tc>
      </w:tr>
      <w:tr w:rsidR="005976AB" w:rsidRPr="005635E7" w14:paraId="333E12DB" w14:textId="77777777" w:rsidTr="009E2F41">
        <w:trPr>
          <w:trHeight w:val="315"/>
        </w:trPr>
        <w:tc>
          <w:tcPr>
            <w:tcW w:w="565" w:type="pct"/>
            <w:tcBorders>
              <w:top w:val="nil"/>
              <w:left w:val="single" w:sz="8" w:space="0" w:color="auto"/>
              <w:bottom w:val="single" w:sz="8" w:space="0" w:color="auto"/>
              <w:right w:val="single" w:sz="8" w:space="0" w:color="auto"/>
            </w:tcBorders>
            <w:shd w:val="clear" w:color="auto" w:fill="auto"/>
            <w:noWrap/>
            <w:vAlign w:val="bottom"/>
            <w:hideMark/>
          </w:tcPr>
          <w:p w14:paraId="745B7B64"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 </w:t>
            </w:r>
          </w:p>
        </w:tc>
        <w:tc>
          <w:tcPr>
            <w:tcW w:w="665" w:type="pct"/>
            <w:tcBorders>
              <w:top w:val="nil"/>
              <w:left w:val="nil"/>
              <w:bottom w:val="single" w:sz="8" w:space="0" w:color="auto"/>
              <w:right w:val="single" w:sz="8" w:space="0" w:color="auto"/>
            </w:tcBorders>
            <w:shd w:val="clear" w:color="auto" w:fill="auto"/>
            <w:noWrap/>
            <w:vAlign w:val="center"/>
            <w:hideMark/>
          </w:tcPr>
          <w:p w14:paraId="7499B112"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TR -&gt; OLC</w:t>
            </w:r>
          </w:p>
        </w:tc>
        <w:tc>
          <w:tcPr>
            <w:tcW w:w="605" w:type="pct"/>
            <w:tcBorders>
              <w:top w:val="nil"/>
              <w:left w:val="nil"/>
              <w:bottom w:val="single" w:sz="8" w:space="0" w:color="auto"/>
              <w:right w:val="single" w:sz="4" w:space="0" w:color="auto"/>
            </w:tcBorders>
            <w:shd w:val="clear" w:color="auto" w:fill="auto"/>
            <w:noWrap/>
            <w:vAlign w:val="center"/>
            <w:hideMark/>
          </w:tcPr>
          <w:p w14:paraId="472B0895"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0.537</w:t>
            </w:r>
          </w:p>
        </w:tc>
        <w:tc>
          <w:tcPr>
            <w:tcW w:w="449" w:type="pct"/>
            <w:tcBorders>
              <w:top w:val="nil"/>
              <w:left w:val="nil"/>
              <w:bottom w:val="single" w:sz="8" w:space="0" w:color="auto"/>
              <w:right w:val="single" w:sz="4" w:space="0" w:color="auto"/>
            </w:tcBorders>
            <w:shd w:val="clear" w:color="auto" w:fill="auto"/>
            <w:noWrap/>
            <w:vAlign w:val="center"/>
            <w:hideMark/>
          </w:tcPr>
          <w:p w14:paraId="58F51E82"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0.534</w:t>
            </w:r>
          </w:p>
        </w:tc>
        <w:tc>
          <w:tcPr>
            <w:tcW w:w="548" w:type="pct"/>
            <w:tcBorders>
              <w:top w:val="nil"/>
              <w:left w:val="nil"/>
              <w:bottom w:val="single" w:sz="8" w:space="0" w:color="auto"/>
              <w:right w:val="single" w:sz="4" w:space="0" w:color="auto"/>
            </w:tcBorders>
            <w:shd w:val="clear" w:color="auto" w:fill="auto"/>
            <w:noWrap/>
            <w:vAlign w:val="center"/>
            <w:hideMark/>
          </w:tcPr>
          <w:p w14:paraId="4EA04E06"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0.046</w:t>
            </w:r>
          </w:p>
        </w:tc>
        <w:tc>
          <w:tcPr>
            <w:tcW w:w="519" w:type="pct"/>
            <w:tcBorders>
              <w:top w:val="nil"/>
              <w:left w:val="nil"/>
              <w:bottom w:val="single" w:sz="8" w:space="0" w:color="auto"/>
              <w:right w:val="single" w:sz="4" w:space="0" w:color="auto"/>
            </w:tcBorders>
            <w:shd w:val="clear" w:color="auto" w:fill="auto"/>
            <w:noWrap/>
            <w:vAlign w:val="center"/>
            <w:hideMark/>
          </w:tcPr>
          <w:p w14:paraId="76DE0C20"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11.772</w:t>
            </w:r>
          </w:p>
        </w:tc>
        <w:tc>
          <w:tcPr>
            <w:tcW w:w="421" w:type="pct"/>
            <w:tcBorders>
              <w:top w:val="nil"/>
              <w:left w:val="nil"/>
              <w:bottom w:val="single" w:sz="8" w:space="0" w:color="auto"/>
              <w:right w:val="single" w:sz="8" w:space="0" w:color="auto"/>
            </w:tcBorders>
            <w:shd w:val="clear" w:color="auto" w:fill="auto"/>
            <w:noWrap/>
            <w:vAlign w:val="center"/>
            <w:hideMark/>
          </w:tcPr>
          <w:p w14:paraId="3F84208F" w14:textId="77777777" w:rsidR="005976AB" w:rsidRPr="005635E7" w:rsidRDefault="005976AB" w:rsidP="009E2F41">
            <w:pPr>
              <w:jc w:val="both"/>
              <w:rPr>
                <w:rFonts w:asciiTheme="majorBidi" w:eastAsia="Times New Roman" w:hAnsiTheme="majorBidi" w:cstheme="majorBidi"/>
                <w:b/>
                <w:bCs/>
                <w:sz w:val="18"/>
                <w:szCs w:val="18"/>
                <w:lang w:eastAsia="en-GB"/>
              </w:rPr>
            </w:pPr>
            <w:r w:rsidRPr="005635E7">
              <w:rPr>
                <w:rFonts w:asciiTheme="majorBidi" w:eastAsia="Times New Roman" w:hAnsiTheme="majorBidi" w:cstheme="majorBidi"/>
                <w:b/>
                <w:bCs/>
                <w:sz w:val="18"/>
                <w:szCs w:val="18"/>
                <w:lang w:eastAsia="en-GB"/>
              </w:rPr>
              <w:t>0.000</w:t>
            </w:r>
          </w:p>
        </w:tc>
        <w:tc>
          <w:tcPr>
            <w:tcW w:w="635" w:type="pct"/>
            <w:tcBorders>
              <w:top w:val="nil"/>
              <w:left w:val="nil"/>
              <w:bottom w:val="single" w:sz="8" w:space="0" w:color="auto"/>
              <w:right w:val="nil"/>
            </w:tcBorders>
            <w:shd w:val="clear" w:color="auto" w:fill="auto"/>
            <w:noWrap/>
            <w:vAlign w:val="bottom"/>
            <w:hideMark/>
          </w:tcPr>
          <w:p w14:paraId="4AE1EE62"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 </w:t>
            </w:r>
          </w:p>
        </w:tc>
        <w:tc>
          <w:tcPr>
            <w:tcW w:w="594" w:type="pct"/>
            <w:tcBorders>
              <w:top w:val="nil"/>
              <w:left w:val="nil"/>
              <w:bottom w:val="single" w:sz="8" w:space="0" w:color="auto"/>
              <w:right w:val="single" w:sz="4" w:space="0" w:color="auto"/>
            </w:tcBorders>
            <w:shd w:val="clear" w:color="auto" w:fill="auto"/>
            <w:noWrap/>
            <w:vAlign w:val="bottom"/>
            <w:hideMark/>
          </w:tcPr>
          <w:p w14:paraId="5882F6AC" w14:textId="77777777" w:rsidR="005976AB" w:rsidRPr="005635E7" w:rsidRDefault="005976AB" w:rsidP="009E2F41">
            <w:pPr>
              <w:jc w:val="both"/>
              <w:rPr>
                <w:rFonts w:asciiTheme="majorBidi" w:eastAsia="Times New Roman" w:hAnsiTheme="majorBidi" w:cstheme="majorBidi"/>
                <w:sz w:val="18"/>
                <w:szCs w:val="18"/>
                <w:lang w:eastAsia="en-GB"/>
              </w:rPr>
            </w:pPr>
            <w:r w:rsidRPr="005635E7">
              <w:rPr>
                <w:rFonts w:asciiTheme="majorBidi" w:eastAsia="Times New Roman" w:hAnsiTheme="majorBidi" w:cstheme="majorBidi"/>
                <w:sz w:val="18"/>
                <w:szCs w:val="18"/>
                <w:lang w:eastAsia="en-GB"/>
              </w:rPr>
              <w:t> </w:t>
            </w:r>
          </w:p>
        </w:tc>
      </w:tr>
    </w:tbl>
    <w:p w14:paraId="6F662463" w14:textId="77777777" w:rsidR="005976AB" w:rsidRPr="005635E7" w:rsidRDefault="005976AB" w:rsidP="005976AB">
      <w:pPr>
        <w:jc w:val="both"/>
        <w:rPr>
          <w:rFonts w:asciiTheme="majorBidi" w:hAnsiTheme="majorBidi" w:cstheme="majorBidi"/>
          <w:i/>
          <w:iCs/>
          <w:sz w:val="22"/>
          <w:szCs w:val="22"/>
        </w:rPr>
      </w:pPr>
    </w:p>
    <w:p w14:paraId="3C8ED916" w14:textId="77777777" w:rsidR="005976AB" w:rsidRPr="005635E7" w:rsidRDefault="005976AB" w:rsidP="005976AB">
      <w:pPr>
        <w:jc w:val="both"/>
        <w:rPr>
          <w:rFonts w:asciiTheme="majorBidi" w:hAnsiTheme="majorBidi" w:cstheme="majorBidi"/>
          <w:i/>
          <w:iCs/>
          <w:sz w:val="22"/>
          <w:szCs w:val="22"/>
        </w:rPr>
      </w:pPr>
      <w:r w:rsidRPr="005635E7">
        <w:rPr>
          <w:rFonts w:asciiTheme="majorBidi" w:hAnsiTheme="majorBidi" w:cstheme="majorBidi"/>
          <w:i/>
          <w:iCs/>
          <w:sz w:val="22"/>
          <w:szCs w:val="22"/>
        </w:rPr>
        <w:t>Note: Organizational Learning Capability (OLC); Managerial commitment (MC); Systems perspective (SP); Openness and experimentation (EX); Knowledge transfer and integration (TR)</w:t>
      </w:r>
    </w:p>
    <w:p w14:paraId="4F2AE2DB" w14:textId="77777777" w:rsidR="005976AB" w:rsidRPr="005635E7" w:rsidRDefault="005976AB" w:rsidP="005976AB">
      <w:pPr>
        <w:jc w:val="both"/>
        <w:rPr>
          <w:rFonts w:asciiTheme="majorBidi" w:hAnsiTheme="majorBidi" w:cstheme="majorBidi"/>
          <w:i/>
          <w:iCs/>
          <w:sz w:val="22"/>
          <w:szCs w:val="22"/>
        </w:rPr>
      </w:pPr>
    </w:p>
    <w:p w14:paraId="3B4DB870" w14:textId="77777777" w:rsidR="005976AB" w:rsidRPr="005635E7" w:rsidRDefault="005976AB" w:rsidP="005976AB">
      <w:pPr>
        <w:jc w:val="both"/>
        <w:rPr>
          <w:rFonts w:asciiTheme="majorBidi" w:hAnsiTheme="majorBidi" w:cstheme="majorBidi"/>
          <w:i/>
          <w:iCs/>
          <w:sz w:val="22"/>
          <w:szCs w:val="22"/>
        </w:rPr>
      </w:pPr>
    </w:p>
    <w:p w14:paraId="2FA9621A" w14:textId="77777777" w:rsidR="005976AB" w:rsidRPr="005635E7" w:rsidRDefault="005976AB" w:rsidP="005976AB">
      <w:pPr>
        <w:pStyle w:val="Heading2"/>
        <w:spacing w:after="240"/>
        <w:rPr>
          <w:rFonts w:asciiTheme="majorBidi" w:hAnsiTheme="majorBidi"/>
          <w:b/>
          <w:bCs/>
          <w:color w:val="auto"/>
          <w:sz w:val="24"/>
          <w:szCs w:val="24"/>
        </w:rPr>
      </w:pPr>
      <w:bookmarkStart w:id="107" w:name="_Toc115310410"/>
      <w:r w:rsidRPr="005635E7">
        <w:rPr>
          <w:rFonts w:asciiTheme="majorBidi" w:hAnsiTheme="majorBidi"/>
          <w:b/>
          <w:bCs/>
          <w:color w:val="auto"/>
          <w:sz w:val="24"/>
          <w:szCs w:val="24"/>
        </w:rPr>
        <w:t>4.4 Structural Model and Hypothes</w:t>
      </w:r>
      <w:r>
        <w:rPr>
          <w:rFonts w:asciiTheme="majorBidi" w:hAnsiTheme="majorBidi"/>
          <w:b/>
          <w:bCs/>
          <w:color w:val="auto"/>
          <w:sz w:val="24"/>
          <w:szCs w:val="24"/>
        </w:rPr>
        <w:t>i</w:t>
      </w:r>
      <w:r w:rsidRPr="005635E7">
        <w:rPr>
          <w:rFonts w:asciiTheme="majorBidi" w:hAnsiTheme="majorBidi"/>
          <w:b/>
          <w:bCs/>
          <w:color w:val="auto"/>
          <w:sz w:val="24"/>
          <w:szCs w:val="24"/>
        </w:rPr>
        <w:t>s Testing</w:t>
      </w:r>
      <w:bookmarkEnd w:id="107"/>
    </w:p>
    <w:p w14:paraId="102548E1"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The study's structural models and hypotheses were tested using SmartPLS 3. The outcomes of </w:t>
      </w:r>
      <w:r w:rsidRPr="005635E7">
        <w:rPr>
          <w:rFonts w:ascii="Times New Roman" w:eastAsia="Calibri" w:hAnsi="Times New Roman" w:cs="Times New Roman"/>
        </w:rPr>
        <w:t xml:space="preserve">the structural models </w:t>
      </w:r>
      <w:r w:rsidRPr="005635E7">
        <w:rPr>
          <w:rFonts w:asciiTheme="majorBidi" w:hAnsiTheme="majorBidi" w:cstheme="majorBidi"/>
        </w:rPr>
        <w:t>of OLC, OI, and FP are displayed in Figure 4.1 and Table 4.7.</w:t>
      </w:r>
    </w:p>
    <w:p w14:paraId="01699385" w14:textId="77777777" w:rsidR="005976AB" w:rsidRPr="005635E7" w:rsidRDefault="005976AB" w:rsidP="005976AB">
      <w:pPr>
        <w:pStyle w:val="Heading3"/>
        <w:spacing w:after="240"/>
        <w:rPr>
          <w:rFonts w:asciiTheme="majorBidi" w:hAnsiTheme="majorBidi"/>
          <w:b/>
          <w:bCs/>
          <w:color w:val="auto"/>
        </w:rPr>
      </w:pPr>
      <w:bookmarkStart w:id="108" w:name="_Toc115310411"/>
      <w:r w:rsidRPr="005635E7">
        <w:rPr>
          <w:rFonts w:asciiTheme="majorBidi" w:hAnsiTheme="majorBidi"/>
          <w:b/>
          <w:bCs/>
          <w:color w:val="auto"/>
        </w:rPr>
        <w:t>4.4.1 Testing for Direct Hypotheses</w:t>
      </w:r>
      <w:bookmarkEnd w:id="108"/>
    </w:p>
    <w:p w14:paraId="4A4CF622" w14:textId="77777777" w:rsidR="005976AB" w:rsidRPr="005635E7" w:rsidRDefault="005976AB" w:rsidP="005976AB">
      <w:pPr>
        <w:pStyle w:val="Caption"/>
        <w:rPr>
          <w:rFonts w:asciiTheme="majorBidi" w:hAnsiTheme="majorBidi" w:cstheme="majorBidi"/>
          <w:i w:val="0"/>
          <w:iCs w:val="0"/>
          <w:color w:val="auto"/>
          <w:sz w:val="24"/>
          <w:szCs w:val="24"/>
        </w:rPr>
      </w:pPr>
      <w:bookmarkStart w:id="109" w:name="_Toc126377965"/>
      <w:r w:rsidRPr="005635E7">
        <w:rPr>
          <w:rFonts w:asciiTheme="majorBidi" w:hAnsiTheme="majorBidi" w:cstheme="majorBidi"/>
          <w:i w:val="0"/>
          <w:iCs w:val="0"/>
          <w:color w:val="auto"/>
          <w:sz w:val="24"/>
          <w:szCs w:val="24"/>
        </w:rPr>
        <w:t>Table 4.</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7</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xml:space="preserve">: Path coefficients of </w:t>
      </w:r>
      <w:r>
        <w:rPr>
          <w:rFonts w:asciiTheme="majorBidi" w:hAnsiTheme="majorBidi" w:cstheme="majorBidi"/>
          <w:i w:val="0"/>
          <w:iCs w:val="0"/>
          <w:color w:val="auto"/>
          <w:sz w:val="24"/>
          <w:szCs w:val="24"/>
        </w:rPr>
        <w:t xml:space="preserve">the </w:t>
      </w:r>
      <w:r w:rsidRPr="005635E7">
        <w:rPr>
          <w:rFonts w:asciiTheme="majorBidi" w:hAnsiTheme="majorBidi" w:cstheme="majorBidi"/>
          <w:i w:val="0"/>
          <w:iCs w:val="0"/>
          <w:color w:val="auto"/>
          <w:sz w:val="24"/>
          <w:szCs w:val="24"/>
        </w:rPr>
        <w:t>direct effect</w:t>
      </w:r>
      <w:bookmarkEnd w:id="109"/>
    </w:p>
    <w:tbl>
      <w:tblPr>
        <w:tblStyle w:val="TableGrid"/>
        <w:tblW w:w="9016" w:type="dxa"/>
        <w:tblLook w:val="04A0" w:firstRow="1" w:lastRow="0" w:firstColumn="1" w:lastColumn="0" w:noHBand="0" w:noVBand="1"/>
      </w:tblPr>
      <w:tblGrid>
        <w:gridCol w:w="1525"/>
        <w:gridCol w:w="1170"/>
        <w:gridCol w:w="990"/>
        <w:gridCol w:w="1039"/>
        <w:gridCol w:w="983"/>
        <w:gridCol w:w="1038"/>
        <w:gridCol w:w="2271"/>
      </w:tblGrid>
      <w:tr w:rsidR="005976AB" w:rsidRPr="005635E7" w14:paraId="2886E811" w14:textId="77777777" w:rsidTr="009E2F41">
        <w:trPr>
          <w:trHeight w:val="1020"/>
        </w:trPr>
        <w:tc>
          <w:tcPr>
            <w:tcW w:w="1525" w:type="dxa"/>
            <w:hideMark/>
          </w:tcPr>
          <w:p w14:paraId="058B65A0"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Direct Effect</w:t>
            </w:r>
          </w:p>
        </w:tc>
        <w:tc>
          <w:tcPr>
            <w:tcW w:w="1170" w:type="dxa"/>
            <w:hideMark/>
          </w:tcPr>
          <w:p w14:paraId="4FC65FF3"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Path Coefficient</w:t>
            </w:r>
          </w:p>
        </w:tc>
        <w:tc>
          <w:tcPr>
            <w:tcW w:w="990" w:type="dxa"/>
            <w:hideMark/>
          </w:tcPr>
          <w:p w14:paraId="085BC94B"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Sample Mean</w:t>
            </w:r>
          </w:p>
        </w:tc>
        <w:tc>
          <w:tcPr>
            <w:tcW w:w="1039" w:type="dxa"/>
            <w:hideMark/>
          </w:tcPr>
          <w:p w14:paraId="4445F7D2"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Standard Deviation</w:t>
            </w:r>
          </w:p>
        </w:tc>
        <w:tc>
          <w:tcPr>
            <w:tcW w:w="983" w:type="dxa"/>
            <w:hideMark/>
          </w:tcPr>
          <w:p w14:paraId="4B410842"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T Statistics</w:t>
            </w:r>
          </w:p>
        </w:tc>
        <w:tc>
          <w:tcPr>
            <w:tcW w:w="1038" w:type="dxa"/>
            <w:hideMark/>
          </w:tcPr>
          <w:p w14:paraId="18E6A512"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P Values</w:t>
            </w:r>
          </w:p>
        </w:tc>
        <w:tc>
          <w:tcPr>
            <w:tcW w:w="2271" w:type="dxa"/>
          </w:tcPr>
          <w:p w14:paraId="635755E4"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 xml:space="preserve">Hypothesis testing </w:t>
            </w:r>
          </w:p>
        </w:tc>
      </w:tr>
      <w:tr w:rsidR="005976AB" w:rsidRPr="005635E7" w14:paraId="55B9367F" w14:textId="77777777" w:rsidTr="009E2F41">
        <w:trPr>
          <w:trHeight w:val="300"/>
        </w:trPr>
        <w:tc>
          <w:tcPr>
            <w:tcW w:w="1525" w:type="dxa"/>
            <w:noWrap/>
            <w:hideMark/>
          </w:tcPr>
          <w:p w14:paraId="5A819EA7"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OLC -&gt; IP</w:t>
            </w:r>
          </w:p>
        </w:tc>
        <w:tc>
          <w:tcPr>
            <w:tcW w:w="1170" w:type="dxa"/>
            <w:noWrap/>
            <w:hideMark/>
          </w:tcPr>
          <w:p w14:paraId="39B05BA3"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0.217</w:t>
            </w:r>
          </w:p>
        </w:tc>
        <w:tc>
          <w:tcPr>
            <w:tcW w:w="990" w:type="dxa"/>
            <w:noWrap/>
            <w:hideMark/>
          </w:tcPr>
          <w:p w14:paraId="3DB8566E"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0.221</w:t>
            </w:r>
          </w:p>
        </w:tc>
        <w:tc>
          <w:tcPr>
            <w:tcW w:w="1039" w:type="dxa"/>
            <w:noWrap/>
            <w:hideMark/>
          </w:tcPr>
          <w:p w14:paraId="63D8881C"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0.061</w:t>
            </w:r>
          </w:p>
        </w:tc>
        <w:tc>
          <w:tcPr>
            <w:tcW w:w="983" w:type="dxa"/>
            <w:noWrap/>
            <w:hideMark/>
          </w:tcPr>
          <w:p w14:paraId="04EA8553"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3.522</w:t>
            </w:r>
          </w:p>
        </w:tc>
        <w:tc>
          <w:tcPr>
            <w:tcW w:w="1038" w:type="dxa"/>
            <w:noWrap/>
            <w:hideMark/>
          </w:tcPr>
          <w:p w14:paraId="34096AE3"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0.000</w:t>
            </w:r>
          </w:p>
        </w:tc>
        <w:tc>
          <w:tcPr>
            <w:tcW w:w="2271" w:type="dxa"/>
          </w:tcPr>
          <w:p w14:paraId="685666F8" w14:textId="77777777" w:rsidR="005976AB" w:rsidRPr="00D73F8E" w:rsidRDefault="005976AB" w:rsidP="009E2F41">
            <w:pPr>
              <w:jc w:val="both"/>
              <w:rPr>
                <w:rFonts w:asciiTheme="majorBidi" w:eastAsia="Times New Roman" w:hAnsiTheme="majorBidi" w:cstheme="majorBidi"/>
                <w:sz w:val="20"/>
                <w:szCs w:val="20"/>
                <w:lang w:eastAsia="en-GB"/>
              </w:rPr>
            </w:pPr>
            <w:r w:rsidRPr="00D73F8E">
              <w:rPr>
                <w:rFonts w:asciiTheme="majorBidi" w:eastAsia="Times New Roman" w:hAnsiTheme="majorBidi" w:cstheme="majorBidi"/>
                <w:sz w:val="20"/>
                <w:szCs w:val="20"/>
                <w:lang w:eastAsia="en-GB"/>
              </w:rPr>
              <w:t>H1a: Supported</w:t>
            </w:r>
          </w:p>
        </w:tc>
      </w:tr>
      <w:tr w:rsidR="005976AB" w:rsidRPr="005635E7" w14:paraId="1CBDC113" w14:textId="77777777" w:rsidTr="009E2F41">
        <w:trPr>
          <w:trHeight w:val="300"/>
        </w:trPr>
        <w:tc>
          <w:tcPr>
            <w:tcW w:w="1525" w:type="dxa"/>
            <w:noWrap/>
          </w:tcPr>
          <w:p w14:paraId="3D6C9063"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OLC -&gt; OP</w:t>
            </w:r>
          </w:p>
        </w:tc>
        <w:tc>
          <w:tcPr>
            <w:tcW w:w="1170" w:type="dxa"/>
            <w:noWrap/>
          </w:tcPr>
          <w:p w14:paraId="08EBEF2C"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0.325</w:t>
            </w:r>
          </w:p>
        </w:tc>
        <w:tc>
          <w:tcPr>
            <w:tcW w:w="990" w:type="dxa"/>
            <w:noWrap/>
          </w:tcPr>
          <w:p w14:paraId="5E433037" w14:textId="77777777" w:rsidR="005976AB" w:rsidRPr="005635E7" w:rsidRDefault="005976AB" w:rsidP="009E2F41">
            <w:pPr>
              <w:jc w:val="both"/>
              <w:rPr>
                <w:rFonts w:asciiTheme="majorBidi" w:eastAsia="Times New Roman" w:hAnsiTheme="majorBidi" w:cstheme="majorBidi"/>
                <w:sz w:val="20"/>
                <w:szCs w:val="20"/>
                <w:lang w:eastAsia="en-GB"/>
              </w:rPr>
            </w:pPr>
          </w:p>
        </w:tc>
        <w:tc>
          <w:tcPr>
            <w:tcW w:w="1039" w:type="dxa"/>
            <w:noWrap/>
          </w:tcPr>
          <w:p w14:paraId="529DA7E3" w14:textId="77777777" w:rsidR="005976AB" w:rsidRPr="005635E7" w:rsidRDefault="005976AB" w:rsidP="009E2F41">
            <w:pPr>
              <w:jc w:val="both"/>
              <w:rPr>
                <w:rFonts w:asciiTheme="majorBidi" w:eastAsia="Times New Roman" w:hAnsiTheme="majorBidi" w:cstheme="majorBidi"/>
                <w:sz w:val="20"/>
                <w:szCs w:val="20"/>
                <w:lang w:eastAsia="en-GB"/>
              </w:rPr>
            </w:pPr>
          </w:p>
        </w:tc>
        <w:tc>
          <w:tcPr>
            <w:tcW w:w="983" w:type="dxa"/>
            <w:noWrap/>
          </w:tcPr>
          <w:p w14:paraId="053E9D9D" w14:textId="77777777" w:rsidR="005976AB" w:rsidRPr="005635E7" w:rsidRDefault="005976AB" w:rsidP="009E2F41">
            <w:pPr>
              <w:jc w:val="both"/>
              <w:rPr>
                <w:rFonts w:asciiTheme="majorBidi" w:eastAsia="Times New Roman" w:hAnsiTheme="majorBidi" w:cstheme="majorBidi"/>
                <w:sz w:val="20"/>
                <w:szCs w:val="20"/>
                <w:lang w:eastAsia="en-GB"/>
              </w:rPr>
            </w:pPr>
          </w:p>
        </w:tc>
        <w:tc>
          <w:tcPr>
            <w:tcW w:w="1038" w:type="dxa"/>
            <w:noWrap/>
          </w:tcPr>
          <w:p w14:paraId="4E3143F6"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0.000</w:t>
            </w:r>
          </w:p>
        </w:tc>
        <w:tc>
          <w:tcPr>
            <w:tcW w:w="2271" w:type="dxa"/>
          </w:tcPr>
          <w:p w14:paraId="5309097C" w14:textId="77777777" w:rsidR="005976AB" w:rsidRPr="00D73F8E" w:rsidRDefault="005976AB" w:rsidP="009E2F41">
            <w:pPr>
              <w:jc w:val="both"/>
              <w:rPr>
                <w:rFonts w:asciiTheme="majorBidi" w:eastAsia="Times New Roman" w:hAnsiTheme="majorBidi" w:cstheme="majorBidi"/>
                <w:sz w:val="20"/>
                <w:szCs w:val="20"/>
                <w:lang w:eastAsia="en-GB"/>
              </w:rPr>
            </w:pPr>
            <w:r w:rsidRPr="00D73F8E">
              <w:rPr>
                <w:rFonts w:asciiTheme="majorBidi" w:eastAsia="Times New Roman" w:hAnsiTheme="majorBidi" w:cstheme="majorBidi"/>
                <w:sz w:val="20"/>
                <w:szCs w:val="20"/>
                <w:lang w:eastAsia="en-GB"/>
              </w:rPr>
              <w:t>H1b: Supported</w:t>
            </w:r>
          </w:p>
        </w:tc>
      </w:tr>
      <w:tr w:rsidR="005976AB" w:rsidRPr="005635E7" w14:paraId="57EC4A79" w14:textId="77777777" w:rsidTr="009E2F41">
        <w:trPr>
          <w:trHeight w:val="300"/>
        </w:trPr>
        <w:tc>
          <w:tcPr>
            <w:tcW w:w="1525" w:type="dxa"/>
            <w:noWrap/>
            <w:hideMark/>
          </w:tcPr>
          <w:p w14:paraId="36A4C660"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IP -&gt; ME</w:t>
            </w:r>
          </w:p>
        </w:tc>
        <w:tc>
          <w:tcPr>
            <w:tcW w:w="1170" w:type="dxa"/>
            <w:noWrap/>
            <w:hideMark/>
          </w:tcPr>
          <w:p w14:paraId="6A5B2DDC"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0.298</w:t>
            </w:r>
          </w:p>
        </w:tc>
        <w:tc>
          <w:tcPr>
            <w:tcW w:w="990" w:type="dxa"/>
            <w:noWrap/>
            <w:hideMark/>
          </w:tcPr>
          <w:p w14:paraId="46FB3AB8"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0.301</w:t>
            </w:r>
          </w:p>
        </w:tc>
        <w:tc>
          <w:tcPr>
            <w:tcW w:w="1039" w:type="dxa"/>
            <w:noWrap/>
            <w:hideMark/>
          </w:tcPr>
          <w:p w14:paraId="2F0890F7"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0.055</w:t>
            </w:r>
          </w:p>
        </w:tc>
        <w:tc>
          <w:tcPr>
            <w:tcW w:w="983" w:type="dxa"/>
            <w:noWrap/>
            <w:hideMark/>
          </w:tcPr>
          <w:p w14:paraId="76AE31B0"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5.421</w:t>
            </w:r>
          </w:p>
        </w:tc>
        <w:tc>
          <w:tcPr>
            <w:tcW w:w="1038" w:type="dxa"/>
            <w:noWrap/>
            <w:hideMark/>
          </w:tcPr>
          <w:p w14:paraId="13B5249A"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0.000</w:t>
            </w:r>
          </w:p>
        </w:tc>
        <w:tc>
          <w:tcPr>
            <w:tcW w:w="2271" w:type="dxa"/>
          </w:tcPr>
          <w:p w14:paraId="2749DE92" w14:textId="77777777" w:rsidR="005976AB" w:rsidRPr="00D73F8E" w:rsidRDefault="005976AB" w:rsidP="009E2F41">
            <w:pPr>
              <w:jc w:val="both"/>
              <w:rPr>
                <w:rFonts w:asciiTheme="majorBidi" w:eastAsia="Times New Roman" w:hAnsiTheme="majorBidi" w:cstheme="majorBidi"/>
                <w:sz w:val="20"/>
                <w:szCs w:val="20"/>
                <w:lang w:eastAsia="en-GB"/>
              </w:rPr>
            </w:pPr>
            <w:r w:rsidRPr="00D73F8E">
              <w:rPr>
                <w:rFonts w:asciiTheme="majorBidi" w:eastAsia="Times New Roman" w:hAnsiTheme="majorBidi" w:cstheme="majorBidi"/>
                <w:sz w:val="20"/>
                <w:szCs w:val="20"/>
                <w:lang w:eastAsia="en-GB"/>
              </w:rPr>
              <w:t>H2a: Supported</w:t>
            </w:r>
          </w:p>
        </w:tc>
      </w:tr>
      <w:tr w:rsidR="005976AB" w:rsidRPr="005635E7" w14:paraId="242A2461" w14:textId="77777777" w:rsidTr="009E2F41">
        <w:trPr>
          <w:trHeight w:val="300"/>
        </w:trPr>
        <w:tc>
          <w:tcPr>
            <w:tcW w:w="1525" w:type="dxa"/>
            <w:noWrap/>
            <w:hideMark/>
          </w:tcPr>
          <w:p w14:paraId="1EF1F015"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IP -&gt; P</w:t>
            </w:r>
          </w:p>
        </w:tc>
        <w:tc>
          <w:tcPr>
            <w:tcW w:w="1170" w:type="dxa"/>
            <w:noWrap/>
            <w:hideMark/>
          </w:tcPr>
          <w:p w14:paraId="42940D3A"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0.256</w:t>
            </w:r>
          </w:p>
        </w:tc>
        <w:tc>
          <w:tcPr>
            <w:tcW w:w="990" w:type="dxa"/>
            <w:noWrap/>
            <w:hideMark/>
          </w:tcPr>
          <w:p w14:paraId="44CC3B5E"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0.261</w:t>
            </w:r>
          </w:p>
        </w:tc>
        <w:tc>
          <w:tcPr>
            <w:tcW w:w="1039" w:type="dxa"/>
            <w:noWrap/>
            <w:hideMark/>
          </w:tcPr>
          <w:p w14:paraId="6A0E620F"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0.058</w:t>
            </w:r>
          </w:p>
        </w:tc>
        <w:tc>
          <w:tcPr>
            <w:tcW w:w="983" w:type="dxa"/>
            <w:noWrap/>
            <w:hideMark/>
          </w:tcPr>
          <w:p w14:paraId="44D4BC48"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4.382</w:t>
            </w:r>
          </w:p>
        </w:tc>
        <w:tc>
          <w:tcPr>
            <w:tcW w:w="1038" w:type="dxa"/>
            <w:noWrap/>
            <w:hideMark/>
          </w:tcPr>
          <w:p w14:paraId="3047E009"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0.000</w:t>
            </w:r>
          </w:p>
        </w:tc>
        <w:tc>
          <w:tcPr>
            <w:tcW w:w="2271" w:type="dxa"/>
          </w:tcPr>
          <w:p w14:paraId="506A96DB" w14:textId="77777777" w:rsidR="005976AB" w:rsidRPr="00D73F8E" w:rsidRDefault="005976AB" w:rsidP="009E2F41">
            <w:pPr>
              <w:jc w:val="both"/>
              <w:rPr>
                <w:rFonts w:asciiTheme="majorBidi" w:eastAsia="Times New Roman" w:hAnsiTheme="majorBidi" w:cstheme="majorBidi"/>
                <w:sz w:val="20"/>
                <w:szCs w:val="20"/>
                <w:lang w:eastAsia="en-GB"/>
              </w:rPr>
            </w:pPr>
            <w:r w:rsidRPr="00D73F8E">
              <w:rPr>
                <w:rFonts w:asciiTheme="majorBidi" w:eastAsia="Times New Roman" w:hAnsiTheme="majorBidi" w:cstheme="majorBidi"/>
                <w:sz w:val="20"/>
                <w:szCs w:val="20"/>
                <w:lang w:eastAsia="en-GB"/>
              </w:rPr>
              <w:t>H2b: Supported</w:t>
            </w:r>
          </w:p>
        </w:tc>
      </w:tr>
      <w:tr w:rsidR="005976AB" w:rsidRPr="005635E7" w14:paraId="2E6F3EEF" w14:textId="77777777" w:rsidTr="009E2F41">
        <w:trPr>
          <w:trHeight w:val="300"/>
        </w:trPr>
        <w:tc>
          <w:tcPr>
            <w:tcW w:w="1525" w:type="dxa"/>
            <w:noWrap/>
            <w:hideMark/>
          </w:tcPr>
          <w:p w14:paraId="7FC26863"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OP -&gt; ME</w:t>
            </w:r>
          </w:p>
        </w:tc>
        <w:tc>
          <w:tcPr>
            <w:tcW w:w="1170" w:type="dxa"/>
            <w:noWrap/>
            <w:hideMark/>
          </w:tcPr>
          <w:p w14:paraId="602BA549"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0.103</w:t>
            </w:r>
          </w:p>
        </w:tc>
        <w:tc>
          <w:tcPr>
            <w:tcW w:w="990" w:type="dxa"/>
            <w:noWrap/>
            <w:hideMark/>
          </w:tcPr>
          <w:p w14:paraId="0570BD29"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0.104</w:t>
            </w:r>
          </w:p>
        </w:tc>
        <w:tc>
          <w:tcPr>
            <w:tcW w:w="1039" w:type="dxa"/>
            <w:noWrap/>
            <w:hideMark/>
          </w:tcPr>
          <w:p w14:paraId="511586FD"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0.071</w:t>
            </w:r>
          </w:p>
        </w:tc>
        <w:tc>
          <w:tcPr>
            <w:tcW w:w="983" w:type="dxa"/>
            <w:noWrap/>
            <w:hideMark/>
          </w:tcPr>
          <w:p w14:paraId="41E8817C"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1.445</w:t>
            </w:r>
          </w:p>
        </w:tc>
        <w:tc>
          <w:tcPr>
            <w:tcW w:w="1038" w:type="dxa"/>
            <w:noWrap/>
            <w:hideMark/>
          </w:tcPr>
          <w:p w14:paraId="0FBC4944"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0.149</w:t>
            </w:r>
          </w:p>
        </w:tc>
        <w:tc>
          <w:tcPr>
            <w:tcW w:w="2271" w:type="dxa"/>
          </w:tcPr>
          <w:p w14:paraId="455379AA" w14:textId="77777777" w:rsidR="005976AB" w:rsidRPr="00D73F8E" w:rsidRDefault="005976AB" w:rsidP="009E2F41">
            <w:pPr>
              <w:jc w:val="both"/>
              <w:rPr>
                <w:rFonts w:asciiTheme="majorBidi" w:eastAsia="Times New Roman" w:hAnsiTheme="majorBidi" w:cstheme="majorBidi"/>
                <w:sz w:val="20"/>
                <w:szCs w:val="20"/>
                <w:lang w:eastAsia="en-GB"/>
              </w:rPr>
            </w:pPr>
            <w:r w:rsidRPr="00D73F8E">
              <w:rPr>
                <w:rFonts w:asciiTheme="majorBidi" w:eastAsia="Times New Roman" w:hAnsiTheme="majorBidi" w:cstheme="majorBidi"/>
                <w:sz w:val="20"/>
                <w:szCs w:val="20"/>
                <w:lang w:eastAsia="en-GB"/>
              </w:rPr>
              <w:t>H2c: Rejected</w:t>
            </w:r>
          </w:p>
        </w:tc>
      </w:tr>
      <w:tr w:rsidR="005976AB" w:rsidRPr="005635E7" w14:paraId="04A9B8BB" w14:textId="77777777" w:rsidTr="009E2F41">
        <w:trPr>
          <w:trHeight w:val="315"/>
        </w:trPr>
        <w:tc>
          <w:tcPr>
            <w:tcW w:w="1525" w:type="dxa"/>
            <w:noWrap/>
            <w:hideMark/>
          </w:tcPr>
          <w:p w14:paraId="7CCE17EF"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OP -&gt; P</w:t>
            </w:r>
          </w:p>
        </w:tc>
        <w:tc>
          <w:tcPr>
            <w:tcW w:w="1170" w:type="dxa"/>
            <w:noWrap/>
            <w:hideMark/>
          </w:tcPr>
          <w:p w14:paraId="0979261C"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0.163</w:t>
            </w:r>
          </w:p>
        </w:tc>
        <w:tc>
          <w:tcPr>
            <w:tcW w:w="990" w:type="dxa"/>
            <w:noWrap/>
            <w:hideMark/>
          </w:tcPr>
          <w:p w14:paraId="07B7C46F"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0.167</w:t>
            </w:r>
          </w:p>
        </w:tc>
        <w:tc>
          <w:tcPr>
            <w:tcW w:w="1039" w:type="dxa"/>
            <w:noWrap/>
            <w:hideMark/>
          </w:tcPr>
          <w:p w14:paraId="2FF79C02"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0.072</w:t>
            </w:r>
          </w:p>
        </w:tc>
        <w:tc>
          <w:tcPr>
            <w:tcW w:w="983" w:type="dxa"/>
            <w:noWrap/>
            <w:hideMark/>
          </w:tcPr>
          <w:p w14:paraId="4928CFB8"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2.264</w:t>
            </w:r>
          </w:p>
        </w:tc>
        <w:tc>
          <w:tcPr>
            <w:tcW w:w="1038" w:type="dxa"/>
            <w:noWrap/>
            <w:hideMark/>
          </w:tcPr>
          <w:p w14:paraId="3DB59B43" w14:textId="77777777" w:rsidR="005976AB" w:rsidRPr="005635E7" w:rsidRDefault="005976AB" w:rsidP="009E2F41">
            <w:pPr>
              <w:jc w:val="both"/>
              <w:rPr>
                <w:rFonts w:asciiTheme="majorBidi" w:eastAsia="Times New Roman" w:hAnsiTheme="majorBidi" w:cstheme="majorBidi"/>
                <w:sz w:val="20"/>
                <w:szCs w:val="20"/>
                <w:lang w:eastAsia="en-GB"/>
              </w:rPr>
            </w:pPr>
            <w:r w:rsidRPr="005635E7">
              <w:rPr>
                <w:rFonts w:asciiTheme="majorBidi" w:eastAsia="Times New Roman" w:hAnsiTheme="majorBidi" w:cstheme="majorBidi"/>
                <w:sz w:val="20"/>
                <w:szCs w:val="20"/>
                <w:lang w:eastAsia="en-GB"/>
              </w:rPr>
              <w:t>0.024</w:t>
            </w:r>
          </w:p>
        </w:tc>
        <w:tc>
          <w:tcPr>
            <w:tcW w:w="2271" w:type="dxa"/>
          </w:tcPr>
          <w:p w14:paraId="7B1235DF" w14:textId="77777777" w:rsidR="005976AB" w:rsidRPr="00D73F8E" w:rsidRDefault="005976AB" w:rsidP="009E2F41">
            <w:pPr>
              <w:jc w:val="both"/>
              <w:rPr>
                <w:rFonts w:asciiTheme="majorBidi" w:eastAsia="Times New Roman" w:hAnsiTheme="majorBidi" w:cstheme="majorBidi"/>
                <w:sz w:val="20"/>
                <w:szCs w:val="20"/>
                <w:lang w:eastAsia="en-GB"/>
              </w:rPr>
            </w:pPr>
            <w:r w:rsidRPr="00D73F8E">
              <w:rPr>
                <w:rFonts w:asciiTheme="majorBidi" w:eastAsia="Times New Roman" w:hAnsiTheme="majorBidi" w:cstheme="majorBidi"/>
                <w:sz w:val="20"/>
                <w:szCs w:val="20"/>
                <w:lang w:eastAsia="en-GB"/>
              </w:rPr>
              <w:t>H2d: Supported</w:t>
            </w:r>
          </w:p>
        </w:tc>
      </w:tr>
    </w:tbl>
    <w:p w14:paraId="7E209634" w14:textId="77777777" w:rsidR="005976AB" w:rsidRPr="005635E7" w:rsidRDefault="005976AB" w:rsidP="005976AB">
      <w:pPr>
        <w:jc w:val="both"/>
        <w:rPr>
          <w:rFonts w:asciiTheme="majorBidi" w:hAnsiTheme="majorBidi" w:cstheme="majorBidi"/>
          <w:i/>
          <w:iCs/>
          <w:sz w:val="20"/>
          <w:szCs w:val="20"/>
        </w:rPr>
      </w:pPr>
      <w:r w:rsidRPr="005635E7">
        <w:rPr>
          <w:rFonts w:asciiTheme="majorBidi" w:hAnsiTheme="majorBidi" w:cstheme="majorBidi"/>
          <w:i/>
          <w:iCs/>
          <w:sz w:val="20"/>
          <w:szCs w:val="20"/>
        </w:rPr>
        <w:t>Note: Organizational Learning Capability (OLC); Managerial commitment (MC); Systems perspective (SP); Openness and experimentation (EX); Knowledge transfer and integration (TR); Inbound open innovation practices (IP); Outbound open innovation practices (OP); Market effectiveness (ME); Profitability (P)</w:t>
      </w:r>
    </w:p>
    <w:p w14:paraId="432F328A" w14:textId="77777777" w:rsidR="005976AB" w:rsidRPr="005635E7" w:rsidRDefault="005976AB" w:rsidP="005976AB">
      <w:pPr>
        <w:spacing w:line="480" w:lineRule="auto"/>
        <w:jc w:val="both"/>
        <w:rPr>
          <w:rFonts w:asciiTheme="majorBidi" w:hAnsiTheme="majorBidi" w:cstheme="majorBidi"/>
        </w:rPr>
      </w:pPr>
    </w:p>
    <w:p w14:paraId="04B2B679" w14:textId="77777777" w:rsidR="005976AB" w:rsidRPr="005635E7" w:rsidRDefault="005976AB" w:rsidP="005976AB">
      <w:pPr>
        <w:spacing w:line="480" w:lineRule="auto"/>
        <w:jc w:val="both"/>
        <w:rPr>
          <w:rFonts w:asciiTheme="majorBidi" w:hAnsiTheme="majorBidi" w:cstheme="majorBidi"/>
        </w:rPr>
      </w:pPr>
    </w:p>
    <w:p w14:paraId="570EE75E" w14:textId="77777777" w:rsidR="005976AB" w:rsidRPr="005635E7" w:rsidRDefault="005976AB" w:rsidP="005976AB">
      <w:pPr>
        <w:spacing w:line="480" w:lineRule="auto"/>
        <w:jc w:val="both"/>
        <w:rPr>
          <w:rFonts w:asciiTheme="majorBidi" w:hAnsiTheme="majorBidi" w:cstheme="majorBidi"/>
        </w:rPr>
      </w:pPr>
    </w:p>
    <w:p w14:paraId="71CEEFD1" w14:textId="77777777" w:rsidR="005976AB" w:rsidRPr="005635E7" w:rsidRDefault="005976AB" w:rsidP="005976AB">
      <w:pPr>
        <w:spacing w:line="480" w:lineRule="auto"/>
        <w:jc w:val="both"/>
        <w:rPr>
          <w:rFonts w:asciiTheme="majorBidi" w:hAnsiTheme="majorBidi" w:cstheme="majorBidi"/>
        </w:rPr>
        <w:sectPr w:rsidR="005976AB" w:rsidRPr="005635E7">
          <w:pgSz w:w="11906" w:h="16838"/>
          <w:pgMar w:top="1440" w:right="1440" w:bottom="1440" w:left="1440" w:header="708" w:footer="708" w:gutter="0"/>
          <w:cols w:space="708"/>
          <w:docGrid w:linePitch="360"/>
        </w:sectPr>
      </w:pPr>
    </w:p>
    <w:p w14:paraId="2AD309A2" w14:textId="77777777" w:rsidR="005976AB" w:rsidRPr="005635E7" w:rsidRDefault="005976AB" w:rsidP="005976AB">
      <w:pPr>
        <w:pStyle w:val="Caption"/>
        <w:rPr>
          <w:rFonts w:asciiTheme="majorBidi" w:hAnsiTheme="majorBidi" w:cstheme="majorBidi"/>
          <w:i w:val="0"/>
          <w:iCs w:val="0"/>
          <w:color w:val="auto"/>
          <w:sz w:val="24"/>
          <w:szCs w:val="24"/>
        </w:rPr>
      </w:pPr>
      <w:bookmarkStart w:id="110" w:name="_Toc126432344"/>
      <w:r w:rsidRPr="005635E7">
        <w:rPr>
          <w:rFonts w:asciiTheme="majorBidi" w:hAnsiTheme="majorBidi" w:cstheme="majorBidi"/>
          <w:i w:val="0"/>
          <w:iCs w:val="0"/>
          <w:color w:val="auto"/>
          <w:sz w:val="24"/>
          <w:szCs w:val="24"/>
        </w:rPr>
        <w:t>Figure 4.</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Figure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1</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Structural model analysis</w:t>
      </w:r>
      <w:bookmarkEnd w:id="110"/>
    </w:p>
    <w:p w14:paraId="7D25441F" w14:textId="77777777" w:rsidR="005976AB" w:rsidRPr="005635E7" w:rsidRDefault="005976AB" w:rsidP="005976AB">
      <w:pPr>
        <w:jc w:val="both"/>
        <w:rPr>
          <w:rFonts w:asciiTheme="majorBidi" w:hAnsiTheme="majorBidi" w:cstheme="majorBidi"/>
          <w:sz w:val="22"/>
          <w:szCs w:val="22"/>
        </w:rPr>
      </w:pPr>
      <w:r w:rsidRPr="005635E7">
        <w:rPr>
          <w:rFonts w:asciiTheme="majorBidi" w:hAnsiTheme="majorBidi" w:cstheme="majorBidi"/>
          <w:noProof/>
        </w:rPr>
        <w:drawing>
          <wp:inline distT="0" distB="0" distL="0" distR="0" wp14:anchorId="54CC1B8B" wp14:editId="3549735F">
            <wp:extent cx="8832215" cy="47434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a:stretch>
                      <a:fillRect/>
                    </a:stretch>
                  </pic:blipFill>
                  <pic:spPr>
                    <a:xfrm>
                      <a:off x="0" y="0"/>
                      <a:ext cx="8832215" cy="4743450"/>
                    </a:xfrm>
                    <a:prstGeom prst="rect">
                      <a:avLst/>
                    </a:prstGeom>
                  </pic:spPr>
                </pic:pic>
              </a:graphicData>
            </a:graphic>
          </wp:inline>
        </w:drawing>
      </w:r>
      <w:r w:rsidRPr="005635E7">
        <w:rPr>
          <w:rFonts w:asciiTheme="majorBidi" w:hAnsiTheme="majorBidi" w:cstheme="majorBidi"/>
          <w:i/>
          <w:iCs/>
          <w:sz w:val="22"/>
          <w:szCs w:val="22"/>
        </w:rPr>
        <w:t>Note: Managerial commitment (MC); Systems perspective (SP); Openness and experimentation (EX); Knowledge transfer and integration (TR); Inbound open innovation practices (IP); Outbound open innovation practices (OP); Market effectiveness (ME); Profitability (P)</w:t>
      </w:r>
    </w:p>
    <w:p w14:paraId="19B342EA" w14:textId="77777777" w:rsidR="005976AB" w:rsidRPr="005635E7" w:rsidRDefault="005976AB" w:rsidP="005976AB">
      <w:pPr>
        <w:spacing w:line="480" w:lineRule="auto"/>
        <w:jc w:val="both"/>
        <w:rPr>
          <w:rFonts w:asciiTheme="majorBidi" w:hAnsiTheme="majorBidi" w:cstheme="majorBidi"/>
        </w:rPr>
        <w:sectPr w:rsidR="005976AB" w:rsidRPr="005635E7" w:rsidSect="00C76B21">
          <w:pgSz w:w="16838" w:h="11906" w:orient="landscape"/>
          <w:pgMar w:top="1440" w:right="1440" w:bottom="1440" w:left="1440" w:header="708" w:footer="708" w:gutter="0"/>
          <w:cols w:space="708"/>
          <w:docGrid w:linePitch="360"/>
        </w:sectPr>
      </w:pPr>
    </w:p>
    <w:p w14:paraId="0D1AC2FC"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The outcomes of direct hypothesis testing are shown in Table 4.6. As IP and OP, which reflect</w:t>
      </w:r>
      <w:r>
        <w:rPr>
          <w:rFonts w:asciiTheme="majorBidi" w:hAnsiTheme="majorBidi" w:cstheme="majorBidi"/>
        </w:rPr>
        <w:t>ed</w:t>
      </w:r>
      <w:r w:rsidRPr="005635E7">
        <w:rPr>
          <w:rFonts w:asciiTheme="majorBidi" w:hAnsiTheme="majorBidi" w:cstheme="majorBidi"/>
        </w:rPr>
        <w:t xml:space="preserve"> IP, were both impacted by OLC (β = 0.217; t = 3.522, p &lt; 0.05 and = 0.325; t = 2.773, p &lt; 0.05</w:t>
      </w:r>
      <w:r w:rsidRPr="00D73F8E">
        <w:rPr>
          <w:rFonts w:asciiTheme="majorBidi" w:hAnsiTheme="majorBidi" w:cstheme="majorBidi"/>
        </w:rPr>
        <w:t>), supporting H1a and H1b, there was a positive association between OLC and OI. In a similar manner, IP also had an effect on ME and P (β = 0.298; t = 5.421, p &lt; 0.05 and β = 0.256; t = 4.382, p &lt; 0.05), supporting H2a and H2b. However, OP had no discernible effect on ME (β = 0.103; t = 1.445, p &gt; 0.05), but OP and P had a discernible association. Thus, H2c is rejected</w:t>
      </w:r>
      <w:r w:rsidRPr="00D73F8E">
        <w:rPr>
          <w:rFonts w:ascii="Times New Roman" w:eastAsia="Calibri" w:hAnsi="Times New Roman" w:cs="Times New Roman"/>
        </w:rPr>
        <w:t xml:space="preserve">, whereas H2d </w:t>
      </w:r>
      <w:r w:rsidRPr="00D73F8E">
        <w:rPr>
          <w:rFonts w:asciiTheme="majorBidi" w:hAnsiTheme="majorBidi" w:cstheme="majorBidi"/>
        </w:rPr>
        <w:t>is supported.</w:t>
      </w:r>
    </w:p>
    <w:p w14:paraId="56B6E4F5" w14:textId="77777777" w:rsidR="005976AB" w:rsidRPr="005635E7" w:rsidRDefault="005976AB" w:rsidP="005976AB">
      <w:pPr>
        <w:pStyle w:val="Heading3"/>
        <w:spacing w:after="240"/>
        <w:rPr>
          <w:rFonts w:asciiTheme="majorBidi" w:hAnsiTheme="majorBidi"/>
          <w:b/>
          <w:bCs/>
          <w:color w:val="auto"/>
        </w:rPr>
      </w:pPr>
      <w:bookmarkStart w:id="111" w:name="_Toc115310412"/>
      <w:r w:rsidRPr="005635E7">
        <w:rPr>
          <w:rFonts w:asciiTheme="majorBidi" w:hAnsiTheme="majorBidi"/>
          <w:b/>
          <w:bCs/>
          <w:color w:val="auto"/>
        </w:rPr>
        <w:t>4.4.2 Testing for Indirect Hypotheses</w:t>
      </w:r>
      <w:bookmarkEnd w:id="111"/>
    </w:p>
    <w:p w14:paraId="417A79AC" w14:textId="77777777" w:rsidR="005976AB" w:rsidRPr="005635E7" w:rsidRDefault="005976AB" w:rsidP="005976AB">
      <w:pPr>
        <w:autoSpaceDE w:val="0"/>
        <w:autoSpaceDN w:val="0"/>
        <w:adjustRightInd w:val="0"/>
        <w:spacing w:after="240" w:line="480" w:lineRule="auto"/>
        <w:jc w:val="both"/>
        <w:rPr>
          <w:rFonts w:ascii="Times New Roman" w:hAnsi="Times New Roman" w:cs="Times New Roman"/>
        </w:rPr>
      </w:pPr>
      <w:r w:rsidRPr="005635E7">
        <w:rPr>
          <w:rFonts w:ascii="Times New Roman" w:hAnsi="Times New Roman" w:cs="Times New Roman"/>
        </w:rPr>
        <w:t xml:space="preserve">Assessing the indirect associations between latent variables such as OLC, IP, OP, M, and P was another critical assessment in this study. These indirect associations were examined by conducting a mediation analysis. Based on the conceptual framework of the current study, the mediating effects of IP and OP </w:t>
      </w:r>
      <w:r>
        <w:rPr>
          <w:rFonts w:ascii="Times New Roman" w:hAnsi="Times New Roman" w:cs="Times New Roman"/>
        </w:rPr>
        <w:t>was</w:t>
      </w:r>
      <w:r w:rsidRPr="005635E7">
        <w:rPr>
          <w:rFonts w:ascii="Times New Roman" w:hAnsi="Times New Roman" w:cs="Times New Roman"/>
        </w:rPr>
        <w:t xml:space="preserve"> proposed in the relationships between OLC and M, and </w:t>
      </w:r>
      <w:r w:rsidRPr="005635E7">
        <w:rPr>
          <w:rFonts w:ascii="Times New Roman" w:eastAsia="Calibri" w:hAnsi="Times New Roman" w:cs="Times New Roman"/>
        </w:rPr>
        <w:t>between OLC and P</w:t>
      </w:r>
      <w:r w:rsidRPr="005635E7">
        <w:rPr>
          <w:rFonts w:ascii="Times New Roman" w:hAnsi="Times New Roman" w:cs="Times New Roman"/>
        </w:rPr>
        <w:t>.</w:t>
      </w:r>
    </w:p>
    <w:p w14:paraId="129AA031"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The results of testing the indirect hypotheses are presented in Table 4.8. Both ME and P were affected by OLC (β = </w:t>
      </w:r>
      <w:r w:rsidRPr="005635E7">
        <w:rPr>
          <w:rFonts w:asciiTheme="majorBidi" w:eastAsia="Times New Roman" w:hAnsiTheme="majorBidi" w:cstheme="majorBidi"/>
          <w:lang w:eastAsia="en-GB"/>
        </w:rPr>
        <w:t xml:space="preserve">0.065; </w:t>
      </w:r>
      <w:r w:rsidRPr="005635E7">
        <w:rPr>
          <w:rFonts w:asciiTheme="majorBidi" w:hAnsiTheme="majorBidi" w:cstheme="majorBidi"/>
        </w:rPr>
        <w:t xml:space="preserve">t </w:t>
      </w:r>
      <w:r w:rsidRPr="00D73F8E">
        <w:rPr>
          <w:rFonts w:asciiTheme="majorBidi" w:hAnsiTheme="majorBidi" w:cstheme="majorBidi"/>
        </w:rPr>
        <w:t>= 2.579, p &lt; 0.05 for ME and β = 0.055; t = 2.164, p &lt; 0.05 for P) via IP. Thus, H31 and H3b are supported, suggesting IP mediates the relationship between OLC and ME, as well as OLC and P. Nonetheless, both</w:t>
      </w:r>
      <w:r w:rsidRPr="005635E7">
        <w:rPr>
          <w:rFonts w:asciiTheme="majorBidi" w:hAnsiTheme="majorBidi" w:cstheme="majorBidi"/>
        </w:rPr>
        <w:t xml:space="preserve"> ME and P were not indirectly affected by OLC (β = </w:t>
      </w:r>
      <w:r w:rsidRPr="005635E7">
        <w:rPr>
          <w:rFonts w:asciiTheme="majorBidi" w:eastAsia="Times New Roman" w:hAnsiTheme="majorBidi" w:cstheme="majorBidi"/>
          <w:lang w:eastAsia="en-GB"/>
        </w:rPr>
        <w:t xml:space="preserve">0.033; </w:t>
      </w:r>
      <w:r w:rsidRPr="005635E7">
        <w:rPr>
          <w:rFonts w:asciiTheme="majorBidi" w:hAnsiTheme="majorBidi" w:cstheme="majorBidi"/>
        </w:rPr>
        <w:t xml:space="preserve">t = 1.322, p &gt;0.05 and β = 0.053; t = 1.652, p &gt; 0.05) through OP. Hence, H3c and H3d are rejected, implying </w:t>
      </w:r>
      <w:r w:rsidRPr="005635E7">
        <w:rPr>
          <w:rFonts w:ascii="Times New Roman" w:eastAsia="Calibri" w:hAnsi="Times New Roman" w:cs="Times New Roman"/>
        </w:rPr>
        <w:t>that the relationship between OLC</w:t>
      </w:r>
      <w:r w:rsidRPr="005635E7">
        <w:rPr>
          <w:rFonts w:asciiTheme="majorBidi" w:hAnsiTheme="majorBidi" w:cstheme="majorBidi"/>
        </w:rPr>
        <w:t>, ME, OLC</w:t>
      </w:r>
      <w:r w:rsidRPr="005635E7">
        <w:rPr>
          <w:rFonts w:ascii="Times New Roman" w:eastAsia="Calibri" w:hAnsi="Times New Roman" w:cs="Times New Roman"/>
        </w:rPr>
        <w:t xml:space="preserve">, and P </w:t>
      </w:r>
      <w:r w:rsidRPr="005635E7">
        <w:rPr>
          <w:rFonts w:asciiTheme="majorBidi" w:hAnsiTheme="majorBidi" w:cstheme="majorBidi"/>
        </w:rPr>
        <w:t>is not mediated by OP.</w:t>
      </w:r>
    </w:p>
    <w:p w14:paraId="51003012" w14:textId="77777777" w:rsidR="005976AB" w:rsidRPr="005635E7" w:rsidRDefault="005976AB" w:rsidP="005976AB">
      <w:pPr>
        <w:pStyle w:val="Caption"/>
        <w:rPr>
          <w:rFonts w:asciiTheme="majorBidi" w:hAnsiTheme="majorBidi" w:cstheme="majorBidi"/>
          <w:i w:val="0"/>
          <w:iCs w:val="0"/>
          <w:color w:val="auto"/>
          <w:sz w:val="24"/>
          <w:szCs w:val="24"/>
        </w:rPr>
      </w:pPr>
      <w:bookmarkStart w:id="112" w:name="_Toc126377966"/>
      <w:r w:rsidRPr="005635E7">
        <w:rPr>
          <w:rFonts w:asciiTheme="majorBidi" w:hAnsiTheme="majorBidi" w:cstheme="majorBidi"/>
          <w:i w:val="0"/>
          <w:iCs w:val="0"/>
          <w:color w:val="auto"/>
          <w:sz w:val="24"/>
          <w:szCs w:val="24"/>
        </w:rPr>
        <w:t>Table 4.</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SEQ Table \* ARABIC \s 1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rPr>
        <w:t>8</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 xml:space="preserve">: Path coefficients of </w:t>
      </w:r>
      <w:r>
        <w:rPr>
          <w:rFonts w:asciiTheme="majorBidi" w:hAnsiTheme="majorBidi" w:cstheme="majorBidi"/>
          <w:i w:val="0"/>
          <w:iCs w:val="0"/>
          <w:color w:val="auto"/>
          <w:sz w:val="24"/>
          <w:szCs w:val="24"/>
        </w:rPr>
        <w:t xml:space="preserve">the </w:t>
      </w:r>
      <w:r w:rsidRPr="005635E7">
        <w:rPr>
          <w:rFonts w:asciiTheme="majorBidi" w:hAnsiTheme="majorBidi" w:cstheme="majorBidi"/>
          <w:i w:val="0"/>
          <w:iCs w:val="0"/>
          <w:color w:val="auto"/>
          <w:sz w:val="24"/>
          <w:szCs w:val="24"/>
        </w:rPr>
        <w:t>indirect effect</w:t>
      </w:r>
      <w:bookmarkEnd w:id="112"/>
    </w:p>
    <w:tbl>
      <w:tblPr>
        <w:tblStyle w:val="TableGrid"/>
        <w:tblW w:w="5000" w:type="pct"/>
        <w:tblLook w:val="04A0" w:firstRow="1" w:lastRow="0" w:firstColumn="1" w:lastColumn="0" w:noHBand="0" w:noVBand="1"/>
      </w:tblPr>
      <w:tblGrid>
        <w:gridCol w:w="1929"/>
        <w:gridCol w:w="1206"/>
        <w:gridCol w:w="876"/>
        <w:gridCol w:w="1084"/>
        <w:gridCol w:w="1012"/>
        <w:gridCol w:w="999"/>
        <w:gridCol w:w="1910"/>
      </w:tblGrid>
      <w:tr w:rsidR="005976AB" w:rsidRPr="005635E7" w14:paraId="3F925723" w14:textId="77777777" w:rsidTr="009E2F41">
        <w:trPr>
          <w:trHeight w:val="782"/>
        </w:trPr>
        <w:tc>
          <w:tcPr>
            <w:tcW w:w="1070" w:type="pct"/>
            <w:hideMark/>
          </w:tcPr>
          <w:p w14:paraId="0F410C3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Indirect Effect</w:t>
            </w:r>
          </w:p>
        </w:tc>
        <w:tc>
          <w:tcPr>
            <w:tcW w:w="669" w:type="pct"/>
            <w:hideMark/>
          </w:tcPr>
          <w:p w14:paraId="4D7D6B9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Path Coefficient</w:t>
            </w:r>
          </w:p>
        </w:tc>
        <w:tc>
          <w:tcPr>
            <w:tcW w:w="486" w:type="pct"/>
            <w:hideMark/>
          </w:tcPr>
          <w:p w14:paraId="5F9698F6"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Sample Mean</w:t>
            </w:r>
          </w:p>
        </w:tc>
        <w:tc>
          <w:tcPr>
            <w:tcW w:w="601" w:type="pct"/>
            <w:hideMark/>
          </w:tcPr>
          <w:p w14:paraId="2F770C4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Standard Deviation</w:t>
            </w:r>
          </w:p>
        </w:tc>
        <w:tc>
          <w:tcPr>
            <w:tcW w:w="561" w:type="pct"/>
            <w:hideMark/>
          </w:tcPr>
          <w:p w14:paraId="051EE3C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T Statistics</w:t>
            </w:r>
          </w:p>
        </w:tc>
        <w:tc>
          <w:tcPr>
            <w:tcW w:w="554" w:type="pct"/>
            <w:hideMark/>
          </w:tcPr>
          <w:p w14:paraId="0D13FC1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P Values</w:t>
            </w:r>
          </w:p>
        </w:tc>
        <w:tc>
          <w:tcPr>
            <w:tcW w:w="1060" w:type="pct"/>
          </w:tcPr>
          <w:p w14:paraId="52B9DE4F"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 xml:space="preserve">Hypothesis testing </w:t>
            </w:r>
          </w:p>
        </w:tc>
      </w:tr>
      <w:tr w:rsidR="005976AB" w:rsidRPr="005635E7" w14:paraId="3FFFEA06" w14:textId="77777777" w:rsidTr="009E2F41">
        <w:trPr>
          <w:trHeight w:val="300"/>
        </w:trPr>
        <w:tc>
          <w:tcPr>
            <w:tcW w:w="1070" w:type="pct"/>
            <w:noWrap/>
            <w:hideMark/>
          </w:tcPr>
          <w:p w14:paraId="6C25BCC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OLC -&gt; IP -&gt; ME</w:t>
            </w:r>
          </w:p>
        </w:tc>
        <w:tc>
          <w:tcPr>
            <w:tcW w:w="669" w:type="pct"/>
            <w:noWrap/>
            <w:hideMark/>
          </w:tcPr>
          <w:p w14:paraId="7EC7B05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0.065</w:t>
            </w:r>
          </w:p>
        </w:tc>
        <w:tc>
          <w:tcPr>
            <w:tcW w:w="486" w:type="pct"/>
            <w:noWrap/>
            <w:hideMark/>
          </w:tcPr>
          <w:p w14:paraId="4DC53DFE"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0.067</w:t>
            </w:r>
          </w:p>
        </w:tc>
        <w:tc>
          <w:tcPr>
            <w:tcW w:w="601" w:type="pct"/>
            <w:noWrap/>
            <w:hideMark/>
          </w:tcPr>
          <w:p w14:paraId="22E81643"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0.025</w:t>
            </w:r>
          </w:p>
        </w:tc>
        <w:tc>
          <w:tcPr>
            <w:tcW w:w="561" w:type="pct"/>
            <w:noWrap/>
            <w:hideMark/>
          </w:tcPr>
          <w:p w14:paraId="3CAACBC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2.579</w:t>
            </w:r>
          </w:p>
        </w:tc>
        <w:tc>
          <w:tcPr>
            <w:tcW w:w="554" w:type="pct"/>
            <w:noWrap/>
            <w:hideMark/>
          </w:tcPr>
          <w:p w14:paraId="7F58570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0.010</w:t>
            </w:r>
          </w:p>
        </w:tc>
        <w:tc>
          <w:tcPr>
            <w:tcW w:w="1060" w:type="pct"/>
          </w:tcPr>
          <w:p w14:paraId="7B106BAE" w14:textId="77777777" w:rsidR="005976AB" w:rsidRPr="00D73F8E" w:rsidRDefault="005976AB" w:rsidP="009E2F41">
            <w:pPr>
              <w:jc w:val="both"/>
              <w:rPr>
                <w:rFonts w:asciiTheme="majorBidi" w:eastAsia="Times New Roman" w:hAnsiTheme="majorBidi" w:cstheme="majorBidi"/>
                <w:sz w:val="22"/>
                <w:szCs w:val="22"/>
                <w:lang w:eastAsia="en-GB"/>
              </w:rPr>
            </w:pPr>
            <w:r w:rsidRPr="00D73F8E">
              <w:rPr>
                <w:rFonts w:asciiTheme="majorBidi" w:eastAsia="Times New Roman" w:hAnsiTheme="majorBidi" w:cstheme="majorBidi"/>
                <w:sz w:val="22"/>
                <w:szCs w:val="22"/>
                <w:lang w:eastAsia="en-GB"/>
              </w:rPr>
              <w:t>H3a: Supported</w:t>
            </w:r>
          </w:p>
        </w:tc>
      </w:tr>
      <w:tr w:rsidR="005976AB" w:rsidRPr="005635E7" w14:paraId="61D0CCA7" w14:textId="77777777" w:rsidTr="009E2F41">
        <w:trPr>
          <w:trHeight w:val="315"/>
        </w:trPr>
        <w:tc>
          <w:tcPr>
            <w:tcW w:w="1070" w:type="pct"/>
            <w:noWrap/>
            <w:hideMark/>
          </w:tcPr>
          <w:p w14:paraId="57C1ACB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OLC -&gt; IP -&gt; P</w:t>
            </w:r>
          </w:p>
        </w:tc>
        <w:tc>
          <w:tcPr>
            <w:tcW w:w="669" w:type="pct"/>
            <w:noWrap/>
            <w:hideMark/>
          </w:tcPr>
          <w:p w14:paraId="3C0CB03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0.055</w:t>
            </w:r>
          </w:p>
        </w:tc>
        <w:tc>
          <w:tcPr>
            <w:tcW w:w="486" w:type="pct"/>
            <w:noWrap/>
            <w:hideMark/>
          </w:tcPr>
          <w:p w14:paraId="4DD11AD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0.060</w:t>
            </w:r>
          </w:p>
        </w:tc>
        <w:tc>
          <w:tcPr>
            <w:tcW w:w="601" w:type="pct"/>
            <w:noWrap/>
            <w:hideMark/>
          </w:tcPr>
          <w:p w14:paraId="69FFF41C"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0.026</w:t>
            </w:r>
          </w:p>
        </w:tc>
        <w:tc>
          <w:tcPr>
            <w:tcW w:w="561" w:type="pct"/>
            <w:noWrap/>
            <w:hideMark/>
          </w:tcPr>
          <w:p w14:paraId="1B44CAF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2.164</w:t>
            </w:r>
          </w:p>
        </w:tc>
        <w:tc>
          <w:tcPr>
            <w:tcW w:w="554" w:type="pct"/>
            <w:noWrap/>
            <w:hideMark/>
          </w:tcPr>
          <w:p w14:paraId="392C063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0.031</w:t>
            </w:r>
          </w:p>
        </w:tc>
        <w:tc>
          <w:tcPr>
            <w:tcW w:w="1060" w:type="pct"/>
          </w:tcPr>
          <w:p w14:paraId="68F6DEDE" w14:textId="77777777" w:rsidR="005976AB" w:rsidRPr="00D73F8E" w:rsidRDefault="005976AB" w:rsidP="009E2F41">
            <w:pPr>
              <w:jc w:val="both"/>
              <w:rPr>
                <w:rFonts w:asciiTheme="majorBidi" w:eastAsia="Times New Roman" w:hAnsiTheme="majorBidi" w:cstheme="majorBidi"/>
                <w:sz w:val="22"/>
                <w:szCs w:val="22"/>
                <w:lang w:eastAsia="en-GB"/>
              </w:rPr>
            </w:pPr>
            <w:r w:rsidRPr="00D73F8E">
              <w:rPr>
                <w:rFonts w:asciiTheme="majorBidi" w:eastAsia="Times New Roman" w:hAnsiTheme="majorBidi" w:cstheme="majorBidi"/>
                <w:sz w:val="22"/>
                <w:szCs w:val="22"/>
                <w:lang w:eastAsia="en-GB"/>
              </w:rPr>
              <w:t>H3b: Supported</w:t>
            </w:r>
          </w:p>
        </w:tc>
      </w:tr>
      <w:tr w:rsidR="005976AB" w:rsidRPr="005635E7" w14:paraId="6A22A713" w14:textId="77777777" w:rsidTr="009E2F41">
        <w:trPr>
          <w:trHeight w:val="300"/>
        </w:trPr>
        <w:tc>
          <w:tcPr>
            <w:tcW w:w="1070" w:type="pct"/>
            <w:noWrap/>
            <w:hideMark/>
          </w:tcPr>
          <w:p w14:paraId="224812FD"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OLC -&gt; OP -&gt; ME</w:t>
            </w:r>
          </w:p>
        </w:tc>
        <w:tc>
          <w:tcPr>
            <w:tcW w:w="669" w:type="pct"/>
            <w:noWrap/>
            <w:hideMark/>
          </w:tcPr>
          <w:p w14:paraId="420D321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0.033</w:t>
            </w:r>
          </w:p>
        </w:tc>
        <w:tc>
          <w:tcPr>
            <w:tcW w:w="486" w:type="pct"/>
            <w:noWrap/>
            <w:hideMark/>
          </w:tcPr>
          <w:p w14:paraId="0F47E02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0.035</w:t>
            </w:r>
          </w:p>
        </w:tc>
        <w:tc>
          <w:tcPr>
            <w:tcW w:w="601" w:type="pct"/>
            <w:noWrap/>
            <w:hideMark/>
          </w:tcPr>
          <w:p w14:paraId="536EB6F8"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0.025</w:t>
            </w:r>
          </w:p>
        </w:tc>
        <w:tc>
          <w:tcPr>
            <w:tcW w:w="561" w:type="pct"/>
            <w:noWrap/>
            <w:hideMark/>
          </w:tcPr>
          <w:p w14:paraId="596E258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1.322</w:t>
            </w:r>
          </w:p>
        </w:tc>
        <w:tc>
          <w:tcPr>
            <w:tcW w:w="554" w:type="pct"/>
            <w:noWrap/>
            <w:hideMark/>
          </w:tcPr>
          <w:p w14:paraId="71A29949"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0.186</w:t>
            </w:r>
          </w:p>
        </w:tc>
        <w:tc>
          <w:tcPr>
            <w:tcW w:w="1060" w:type="pct"/>
          </w:tcPr>
          <w:p w14:paraId="05DF7F48" w14:textId="77777777" w:rsidR="005976AB" w:rsidRPr="00D73F8E" w:rsidRDefault="005976AB" w:rsidP="009E2F41">
            <w:pPr>
              <w:jc w:val="both"/>
              <w:rPr>
                <w:rFonts w:asciiTheme="majorBidi" w:eastAsia="Times New Roman" w:hAnsiTheme="majorBidi" w:cstheme="majorBidi"/>
                <w:sz w:val="22"/>
                <w:szCs w:val="22"/>
                <w:lang w:eastAsia="en-GB"/>
              </w:rPr>
            </w:pPr>
            <w:r w:rsidRPr="00D73F8E">
              <w:rPr>
                <w:rFonts w:asciiTheme="majorBidi" w:eastAsia="Times New Roman" w:hAnsiTheme="majorBidi" w:cstheme="majorBidi"/>
                <w:sz w:val="22"/>
                <w:szCs w:val="22"/>
                <w:lang w:eastAsia="en-GB"/>
              </w:rPr>
              <w:t>H3c: Rejected</w:t>
            </w:r>
          </w:p>
        </w:tc>
      </w:tr>
      <w:tr w:rsidR="005976AB" w:rsidRPr="005635E7" w14:paraId="0AE1ACED" w14:textId="77777777" w:rsidTr="009E2F41">
        <w:trPr>
          <w:trHeight w:val="300"/>
        </w:trPr>
        <w:tc>
          <w:tcPr>
            <w:tcW w:w="1070" w:type="pct"/>
            <w:noWrap/>
            <w:hideMark/>
          </w:tcPr>
          <w:p w14:paraId="4E706D67"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OLC -&gt; OP -&gt; P</w:t>
            </w:r>
          </w:p>
        </w:tc>
        <w:tc>
          <w:tcPr>
            <w:tcW w:w="669" w:type="pct"/>
            <w:noWrap/>
            <w:hideMark/>
          </w:tcPr>
          <w:p w14:paraId="4A21D8A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0.053</w:t>
            </w:r>
          </w:p>
        </w:tc>
        <w:tc>
          <w:tcPr>
            <w:tcW w:w="486" w:type="pct"/>
            <w:noWrap/>
            <w:hideMark/>
          </w:tcPr>
          <w:p w14:paraId="0F81E03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0.059</w:t>
            </w:r>
          </w:p>
        </w:tc>
        <w:tc>
          <w:tcPr>
            <w:tcW w:w="601" w:type="pct"/>
            <w:noWrap/>
            <w:hideMark/>
          </w:tcPr>
          <w:p w14:paraId="0482FAB1"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0.032</w:t>
            </w:r>
          </w:p>
        </w:tc>
        <w:tc>
          <w:tcPr>
            <w:tcW w:w="561" w:type="pct"/>
            <w:noWrap/>
            <w:hideMark/>
          </w:tcPr>
          <w:p w14:paraId="2FD81CF0"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1.652</w:t>
            </w:r>
          </w:p>
        </w:tc>
        <w:tc>
          <w:tcPr>
            <w:tcW w:w="554" w:type="pct"/>
            <w:noWrap/>
            <w:hideMark/>
          </w:tcPr>
          <w:p w14:paraId="10DAE55A"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0.099</w:t>
            </w:r>
          </w:p>
        </w:tc>
        <w:tc>
          <w:tcPr>
            <w:tcW w:w="1060" w:type="pct"/>
          </w:tcPr>
          <w:p w14:paraId="389D7015" w14:textId="77777777" w:rsidR="005976AB" w:rsidRPr="005635E7" w:rsidRDefault="005976AB" w:rsidP="009E2F41">
            <w:pPr>
              <w:jc w:val="both"/>
              <w:rPr>
                <w:rFonts w:asciiTheme="majorBidi" w:eastAsia="Times New Roman" w:hAnsiTheme="majorBidi" w:cstheme="majorBidi"/>
                <w:sz w:val="22"/>
                <w:szCs w:val="22"/>
                <w:lang w:eastAsia="en-GB"/>
              </w:rPr>
            </w:pPr>
            <w:r w:rsidRPr="005635E7">
              <w:rPr>
                <w:rFonts w:asciiTheme="majorBidi" w:eastAsia="Times New Roman" w:hAnsiTheme="majorBidi" w:cstheme="majorBidi"/>
                <w:sz w:val="22"/>
                <w:szCs w:val="22"/>
                <w:lang w:eastAsia="en-GB"/>
              </w:rPr>
              <w:t>H3d: Rejected</w:t>
            </w:r>
          </w:p>
        </w:tc>
      </w:tr>
    </w:tbl>
    <w:p w14:paraId="0EB3A4AA" w14:textId="77777777" w:rsidR="005976AB" w:rsidRPr="005635E7" w:rsidRDefault="005976AB" w:rsidP="005976AB">
      <w:pPr>
        <w:jc w:val="both"/>
        <w:rPr>
          <w:rFonts w:asciiTheme="majorBidi" w:hAnsiTheme="majorBidi" w:cstheme="majorBidi"/>
          <w:i/>
          <w:iCs/>
        </w:rPr>
      </w:pPr>
    </w:p>
    <w:p w14:paraId="1CC0D9D0" w14:textId="77777777" w:rsidR="005976AB" w:rsidRPr="005635E7" w:rsidRDefault="005976AB" w:rsidP="005976AB">
      <w:pPr>
        <w:jc w:val="both"/>
        <w:rPr>
          <w:rFonts w:asciiTheme="majorBidi" w:hAnsiTheme="majorBidi" w:cstheme="majorBidi"/>
          <w:i/>
          <w:iCs/>
        </w:rPr>
      </w:pPr>
      <w:r w:rsidRPr="005635E7">
        <w:rPr>
          <w:rFonts w:asciiTheme="majorBidi" w:hAnsiTheme="majorBidi" w:cstheme="majorBidi"/>
          <w:i/>
          <w:iCs/>
        </w:rPr>
        <w:t>Note: Organizational Learning Capability (OLC); Inbound open innovation practices (IP); Outbound open innovation practices (OP); Market effectiveness (ME); Profitability (P)</w:t>
      </w:r>
    </w:p>
    <w:p w14:paraId="2D70C20D" w14:textId="77777777" w:rsidR="005976AB" w:rsidRPr="005635E7" w:rsidRDefault="005976AB" w:rsidP="005976AB">
      <w:pPr>
        <w:spacing w:line="480" w:lineRule="auto"/>
        <w:jc w:val="both"/>
        <w:rPr>
          <w:rFonts w:asciiTheme="majorBidi" w:hAnsiTheme="majorBidi" w:cstheme="majorBidi"/>
          <w:i/>
          <w:iCs/>
        </w:rPr>
      </w:pPr>
    </w:p>
    <w:p w14:paraId="59D13D1F" w14:textId="77777777" w:rsidR="005976AB" w:rsidRPr="005635E7" w:rsidRDefault="005976AB" w:rsidP="005976AB">
      <w:pPr>
        <w:pStyle w:val="Heading2"/>
        <w:spacing w:before="0" w:after="240"/>
        <w:rPr>
          <w:rFonts w:asciiTheme="majorBidi" w:hAnsiTheme="majorBidi"/>
          <w:b/>
          <w:bCs/>
          <w:color w:val="auto"/>
          <w:sz w:val="28"/>
          <w:szCs w:val="28"/>
        </w:rPr>
      </w:pPr>
      <w:bookmarkStart w:id="113" w:name="_Toc115310413"/>
      <w:r w:rsidRPr="005635E7">
        <w:rPr>
          <w:rFonts w:asciiTheme="majorBidi" w:hAnsiTheme="majorBidi"/>
          <w:b/>
          <w:bCs/>
          <w:color w:val="auto"/>
          <w:sz w:val="28"/>
          <w:szCs w:val="28"/>
        </w:rPr>
        <w:t>4.5 Discussion</w:t>
      </w:r>
      <w:bookmarkEnd w:id="113"/>
    </w:p>
    <w:p w14:paraId="4B22A447"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 results verif</w:t>
      </w:r>
      <w:r>
        <w:rPr>
          <w:rFonts w:asciiTheme="majorBidi" w:hAnsiTheme="majorBidi" w:cstheme="majorBidi"/>
        </w:rPr>
        <w:t>ied</w:t>
      </w:r>
      <w:r w:rsidRPr="005635E7">
        <w:rPr>
          <w:rFonts w:asciiTheme="majorBidi" w:hAnsiTheme="majorBidi" w:cstheme="majorBidi"/>
        </w:rPr>
        <w:t xml:space="preserve"> the linkages between OLC, OI, and FP in the context of manufacturing SMEs in the UAE, as hypothesized. This study examine</w:t>
      </w:r>
      <w:r>
        <w:rPr>
          <w:rFonts w:asciiTheme="majorBidi" w:hAnsiTheme="majorBidi" w:cstheme="majorBidi"/>
        </w:rPr>
        <w:t>d</w:t>
      </w:r>
      <w:r w:rsidRPr="005635E7">
        <w:rPr>
          <w:rFonts w:asciiTheme="majorBidi" w:hAnsiTheme="majorBidi" w:cstheme="majorBidi"/>
        </w:rPr>
        <w:t xml:space="preserve"> a variety of OLC, OI, and FP variables and presents various findings.</w:t>
      </w:r>
    </w:p>
    <w:p w14:paraId="0B0525B7"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The association between OLC and OI with regard to H1a and H1b </w:t>
      </w:r>
      <w:r>
        <w:rPr>
          <w:rFonts w:asciiTheme="majorBidi" w:hAnsiTheme="majorBidi" w:cstheme="majorBidi"/>
        </w:rPr>
        <w:t>was</w:t>
      </w:r>
      <w:r w:rsidRPr="005635E7">
        <w:rPr>
          <w:rFonts w:asciiTheme="majorBidi" w:hAnsiTheme="majorBidi" w:cstheme="majorBidi"/>
        </w:rPr>
        <w:t xml:space="preserve"> empirically evaluated to address the first research question.</w:t>
      </w:r>
    </w:p>
    <w:p w14:paraId="5F84A2DD"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By considering OLC as a second-order formative construct established by four first-order constructs–</w:t>
      </w:r>
      <w:r>
        <w:rPr>
          <w:rFonts w:asciiTheme="majorBidi" w:hAnsiTheme="majorBidi" w:cstheme="majorBidi"/>
        </w:rPr>
        <w:t xml:space="preserve"> MC</w:t>
      </w:r>
      <w:r w:rsidRPr="005635E7">
        <w:rPr>
          <w:rFonts w:asciiTheme="majorBidi" w:hAnsiTheme="majorBidi" w:cstheme="majorBidi"/>
        </w:rPr>
        <w:t xml:space="preserve">, </w:t>
      </w:r>
      <w:r>
        <w:rPr>
          <w:rFonts w:asciiTheme="majorBidi" w:hAnsiTheme="majorBidi" w:cstheme="majorBidi"/>
        </w:rPr>
        <w:t>SP</w:t>
      </w:r>
      <w:r w:rsidRPr="005635E7">
        <w:rPr>
          <w:rFonts w:asciiTheme="majorBidi" w:hAnsiTheme="majorBidi" w:cstheme="majorBidi"/>
        </w:rPr>
        <w:t xml:space="preserve">, </w:t>
      </w:r>
      <w:r>
        <w:rPr>
          <w:rFonts w:asciiTheme="majorBidi" w:hAnsiTheme="majorBidi" w:cstheme="majorBidi"/>
        </w:rPr>
        <w:t>EX, and TR</w:t>
      </w:r>
      <w:r w:rsidRPr="005635E7">
        <w:rPr>
          <w:rFonts w:asciiTheme="majorBidi" w:hAnsiTheme="majorBidi" w:cstheme="majorBidi"/>
        </w:rPr>
        <w:t>–</w:t>
      </w:r>
      <w:r>
        <w:rPr>
          <w:rFonts w:asciiTheme="majorBidi" w:hAnsiTheme="majorBidi" w:cstheme="majorBidi"/>
        </w:rPr>
        <w:t xml:space="preserve"> </w:t>
      </w:r>
      <w:r w:rsidRPr="005635E7">
        <w:rPr>
          <w:rFonts w:asciiTheme="majorBidi" w:hAnsiTheme="majorBidi" w:cstheme="majorBidi"/>
        </w:rPr>
        <w:t xml:space="preserve">which were significant in explaining OLC, the regression paths between OLC and </w:t>
      </w:r>
      <w:r w:rsidRPr="005635E7">
        <w:rPr>
          <w:rFonts w:ascii="Times New Roman" w:eastAsia="Calibri" w:hAnsi="Times New Roman" w:cs="Times New Roman"/>
        </w:rPr>
        <w:t xml:space="preserve">the two dimensions of OI (i.e., IP and OP) were analyzed using </w:t>
      </w:r>
      <w:r w:rsidRPr="005635E7">
        <w:rPr>
          <w:rFonts w:asciiTheme="majorBidi" w:hAnsiTheme="majorBidi" w:cstheme="majorBidi"/>
        </w:rPr>
        <w:t>SmartPLS 3 (Table 4.8).</w:t>
      </w:r>
    </w:p>
    <w:p w14:paraId="7E68D9C3" w14:textId="3199ED73"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According to Jerez-Gómez et al. (2005), the four dimensions of </w:t>
      </w:r>
      <w:r>
        <w:rPr>
          <w:rFonts w:asciiTheme="majorBidi" w:hAnsiTheme="majorBidi" w:cstheme="majorBidi"/>
        </w:rPr>
        <w:t>MC</w:t>
      </w:r>
      <w:r w:rsidRPr="005635E7">
        <w:rPr>
          <w:rFonts w:asciiTheme="majorBidi" w:hAnsiTheme="majorBidi" w:cstheme="majorBidi"/>
        </w:rPr>
        <w:t xml:space="preserve">, </w:t>
      </w:r>
      <w:r>
        <w:rPr>
          <w:rFonts w:asciiTheme="majorBidi" w:hAnsiTheme="majorBidi" w:cstheme="majorBidi"/>
        </w:rPr>
        <w:t>SP</w:t>
      </w:r>
      <w:r w:rsidRPr="005635E7">
        <w:rPr>
          <w:rFonts w:asciiTheme="majorBidi" w:hAnsiTheme="majorBidi" w:cstheme="majorBidi"/>
        </w:rPr>
        <w:t xml:space="preserve">, </w:t>
      </w:r>
      <w:r>
        <w:rPr>
          <w:rFonts w:asciiTheme="majorBidi" w:hAnsiTheme="majorBidi" w:cstheme="majorBidi"/>
        </w:rPr>
        <w:t>EX, and TR</w:t>
      </w:r>
      <w:r w:rsidRPr="005635E7">
        <w:rPr>
          <w:rFonts w:asciiTheme="majorBidi" w:hAnsiTheme="majorBidi" w:cstheme="majorBidi"/>
        </w:rPr>
        <w:t xml:space="preserve"> (internal and external) can be used to categorize the critical factors for developing OLC that moderate OI efficacy. These crucial elements of the OLC that </w:t>
      </w:r>
      <w:r w:rsidR="006E5500">
        <w:rPr>
          <w:rFonts w:asciiTheme="majorBidi" w:hAnsiTheme="majorBidi" w:cstheme="majorBidi"/>
        </w:rPr>
        <w:t xml:space="preserve">relates with </w:t>
      </w:r>
      <w:r w:rsidRPr="005635E7">
        <w:rPr>
          <w:rFonts w:asciiTheme="majorBidi" w:hAnsiTheme="majorBidi" w:cstheme="majorBidi"/>
        </w:rPr>
        <w:t xml:space="preserve">OI have also </w:t>
      </w:r>
      <w:r w:rsidRPr="005635E7">
        <w:rPr>
          <w:rFonts w:ascii="Times New Roman" w:eastAsia="Calibri" w:hAnsi="Times New Roman" w:cs="Times New Roman"/>
        </w:rPr>
        <w:t xml:space="preserve">been mentioned in the literature on innovation. For instance, Ritter </w:t>
      </w:r>
      <w:r w:rsidRPr="005635E7">
        <w:rPr>
          <w:rFonts w:asciiTheme="majorBidi" w:hAnsiTheme="majorBidi" w:cstheme="majorBidi"/>
        </w:rPr>
        <w:t>and Gemünden (2004) emphasize the importance of a corporate strategy with distinct innovation objectives. Leadership and trust are essential for creating a climate that encourages regular learning and production of new resources (Kutvonen, 2011; Pablo et al., 2007; Chakravarthy &amp; Gargiulo, 1998)</w:t>
      </w:r>
      <w:r>
        <w:rPr>
          <w:rFonts w:asciiTheme="majorBidi" w:hAnsiTheme="majorBidi" w:cstheme="majorBidi"/>
        </w:rPr>
        <w:t xml:space="preserve"> t</w:t>
      </w:r>
      <w:r w:rsidRPr="005635E7">
        <w:rPr>
          <w:rFonts w:asciiTheme="majorBidi" w:hAnsiTheme="majorBidi" w:cstheme="majorBidi"/>
        </w:rPr>
        <w:t xml:space="preserve">o examine the effects of </w:t>
      </w:r>
      <w:r w:rsidRPr="005635E7">
        <w:rPr>
          <w:rFonts w:ascii="Times New Roman" w:eastAsia="Calibri" w:hAnsi="Times New Roman" w:cs="Times New Roman"/>
        </w:rPr>
        <w:t xml:space="preserve">the OLC on innovation, managers' support, and boundary-spanning leadership (Fleming &amp; Waguespack, 2007; Naqshbandi &amp; </w:t>
      </w:r>
      <w:r w:rsidRPr="005635E7">
        <w:rPr>
          <w:rFonts w:asciiTheme="majorBidi" w:hAnsiTheme="majorBidi" w:cstheme="majorBidi"/>
        </w:rPr>
        <w:t>Tabche, 2018), corporate culture regarding autonomy and participation in organizational decision</w:t>
      </w:r>
      <w:r>
        <w:rPr>
          <w:rFonts w:asciiTheme="majorBidi" w:hAnsiTheme="majorBidi" w:cstheme="majorBidi"/>
        </w:rPr>
        <w:t>-</w:t>
      </w:r>
      <w:r w:rsidRPr="005635E7">
        <w:rPr>
          <w:rFonts w:asciiTheme="majorBidi" w:hAnsiTheme="majorBidi" w:cstheme="majorBidi"/>
        </w:rPr>
        <w:t>making, employee training, clear strategic innovation objectives, innovation-related activities</w:t>
      </w:r>
      <w:r w:rsidRPr="005635E7">
        <w:rPr>
          <w:rFonts w:ascii="Times New Roman" w:eastAsia="Calibri" w:hAnsi="Times New Roman" w:cs="Times New Roman"/>
        </w:rPr>
        <w:t>, and procedures encouraging experimentation and supporting risk-taking (</w:t>
      </w:r>
      <w:r w:rsidRPr="005635E7">
        <w:rPr>
          <w:rFonts w:asciiTheme="majorBidi" w:hAnsiTheme="majorBidi" w:cstheme="majorBidi"/>
        </w:rPr>
        <w:t>Chiva et al., 2007; West et al., 2006), clear strategic innovation objectives</w:t>
      </w:r>
      <w:r>
        <w:rPr>
          <w:rFonts w:asciiTheme="majorBidi" w:hAnsiTheme="majorBidi" w:cstheme="majorBidi"/>
        </w:rPr>
        <w:t>,</w:t>
      </w:r>
      <w:r w:rsidRPr="005635E7">
        <w:rPr>
          <w:rFonts w:asciiTheme="majorBidi" w:hAnsiTheme="majorBidi" w:cstheme="majorBidi"/>
        </w:rPr>
        <w:t xml:space="preserve"> and innovation-related activities and procedures (Flem</w:t>
      </w:r>
      <w:r>
        <w:rPr>
          <w:rFonts w:asciiTheme="majorBidi" w:hAnsiTheme="majorBidi" w:cstheme="majorBidi"/>
        </w:rPr>
        <w:t xml:space="preserve"> </w:t>
      </w:r>
      <w:r w:rsidRPr="005635E7">
        <w:rPr>
          <w:rFonts w:asciiTheme="majorBidi" w:hAnsiTheme="majorBidi" w:cstheme="majorBidi"/>
        </w:rPr>
        <w:t xml:space="preserve">&amp; Waguespack, 2007; Naqshbandi &amp; Tabche, 2018). However, no study has examined the direct impact of all </w:t>
      </w:r>
      <w:r w:rsidRPr="005635E7">
        <w:rPr>
          <w:rFonts w:ascii="Times New Roman" w:eastAsia="Calibri" w:hAnsi="Times New Roman" w:cs="Times New Roman"/>
        </w:rPr>
        <w:t xml:space="preserve">the four OLC </w:t>
      </w:r>
      <w:r w:rsidRPr="005635E7">
        <w:rPr>
          <w:rFonts w:asciiTheme="majorBidi" w:hAnsiTheme="majorBidi" w:cstheme="majorBidi"/>
        </w:rPr>
        <w:t xml:space="preserve">dimensions combined on OI and its two facets (IP and OP) (Jerez-Gómez et al., 2005). Therefore, this is the first empirical study to specifically examine the impact of </w:t>
      </w:r>
      <w:r w:rsidRPr="005635E7">
        <w:rPr>
          <w:rFonts w:ascii="Times New Roman" w:eastAsia="Calibri" w:hAnsi="Times New Roman" w:cs="Times New Roman"/>
        </w:rPr>
        <w:t xml:space="preserve">the OLC on various categories of OI, </w:t>
      </w:r>
      <w:r w:rsidRPr="005635E7">
        <w:rPr>
          <w:rFonts w:asciiTheme="majorBidi" w:hAnsiTheme="majorBidi" w:cstheme="majorBidi"/>
        </w:rPr>
        <w:t>such as IP and OP, particularly in the context of SMEs in emerging nations.</w:t>
      </w:r>
    </w:p>
    <w:p w14:paraId="17771A1C"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Accordingly, the findings of this study revealed that OI in terms of IP and OP was substantially associated with the four characteristics of OLC. This result is at odds with Severoni and Muldoon's (2019) discovery of a reverse relationship between intellectual property and organizational learning processes and with Naqshbandi and Tabche's (2018) failure to detect an interaction between organizational learning and OI. Although prior empirical studies (Jim</w:t>
      </w:r>
      <w:r>
        <w:rPr>
          <w:rFonts w:asciiTheme="majorBidi" w:hAnsiTheme="majorBidi" w:cstheme="majorBidi"/>
        </w:rPr>
        <w:t>é</w:t>
      </w:r>
      <w:r w:rsidRPr="005635E7">
        <w:rPr>
          <w:rFonts w:asciiTheme="majorBidi" w:hAnsiTheme="majorBidi" w:cstheme="majorBidi"/>
        </w:rPr>
        <w:t>nez-Jim</w:t>
      </w:r>
      <w:r>
        <w:rPr>
          <w:rFonts w:asciiTheme="majorBidi" w:hAnsiTheme="majorBidi" w:cstheme="majorBidi"/>
        </w:rPr>
        <w:t>é</w:t>
      </w:r>
      <w:r w:rsidRPr="005635E7">
        <w:rPr>
          <w:rFonts w:asciiTheme="majorBidi" w:hAnsiTheme="majorBidi" w:cstheme="majorBidi"/>
        </w:rPr>
        <w:t>nez et al., 2008; Wu &amp; Fang, 2010) support the association between effective organizational learning and organizational innovation, little research connects OLC and OI to various types of innovation. For instance, Peris-Ortiz et al. (2018) use</w:t>
      </w:r>
      <w:r>
        <w:rPr>
          <w:rFonts w:asciiTheme="majorBidi" w:hAnsiTheme="majorBidi" w:cstheme="majorBidi"/>
        </w:rPr>
        <w:t>s</w:t>
      </w:r>
      <w:r w:rsidRPr="005635E7">
        <w:rPr>
          <w:rFonts w:asciiTheme="majorBidi" w:hAnsiTheme="majorBidi" w:cstheme="majorBidi"/>
        </w:rPr>
        <w:t xml:space="preserve"> </w:t>
      </w:r>
      <w:r w:rsidRPr="005635E7">
        <w:rPr>
          <w:rFonts w:ascii="Times New Roman" w:eastAsia="Calibri" w:hAnsi="Times New Roman" w:cs="Times New Roman"/>
        </w:rPr>
        <w:t>a fuzzy-set qualitative comparative analysis (</w:t>
      </w:r>
      <w:r w:rsidRPr="005635E7">
        <w:rPr>
          <w:rFonts w:asciiTheme="majorBidi" w:hAnsiTheme="majorBidi" w:cstheme="majorBidi"/>
        </w:rPr>
        <w:t>fsQCA) to examine the connections between OLC and OI</w:t>
      </w:r>
      <w:r w:rsidRPr="005635E7">
        <w:rPr>
          <w:rFonts w:ascii="Times New Roman" w:eastAsia="Calibri" w:hAnsi="Times New Roman" w:cs="Times New Roman"/>
        </w:rPr>
        <w:t xml:space="preserve">, as well as between OI and incremental and radical innovation. However, no study has </w:t>
      </w:r>
      <w:r w:rsidRPr="005635E7">
        <w:rPr>
          <w:rFonts w:asciiTheme="majorBidi" w:hAnsiTheme="majorBidi" w:cstheme="majorBidi"/>
        </w:rPr>
        <w:t xml:space="preserve">examined the connection between </w:t>
      </w:r>
      <w:r w:rsidRPr="005635E7">
        <w:rPr>
          <w:rFonts w:ascii="Times New Roman" w:eastAsia="Calibri" w:hAnsi="Times New Roman" w:cs="Times New Roman"/>
        </w:rPr>
        <w:t xml:space="preserve">the OLC and IP, </w:t>
      </w:r>
      <w:r w:rsidRPr="005635E7">
        <w:rPr>
          <w:rFonts w:asciiTheme="majorBidi" w:hAnsiTheme="majorBidi" w:cstheme="majorBidi"/>
        </w:rPr>
        <w:t xml:space="preserve">or between </w:t>
      </w:r>
      <w:r w:rsidRPr="005635E7">
        <w:rPr>
          <w:rFonts w:ascii="Times New Roman" w:eastAsia="Calibri" w:hAnsi="Times New Roman" w:cs="Times New Roman"/>
        </w:rPr>
        <w:t>the OLC and OP, highlighting the originality of this investigation.</w:t>
      </w:r>
    </w:p>
    <w:p w14:paraId="4F3158D9" w14:textId="3EE8DED8"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Additionally, this study offers empirical proof that SMEs that </w:t>
      </w:r>
      <w:r w:rsidRPr="005635E7">
        <w:rPr>
          <w:rFonts w:ascii="Times New Roman" w:eastAsia="Calibri" w:hAnsi="Times New Roman" w:cs="Times New Roman"/>
        </w:rPr>
        <w:t>rely heavily</w:t>
      </w:r>
      <w:r w:rsidRPr="005635E7">
        <w:rPr>
          <w:rFonts w:asciiTheme="majorBidi" w:hAnsiTheme="majorBidi" w:cstheme="majorBidi"/>
        </w:rPr>
        <w:t xml:space="preserve"> on OLC practices, such as </w:t>
      </w:r>
      <w:r>
        <w:rPr>
          <w:rFonts w:asciiTheme="majorBidi" w:hAnsiTheme="majorBidi" w:cstheme="majorBidi"/>
        </w:rPr>
        <w:t>MC</w:t>
      </w:r>
      <w:r w:rsidRPr="005635E7">
        <w:rPr>
          <w:rFonts w:asciiTheme="majorBidi" w:hAnsiTheme="majorBidi" w:cstheme="majorBidi"/>
        </w:rPr>
        <w:t xml:space="preserve">, </w:t>
      </w:r>
      <w:r>
        <w:rPr>
          <w:rFonts w:asciiTheme="majorBidi" w:hAnsiTheme="majorBidi" w:cstheme="majorBidi"/>
        </w:rPr>
        <w:t>SP, EX, and TR</w:t>
      </w:r>
      <w:r w:rsidRPr="005635E7">
        <w:rPr>
          <w:rFonts w:asciiTheme="majorBidi" w:hAnsiTheme="majorBidi" w:cstheme="majorBidi"/>
        </w:rPr>
        <w:t xml:space="preserve">, are more likely to engage </w:t>
      </w:r>
      <w:r w:rsidR="007A3C39">
        <w:rPr>
          <w:rFonts w:asciiTheme="majorBidi" w:hAnsiTheme="majorBidi" w:cstheme="majorBidi"/>
        </w:rPr>
        <w:t>with</w:t>
      </w:r>
      <w:r w:rsidRPr="005635E7">
        <w:rPr>
          <w:rFonts w:asciiTheme="majorBidi" w:hAnsiTheme="majorBidi" w:cstheme="majorBidi"/>
        </w:rPr>
        <w:t xml:space="preserve"> OP than </w:t>
      </w:r>
      <w:r w:rsidRPr="005635E7">
        <w:rPr>
          <w:rFonts w:ascii="Times New Roman" w:eastAsia="Calibri" w:hAnsi="Times New Roman" w:cs="Times New Roman"/>
        </w:rPr>
        <w:t xml:space="preserve">IP because the regression weight of the former </w:t>
      </w:r>
      <w:r w:rsidRPr="005635E7">
        <w:rPr>
          <w:rFonts w:asciiTheme="majorBidi" w:hAnsiTheme="majorBidi" w:cstheme="majorBidi"/>
        </w:rPr>
        <w:t>is comparatively higher than that of the latter. In view of this, it is suggested that SMEs in emerging countries</w:t>
      </w:r>
      <w:r w:rsidRPr="005635E7">
        <w:rPr>
          <w:rFonts w:ascii="Times New Roman" w:eastAsia="Calibri" w:hAnsi="Times New Roman" w:cs="Times New Roman"/>
        </w:rPr>
        <w:t>, such as the UAE</w:t>
      </w:r>
      <w:r w:rsidRPr="005635E7">
        <w:rPr>
          <w:rFonts w:asciiTheme="majorBidi" w:hAnsiTheme="majorBidi" w:cstheme="majorBidi"/>
        </w:rPr>
        <w:t xml:space="preserve">, tend </w:t>
      </w:r>
      <w:r w:rsidRPr="005635E7">
        <w:rPr>
          <w:rFonts w:ascii="Times New Roman" w:eastAsia="Calibri" w:hAnsi="Times New Roman" w:cs="Times New Roman"/>
        </w:rPr>
        <w:t xml:space="preserve">to be more </w:t>
      </w:r>
      <w:r w:rsidRPr="005635E7">
        <w:rPr>
          <w:rFonts w:asciiTheme="majorBidi" w:hAnsiTheme="majorBidi" w:cstheme="majorBidi"/>
        </w:rPr>
        <w:t>inclined to</w:t>
      </w:r>
      <w:r w:rsidRPr="005635E7">
        <w:rPr>
          <w:rFonts w:ascii="Times New Roman" w:eastAsia="Calibri" w:hAnsi="Times New Roman" w:cs="Times New Roman"/>
        </w:rPr>
        <w:t>ward OP, demonstrating their likelihood of</w:t>
      </w:r>
      <w:r w:rsidRPr="005635E7">
        <w:rPr>
          <w:rFonts w:asciiTheme="majorBidi" w:hAnsiTheme="majorBidi" w:cstheme="majorBidi"/>
        </w:rPr>
        <w:t xml:space="preserve"> not invest</w:t>
      </w:r>
      <w:r w:rsidRPr="005635E7">
        <w:rPr>
          <w:rFonts w:ascii="Times New Roman" w:eastAsia="Calibri" w:hAnsi="Times New Roman" w:cs="Times New Roman"/>
        </w:rPr>
        <w:t xml:space="preserve">ing funds for development or commercialization (e.g., </w:t>
      </w:r>
      <w:r w:rsidRPr="005635E7">
        <w:rPr>
          <w:rFonts w:asciiTheme="majorBidi" w:hAnsiTheme="majorBidi" w:cstheme="majorBidi"/>
        </w:rPr>
        <w:t>externalizing their research and development activities to save funds, gain</w:t>
      </w:r>
      <w:r w:rsidRPr="005635E7">
        <w:rPr>
          <w:rFonts w:ascii="Times New Roman" w:eastAsia="Calibri" w:hAnsi="Times New Roman" w:cs="Times New Roman"/>
        </w:rPr>
        <w:t>ing a reputation for future endeavors and royalty income</w:t>
      </w:r>
      <w:r w:rsidRPr="005635E7">
        <w:rPr>
          <w:rFonts w:asciiTheme="majorBidi" w:hAnsiTheme="majorBidi" w:cstheme="majorBidi"/>
        </w:rPr>
        <w:t>, and tap</w:t>
      </w:r>
      <w:r w:rsidRPr="005635E7">
        <w:rPr>
          <w:rFonts w:ascii="Times New Roman" w:eastAsia="Calibri" w:hAnsi="Times New Roman" w:cs="Times New Roman"/>
        </w:rPr>
        <w:t xml:space="preserve">ping niche markets not targeted by large </w:t>
      </w:r>
      <w:r w:rsidRPr="005635E7">
        <w:rPr>
          <w:rFonts w:asciiTheme="majorBidi" w:hAnsiTheme="majorBidi" w:cstheme="majorBidi"/>
        </w:rPr>
        <w:t>organizations</w:t>
      </w:r>
      <w:r w:rsidRPr="005635E7">
        <w:rPr>
          <w:rFonts w:ascii="Times New Roman" w:eastAsia="Calibri" w:hAnsi="Times New Roman" w:cs="Times New Roman"/>
        </w:rPr>
        <w:t>)</w:t>
      </w:r>
      <w:r w:rsidRPr="005635E7">
        <w:rPr>
          <w:rFonts w:asciiTheme="majorBidi" w:hAnsiTheme="majorBidi" w:cstheme="majorBidi"/>
        </w:rPr>
        <w:t xml:space="preserve"> (Usman &amp; Vanhaverbeke, 2017). In terms of </w:t>
      </w:r>
      <w:r w:rsidRPr="005635E7">
        <w:rPr>
          <w:rFonts w:ascii="Times New Roman" w:eastAsia="Calibri" w:hAnsi="Times New Roman" w:cs="Times New Roman"/>
        </w:rPr>
        <w:t xml:space="preserve">the OLC, exploitation activities by IP have a greater impact on innovation output than exploration activities by OP (Bai 2021; </w:t>
      </w:r>
      <w:r w:rsidRPr="005635E7">
        <w:rPr>
          <w:rFonts w:asciiTheme="majorBidi" w:hAnsiTheme="majorBidi" w:cstheme="majorBidi"/>
        </w:rPr>
        <w:t>Bigliardi et al., 2020; Sun et al., 2020). Therefore, outsourcing R&amp;D operations, a key component of OP, strengthens SMEs' capacity to exploit and enter niche markets that are not pursued by larger corporations.</w:t>
      </w:r>
    </w:p>
    <w:p w14:paraId="332A4AE9" w14:textId="77777777" w:rsidR="005976AB" w:rsidRPr="005635E7" w:rsidRDefault="005976AB" w:rsidP="005976AB">
      <w:pPr>
        <w:spacing w:after="240" w:line="480" w:lineRule="auto"/>
        <w:jc w:val="both"/>
        <w:rPr>
          <w:rFonts w:asciiTheme="majorBidi" w:hAnsiTheme="majorBidi" w:cstheme="majorBidi"/>
          <w:i/>
          <w:iCs/>
        </w:rPr>
      </w:pPr>
      <w:r w:rsidRPr="005635E7">
        <w:rPr>
          <w:rFonts w:asciiTheme="majorBidi" w:hAnsiTheme="majorBidi" w:cstheme="majorBidi"/>
        </w:rPr>
        <w:t>This study empirically evaluate</w:t>
      </w:r>
      <w:r>
        <w:rPr>
          <w:rFonts w:asciiTheme="majorBidi" w:hAnsiTheme="majorBidi" w:cstheme="majorBidi"/>
        </w:rPr>
        <w:t>d</w:t>
      </w:r>
      <w:r w:rsidRPr="005635E7">
        <w:rPr>
          <w:rFonts w:asciiTheme="majorBidi" w:hAnsiTheme="majorBidi" w:cstheme="majorBidi"/>
        </w:rPr>
        <w:t xml:space="preserve"> the link between OI and FP in relation to H2a, H2b, H2c, and H2d to address the second research question.</w:t>
      </w:r>
    </w:p>
    <w:p w14:paraId="78888A75"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Four regression paths between </w:t>
      </w:r>
      <w:r w:rsidRPr="005635E7">
        <w:rPr>
          <w:rFonts w:ascii="Times New Roman" w:eastAsia="Calibri" w:hAnsi="Times New Roman" w:cs="Times New Roman"/>
        </w:rPr>
        <w:t>the two dimensions of OI (i.e., IP and OP) and two facets of FP (</w:t>
      </w:r>
      <w:r w:rsidRPr="005635E7">
        <w:rPr>
          <w:rFonts w:asciiTheme="majorBidi" w:hAnsiTheme="majorBidi" w:cstheme="majorBidi"/>
        </w:rPr>
        <w:t>IP and OP) were analyzed. The results show that IP positively affects the FP of SMEs, as most of the four dimensions of IP are positively related to ME and P</w:t>
      </w:r>
      <w:r w:rsidRPr="005635E7">
        <w:rPr>
          <w:rFonts w:ascii="Times New Roman" w:eastAsia="Calibri" w:hAnsi="Times New Roman" w:cs="Times New Roman"/>
        </w:rPr>
        <w:t xml:space="preserve">, reflecting FP. </w:t>
      </w:r>
      <w:r w:rsidRPr="005635E7">
        <w:rPr>
          <w:rFonts w:asciiTheme="majorBidi" w:hAnsiTheme="majorBidi" w:cstheme="majorBidi"/>
        </w:rPr>
        <w:t xml:space="preserve">Market share gain in comparison with competition, customer acquisition, increase in sales to existing customers, and increase in sales revenue </w:t>
      </w:r>
      <w:r>
        <w:rPr>
          <w:rFonts w:asciiTheme="majorBidi" w:hAnsiTheme="majorBidi" w:cstheme="majorBidi"/>
        </w:rPr>
        <w:t>a</w:t>
      </w:r>
      <w:r w:rsidRPr="005635E7">
        <w:rPr>
          <w:rFonts w:asciiTheme="majorBidi" w:hAnsiTheme="majorBidi" w:cstheme="majorBidi"/>
        </w:rPr>
        <w:t>re all indicators of FP</w:t>
      </w:r>
      <w:r w:rsidRPr="005635E7">
        <w:rPr>
          <w:rFonts w:ascii="Times New Roman" w:eastAsia="Calibri" w:hAnsi="Times New Roman" w:cs="Times New Roman"/>
        </w:rPr>
        <w:t xml:space="preserve">, as determined by the ME. Business unit profitability, return on investment (ROI), return on sales (ROS), and </w:t>
      </w:r>
      <w:r w:rsidRPr="005635E7">
        <w:rPr>
          <w:rFonts w:asciiTheme="majorBidi" w:hAnsiTheme="majorBidi" w:cstheme="majorBidi"/>
        </w:rPr>
        <w:t xml:space="preserve">financial goal achievement are indicators of FP </w:t>
      </w:r>
      <w:r w:rsidRPr="005635E7">
        <w:rPr>
          <w:rFonts w:ascii="Times New Roman" w:eastAsia="Calibri" w:hAnsi="Times New Roman" w:cs="Times New Roman"/>
        </w:rPr>
        <w:t>and reflect</w:t>
      </w:r>
      <w:r w:rsidRPr="005635E7">
        <w:rPr>
          <w:rFonts w:asciiTheme="majorBidi" w:hAnsiTheme="majorBidi" w:cstheme="majorBidi"/>
        </w:rPr>
        <w:t xml:space="preserve"> P (Morgan et al., 2009). All the FP indicators stated above ha</w:t>
      </w:r>
      <w:r>
        <w:rPr>
          <w:rFonts w:asciiTheme="majorBidi" w:hAnsiTheme="majorBidi" w:cstheme="majorBidi"/>
        </w:rPr>
        <w:t>ve</w:t>
      </w:r>
      <w:r w:rsidRPr="005635E7">
        <w:rPr>
          <w:rFonts w:asciiTheme="majorBidi" w:hAnsiTheme="majorBidi" w:cstheme="majorBidi"/>
        </w:rPr>
        <w:t xml:space="preserve"> a favorable relationship with IP.</w:t>
      </w:r>
    </w:p>
    <w:p w14:paraId="2934A517"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The results show that the hypothesized relationship between OP and ME is insignificant, suggesting </w:t>
      </w:r>
      <w:r w:rsidRPr="005635E7">
        <w:rPr>
          <w:rFonts w:ascii="Times New Roman" w:eastAsia="Calibri" w:hAnsi="Times New Roman" w:cs="Times New Roman"/>
        </w:rPr>
        <w:t xml:space="preserve">that there is no empirical evidence to support </w:t>
      </w:r>
      <w:r w:rsidRPr="005635E7">
        <w:rPr>
          <w:rFonts w:asciiTheme="majorBidi" w:hAnsiTheme="majorBidi" w:cstheme="majorBidi"/>
        </w:rPr>
        <w:t xml:space="preserve">the positive effect of OP on ME. </w:t>
      </w:r>
      <w:bookmarkStart w:id="114" w:name="_Hlk104086383"/>
      <w:r w:rsidRPr="005635E7">
        <w:rPr>
          <w:rFonts w:asciiTheme="majorBidi" w:hAnsiTheme="majorBidi" w:cstheme="majorBidi"/>
        </w:rPr>
        <w:t>However, OP had a significant direct influence on P. This may be because, as stated in the literature (Bianchi et al., 2011), SMEs are more likely to perform IP than OP. IP entails an exploratory learning style that enables a company to go outside of its walls and expand its knowledge base (Popa et al., 2017). Thus, SMEs that practice IP might gain from fresh concepts and knowledge integration, improved problem-solving skills, and new market prospects, thereby improving their ME and P. SMEs with OP frequently focus on financial performance metrics like profitability because they perceive a direct financial benefit from commercializing domestically created innovations that are related to OP.</w:t>
      </w:r>
    </w:p>
    <w:p w14:paraId="63AE1D20"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Hung and Chou (2013) reveal that external technology acquisition, which is encompassed by IP, positively impacts FP, whereas external technology exploitation, which </w:t>
      </w:r>
      <w:r w:rsidRPr="005635E7">
        <w:rPr>
          <w:rFonts w:ascii="Times New Roman" w:eastAsia="Calibri" w:hAnsi="Times New Roman" w:cs="Times New Roman"/>
        </w:rPr>
        <w:t>is related to OP, does not.</w:t>
      </w:r>
      <w:bookmarkEnd w:id="114"/>
    </w:p>
    <w:p w14:paraId="29A03030" w14:textId="77777777" w:rsidR="005976AB" w:rsidRPr="005635E7" w:rsidRDefault="005976AB" w:rsidP="005976AB">
      <w:pPr>
        <w:spacing w:after="240" w:line="480" w:lineRule="auto"/>
        <w:jc w:val="both"/>
        <w:rPr>
          <w:rFonts w:asciiTheme="majorBidi" w:hAnsiTheme="majorBidi" w:cstheme="majorBidi"/>
          <w:shd w:val="clear" w:color="auto" w:fill="FFFFFF"/>
        </w:rPr>
      </w:pPr>
      <w:bookmarkStart w:id="115" w:name="_Hlk115237528"/>
      <w:r w:rsidRPr="005635E7">
        <w:rPr>
          <w:rFonts w:asciiTheme="majorBidi" w:hAnsiTheme="majorBidi" w:cstheme="majorBidi"/>
        </w:rPr>
        <w:t>Few studies have investigated the interaction between OP and FP. For instance, Hung &amp; Chou’s (2013) study reveal</w:t>
      </w:r>
      <w:r>
        <w:rPr>
          <w:rFonts w:asciiTheme="majorBidi" w:hAnsiTheme="majorBidi" w:cstheme="majorBidi"/>
        </w:rPr>
        <w:t>s</w:t>
      </w:r>
      <w:r w:rsidRPr="005635E7">
        <w:rPr>
          <w:rFonts w:asciiTheme="majorBidi" w:hAnsiTheme="majorBidi" w:cstheme="majorBidi"/>
        </w:rPr>
        <w:t xml:space="preserve"> that external technology acquisition relating to IP positively affects FP, while external technology exploitation vis-à-vis OP does not impact FP. However, their study's IP and OP dimensions were only examined in a few ways despite their findings being consistent with those of our study. Oduro et al.'s results from 2021 also indicate that the impact of OP on non-financial performance is greater than </w:t>
      </w:r>
      <w:r w:rsidRPr="005635E7">
        <w:rPr>
          <w:rFonts w:ascii="Times New Roman" w:eastAsia="Calibri" w:hAnsi="Times New Roman" w:cs="Times New Roman"/>
        </w:rPr>
        <w:t xml:space="preserve">that of IP, which </w:t>
      </w:r>
      <w:r w:rsidRPr="005635E7">
        <w:rPr>
          <w:rFonts w:asciiTheme="majorBidi" w:hAnsiTheme="majorBidi" w:cstheme="majorBidi"/>
        </w:rPr>
        <w:t>conflicts with the findings of the current study</w:t>
      </w:r>
      <w:r w:rsidRPr="005635E7">
        <w:rPr>
          <w:rFonts w:ascii="Times New Roman" w:eastAsia="Calibri" w:hAnsi="Times New Roman" w:cs="Times New Roman"/>
        </w:rPr>
        <w:t xml:space="preserve">, since no meaningful relationship between OP and FP was </w:t>
      </w:r>
      <w:r w:rsidRPr="005635E7">
        <w:rPr>
          <w:rFonts w:asciiTheme="majorBidi" w:hAnsiTheme="majorBidi" w:cstheme="majorBidi"/>
        </w:rPr>
        <w:t>validated by this analysis. On the other hand, Hochleitner et al. (2017), Lim et al. (2020), and Oduro et al. (2021) show that some OI activities have a direct positive impact on the attained non-financial outputs, such as the product portfolio range, quality of products/services, and market share. However, the focus of this study is expanded to examine how OI affects both the financial (profitability) and non-financial (</w:t>
      </w:r>
      <w:r>
        <w:rPr>
          <w:rFonts w:asciiTheme="majorBidi" w:hAnsiTheme="majorBidi" w:cstheme="majorBidi"/>
        </w:rPr>
        <w:t>ME</w:t>
      </w:r>
      <w:r w:rsidRPr="005635E7">
        <w:rPr>
          <w:rFonts w:asciiTheme="majorBidi" w:hAnsiTheme="majorBidi" w:cstheme="majorBidi"/>
        </w:rPr>
        <w:t>) aspects of FP.</w:t>
      </w:r>
    </w:p>
    <w:bookmarkEnd w:id="115"/>
    <w:p w14:paraId="016579EF" w14:textId="43DA92AF"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Motohashi (2016) </w:t>
      </w:r>
      <w:r w:rsidR="00A82302" w:rsidRPr="005635E7">
        <w:rPr>
          <w:rFonts w:asciiTheme="majorBidi" w:hAnsiTheme="majorBidi" w:cstheme="majorBidi"/>
        </w:rPr>
        <w:t>shows</w:t>
      </w:r>
      <w:r w:rsidRPr="005635E7">
        <w:rPr>
          <w:rFonts w:asciiTheme="majorBidi" w:hAnsiTheme="majorBidi" w:cstheme="majorBidi"/>
        </w:rPr>
        <w:t xml:space="preserve"> a favorable correlation between FP and innovative behaviors</w:t>
      </w:r>
      <w:r w:rsidRPr="005635E7">
        <w:rPr>
          <w:rFonts w:ascii="Times New Roman" w:eastAsia="Calibri" w:hAnsi="Times New Roman" w:cs="Times New Roman"/>
        </w:rPr>
        <w:t>,</w:t>
      </w:r>
      <w:r w:rsidRPr="005635E7">
        <w:rPr>
          <w:rFonts w:asciiTheme="majorBidi" w:hAnsiTheme="majorBidi" w:cstheme="majorBidi"/>
        </w:rPr>
        <w:t xml:space="preserve"> as evaluated by patenting, defining IP, and operating patents. According to Lee, Cho, and Sin (2015), the acquired patents have a negligible and direct beneficial impact on profit and market value but have no effect on sales. However, among </w:t>
      </w:r>
      <w:r w:rsidRPr="005635E7">
        <w:rPr>
          <w:rFonts w:ascii="Times New Roman" w:eastAsia="Calibri" w:hAnsi="Times New Roman" w:cs="Times New Roman"/>
        </w:rPr>
        <w:t xml:space="preserve">the various dimensions of OP assessed </w:t>
      </w:r>
      <w:r w:rsidRPr="005635E7">
        <w:rPr>
          <w:rFonts w:asciiTheme="majorBidi" w:hAnsiTheme="majorBidi" w:cstheme="majorBidi"/>
        </w:rPr>
        <w:t xml:space="preserve">in </w:t>
      </w:r>
      <w:r w:rsidRPr="005635E7">
        <w:rPr>
          <w:rFonts w:ascii="Times New Roman" w:eastAsia="Calibri" w:hAnsi="Times New Roman" w:cs="Times New Roman"/>
        </w:rPr>
        <w:t>the literature, such as copyrights, trademarks, intellectual assets, and royalty agreements</w:t>
      </w:r>
      <w:r w:rsidRPr="005635E7">
        <w:rPr>
          <w:rFonts w:asciiTheme="majorBidi" w:hAnsiTheme="majorBidi" w:cstheme="majorBidi"/>
        </w:rPr>
        <w:t>, patenting is only one of its aspects (Cheng &amp; Shiu, 2015, for example). This study contributes to the literature on the relationship between OP and FP by demonstrating the beneficial effects of P and ME.</w:t>
      </w:r>
    </w:p>
    <w:p w14:paraId="2D0366CB" w14:textId="77777777" w:rsidR="005976AB" w:rsidRPr="005635E7" w:rsidRDefault="005976AB" w:rsidP="005976AB">
      <w:pPr>
        <w:spacing w:after="240" w:line="480" w:lineRule="auto"/>
        <w:jc w:val="both"/>
        <w:rPr>
          <w:rFonts w:asciiTheme="majorBidi" w:hAnsiTheme="majorBidi" w:cstheme="majorBidi"/>
        </w:rPr>
      </w:pPr>
      <w:bookmarkStart w:id="116" w:name="_Hlk104086678"/>
      <w:r w:rsidRPr="005635E7">
        <w:rPr>
          <w:rFonts w:asciiTheme="majorBidi" w:hAnsiTheme="majorBidi" w:cstheme="majorBidi"/>
        </w:rPr>
        <w:t>The study empirically evaluated the mediation impact of OI on the connection between OLC and FP vis-à-vis H3a, H3b, H3c, and H3d in order to address the third research question.</w:t>
      </w:r>
    </w:p>
    <w:p w14:paraId="768B5096"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A few studies have suggested that this relationship may also be mediated by innovation (Gomes &amp; Wojahn, 2017; Migdadi, 2021), even though researchers have confirmed the impact of </w:t>
      </w:r>
      <w:r w:rsidRPr="005635E7">
        <w:rPr>
          <w:rFonts w:ascii="Times New Roman" w:eastAsia="Calibri" w:hAnsi="Times New Roman" w:cs="Times New Roman"/>
        </w:rPr>
        <w:t>the OLC on FP (Gomes &amp; Wojahn, 2017; Pham &amp; Hoang et al., 2019). In contrast, the findings of this study</w:t>
      </w:r>
      <w:r w:rsidRPr="005635E7">
        <w:rPr>
          <w:rFonts w:asciiTheme="majorBidi" w:hAnsiTheme="majorBidi" w:cstheme="majorBidi"/>
        </w:rPr>
        <w:t xml:space="preserve"> support the idea that IP alone mediates the link between OLC and FP. The findings of the mediation study reveal that IP act</w:t>
      </w:r>
      <w:r>
        <w:rPr>
          <w:rFonts w:asciiTheme="majorBidi" w:hAnsiTheme="majorBidi" w:cstheme="majorBidi"/>
        </w:rPr>
        <w:t>s</w:t>
      </w:r>
      <w:r w:rsidRPr="005635E7">
        <w:rPr>
          <w:rFonts w:asciiTheme="majorBidi" w:hAnsiTheme="majorBidi" w:cstheme="majorBidi"/>
        </w:rPr>
        <w:t xml:space="preserve"> as a mediator in the indirect relationships between OLC and ME</w:t>
      </w:r>
      <w:r w:rsidRPr="005635E7">
        <w:rPr>
          <w:rFonts w:ascii="Times New Roman" w:eastAsia="Calibri" w:hAnsi="Times New Roman" w:cs="Times New Roman"/>
        </w:rPr>
        <w:t xml:space="preserve">, and between OLC and P. </w:t>
      </w:r>
      <w:r w:rsidRPr="005635E7">
        <w:rPr>
          <w:rFonts w:asciiTheme="majorBidi" w:hAnsiTheme="majorBidi" w:cstheme="majorBidi"/>
        </w:rPr>
        <w:t xml:space="preserve">However, the role of OP as a mediator in the associations between OLC and ME and between OLC and P has not </w:t>
      </w:r>
      <w:r w:rsidRPr="005635E7">
        <w:rPr>
          <w:rFonts w:ascii="Times New Roman" w:eastAsia="Calibri" w:hAnsi="Times New Roman" w:cs="Times New Roman"/>
        </w:rPr>
        <w:t xml:space="preserve">been substantiated. </w:t>
      </w:r>
      <w:r w:rsidRPr="005635E7">
        <w:rPr>
          <w:rFonts w:asciiTheme="majorBidi" w:hAnsiTheme="majorBidi" w:cstheme="majorBidi"/>
        </w:rPr>
        <w:t>As organizations tend to undertake IP more frequently than OP, the mediating effect of OP on the link between OLC and FP is insignificant (Bianchi et al., 2011; Chesbrough and Crowther, 2006). Businesses that support IP are more likely to identify opportunities for innovation, contract their R&amp;D activities, and improve their support for OP (Popa et al., 2017).</w:t>
      </w:r>
    </w:p>
    <w:bookmarkEnd w:id="116"/>
    <w:p w14:paraId="599F83D6"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 xml:space="preserve">Inspiring lateral thinking, experimentation, innovation, rewarding ideas, and employee participation in decision-making are all characteristics of SMEs with good organizational learning procedures and capacities (Cheng &amp; Shiu, 2015). This encourages businesses to utilize external information. Accordingly, the findings of this study show that SMEs with strong OLCs are more likely to anticipate their boundaries and expand their knowledge base through the utilization of IP, thereby enhancing SMEs' ME and P. This is the first study to support the </w:t>
      </w:r>
      <w:r w:rsidRPr="005635E7">
        <w:rPr>
          <w:rFonts w:ascii="Times New Roman" w:eastAsia="Calibri" w:hAnsi="Times New Roman" w:cs="Times New Roman"/>
        </w:rPr>
        <w:t>impact of IP mediation</w:t>
      </w:r>
      <w:r w:rsidRPr="005635E7">
        <w:rPr>
          <w:rFonts w:asciiTheme="majorBidi" w:hAnsiTheme="majorBidi" w:cstheme="majorBidi"/>
        </w:rPr>
        <w:t xml:space="preserve"> on the relationship between OLC and FP in the context of SMEs in emerging economies.</w:t>
      </w:r>
    </w:p>
    <w:p w14:paraId="57919C35" w14:textId="77777777" w:rsidR="005976AB" w:rsidRPr="005635E7" w:rsidRDefault="005976AB" w:rsidP="005976AB">
      <w:pPr>
        <w:pStyle w:val="Heading1"/>
        <w:spacing w:after="240"/>
        <w:rPr>
          <w:rFonts w:asciiTheme="majorBidi" w:hAnsiTheme="majorBidi"/>
          <w:b/>
          <w:bCs/>
          <w:color w:val="auto"/>
          <w:sz w:val="28"/>
          <w:szCs w:val="28"/>
        </w:rPr>
      </w:pPr>
      <w:bookmarkStart w:id="117" w:name="_Toc115310414"/>
      <w:r w:rsidRPr="005635E7">
        <w:rPr>
          <w:rFonts w:asciiTheme="majorBidi" w:hAnsiTheme="majorBidi"/>
          <w:b/>
          <w:bCs/>
          <w:color w:val="auto"/>
          <w:sz w:val="28"/>
          <w:szCs w:val="28"/>
        </w:rPr>
        <w:t>4.6 Chapter Summary</w:t>
      </w:r>
      <w:bookmarkEnd w:id="117"/>
    </w:p>
    <w:p w14:paraId="08227393" w14:textId="77777777" w:rsidR="005976AB" w:rsidRDefault="005976AB" w:rsidP="005976AB">
      <w:pPr>
        <w:spacing w:line="480" w:lineRule="auto"/>
        <w:jc w:val="both"/>
        <w:rPr>
          <w:rFonts w:asciiTheme="majorBidi" w:hAnsiTheme="majorBidi" w:cstheme="majorBidi"/>
        </w:rPr>
      </w:pPr>
      <w:r w:rsidRPr="005635E7">
        <w:rPr>
          <w:rFonts w:asciiTheme="majorBidi" w:hAnsiTheme="majorBidi" w:cstheme="majorBidi"/>
        </w:rPr>
        <w:t>In this section, the results of hypothesis testing are documented and examined in relation to the body of previous research and literature. This study sheds light on the linkages that exist directly between OLC, OI, and FP</w:t>
      </w:r>
      <w:r w:rsidRPr="005635E7">
        <w:rPr>
          <w:rFonts w:ascii="Times New Roman" w:eastAsia="Calibri" w:hAnsi="Times New Roman" w:cs="Times New Roman"/>
        </w:rPr>
        <w:t xml:space="preserve">, as well as </w:t>
      </w:r>
      <w:r w:rsidRPr="005635E7">
        <w:rPr>
          <w:rFonts w:asciiTheme="majorBidi" w:hAnsiTheme="majorBidi" w:cstheme="majorBidi"/>
        </w:rPr>
        <w:t>those that exist indirectly between OLC and FP. Table 4.9 provides a summary of the testing</w:t>
      </w:r>
      <w:r>
        <w:rPr>
          <w:rFonts w:asciiTheme="majorBidi" w:hAnsiTheme="majorBidi" w:cstheme="majorBidi"/>
        </w:rPr>
        <w:t xml:space="preserve"> results</w:t>
      </w:r>
      <w:r w:rsidRPr="005635E7">
        <w:rPr>
          <w:rFonts w:asciiTheme="majorBidi" w:hAnsiTheme="majorBidi" w:cstheme="majorBidi"/>
        </w:rPr>
        <w:t>.</w:t>
      </w:r>
    </w:p>
    <w:p w14:paraId="03FD19AA" w14:textId="77777777" w:rsidR="00351933" w:rsidRPr="005635E7" w:rsidRDefault="00351933" w:rsidP="005976AB">
      <w:pPr>
        <w:spacing w:line="480" w:lineRule="auto"/>
        <w:jc w:val="both"/>
        <w:rPr>
          <w:rFonts w:asciiTheme="majorBidi" w:hAnsiTheme="majorBidi" w:cstheme="majorBidi"/>
        </w:rPr>
      </w:pPr>
    </w:p>
    <w:p w14:paraId="2CB88B78" w14:textId="77777777" w:rsidR="005976AB" w:rsidRPr="005635E7" w:rsidRDefault="005976AB" w:rsidP="005976AB">
      <w:pPr>
        <w:pStyle w:val="Caption"/>
        <w:rPr>
          <w:rFonts w:asciiTheme="majorBidi" w:hAnsiTheme="majorBidi" w:cstheme="majorBidi"/>
          <w:i w:val="0"/>
          <w:iCs w:val="0"/>
          <w:color w:val="auto"/>
          <w:sz w:val="24"/>
          <w:szCs w:val="24"/>
        </w:rPr>
      </w:pPr>
      <w:bookmarkStart w:id="118" w:name="_Toc126377967"/>
      <w:r w:rsidRPr="005635E7">
        <w:rPr>
          <w:rFonts w:asciiTheme="majorBidi" w:hAnsiTheme="majorBidi" w:cstheme="majorBidi"/>
          <w:i w:val="0"/>
          <w:iCs w:val="0"/>
          <w:color w:val="auto"/>
          <w:sz w:val="24"/>
          <w:szCs w:val="24"/>
        </w:rPr>
        <w:t xml:space="preserve">Table </w:t>
      </w:r>
      <w:r w:rsidRPr="005635E7">
        <w:rPr>
          <w:rFonts w:asciiTheme="majorBidi" w:hAnsiTheme="majorBidi" w:cstheme="majorBidi"/>
          <w:i w:val="0"/>
          <w:iCs w:val="0"/>
          <w:color w:val="auto"/>
          <w:sz w:val="24"/>
          <w:szCs w:val="24"/>
        </w:rPr>
        <w:fldChar w:fldCharType="begin"/>
      </w:r>
      <w:r w:rsidRPr="005635E7">
        <w:rPr>
          <w:rFonts w:asciiTheme="majorBidi" w:hAnsiTheme="majorBidi" w:cstheme="majorBidi"/>
          <w:i w:val="0"/>
          <w:iCs w:val="0"/>
          <w:color w:val="auto"/>
          <w:sz w:val="24"/>
          <w:szCs w:val="24"/>
        </w:rPr>
        <w:instrText xml:space="preserve"> STYLEREF 1 \s </w:instrText>
      </w:r>
      <w:r w:rsidRPr="005635E7">
        <w:rPr>
          <w:rFonts w:asciiTheme="majorBidi" w:hAnsiTheme="majorBidi" w:cstheme="majorBidi"/>
          <w:i w:val="0"/>
          <w:iCs w:val="0"/>
          <w:color w:val="auto"/>
          <w:sz w:val="24"/>
          <w:szCs w:val="24"/>
        </w:rPr>
        <w:fldChar w:fldCharType="separate"/>
      </w:r>
      <w:r w:rsidRPr="005635E7">
        <w:rPr>
          <w:rFonts w:asciiTheme="majorBidi" w:hAnsiTheme="majorBidi" w:cstheme="majorBidi"/>
          <w:i w:val="0"/>
          <w:iCs w:val="0"/>
          <w:noProof/>
          <w:color w:val="auto"/>
          <w:sz w:val="24"/>
          <w:szCs w:val="24"/>
          <w:cs/>
        </w:rPr>
        <w:t>‎</w:t>
      </w:r>
      <w:r w:rsidRPr="005635E7">
        <w:rPr>
          <w:rFonts w:asciiTheme="majorBidi" w:hAnsiTheme="majorBidi" w:cstheme="majorBidi"/>
          <w:i w:val="0"/>
          <w:iCs w:val="0"/>
          <w:noProof/>
          <w:color w:val="auto"/>
          <w:sz w:val="24"/>
          <w:szCs w:val="24"/>
        </w:rPr>
        <w:t>4</w:t>
      </w:r>
      <w:r w:rsidRPr="005635E7">
        <w:rPr>
          <w:rFonts w:asciiTheme="majorBidi" w:hAnsiTheme="majorBidi" w:cstheme="majorBidi"/>
          <w:i w:val="0"/>
          <w:iCs w:val="0"/>
          <w:color w:val="auto"/>
          <w:sz w:val="24"/>
          <w:szCs w:val="24"/>
        </w:rPr>
        <w:fldChar w:fldCharType="end"/>
      </w:r>
      <w:r w:rsidRPr="005635E7">
        <w:rPr>
          <w:rFonts w:asciiTheme="majorBidi" w:hAnsiTheme="majorBidi" w:cstheme="majorBidi"/>
          <w:i w:val="0"/>
          <w:iCs w:val="0"/>
          <w:color w:val="auto"/>
          <w:sz w:val="24"/>
          <w:szCs w:val="24"/>
        </w:rPr>
        <w:t>.9: Summary of hypothesis testing</w:t>
      </w:r>
      <w:bookmarkEnd w:id="118"/>
    </w:p>
    <w:tbl>
      <w:tblPr>
        <w:tblStyle w:val="TableGrid"/>
        <w:tblW w:w="9085" w:type="dxa"/>
        <w:tblLook w:val="04A0" w:firstRow="1" w:lastRow="0" w:firstColumn="1" w:lastColumn="0" w:noHBand="0" w:noVBand="1"/>
      </w:tblPr>
      <w:tblGrid>
        <w:gridCol w:w="7915"/>
        <w:gridCol w:w="1170"/>
      </w:tblGrid>
      <w:tr w:rsidR="005976AB" w:rsidRPr="005635E7" w14:paraId="19DAA6F4" w14:textId="77777777" w:rsidTr="009E2F41">
        <w:tc>
          <w:tcPr>
            <w:tcW w:w="7915" w:type="dxa"/>
          </w:tcPr>
          <w:p w14:paraId="3ECB55DB" w14:textId="77777777" w:rsidR="005976AB" w:rsidRPr="005635E7" w:rsidRDefault="005976AB" w:rsidP="00351933">
            <w:pPr>
              <w:spacing w:line="360" w:lineRule="auto"/>
              <w:jc w:val="both"/>
              <w:rPr>
                <w:rFonts w:asciiTheme="majorBidi" w:hAnsiTheme="majorBidi" w:cstheme="majorBidi"/>
                <w:b/>
                <w:bCs/>
                <w:sz w:val="22"/>
                <w:szCs w:val="22"/>
              </w:rPr>
            </w:pPr>
            <w:r w:rsidRPr="005635E7">
              <w:rPr>
                <w:rFonts w:asciiTheme="majorBidi" w:hAnsiTheme="majorBidi" w:cstheme="majorBidi"/>
                <w:b/>
                <w:bCs/>
                <w:sz w:val="22"/>
                <w:szCs w:val="22"/>
              </w:rPr>
              <w:t xml:space="preserve">Hypothesis statement </w:t>
            </w:r>
          </w:p>
        </w:tc>
        <w:tc>
          <w:tcPr>
            <w:tcW w:w="1170" w:type="dxa"/>
          </w:tcPr>
          <w:p w14:paraId="19A9958B" w14:textId="77777777" w:rsidR="005976AB" w:rsidRPr="005635E7" w:rsidRDefault="005976AB" w:rsidP="00351933">
            <w:pPr>
              <w:spacing w:line="360" w:lineRule="auto"/>
              <w:jc w:val="both"/>
              <w:rPr>
                <w:rFonts w:asciiTheme="majorBidi" w:hAnsiTheme="majorBidi" w:cstheme="majorBidi"/>
                <w:b/>
                <w:bCs/>
                <w:sz w:val="22"/>
                <w:szCs w:val="22"/>
              </w:rPr>
            </w:pPr>
            <w:r w:rsidRPr="005635E7">
              <w:rPr>
                <w:rFonts w:asciiTheme="majorBidi" w:hAnsiTheme="majorBidi" w:cstheme="majorBidi"/>
                <w:b/>
                <w:bCs/>
                <w:sz w:val="22"/>
                <w:szCs w:val="22"/>
              </w:rPr>
              <w:t xml:space="preserve">Decision </w:t>
            </w:r>
          </w:p>
        </w:tc>
      </w:tr>
      <w:tr w:rsidR="005976AB" w:rsidRPr="005635E7" w14:paraId="43A39B24" w14:textId="77777777" w:rsidTr="009E2F41">
        <w:tc>
          <w:tcPr>
            <w:tcW w:w="7915" w:type="dxa"/>
          </w:tcPr>
          <w:p w14:paraId="74438D9E"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H1a:</w:t>
            </w:r>
            <w:r w:rsidRPr="005635E7">
              <w:rPr>
                <w:rFonts w:asciiTheme="majorBidi" w:hAnsiTheme="majorBidi" w:cstheme="majorBidi"/>
                <w:sz w:val="22"/>
                <w:szCs w:val="22"/>
              </w:rPr>
              <w:t xml:space="preserve"> OLC positively influences IP.</w:t>
            </w:r>
          </w:p>
        </w:tc>
        <w:tc>
          <w:tcPr>
            <w:tcW w:w="1170" w:type="dxa"/>
          </w:tcPr>
          <w:p w14:paraId="5E9CE254" w14:textId="77777777" w:rsidR="005976AB" w:rsidRPr="00D73F8E" w:rsidRDefault="005976AB" w:rsidP="00351933">
            <w:pPr>
              <w:spacing w:line="360" w:lineRule="auto"/>
              <w:jc w:val="both"/>
              <w:rPr>
                <w:rFonts w:asciiTheme="majorBidi" w:hAnsiTheme="majorBidi" w:cstheme="majorBidi"/>
                <w:sz w:val="22"/>
                <w:szCs w:val="22"/>
              </w:rPr>
            </w:pPr>
            <w:r w:rsidRPr="00D73F8E">
              <w:rPr>
                <w:rFonts w:asciiTheme="majorBidi" w:hAnsiTheme="majorBidi" w:cstheme="majorBidi"/>
                <w:sz w:val="22"/>
                <w:szCs w:val="22"/>
              </w:rPr>
              <w:t>Supported</w:t>
            </w:r>
          </w:p>
        </w:tc>
      </w:tr>
      <w:tr w:rsidR="005976AB" w:rsidRPr="005635E7" w14:paraId="1C3D34E0" w14:textId="77777777" w:rsidTr="009E2F41">
        <w:tc>
          <w:tcPr>
            <w:tcW w:w="7915" w:type="dxa"/>
          </w:tcPr>
          <w:p w14:paraId="768379C2"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H1b:</w:t>
            </w:r>
            <w:r w:rsidRPr="005635E7">
              <w:rPr>
                <w:rFonts w:asciiTheme="majorBidi" w:hAnsiTheme="majorBidi" w:cstheme="majorBidi"/>
                <w:sz w:val="22"/>
                <w:szCs w:val="22"/>
              </w:rPr>
              <w:t xml:space="preserve"> OLC positively influences OP.</w:t>
            </w:r>
          </w:p>
        </w:tc>
        <w:tc>
          <w:tcPr>
            <w:tcW w:w="1170" w:type="dxa"/>
          </w:tcPr>
          <w:p w14:paraId="2CE304D5" w14:textId="77777777" w:rsidR="005976AB" w:rsidRPr="00D73F8E" w:rsidRDefault="005976AB" w:rsidP="00351933">
            <w:pPr>
              <w:spacing w:line="360" w:lineRule="auto"/>
              <w:jc w:val="both"/>
              <w:rPr>
                <w:rFonts w:asciiTheme="majorBidi" w:hAnsiTheme="majorBidi" w:cstheme="majorBidi"/>
                <w:sz w:val="22"/>
                <w:szCs w:val="22"/>
              </w:rPr>
            </w:pPr>
            <w:r w:rsidRPr="00D73F8E">
              <w:rPr>
                <w:rFonts w:asciiTheme="majorBidi" w:hAnsiTheme="majorBidi" w:cstheme="majorBidi"/>
                <w:sz w:val="22"/>
                <w:szCs w:val="22"/>
              </w:rPr>
              <w:t>Supported</w:t>
            </w:r>
          </w:p>
        </w:tc>
      </w:tr>
      <w:tr w:rsidR="005976AB" w:rsidRPr="005635E7" w14:paraId="41F0EE02" w14:textId="77777777" w:rsidTr="009E2F41">
        <w:tc>
          <w:tcPr>
            <w:tcW w:w="7915" w:type="dxa"/>
          </w:tcPr>
          <w:p w14:paraId="73223284"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H2a:</w:t>
            </w:r>
            <w:r w:rsidRPr="005635E7">
              <w:rPr>
                <w:rFonts w:asciiTheme="majorBidi" w:hAnsiTheme="majorBidi" w:cstheme="majorBidi"/>
                <w:sz w:val="22"/>
                <w:szCs w:val="22"/>
              </w:rPr>
              <w:t xml:space="preserve"> IP positively influences ME.</w:t>
            </w:r>
          </w:p>
        </w:tc>
        <w:tc>
          <w:tcPr>
            <w:tcW w:w="1170" w:type="dxa"/>
          </w:tcPr>
          <w:p w14:paraId="01F8D430" w14:textId="77777777" w:rsidR="005976AB" w:rsidRPr="00D73F8E" w:rsidRDefault="005976AB" w:rsidP="00351933">
            <w:pPr>
              <w:spacing w:line="360" w:lineRule="auto"/>
              <w:jc w:val="both"/>
              <w:rPr>
                <w:rFonts w:asciiTheme="majorBidi" w:hAnsiTheme="majorBidi" w:cstheme="majorBidi"/>
                <w:sz w:val="22"/>
                <w:szCs w:val="22"/>
              </w:rPr>
            </w:pPr>
            <w:r w:rsidRPr="00D73F8E">
              <w:rPr>
                <w:rFonts w:asciiTheme="majorBidi" w:hAnsiTheme="majorBidi" w:cstheme="majorBidi"/>
                <w:sz w:val="22"/>
                <w:szCs w:val="22"/>
              </w:rPr>
              <w:t>Supported</w:t>
            </w:r>
          </w:p>
        </w:tc>
      </w:tr>
      <w:tr w:rsidR="005976AB" w:rsidRPr="005635E7" w14:paraId="2A6E5E42" w14:textId="77777777" w:rsidTr="009E2F41">
        <w:tc>
          <w:tcPr>
            <w:tcW w:w="7915" w:type="dxa"/>
          </w:tcPr>
          <w:p w14:paraId="52E7A1E3"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H2b:</w:t>
            </w:r>
            <w:r w:rsidRPr="005635E7">
              <w:rPr>
                <w:rFonts w:asciiTheme="majorBidi" w:hAnsiTheme="majorBidi" w:cstheme="majorBidi"/>
                <w:sz w:val="22"/>
                <w:szCs w:val="22"/>
              </w:rPr>
              <w:t xml:space="preserve"> IP positively influences profitability of the firm.</w:t>
            </w:r>
          </w:p>
        </w:tc>
        <w:tc>
          <w:tcPr>
            <w:tcW w:w="1170" w:type="dxa"/>
          </w:tcPr>
          <w:p w14:paraId="1B3A662C" w14:textId="77777777" w:rsidR="005976AB" w:rsidRPr="00D73F8E" w:rsidRDefault="005976AB" w:rsidP="00351933">
            <w:pPr>
              <w:spacing w:line="360" w:lineRule="auto"/>
              <w:jc w:val="both"/>
              <w:rPr>
                <w:rFonts w:asciiTheme="majorBidi" w:hAnsiTheme="majorBidi" w:cstheme="majorBidi"/>
                <w:sz w:val="22"/>
                <w:szCs w:val="22"/>
              </w:rPr>
            </w:pPr>
            <w:r w:rsidRPr="00D73F8E">
              <w:rPr>
                <w:rFonts w:asciiTheme="majorBidi" w:hAnsiTheme="majorBidi" w:cstheme="majorBidi"/>
                <w:sz w:val="22"/>
                <w:szCs w:val="22"/>
              </w:rPr>
              <w:t>Supported</w:t>
            </w:r>
          </w:p>
        </w:tc>
      </w:tr>
      <w:tr w:rsidR="005976AB" w:rsidRPr="005635E7" w14:paraId="778F37E1" w14:textId="77777777" w:rsidTr="009E2F41">
        <w:tc>
          <w:tcPr>
            <w:tcW w:w="7915" w:type="dxa"/>
          </w:tcPr>
          <w:p w14:paraId="6722CD43"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H2c:</w:t>
            </w:r>
            <w:r w:rsidRPr="005635E7">
              <w:rPr>
                <w:rFonts w:asciiTheme="majorBidi" w:hAnsiTheme="majorBidi" w:cstheme="majorBidi"/>
                <w:sz w:val="22"/>
                <w:szCs w:val="22"/>
              </w:rPr>
              <w:t xml:space="preserve"> OP positively influences ME.</w:t>
            </w:r>
          </w:p>
        </w:tc>
        <w:tc>
          <w:tcPr>
            <w:tcW w:w="1170" w:type="dxa"/>
          </w:tcPr>
          <w:p w14:paraId="3D296186" w14:textId="77777777" w:rsidR="005976AB" w:rsidRPr="00D73F8E" w:rsidRDefault="005976AB" w:rsidP="00351933">
            <w:pPr>
              <w:spacing w:line="360" w:lineRule="auto"/>
              <w:jc w:val="both"/>
              <w:rPr>
                <w:rFonts w:asciiTheme="majorBidi" w:hAnsiTheme="majorBidi" w:cstheme="majorBidi"/>
                <w:sz w:val="22"/>
                <w:szCs w:val="22"/>
              </w:rPr>
            </w:pPr>
            <w:r w:rsidRPr="00D73F8E">
              <w:rPr>
                <w:rFonts w:asciiTheme="majorBidi" w:hAnsiTheme="majorBidi" w:cstheme="majorBidi"/>
                <w:sz w:val="22"/>
                <w:szCs w:val="22"/>
              </w:rPr>
              <w:t xml:space="preserve">Rejected </w:t>
            </w:r>
          </w:p>
        </w:tc>
      </w:tr>
      <w:tr w:rsidR="005976AB" w:rsidRPr="005635E7" w14:paraId="40CA8E86" w14:textId="77777777" w:rsidTr="009E2F41">
        <w:tc>
          <w:tcPr>
            <w:tcW w:w="7915" w:type="dxa"/>
          </w:tcPr>
          <w:p w14:paraId="4C5FA9A6"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H2d:</w:t>
            </w:r>
            <w:r w:rsidRPr="005635E7">
              <w:rPr>
                <w:rFonts w:asciiTheme="majorBidi" w:hAnsiTheme="majorBidi" w:cstheme="majorBidi"/>
                <w:sz w:val="22"/>
                <w:szCs w:val="22"/>
              </w:rPr>
              <w:t xml:space="preserve"> OP positively influences profitability of the firm. </w:t>
            </w:r>
          </w:p>
        </w:tc>
        <w:tc>
          <w:tcPr>
            <w:tcW w:w="1170" w:type="dxa"/>
          </w:tcPr>
          <w:p w14:paraId="0CFC2956" w14:textId="77777777" w:rsidR="005976AB" w:rsidRPr="00D73F8E" w:rsidRDefault="005976AB" w:rsidP="00351933">
            <w:pPr>
              <w:spacing w:line="360" w:lineRule="auto"/>
              <w:jc w:val="both"/>
              <w:rPr>
                <w:rFonts w:asciiTheme="majorBidi" w:hAnsiTheme="majorBidi" w:cstheme="majorBidi"/>
                <w:sz w:val="22"/>
                <w:szCs w:val="22"/>
              </w:rPr>
            </w:pPr>
            <w:r w:rsidRPr="00D73F8E">
              <w:rPr>
                <w:rFonts w:asciiTheme="majorBidi" w:hAnsiTheme="majorBidi" w:cstheme="majorBidi"/>
                <w:sz w:val="22"/>
                <w:szCs w:val="22"/>
              </w:rPr>
              <w:t>Supported</w:t>
            </w:r>
          </w:p>
        </w:tc>
      </w:tr>
      <w:tr w:rsidR="005976AB" w:rsidRPr="005635E7" w14:paraId="1F440917" w14:textId="77777777" w:rsidTr="009E2F41">
        <w:tc>
          <w:tcPr>
            <w:tcW w:w="7915" w:type="dxa"/>
          </w:tcPr>
          <w:p w14:paraId="35CA930E"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H3a:</w:t>
            </w:r>
            <w:r w:rsidRPr="005635E7">
              <w:rPr>
                <w:rFonts w:asciiTheme="majorBidi" w:hAnsiTheme="majorBidi" w:cstheme="majorBidi"/>
                <w:sz w:val="22"/>
                <w:szCs w:val="22"/>
              </w:rPr>
              <w:t xml:space="preserve"> IP positively mediates the relationship between OLC and ME.</w:t>
            </w:r>
          </w:p>
        </w:tc>
        <w:tc>
          <w:tcPr>
            <w:tcW w:w="1170" w:type="dxa"/>
          </w:tcPr>
          <w:p w14:paraId="37785AE6" w14:textId="77777777" w:rsidR="005976AB" w:rsidRPr="00D73F8E" w:rsidRDefault="005976AB" w:rsidP="00351933">
            <w:pPr>
              <w:spacing w:line="360" w:lineRule="auto"/>
              <w:jc w:val="both"/>
              <w:rPr>
                <w:rFonts w:asciiTheme="majorBidi" w:hAnsiTheme="majorBidi" w:cstheme="majorBidi"/>
                <w:sz w:val="22"/>
                <w:szCs w:val="22"/>
              </w:rPr>
            </w:pPr>
            <w:r w:rsidRPr="00D73F8E">
              <w:rPr>
                <w:rFonts w:asciiTheme="majorBidi" w:hAnsiTheme="majorBidi" w:cstheme="majorBidi"/>
                <w:sz w:val="22"/>
                <w:szCs w:val="22"/>
              </w:rPr>
              <w:t>Supported</w:t>
            </w:r>
          </w:p>
        </w:tc>
      </w:tr>
      <w:tr w:rsidR="005976AB" w:rsidRPr="005635E7" w14:paraId="180F03FC" w14:textId="77777777" w:rsidTr="009E2F41">
        <w:tc>
          <w:tcPr>
            <w:tcW w:w="7915" w:type="dxa"/>
          </w:tcPr>
          <w:p w14:paraId="101D818A"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H3b:</w:t>
            </w:r>
            <w:r w:rsidRPr="005635E7">
              <w:rPr>
                <w:rFonts w:asciiTheme="majorBidi" w:hAnsiTheme="majorBidi" w:cstheme="majorBidi"/>
                <w:sz w:val="22"/>
                <w:szCs w:val="22"/>
              </w:rPr>
              <w:t xml:space="preserve"> IP positively mediates the association between OLC and profitability of the firm.</w:t>
            </w:r>
          </w:p>
        </w:tc>
        <w:tc>
          <w:tcPr>
            <w:tcW w:w="1170" w:type="dxa"/>
          </w:tcPr>
          <w:p w14:paraId="56FF37DD" w14:textId="77777777" w:rsidR="005976AB" w:rsidRPr="00D73F8E" w:rsidRDefault="005976AB" w:rsidP="00351933">
            <w:pPr>
              <w:spacing w:line="360" w:lineRule="auto"/>
              <w:jc w:val="both"/>
              <w:rPr>
                <w:rFonts w:asciiTheme="majorBidi" w:hAnsiTheme="majorBidi" w:cstheme="majorBidi"/>
                <w:sz w:val="22"/>
                <w:szCs w:val="22"/>
              </w:rPr>
            </w:pPr>
            <w:r w:rsidRPr="00D73F8E">
              <w:rPr>
                <w:rFonts w:asciiTheme="majorBidi" w:hAnsiTheme="majorBidi" w:cstheme="majorBidi"/>
                <w:sz w:val="22"/>
                <w:szCs w:val="22"/>
              </w:rPr>
              <w:t>Supported</w:t>
            </w:r>
          </w:p>
        </w:tc>
      </w:tr>
      <w:tr w:rsidR="005976AB" w:rsidRPr="005635E7" w14:paraId="45DB78D9" w14:textId="77777777" w:rsidTr="009E2F41">
        <w:tc>
          <w:tcPr>
            <w:tcW w:w="7915" w:type="dxa"/>
          </w:tcPr>
          <w:p w14:paraId="1318A734"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H3c:</w:t>
            </w:r>
            <w:r w:rsidRPr="005635E7">
              <w:rPr>
                <w:rFonts w:asciiTheme="majorBidi" w:hAnsiTheme="majorBidi" w:cstheme="majorBidi"/>
                <w:sz w:val="22"/>
                <w:szCs w:val="22"/>
              </w:rPr>
              <w:t xml:space="preserve"> OP positively mediates the relationship between OLC and ME.</w:t>
            </w:r>
          </w:p>
        </w:tc>
        <w:tc>
          <w:tcPr>
            <w:tcW w:w="1170" w:type="dxa"/>
          </w:tcPr>
          <w:p w14:paraId="33D32266"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sz w:val="22"/>
                <w:szCs w:val="22"/>
              </w:rPr>
              <w:t xml:space="preserve">Rejected </w:t>
            </w:r>
          </w:p>
        </w:tc>
      </w:tr>
      <w:tr w:rsidR="005976AB" w:rsidRPr="005635E7" w14:paraId="27AFA920" w14:textId="77777777" w:rsidTr="009E2F41">
        <w:tc>
          <w:tcPr>
            <w:tcW w:w="7915" w:type="dxa"/>
          </w:tcPr>
          <w:p w14:paraId="0FB7F5DA"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b/>
                <w:bCs/>
                <w:i/>
                <w:iCs/>
                <w:sz w:val="22"/>
                <w:szCs w:val="22"/>
              </w:rPr>
              <w:t>H3d:</w:t>
            </w:r>
            <w:r w:rsidRPr="005635E7">
              <w:rPr>
                <w:rFonts w:asciiTheme="majorBidi" w:hAnsiTheme="majorBidi" w:cstheme="majorBidi"/>
                <w:sz w:val="22"/>
                <w:szCs w:val="22"/>
              </w:rPr>
              <w:t xml:space="preserve"> OP positively mediates the relationship between OLC and profitability of the firm.</w:t>
            </w:r>
          </w:p>
        </w:tc>
        <w:tc>
          <w:tcPr>
            <w:tcW w:w="1170" w:type="dxa"/>
          </w:tcPr>
          <w:p w14:paraId="1F5F5795" w14:textId="77777777" w:rsidR="005976AB" w:rsidRPr="005635E7" w:rsidRDefault="005976AB" w:rsidP="00351933">
            <w:pPr>
              <w:spacing w:line="360" w:lineRule="auto"/>
              <w:jc w:val="both"/>
              <w:rPr>
                <w:rFonts w:asciiTheme="majorBidi" w:hAnsiTheme="majorBidi" w:cstheme="majorBidi"/>
                <w:sz w:val="22"/>
                <w:szCs w:val="22"/>
              </w:rPr>
            </w:pPr>
            <w:r w:rsidRPr="005635E7">
              <w:rPr>
                <w:rFonts w:asciiTheme="majorBidi" w:hAnsiTheme="majorBidi" w:cstheme="majorBidi"/>
                <w:sz w:val="22"/>
                <w:szCs w:val="22"/>
              </w:rPr>
              <w:t>Rejected</w:t>
            </w:r>
          </w:p>
        </w:tc>
      </w:tr>
    </w:tbl>
    <w:p w14:paraId="18F7FABB" w14:textId="77777777" w:rsidR="005976AB" w:rsidRPr="005635E7" w:rsidRDefault="005976AB" w:rsidP="005976AB">
      <w:pPr>
        <w:jc w:val="both"/>
        <w:rPr>
          <w:rFonts w:asciiTheme="majorBidi" w:hAnsiTheme="majorBidi" w:cstheme="majorBidi"/>
          <w:i/>
          <w:iCs/>
          <w:sz w:val="22"/>
          <w:szCs w:val="22"/>
        </w:rPr>
      </w:pPr>
    </w:p>
    <w:p w14:paraId="7C5AA40F" w14:textId="77777777" w:rsidR="005976AB" w:rsidRPr="005635E7" w:rsidRDefault="005976AB" w:rsidP="005976AB">
      <w:pPr>
        <w:spacing w:after="240" w:line="480" w:lineRule="auto"/>
        <w:jc w:val="both"/>
        <w:rPr>
          <w:rFonts w:asciiTheme="majorBidi" w:hAnsiTheme="majorBidi" w:cstheme="majorBidi"/>
          <w:i/>
          <w:iCs/>
          <w:sz w:val="22"/>
          <w:szCs w:val="22"/>
        </w:rPr>
      </w:pPr>
      <w:r w:rsidRPr="005635E7">
        <w:rPr>
          <w:rFonts w:asciiTheme="majorBidi" w:hAnsiTheme="majorBidi" w:cstheme="majorBidi"/>
          <w:i/>
          <w:iCs/>
          <w:sz w:val="22"/>
          <w:szCs w:val="22"/>
        </w:rPr>
        <w:t>Note: Organizational Learning Capability (OLC); Inbound open innovation practices (IP); Outbound open innovation practices (OP); Market effectiveness (ME); Profitability (P)</w:t>
      </w:r>
    </w:p>
    <w:p w14:paraId="3C54C245" w14:textId="77777777" w:rsidR="005976AB" w:rsidRPr="005635E7" w:rsidRDefault="005976AB" w:rsidP="005976AB">
      <w:pPr>
        <w:spacing w:before="240" w:line="480" w:lineRule="auto"/>
        <w:jc w:val="both"/>
        <w:rPr>
          <w:rFonts w:asciiTheme="majorBidi" w:hAnsiTheme="majorBidi" w:cstheme="majorBidi"/>
          <w:i/>
          <w:iCs/>
        </w:rPr>
      </w:pPr>
      <w:r w:rsidRPr="005635E7">
        <w:rPr>
          <w:rFonts w:asciiTheme="majorBidi" w:hAnsiTheme="majorBidi" w:cstheme="majorBidi"/>
        </w:rPr>
        <w:t xml:space="preserve">The results demonstrate that </w:t>
      </w:r>
      <w:r w:rsidRPr="005635E7">
        <w:rPr>
          <w:rFonts w:ascii="Times New Roman" w:eastAsia="Calibri" w:hAnsi="Times New Roman" w:cs="Times New Roman"/>
        </w:rPr>
        <w:t>the OLC affect</w:t>
      </w:r>
      <w:r>
        <w:rPr>
          <w:rFonts w:ascii="Times New Roman" w:eastAsia="Calibri" w:hAnsi="Times New Roman" w:cs="Times New Roman"/>
        </w:rPr>
        <w:t>s</w:t>
      </w:r>
      <w:r w:rsidRPr="005635E7">
        <w:rPr>
          <w:rFonts w:ascii="Times New Roman" w:eastAsia="Calibri" w:hAnsi="Times New Roman" w:cs="Times New Roman"/>
        </w:rPr>
        <w:t xml:space="preserve"> IP and OP. The OLC </w:t>
      </w:r>
      <w:r w:rsidRPr="005635E7">
        <w:rPr>
          <w:rFonts w:asciiTheme="majorBidi" w:hAnsiTheme="majorBidi" w:cstheme="majorBidi"/>
        </w:rPr>
        <w:t xml:space="preserve">is built on four important characteristics: </w:t>
      </w:r>
      <w:r>
        <w:rPr>
          <w:rFonts w:asciiTheme="majorBidi" w:hAnsiTheme="majorBidi" w:cstheme="majorBidi"/>
        </w:rPr>
        <w:t>MC</w:t>
      </w:r>
      <w:r w:rsidRPr="005635E7">
        <w:rPr>
          <w:rFonts w:asciiTheme="majorBidi" w:hAnsiTheme="majorBidi" w:cstheme="majorBidi"/>
        </w:rPr>
        <w:t xml:space="preserve">, </w:t>
      </w:r>
      <w:r w:rsidRPr="005635E7">
        <w:rPr>
          <w:rFonts w:ascii="Times New Roman" w:eastAsia="Calibri" w:hAnsi="Times New Roman" w:cs="Times New Roman"/>
        </w:rPr>
        <w:t xml:space="preserve">a </w:t>
      </w:r>
      <w:r>
        <w:rPr>
          <w:rFonts w:ascii="Times New Roman" w:eastAsia="Calibri" w:hAnsi="Times New Roman" w:cs="Times New Roman"/>
        </w:rPr>
        <w:t>SP</w:t>
      </w:r>
      <w:r w:rsidRPr="005635E7">
        <w:rPr>
          <w:rFonts w:ascii="Times New Roman" w:eastAsia="Calibri" w:hAnsi="Times New Roman" w:cs="Times New Roman"/>
        </w:rPr>
        <w:t xml:space="preserve">, </w:t>
      </w:r>
      <w:r>
        <w:rPr>
          <w:rFonts w:ascii="Times New Roman" w:eastAsia="Calibri" w:hAnsi="Times New Roman" w:cs="Times New Roman"/>
        </w:rPr>
        <w:t>EX, and TR</w:t>
      </w:r>
      <w:r w:rsidRPr="005635E7">
        <w:rPr>
          <w:rFonts w:ascii="Times New Roman" w:eastAsia="Calibri" w:hAnsi="Times New Roman" w:cs="Times New Roman"/>
        </w:rPr>
        <w:t>. IP ha</w:t>
      </w:r>
      <w:r w:rsidRPr="005635E7">
        <w:rPr>
          <w:rFonts w:asciiTheme="majorBidi" w:hAnsiTheme="majorBidi" w:cstheme="majorBidi"/>
        </w:rPr>
        <w:t xml:space="preserve">s a beneficial effect on SMEs' FP because it is </w:t>
      </w:r>
      <w:r w:rsidRPr="005635E7">
        <w:rPr>
          <w:rFonts w:ascii="Times New Roman" w:eastAsia="Calibri" w:hAnsi="Times New Roman" w:cs="Times New Roman"/>
        </w:rPr>
        <w:t>favorably associated</w:t>
      </w:r>
      <w:r w:rsidRPr="005635E7">
        <w:rPr>
          <w:rFonts w:asciiTheme="majorBidi" w:hAnsiTheme="majorBidi" w:cstheme="majorBidi"/>
        </w:rPr>
        <w:t xml:space="preserve"> with their ME and P, which are gauged as FP. However, there </w:t>
      </w:r>
      <w:r>
        <w:rPr>
          <w:rFonts w:asciiTheme="majorBidi" w:hAnsiTheme="majorBidi" w:cstheme="majorBidi"/>
        </w:rPr>
        <w:t>i</w:t>
      </w:r>
      <w:r w:rsidRPr="005635E7">
        <w:rPr>
          <w:rFonts w:asciiTheme="majorBidi" w:hAnsiTheme="majorBidi" w:cstheme="majorBidi"/>
        </w:rPr>
        <w:t>s no correlation between OP and ME, whereas OP ha</w:t>
      </w:r>
      <w:r>
        <w:rPr>
          <w:rFonts w:asciiTheme="majorBidi" w:hAnsiTheme="majorBidi" w:cstheme="majorBidi"/>
        </w:rPr>
        <w:t>s</w:t>
      </w:r>
      <w:r w:rsidRPr="005635E7">
        <w:rPr>
          <w:rFonts w:asciiTheme="majorBidi" w:hAnsiTheme="majorBidi" w:cstheme="majorBidi"/>
        </w:rPr>
        <w:t xml:space="preserve"> a favorable impact on P. This result shows that SMEs are more likely to complete IP tasks than OP tasks in terms of </w:t>
      </w:r>
      <w:r>
        <w:rPr>
          <w:rFonts w:asciiTheme="majorBidi" w:hAnsiTheme="majorBidi" w:cstheme="majorBidi"/>
        </w:rPr>
        <w:t>ME</w:t>
      </w:r>
      <w:r w:rsidRPr="005635E7">
        <w:rPr>
          <w:rFonts w:asciiTheme="majorBidi" w:hAnsiTheme="majorBidi" w:cstheme="majorBidi"/>
        </w:rPr>
        <w:t>. Additionally, IP play</w:t>
      </w:r>
      <w:r>
        <w:rPr>
          <w:rFonts w:asciiTheme="majorBidi" w:hAnsiTheme="majorBidi" w:cstheme="majorBidi"/>
        </w:rPr>
        <w:t>s</w:t>
      </w:r>
      <w:r w:rsidRPr="005635E7">
        <w:rPr>
          <w:rFonts w:asciiTheme="majorBidi" w:hAnsiTheme="majorBidi" w:cstheme="majorBidi"/>
        </w:rPr>
        <w:t xml:space="preserve"> substantial role as a mediator in the interactions between OLC and ME and between OLC and P, although OP </w:t>
      </w:r>
      <w:r>
        <w:rPr>
          <w:rFonts w:asciiTheme="majorBidi" w:hAnsiTheme="majorBidi" w:cstheme="majorBidi"/>
        </w:rPr>
        <w:t>i</w:t>
      </w:r>
      <w:r w:rsidRPr="005635E7">
        <w:rPr>
          <w:rFonts w:asciiTheme="majorBidi" w:hAnsiTheme="majorBidi" w:cstheme="majorBidi"/>
        </w:rPr>
        <w:t>s not supported in such roles.</w:t>
      </w:r>
    </w:p>
    <w:p w14:paraId="1AAD9D6C" w14:textId="77777777" w:rsidR="005976AB" w:rsidRPr="005635E7" w:rsidRDefault="005976AB" w:rsidP="005976AB">
      <w:pPr>
        <w:spacing w:line="480" w:lineRule="auto"/>
        <w:jc w:val="both"/>
        <w:rPr>
          <w:rFonts w:asciiTheme="majorBidi" w:hAnsiTheme="majorBidi" w:cstheme="majorBidi"/>
        </w:rPr>
      </w:pPr>
      <w:r w:rsidRPr="005635E7">
        <w:rPr>
          <w:rFonts w:asciiTheme="majorBidi" w:hAnsiTheme="majorBidi" w:cstheme="majorBidi"/>
        </w:rPr>
        <w:t>The next section presents the conclusions, theoretical and practical implications, limitations</w:t>
      </w:r>
      <w:r w:rsidRPr="005635E7">
        <w:rPr>
          <w:rFonts w:ascii="Times New Roman" w:eastAsia="Calibri" w:hAnsi="Times New Roman" w:cs="Times New Roman"/>
        </w:rPr>
        <w:t>, and suggestions for future research.</w:t>
      </w:r>
    </w:p>
    <w:p w14:paraId="117CEF3C" w14:textId="77777777" w:rsidR="005976AB" w:rsidRPr="005635E7" w:rsidRDefault="005976AB" w:rsidP="005976AB">
      <w:pPr>
        <w:spacing w:after="240" w:line="480" w:lineRule="auto"/>
        <w:jc w:val="both"/>
        <w:rPr>
          <w:rFonts w:asciiTheme="majorBidi" w:hAnsiTheme="majorBidi" w:cstheme="majorBidi"/>
        </w:rPr>
      </w:pPr>
    </w:p>
    <w:p w14:paraId="00F290B7" w14:textId="77777777" w:rsidR="005976AB" w:rsidRPr="005635E7" w:rsidRDefault="005976AB" w:rsidP="005976AB">
      <w:pPr>
        <w:rPr>
          <w:rFonts w:asciiTheme="majorBidi" w:hAnsiTheme="majorBidi" w:cstheme="majorBidi"/>
        </w:rPr>
      </w:pPr>
      <w:r w:rsidRPr="005635E7">
        <w:rPr>
          <w:rFonts w:asciiTheme="majorBidi" w:hAnsiTheme="majorBidi" w:cstheme="majorBidi"/>
        </w:rPr>
        <w:br w:type="page"/>
      </w:r>
    </w:p>
    <w:p w14:paraId="74A66DA1" w14:textId="77777777" w:rsidR="005976AB" w:rsidRPr="005635E7" w:rsidRDefault="005976AB" w:rsidP="005976AB">
      <w:pPr>
        <w:pStyle w:val="Heading1"/>
        <w:spacing w:after="240" w:line="360" w:lineRule="auto"/>
        <w:jc w:val="center"/>
        <w:rPr>
          <w:rFonts w:asciiTheme="majorBidi" w:hAnsiTheme="majorBidi"/>
          <w:b/>
          <w:bCs/>
          <w:color w:val="auto"/>
          <w:sz w:val="28"/>
          <w:szCs w:val="28"/>
        </w:rPr>
      </w:pPr>
      <w:bookmarkStart w:id="119" w:name="_Toc115310415"/>
      <w:r w:rsidRPr="005635E7">
        <w:rPr>
          <w:rFonts w:asciiTheme="majorBidi" w:hAnsiTheme="majorBidi"/>
          <w:b/>
          <w:bCs/>
          <w:color w:val="auto"/>
          <w:sz w:val="28"/>
          <w:szCs w:val="28"/>
        </w:rPr>
        <w:t>CHAPTER 5</w:t>
      </w:r>
      <w:bookmarkEnd w:id="119"/>
    </w:p>
    <w:p w14:paraId="2FC8BFB0" w14:textId="77777777" w:rsidR="005976AB" w:rsidRPr="005635E7" w:rsidRDefault="005976AB" w:rsidP="005976AB">
      <w:pPr>
        <w:pStyle w:val="Heading1"/>
        <w:spacing w:after="240" w:line="360" w:lineRule="auto"/>
        <w:jc w:val="center"/>
        <w:rPr>
          <w:rFonts w:asciiTheme="majorBidi" w:hAnsiTheme="majorBidi"/>
          <w:b/>
          <w:bCs/>
          <w:color w:val="auto"/>
          <w:sz w:val="28"/>
          <w:szCs w:val="28"/>
        </w:rPr>
      </w:pPr>
      <w:bookmarkStart w:id="120" w:name="_Toc115310416"/>
      <w:r w:rsidRPr="005635E7">
        <w:rPr>
          <w:rFonts w:asciiTheme="majorBidi" w:hAnsiTheme="majorBidi"/>
          <w:b/>
          <w:bCs/>
          <w:color w:val="auto"/>
          <w:sz w:val="28"/>
          <w:szCs w:val="28"/>
        </w:rPr>
        <w:t>CONCLUSION, IMPLICATIONS, LIMITATIONS</w:t>
      </w:r>
      <w:r>
        <w:rPr>
          <w:rFonts w:asciiTheme="majorBidi" w:hAnsiTheme="majorBidi"/>
          <w:b/>
          <w:bCs/>
          <w:color w:val="auto"/>
          <w:sz w:val="28"/>
          <w:szCs w:val="28"/>
        </w:rPr>
        <w:t>,</w:t>
      </w:r>
      <w:r w:rsidRPr="005635E7">
        <w:rPr>
          <w:rFonts w:asciiTheme="majorBidi" w:hAnsiTheme="majorBidi"/>
          <w:b/>
          <w:bCs/>
          <w:color w:val="auto"/>
          <w:sz w:val="28"/>
          <w:szCs w:val="28"/>
        </w:rPr>
        <w:t xml:space="preserve"> AND SUGGESTIONS FOR FUTURE RESEARCH</w:t>
      </w:r>
      <w:bookmarkEnd w:id="120"/>
    </w:p>
    <w:p w14:paraId="436E8E3E" w14:textId="77777777" w:rsidR="005976AB" w:rsidRPr="005635E7" w:rsidRDefault="005976AB" w:rsidP="005976AB">
      <w:pPr>
        <w:pStyle w:val="Heading2"/>
        <w:spacing w:before="0" w:after="240"/>
        <w:jc w:val="both"/>
        <w:rPr>
          <w:rFonts w:asciiTheme="majorBidi" w:hAnsiTheme="majorBidi"/>
          <w:b/>
          <w:bCs/>
          <w:color w:val="auto"/>
          <w:sz w:val="28"/>
          <w:szCs w:val="28"/>
        </w:rPr>
      </w:pPr>
      <w:bookmarkStart w:id="121" w:name="_Toc115310417"/>
      <w:r w:rsidRPr="005635E7">
        <w:rPr>
          <w:rFonts w:asciiTheme="majorBidi" w:hAnsiTheme="majorBidi"/>
          <w:b/>
          <w:bCs/>
          <w:color w:val="auto"/>
          <w:sz w:val="28"/>
          <w:szCs w:val="28"/>
        </w:rPr>
        <w:t>5.1 Introduction</w:t>
      </w:r>
      <w:bookmarkEnd w:id="121"/>
    </w:p>
    <w:p w14:paraId="0353A90F" w14:textId="77777777" w:rsidR="005976AB" w:rsidRPr="005635E7" w:rsidRDefault="005976AB" w:rsidP="005976AB">
      <w:pPr>
        <w:spacing w:after="240" w:line="480" w:lineRule="auto"/>
        <w:jc w:val="both"/>
        <w:rPr>
          <w:rFonts w:asciiTheme="majorBidi" w:hAnsiTheme="majorBidi" w:cstheme="majorBidi"/>
          <w:b/>
          <w:bCs/>
        </w:rPr>
      </w:pPr>
      <w:r w:rsidRPr="005635E7">
        <w:rPr>
          <w:rFonts w:asciiTheme="majorBidi" w:hAnsiTheme="majorBidi" w:cstheme="majorBidi"/>
        </w:rPr>
        <w:t xml:space="preserve">This chapter provides an overview of the study, together with conclusions, recommendations for further research, and theoretical and management ramifications. First, a summary of the goals, methodology, conclusions regarding its findings, and related research is provided. </w:t>
      </w:r>
      <w:r>
        <w:rPr>
          <w:rFonts w:asciiTheme="majorBidi" w:hAnsiTheme="majorBidi" w:cstheme="majorBidi"/>
        </w:rPr>
        <w:t>This chapter</w:t>
      </w:r>
      <w:r w:rsidRPr="005635E7">
        <w:rPr>
          <w:rFonts w:asciiTheme="majorBidi" w:hAnsiTheme="majorBidi" w:cstheme="majorBidi"/>
        </w:rPr>
        <w:t xml:space="preserve"> then examines the theoretical and managerial consequences for SMEs in the UAE. The chapter concludes with a description of the shortcomings </w:t>
      </w:r>
      <w:r w:rsidRPr="005635E7">
        <w:rPr>
          <w:rFonts w:ascii="Times New Roman" w:eastAsia="Calibri" w:hAnsi="Times New Roman" w:cs="Times New Roman"/>
        </w:rPr>
        <w:t>of the study and ideas for additional research.</w:t>
      </w:r>
    </w:p>
    <w:p w14:paraId="3B895155" w14:textId="77777777" w:rsidR="005976AB" w:rsidRPr="005635E7" w:rsidRDefault="005976AB" w:rsidP="005976AB">
      <w:pPr>
        <w:pStyle w:val="Heading2"/>
        <w:spacing w:before="0" w:after="240"/>
        <w:jc w:val="both"/>
        <w:rPr>
          <w:rFonts w:asciiTheme="majorBidi" w:hAnsiTheme="majorBidi"/>
          <w:b/>
          <w:bCs/>
          <w:color w:val="auto"/>
          <w:sz w:val="28"/>
          <w:szCs w:val="28"/>
        </w:rPr>
      </w:pPr>
      <w:bookmarkStart w:id="122" w:name="_Toc115310418"/>
      <w:bookmarkStart w:id="123" w:name="_Hlk125402796"/>
      <w:r w:rsidRPr="005635E7">
        <w:rPr>
          <w:rFonts w:asciiTheme="majorBidi" w:hAnsiTheme="majorBidi"/>
          <w:b/>
          <w:bCs/>
          <w:color w:val="auto"/>
          <w:sz w:val="28"/>
          <w:szCs w:val="28"/>
        </w:rPr>
        <w:t>5.2 Conclusion of the Study</w:t>
      </w:r>
      <w:bookmarkEnd w:id="122"/>
    </w:p>
    <w:p w14:paraId="1E01FC2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shd w:val="clear" w:color="auto" w:fill="FFFFFF"/>
        </w:rPr>
        <w:t xml:space="preserve">Although researchers and practitioners are interested in the connections between OCL, OI, and FP (Arias-Pérez et al., 2022; Lazzarotti et al., 2016; Lim et al., 2020; du Chatenier et al., 2010; Papa et al., 2018), some gaps </w:t>
      </w:r>
      <w:r w:rsidRPr="005635E7">
        <w:rPr>
          <w:rFonts w:ascii="Times New Roman" w:eastAsia="Calibri" w:hAnsi="Times New Roman" w:cs="Times New Roman"/>
        </w:rPr>
        <w:t xml:space="preserve">remain in the literature regarding the connections between </w:t>
      </w:r>
      <w:r w:rsidRPr="005635E7">
        <w:rPr>
          <w:rFonts w:asciiTheme="majorBidi" w:hAnsiTheme="majorBidi" w:cstheme="majorBidi"/>
          <w:shd w:val="clear" w:color="auto" w:fill="FFFFFF"/>
        </w:rPr>
        <w:t xml:space="preserve">OLC and IP, OP, and FM. Most research on </w:t>
      </w:r>
      <w:r w:rsidRPr="005635E7">
        <w:rPr>
          <w:rFonts w:ascii="Times New Roman" w:eastAsia="Calibri" w:hAnsi="Times New Roman" w:cs="Times New Roman"/>
        </w:rPr>
        <w:t xml:space="preserve">the OLC, FP, and innovation has been </w:t>
      </w:r>
      <w:r w:rsidRPr="005635E7">
        <w:rPr>
          <w:rFonts w:asciiTheme="majorBidi" w:hAnsiTheme="majorBidi" w:cstheme="majorBidi"/>
          <w:shd w:val="clear" w:color="auto" w:fill="FFFFFF"/>
        </w:rPr>
        <w:t>conducted in developed nations (such as Europe, the USA, Japan, Singapore, Korea, and New Zealand) (Carayannis &amp; Meissner, 2017; Papa et al., 2018; Wan et al., 2002). Thus, for rising economies, such as the UAE, important research findings and insights are still in their infancy. Although the relationship</w:t>
      </w:r>
      <w:r w:rsidRPr="005635E7">
        <w:rPr>
          <w:rFonts w:ascii="Times New Roman" w:eastAsia="Calibri" w:hAnsi="Times New Roman" w:cs="Times New Roman"/>
        </w:rPr>
        <w:t xml:space="preserve">s between </w:t>
      </w:r>
      <w:r w:rsidRPr="005635E7">
        <w:rPr>
          <w:rFonts w:asciiTheme="majorBidi" w:hAnsiTheme="majorBidi" w:cstheme="majorBidi"/>
          <w:shd w:val="clear" w:color="auto" w:fill="FFFFFF"/>
        </w:rPr>
        <w:t xml:space="preserve">OLC, OI, </w:t>
      </w:r>
      <w:r w:rsidRPr="005635E7">
        <w:rPr>
          <w:rFonts w:ascii="Times New Roman" w:eastAsia="Calibri" w:hAnsi="Times New Roman" w:cs="Times New Roman"/>
        </w:rPr>
        <w:t>and FP ha</w:t>
      </w:r>
      <w:r w:rsidRPr="005635E7">
        <w:rPr>
          <w:rFonts w:asciiTheme="majorBidi" w:hAnsiTheme="majorBidi" w:cstheme="majorBidi"/>
          <w:shd w:val="clear" w:color="auto" w:fill="FFFFFF"/>
        </w:rPr>
        <w:t>ve been investigated</w:t>
      </w:r>
      <w:r w:rsidRPr="005635E7">
        <w:rPr>
          <w:rFonts w:ascii="Times New Roman" w:eastAsia="Calibri" w:hAnsi="Times New Roman" w:cs="Times New Roman"/>
        </w:rPr>
        <w:t xml:space="preserve"> separately in large firms (Brunswicker &amp; Chesbrough, 2018; Dodgson, Gann, &amp; Salter 2006; </w:t>
      </w:r>
      <w:r w:rsidRPr="005635E7">
        <w:rPr>
          <w:rFonts w:asciiTheme="majorBidi" w:hAnsiTheme="majorBidi" w:cstheme="majorBidi"/>
          <w:shd w:val="clear" w:color="auto" w:fill="FFFFFF"/>
        </w:rPr>
        <w:t>Remneland 2020; Remneland &amp; Styhre, 2019) and SMEs in developed countries (Barrett, et al., 2021; D'Angelo &amp; Baroncelli, 2020; Expósito et al. 2019; Popa et al., 2017) there is little empirical evidence to support this perspective in SMEs in emerging countries (Gomes &amp; Wojahn, 2017).</w:t>
      </w:r>
    </w:p>
    <w:p w14:paraId="4D333F94" w14:textId="77777777" w:rsidR="005976AB" w:rsidRPr="005635E7" w:rsidRDefault="005976AB" w:rsidP="005976AB">
      <w:pPr>
        <w:spacing w:after="240" w:line="480" w:lineRule="auto"/>
        <w:jc w:val="both"/>
        <w:rPr>
          <w:rFonts w:asciiTheme="majorBidi" w:hAnsiTheme="majorBidi" w:cstheme="majorBidi"/>
        </w:rPr>
      </w:pPr>
    </w:p>
    <w:p w14:paraId="421B01AF"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Thus, the goal of this study is to critically examine how </w:t>
      </w:r>
      <w:r w:rsidRPr="005635E7">
        <w:rPr>
          <w:rFonts w:ascii="Times New Roman" w:eastAsia="Calibri" w:hAnsi="Times New Roman" w:cs="Times New Roman"/>
        </w:rPr>
        <w:t>the OLC, OI, and FP relate to one another in the context of SMEs in the UAE</w:t>
      </w:r>
      <w:r w:rsidRPr="005635E7">
        <w:rPr>
          <w:rFonts w:asciiTheme="majorBidi" w:hAnsiTheme="majorBidi" w:cstheme="majorBidi"/>
        </w:rPr>
        <w:t>. A survey was conducted to gather data from 384 manufacturing SMEs; however, only 299 responses were used for analysis after data screening. Manufacturing SMEs participating in the survey were found to be experienced firms</w:t>
      </w:r>
      <w:r w:rsidRPr="005635E7">
        <w:rPr>
          <w:rFonts w:ascii="Times New Roman" w:eastAsia="Calibri" w:hAnsi="Times New Roman" w:cs="Times New Roman"/>
        </w:rPr>
        <w:t xml:space="preserve">, as 84% of SMEs </w:t>
      </w:r>
      <w:r w:rsidRPr="005635E7">
        <w:rPr>
          <w:rFonts w:asciiTheme="majorBidi" w:hAnsiTheme="majorBidi" w:cstheme="majorBidi"/>
        </w:rPr>
        <w:t>been engaged in manufacturing and selling products such as grocery and consumer products, metal product</w:t>
      </w:r>
      <w:r w:rsidRPr="005635E7">
        <w:rPr>
          <w:rFonts w:ascii="Times New Roman" w:eastAsia="Calibri" w:hAnsi="Times New Roman" w:cs="Times New Roman"/>
        </w:rPr>
        <w:t xml:space="preserve">s </w:t>
      </w:r>
      <w:r w:rsidRPr="005635E7">
        <w:rPr>
          <w:rFonts w:asciiTheme="majorBidi" w:hAnsiTheme="majorBidi" w:cstheme="majorBidi"/>
        </w:rPr>
        <w:t>and building material</w:t>
      </w:r>
      <w:r w:rsidRPr="005635E7">
        <w:rPr>
          <w:rFonts w:ascii="Times New Roman" w:eastAsia="Calibri" w:hAnsi="Times New Roman" w:cs="Times New Roman"/>
        </w:rPr>
        <w:t xml:space="preserve">s, apparel </w:t>
      </w:r>
      <w:r w:rsidRPr="005635E7">
        <w:rPr>
          <w:rFonts w:asciiTheme="majorBidi" w:hAnsiTheme="majorBidi" w:cstheme="majorBidi"/>
        </w:rPr>
        <w:t>and clothing</w:t>
      </w:r>
      <w:r w:rsidRPr="005635E7">
        <w:rPr>
          <w:rFonts w:ascii="Times New Roman" w:eastAsia="Calibri" w:hAnsi="Times New Roman" w:cs="Times New Roman"/>
        </w:rPr>
        <w:t xml:space="preserve">, food </w:t>
      </w:r>
      <w:r w:rsidRPr="005635E7">
        <w:rPr>
          <w:rFonts w:asciiTheme="majorBidi" w:hAnsiTheme="majorBidi" w:cstheme="majorBidi"/>
        </w:rPr>
        <w:t>and beverages, and petrochemical</w:t>
      </w:r>
      <w:r w:rsidRPr="005635E7">
        <w:rPr>
          <w:rFonts w:ascii="Times New Roman" w:eastAsia="Calibri" w:hAnsi="Times New Roman" w:cs="Times New Roman"/>
        </w:rPr>
        <w:t xml:space="preserve">s </w:t>
      </w:r>
      <w:r w:rsidRPr="005635E7">
        <w:rPr>
          <w:rFonts w:asciiTheme="majorBidi" w:hAnsiTheme="majorBidi" w:cstheme="majorBidi"/>
        </w:rPr>
        <w:t>for more than six years. They mostly operated in Abu Dhabi and Dubai, followed by Fujairah</w:t>
      </w:r>
      <w:r w:rsidRPr="005635E7">
        <w:rPr>
          <w:rFonts w:ascii="Times New Roman" w:eastAsia="Calibri" w:hAnsi="Times New Roman" w:cs="Times New Roman"/>
        </w:rPr>
        <w:t>, Sharjah, and Ajman.</w:t>
      </w:r>
    </w:p>
    <w:p w14:paraId="211C6626"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The findings indicate that </w:t>
      </w:r>
      <w:r w:rsidRPr="005635E7">
        <w:rPr>
          <w:rFonts w:ascii="Times New Roman" w:eastAsia="Calibri" w:hAnsi="Times New Roman" w:cs="Times New Roman"/>
        </w:rPr>
        <w:t>the OLC of the UAE’s manufacturing SMEs</w:t>
      </w:r>
      <w:r w:rsidRPr="005635E7">
        <w:rPr>
          <w:rFonts w:asciiTheme="majorBidi" w:hAnsiTheme="majorBidi" w:cstheme="majorBidi"/>
        </w:rPr>
        <w:t xml:space="preserve"> positively influence</w:t>
      </w:r>
      <w:r w:rsidRPr="005635E7">
        <w:rPr>
          <w:rFonts w:ascii="Times New Roman" w:eastAsia="Calibri" w:hAnsi="Times New Roman" w:cs="Times New Roman"/>
        </w:rPr>
        <w:t>s the two dimensions of OI (i.e., IP and OP). OLC was measured through four first-order constructs</w:t>
      </w:r>
      <w:r w:rsidRPr="005635E7">
        <w:rPr>
          <w:rFonts w:asciiTheme="majorBidi" w:hAnsiTheme="majorBidi" w:cstheme="majorBidi"/>
        </w:rPr>
        <w:t xml:space="preserve">: </w:t>
      </w:r>
      <w:r>
        <w:rPr>
          <w:rFonts w:asciiTheme="majorBidi" w:hAnsiTheme="majorBidi" w:cstheme="majorBidi"/>
        </w:rPr>
        <w:t>MC</w:t>
      </w:r>
      <w:r w:rsidRPr="005635E7">
        <w:rPr>
          <w:rFonts w:asciiTheme="majorBidi" w:hAnsiTheme="majorBidi" w:cstheme="majorBidi"/>
        </w:rPr>
        <w:t xml:space="preserve"> (e.g., </w:t>
      </w:r>
      <w:r w:rsidRPr="005635E7">
        <w:rPr>
          <w:rFonts w:asciiTheme="majorBidi" w:eastAsia="Times New Roman" w:hAnsiTheme="majorBidi" w:cstheme="majorBidi"/>
          <w:lang w:eastAsia="en-GB"/>
        </w:rPr>
        <w:t>employee learning, rewarding innovative ideas, involvement of staff in important decision-making process</w:t>
      </w:r>
      <w:r w:rsidRPr="005635E7">
        <w:rPr>
          <w:rFonts w:ascii="Times New Roman" w:eastAsia="Times New Roman" w:hAnsi="Times New Roman" w:cs="Times New Roman"/>
          <w:lang w:eastAsia="en-GB"/>
        </w:rPr>
        <w:t>es, adopting changes in environmental situations</w:t>
      </w:r>
      <w:r w:rsidRPr="005635E7">
        <w:rPr>
          <w:rFonts w:asciiTheme="majorBidi" w:eastAsia="Times New Roman" w:hAnsiTheme="majorBidi" w:cstheme="majorBidi"/>
          <w:lang w:eastAsia="en-GB"/>
        </w:rPr>
        <w:t>)</w:t>
      </w:r>
      <w:r w:rsidRPr="005635E7">
        <w:rPr>
          <w:rFonts w:asciiTheme="majorBidi" w:hAnsiTheme="majorBidi" w:cstheme="majorBidi"/>
        </w:rPr>
        <w:t xml:space="preserve">, </w:t>
      </w:r>
      <w:r>
        <w:rPr>
          <w:rFonts w:asciiTheme="majorBidi" w:hAnsiTheme="majorBidi" w:cstheme="majorBidi"/>
        </w:rPr>
        <w:t>SP</w:t>
      </w:r>
      <w:r w:rsidRPr="005635E7">
        <w:rPr>
          <w:rFonts w:asciiTheme="majorBidi" w:hAnsiTheme="majorBidi" w:cstheme="majorBidi"/>
        </w:rPr>
        <w:t xml:space="preserve"> (e.g., clear view of the objectives, </w:t>
      </w:r>
      <w:r w:rsidRPr="005635E7">
        <w:rPr>
          <w:rFonts w:asciiTheme="majorBidi" w:eastAsia="Times New Roman" w:hAnsiTheme="majorBidi" w:cstheme="majorBidi"/>
          <w:lang w:eastAsia="en-GB"/>
        </w:rPr>
        <w:t>interconnected, working together)</w:t>
      </w:r>
      <w:r w:rsidRPr="005635E7">
        <w:rPr>
          <w:rFonts w:asciiTheme="majorBidi" w:hAnsiTheme="majorBidi" w:cstheme="majorBidi"/>
        </w:rPr>
        <w:t xml:space="preserve">, </w:t>
      </w:r>
      <w:r>
        <w:rPr>
          <w:rFonts w:asciiTheme="majorBidi" w:hAnsiTheme="majorBidi" w:cstheme="majorBidi"/>
        </w:rPr>
        <w:t>EX</w:t>
      </w:r>
      <w:r w:rsidRPr="005635E7">
        <w:rPr>
          <w:rFonts w:asciiTheme="majorBidi" w:hAnsiTheme="majorBidi" w:cstheme="majorBidi"/>
        </w:rPr>
        <w:t xml:space="preserve"> (e.g., employee opinions and suggestion</w:t>
      </w:r>
      <w:r w:rsidRPr="005635E7">
        <w:rPr>
          <w:rFonts w:ascii="Times New Roman" w:eastAsia="Calibri" w:hAnsi="Times New Roman" w:cs="Times New Roman"/>
        </w:rPr>
        <w:t xml:space="preserve">s, acquiring </w:t>
      </w:r>
      <w:r w:rsidRPr="005635E7">
        <w:rPr>
          <w:rFonts w:asciiTheme="majorBidi" w:eastAsia="Times New Roman" w:hAnsiTheme="majorBidi" w:cstheme="majorBidi"/>
          <w:lang w:eastAsia="en-GB"/>
        </w:rPr>
        <w:t>experiences and ideas from external sources, experimentation</w:t>
      </w:r>
      <w:r w:rsidRPr="005635E7">
        <w:rPr>
          <w:rFonts w:ascii="Times New Roman" w:eastAsia="Times New Roman" w:hAnsi="Times New Roman" w:cs="Times New Roman"/>
          <w:lang w:eastAsia="en-GB"/>
        </w:rPr>
        <w:t>, and innovation</w:t>
      </w:r>
      <w:r w:rsidRPr="005635E7">
        <w:rPr>
          <w:rFonts w:asciiTheme="majorBidi" w:hAnsiTheme="majorBidi" w:cstheme="majorBidi"/>
        </w:rPr>
        <w:t xml:space="preserve">), and </w:t>
      </w:r>
      <w:r>
        <w:rPr>
          <w:rFonts w:asciiTheme="majorBidi" w:hAnsiTheme="majorBidi" w:cstheme="majorBidi"/>
        </w:rPr>
        <w:t>TR</w:t>
      </w:r>
      <w:r w:rsidRPr="005635E7">
        <w:rPr>
          <w:rFonts w:asciiTheme="majorBidi" w:hAnsiTheme="majorBidi" w:cstheme="majorBidi"/>
        </w:rPr>
        <w:t xml:space="preserve"> (e.g., encouraging debate and dialog</w:t>
      </w:r>
      <w:r>
        <w:rPr>
          <w:rFonts w:asciiTheme="majorBidi" w:hAnsiTheme="majorBidi" w:cstheme="majorBidi"/>
        </w:rPr>
        <w:t>ue</w:t>
      </w:r>
      <w:r w:rsidRPr="005635E7">
        <w:rPr>
          <w:rFonts w:asciiTheme="majorBidi" w:hAnsiTheme="majorBidi" w:cstheme="majorBidi"/>
        </w:rPr>
        <w:t xml:space="preserve"> between employees of the organization). This result is consistent with </w:t>
      </w:r>
      <w:r w:rsidRPr="005635E7">
        <w:rPr>
          <w:rFonts w:ascii="Times New Roman" w:eastAsia="Calibri" w:hAnsi="Times New Roman" w:cs="Times New Roman"/>
        </w:rPr>
        <w:t xml:space="preserve">the findings of </w:t>
      </w:r>
      <w:r w:rsidRPr="005635E7">
        <w:rPr>
          <w:rFonts w:asciiTheme="majorBidi" w:hAnsiTheme="majorBidi" w:cstheme="majorBidi"/>
        </w:rPr>
        <w:t>Jerez-G</w:t>
      </w:r>
      <w:r>
        <w:rPr>
          <w:rFonts w:asciiTheme="majorBidi" w:hAnsiTheme="majorBidi" w:cstheme="majorBidi"/>
        </w:rPr>
        <w:t>ó</w:t>
      </w:r>
      <w:r w:rsidRPr="005635E7">
        <w:rPr>
          <w:rFonts w:asciiTheme="majorBidi" w:hAnsiTheme="majorBidi" w:cstheme="majorBidi"/>
        </w:rPr>
        <w:t xml:space="preserve">mez et al. (2005). Hence, it can be inferred that all four </w:t>
      </w:r>
      <w:r w:rsidRPr="005635E7">
        <w:rPr>
          <w:rFonts w:ascii="Times New Roman" w:eastAsia="Calibri" w:hAnsi="Times New Roman" w:cs="Times New Roman"/>
        </w:rPr>
        <w:t xml:space="preserve">OLC dimensions </w:t>
      </w:r>
      <w:r w:rsidRPr="005635E7">
        <w:rPr>
          <w:rFonts w:asciiTheme="majorBidi" w:hAnsiTheme="majorBidi" w:cstheme="majorBidi"/>
        </w:rPr>
        <w:t xml:space="preserve">related to manufacturing SMEs in the UAE reinforce their OI. Few studies relate </w:t>
      </w:r>
      <w:r w:rsidRPr="005635E7">
        <w:rPr>
          <w:rFonts w:ascii="Times New Roman" w:eastAsia="Calibri" w:hAnsi="Times New Roman" w:cs="Times New Roman"/>
        </w:rPr>
        <w:t>the OLC and OI to different types of innovation</w:t>
      </w:r>
      <w:r w:rsidRPr="005635E7">
        <w:rPr>
          <w:rFonts w:asciiTheme="majorBidi" w:hAnsiTheme="majorBidi" w:cstheme="majorBidi"/>
        </w:rPr>
        <w:t xml:space="preserve"> such </w:t>
      </w:r>
      <w:r w:rsidRPr="005635E7">
        <w:rPr>
          <w:rFonts w:ascii="Times New Roman" w:eastAsia="Calibri" w:hAnsi="Times New Roman" w:cs="Times New Roman"/>
        </w:rPr>
        <w:t>as IP and OP</w:t>
      </w:r>
      <w:r w:rsidRPr="005635E7">
        <w:rPr>
          <w:rFonts w:asciiTheme="majorBidi" w:hAnsiTheme="majorBidi" w:cstheme="majorBidi"/>
        </w:rPr>
        <w:t xml:space="preserve"> (Peris-Ortiz et al., 2018). Nevertheless, this is the first study to show the relationship between manufacturing SMEs’ OLC and IP</w:t>
      </w:r>
      <w:r w:rsidRPr="005635E7">
        <w:rPr>
          <w:rFonts w:ascii="Times New Roman" w:eastAsia="Calibri" w:hAnsi="Times New Roman" w:cs="Times New Roman"/>
        </w:rPr>
        <w:t>, and between OLC and OP, reflecting the novelty of this study.</w:t>
      </w:r>
    </w:p>
    <w:p w14:paraId="598795E5"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Despite the fact that manufacturing SMEs' OLC had a major impact on both IP and OP, it was quantified in the findings that OP was more directly affected by OLC than IP. This result is at odds with Severoni and Muldoon's (2019) discovery of a reverse relationship between intellectual property and organizational learning processes and with Naqshbandi and Tabche's (2018) failure to detect an interaction between organizational learning and OI. While OP is more effective through exploration activities, IP has a greater impact on innovation output through exploitative activities (Bai, 2021). Therefore, the UAE's manufacturing SMEs can use the OLC and processes to externalize their R&amp;D activities and build </w:t>
      </w:r>
      <w:r w:rsidRPr="005635E7">
        <w:rPr>
          <w:rFonts w:ascii="Times New Roman" w:eastAsia="Calibri" w:hAnsi="Times New Roman" w:cs="Times New Roman"/>
        </w:rPr>
        <w:t xml:space="preserve">a reputation for future </w:t>
      </w:r>
      <w:r w:rsidRPr="005635E7">
        <w:rPr>
          <w:rFonts w:asciiTheme="majorBidi" w:hAnsiTheme="majorBidi" w:cstheme="majorBidi"/>
        </w:rPr>
        <w:t>endeavors, which are significant aspects of OP. This strengthens the SMEs' capacity to exploit and capture niche markets that are not targeted by larger firms.</w:t>
      </w:r>
    </w:p>
    <w:p w14:paraId="418E6714"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On the other hand, the results of this study suggest that OP solely affects P and that the IP practices of manufacturing SMEs in the UAE have a favorable impact on FP in terms of ME and P. The results of this study are somewhat consistent with those reported by Hung and Chou (2013) and Oduro et al (2021). For instance, Hung and Chou (2013) find that the purchase of external technology related to IP has a favorable impact on FP, which is consistent with the conclusion of the IP-FP relationship. The findings of the current study regarding the negligible relationship between OP and ME are at odds with Hung and Chou's (2013) finding that the use of external technology with respect to OP has no impact on FP. Similar to the findings of this study, </w:t>
      </w:r>
      <w:r>
        <w:rPr>
          <w:rFonts w:asciiTheme="majorBidi" w:hAnsiTheme="majorBidi" w:cstheme="majorBidi"/>
        </w:rPr>
        <w:t>they find</w:t>
      </w:r>
      <w:r w:rsidRPr="005635E7">
        <w:rPr>
          <w:rFonts w:asciiTheme="majorBidi" w:hAnsiTheme="majorBidi" w:cstheme="majorBidi"/>
        </w:rPr>
        <w:t xml:space="preserve"> a substantial association between IP and non-financial performance as well as between OP and non-financial performance. While the former is consistent with the findings</w:t>
      </w:r>
      <w:r w:rsidRPr="005635E7">
        <w:rPr>
          <w:rFonts w:ascii="Times New Roman" w:eastAsia="Calibri" w:hAnsi="Times New Roman" w:cs="Times New Roman"/>
        </w:rPr>
        <w:t xml:space="preserve"> of this study, the latter is at odds with the </w:t>
      </w:r>
      <w:r w:rsidRPr="005635E7">
        <w:rPr>
          <w:rFonts w:asciiTheme="majorBidi" w:hAnsiTheme="majorBidi" w:cstheme="majorBidi"/>
        </w:rPr>
        <w:t xml:space="preserve">findings regarding the weak relationship between OP and ME. In addition, the results of these investigations </w:t>
      </w:r>
      <w:r>
        <w:rPr>
          <w:rFonts w:asciiTheme="majorBidi" w:hAnsiTheme="majorBidi" w:cstheme="majorBidi"/>
        </w:rPr>
        <w:t>ar</w:t>
      </w:r>
      <w:r w:rsidRPr="005635E7">
        <w:rPr>
          <w:rFonts w:asciiTheme="majorBidi" w:hAnsiTheme="majorBidi" w:cstheme="majorBidi"/>
        </w:rPr>
        <w:t>e restricted to a few IP, OP, and FP dimensions. Although the IP and OP dimension</w:t>
      </w:r>
      <w:r w:rsidRPr="005635E7">
        <w:rPr>
          <w:rFonts w:ascii="Times New Roman" w:eastAsia="Calibri" w:hAnsi="Times New Roman" w:cs="Times New Roman"/>
        </w:rPr>
        <w:t xml:space="preserve">s </w:t>
      </w:r>
      <w:r w:rsidRPr="005635E7">
        <w:rPr>
          <w:rFonts w:asciiTheme="majorBidi" w:hAnsiTheme="majorBidi" w:cstheme="majorBidi"/>
        </w:rPr>
        <w:t xml:space="preserve">in their study </w:t>
      </w:r>
      <w:r>
        <w:rPr>
          <w:rFonts w:asciiTheme="majorBidi" w:hAnsiTheme="majorBidi" w:cstheme="majorBidi"/>
        </w:rPr>
        <w:t>a</w:t>
      </w:r>
      <w:r w:rsidRPr="005635E7">
        <w:rPr>
          <w:rFonts w:asciiTheme="majorBidi" w:hAnsiTheme="majorBidi" w:cstheme="majorBidi"/>
        </w:rPr>
        <w:t xml:space="preserve">re limited to a small number, the findings of both studies </w:t>
      </w:r>
      <w:r>
        <w:rPr>
          <w:rFonts w:asciiTheme="majorBidi" w:hAnsiTheme="majorBidi" w:cstheme="majorBidi"/>
        </w:rPr>
        <w:t>a</w:t>
      </w:r>
      <w:r w:rsidRPr="005635E7">
        <w:rPr>
          <w:rFonts w:asciiTheme="majorBidi" w:hAnsiTheme="majorBidi" w:cstheme="majorBidi"/>
        </w:rPr>
        <w:t>re consistent.</w:t>
      </w:r>
    </w:p>
    <w:p w14:paraId="0F1551E5"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Therefore</w:t>
      </w:r>
      <w:r w:rsidRPr="005635E7">
        <w:rPr>
          <w:rFonts w:ascii="Times New Roman" w:eastAsia="Calibri" w:hAnsi="Times New Roman" w:cs="Times New Roman"/>
        </w:rPr>
        <w:t>, this study conclude</w:t>
      </w:r>
      <w:r w:rsidRPr="005635E7">
        <w:rPr>
          <w:rFonts w:asciiTheme="majorBidi" w:hAnsiTheme="majorBidi" w:cstheme="majorBidi"/>
        </w:rPr>
        <w:t xml:space="preserve">s that ME and P are reasonable </w:t>
      </w:r>
      <w:r w:rsidRPr="005635E7">
        <w:rPr>
          <w:rFonts w:ascii="Times New Roman" w:eastAsia="Calibri" w:hAnsi="Times New Roman" w:cs="Times New Roman"/>
        </w:rPr>
        <w:t>financial and non-financial indicators for measuring manufacturing SME’s FM</w:t>
      </w:r>
      <w:r w:rsidRPr="005635E7">
        <w:rPr>
          <w:rFonts w:asciiTheme="majorBidi" w:hAnsiTheme="majorBidi" w:cstheme="majorBidi"/>
        </w:rPr>
        <w:t>. While P is considered a financial metric, the bulk of ME indicators are non-financial metrics such as market share increase</w:t>
      </w:r>
      <w:r w:rsidRPr="005635E7">
        <w:rPr>
          <w:rFonts w:ascii="Times New Roman" w:eastAsia="Calibri" w:hAnsi="Times New Roman" w:cs="Times New Roman"/>
        </w:rPr>
        <w:t xml:space="preserve">s in comparison to </w:t>
      </w:r>
      <w:r w:rsidRPr="005635E7">
        <w:rPr>
          <w:rFonts w:asciiTheme="majorBidi" w:hAnsiTheme="majorBidi" w:cstheme="majorBidi"/>
        </w:rPr>
        <w:t xml:space="preserve">competition and client acquisition (Morgan et al., 2009). </w:t>
      </w:r>
      <w:r>
        <w:rPr>
          <w:rFonts w:asciiTheme="majorBidi" w:hAnsiTheme="majorBidi" w:cstheme="majorBidi"/>
        </w:rPr>
        <w:t>Our f</w:t>
      </w:r>
      <w:r w:rsidRPr="005635E7">
        <w:rPr>
          <w:rFonts w:asciiTheme="majorBidi" w:hAnsiTheme="majorBidi" w:cstheme="majorBidi"/>
        </w:rPr>
        <w:t xml:space="preserve">indings further specified </w:t>
      </w:r>
      <w:r>
        <w:rPr>
          <w:rFonts w:asciiTheme="majorBidi" w:hAnsiTheme="majorBidi" w:cstheme="majorBidi"/>
        </w:rPr>
        <w:t xml:space="preserve">that </w:t>
      </w:r>
      <w:r w:rsidRPr="005635E7">
        <w:rPr>
          <w:rFonts w:asciiTheme="majorBidi" w:hAnsiTheme="majorBidi" w:cstheme="majorBidi"/>
        </w:rPr>
        <w:t>IP positively impact both ME and P of manufacturing SMEs of the UAE, while OP only affect</w:t>
      </w:r>
      <w:r>
        <w:rPr>
          <w:rFonts w:asciiTheme="majorBidi" w:hAnsiTheme="majorBidi" w:cstheme="majorBidi"/>
        </w:rPr>
        <w:t>s</w:t>
      </w:r>
      <w:r w:rsidRPr="005635E7">
        <w:rPr>
          <w:rFonts w:asciiTheme="majorBidi" w:hAnsiTheme="majorBidi" w:cstheme="majorBidi"/>
        </w:rPr>
        <w:t xml:space="preserve"> P. Hence, it c</w:t>
      </w:r>
      <w:r>
        <w:rPr>
          <w:rFonts w:asciiTheme="majorBidi" w:hAnsiTheme="majorBidi" w:cstheme="majorBidi"/>
        </w:rPr>
        <w:t>an</w:t>
      </w:r>
      <w:r w:rsidRPr="005635E7">
        <w:rPr>
          <w:rFonts w:asciiTheme="majorBidi" w:hAnsiTheme="majorBidi" w:cstheme="majorBidi"/>
        </w:rPr>
        <w:t xml:space="preserve"> be inferred that the IP of the UAE’s manufacturing SMEs are prone to perform vis-à-vis </w:t>
      </w:r>
      <w:r>
        <w:rPr>
          <w:rFonts w:asciiTheme="majorBidi" w:hAnsiTheme="majorBidi" w:cstheme="majorBidi"/>
        </w:rPr>
        <w:t>ME</w:t>
      </w:r>
      <w:r w:rsidRPr="005635E7">
        <w:rPr>
          <w:rFonts w:asciiTheme="majorBidi" w:hAnsiTheme="majorBidi" w:cstheme="majorBidi"/>
        </w:rPr>
        <w:t xml:space="preserve"> more frequently than OP (Bianchi et al., 2011).</w:t>
      </w:r>
    </w:p>
    <w:p w14:paraId="3FF379AF"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This study provides more evidence for OI's contribution </w:t>
      </w:r>
      <w:r w:rsidRPr="005635E7">
        <w:rPr>
          <w:rFonts w:ascii="Times New Roman" w:eastAsia="Calibri" w:hAnsi="Times New Roman" w:cs="Times New Roman"/>
        </w:rPr>
        <w:t xml:space="preserve">of OI to the relationship between FP and OLC in </w:t>
      </w:r>
      <w:r w:rsidRPr="005635E7">
        <w:rPr>
          <w:rFonts w:asciiTheme="majorBidi" w:hAnsiTheme="majorBidi" w:cstheme="majorBidi"/>
        </w:rPr>
        <w:t xml:space="preserve">the UAE SMEs. The relationships between OLC and ME and between OLC and P </w:t>
      </w:r>
      <w:r>
        <w:rPr>
          <w:rFonts w:asciiTheme="majorBidi" w:hAnsiTheme="majorBidi" w:cstheme="majorBidi"/>
        </w:rPr>
        <w:t>a</w:t>
      </w:r>
      <w:r w:rsidRPr="005635E7">
        <w:rPr>
          <w:rFonts w:asciiTheme="majorBidi" w:hAnsiTheme="majorBidi" w:cstheme="majorBidi"/>
        </w:rPr>
        <w:t xml:space="preserve">re mediated by IP, whereas those between OLC and ME and between OLC and P </w:t>
      </w:r>
      <w:r>
        <w:rPr>
          <w:rFonts w:asciiTheme="majorBidi" w:hAnsiTheme="majorBidi" w:cstheme="majorBidi"/>
        </w:rPr>
        <w:t>a</w:t>
      </w:r>
      <w:r w:rsidRPr="005635E7">
        <w:rPr>
          <w:rFonts w:asciiTheme="majorBidi" w:hAnsiTheme="majorBidi" w:cstheme="majorBidi"/>
        </w:rPr>
        <w:t xml:space="preserve">re not mediated by OP. This leads the researcher to conclude that the UAE’s manufacturing SMEs are likely to perform </w:t>
      </w:r>
      <w:r w:rsidRPr="005635E7">
        <w:rPr>
          <w:rFonts w:ascii="Times New Roman" w:eastAsia="Calibri" w:hAnsi="Times New Roman" w:cs="Times New Roman"/>
        </w:rPr>
        <w:t>IP more frequently</w:t>
      </w:r>
      <w:r w:rsidRPr="005635E7">
        <w:rPr>
          <w:rFonts w:asciiTheme="majorBidi" w:hAnsiTheme="majorBidi" w:cstheme="majorBidi"/>
        </w:rPr>
        <w:t xml:space="preserve"> than OP in pursuit of enhanced FP through their OLC. This </w:t>
      </w:r>
      <w:r>
        <w:rPr>
          <w:rFonts w:asciiTheme="majorBidi" w:hAnsiTheme="majorBidi" w:cstheme="majorBidi"/>
        </w:rPr>
        <w:t>i</w:t>
      </w:r>
      <w:r w:rsidRPr="005635E7">
        <w:rPr>
          <w:rFonts w:asciiTheme="majorBidi" w:hAnsiTheme="majorBidi" w:cstheme="majorBidi"/>
        </w:rPr>
        <w:t>s the first study that investigate the role of OI (IP and OP) on the relationship between OLC and FP.</w:t>
      </w:r>
    </w:p>
    <w:p w14:paraId="7A9010F4" w14:textId="77777777" w:rsidR="005976AB" w:rsidRPr="005635E7" w:rsidRDefault="005976AB" w:rsidP="005976AB">
      <w:pPr>
        <w:pStyle w:val="Heading2"/>
        <w:spacing w:before="0" w:after="240"/>
        <w:jc w:val="both"/>
        <w:rPr>
          <w:rFonts w:asciiTheme="majorBidi" w:hAnsiTheme="majorBidi"/>
          <w:b/>
          <w:bCs/>
          <w:color w:val="auto"/>
          <w:sz w:val="28"/>
          <w:szCs w:val="28"/>
        </w:rPr>
      </w:pPr>
      <w:bookmarkStart w:id="124" w:name="_Toc115310419"/>
      <w:bookmarkEnd w:id="123"/>
      <w:r w:rsidRPr="005635E7">
        <w:rPr>
          <w:rFonts w:asciiTheme="majorBidi" w:hAnsiTheme="majorBidi"/>
          <w:b/>
          <w:bCs/>
          <w:color w:val="auto"/>
          <w:sz w:val="28"/>
          <w:szCs w:val="28"/>
        </w:rPr>
        <w:t>5.3 Theoretical Implications</w:t>
      </w:r>
      <w:bookmarkEnd w:id="124"/>
    </w:p>
    <w:p w14:paraId="03E74D71"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It is crucial that the nature of OI in large firms be thoroughly studied because SMEs are still understudied in the OI literature (Hochleitner et al., 2016; West et al., 2014) despite playing a significant role in many countries’ business world</w:t>
      </w:r>
      <w:r w:rsidRPr="005635E7">
        <w:rPr>
          <w:rFonts w:ascii="Times New Roman" w:eastAsia="Calibri" w:hAnsi="Times New Roman" w:cs="Times New Roman"/>
        </w:rPr>
        <w:t>s</w:t>
      </w:r>
      <w:r w:rsidRPr="005635E7">
        <w:rPr>
          <w:rFonts w:asciiTheme="majorBidi" w:hAnsiTheme="majorBidi" w:cstheme="majorBidi"/>
        </w:rPr>
        <w:t xml:space="preserve">. Further studies using large-scale data are required to understand OI in SMEs better (West et al., 2014). However, it is widely acknowledged that empirical results regarding OI and its effects on large enterprises cannot be generalized to the context of SMEs (Spithoven et al., 2013; Popa et al., 2017). Most earlier studies on </w:t>
      </w:r>
      <w:r w:rsidRPr="005635E7">
        <w:rPr>
          <w:rFonts w:ascii="Times New Roman" w:eastAsia="Calibri" w:hAnsi="Times New Roman" w:cs="Times New Roman"/>
        </w:rPr>
        <w:t xml:space="preserve">the OLC and OI </w:t>
      </w:r>
      <w:r w:rsidRPr="005635E7">
        <w:rPr>
          <w:rFonts w:asciiTheme="majorBidi" w:hAnsiTheme="majorBidi" w:cstheme="majorBidi"/>
        </w:rPr>
        <w:t>focused on large firms. In view of that, this study contributes to the extant innovation literature by investigating the significant and complex interrelations of OLC, OI, and FP in a single study, demonstrating various theoretical implications in the context of SMEs in emerging countries, such as the UAE.</w:t>
      </w:r>
    </w:p>
    <w:p w14:paraId="5B9291A2"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First of all, it should be emphasized that this study is the first in the innovation-related literature to experimentally correlate five streams</w:t>
      </w:r>
      <w:r>
        <w:rPr>
          <w:rFonts w:asciiTheme="majorBidi" w:hAnsiTheme="majorBidi" w:cstheme="majorBidi"/>
        </w:rPr>
        <w:t xml:space="preserve">– </w:t>
      </w:r>
      <w:r w:rsidRPr="005635E7">
        <w:rPr>
          <w:rFonts w:asciiTheme="majorBidi" w:hAnsiTheme="majorBidi" w:cstheme="majorBidi"/>
        </w:rPr>
        <w:t>OLC, IP, OP, ME, and P</w:t>
      </w:r>
      <w:r>
        <w:rPr>
          <w:rFonts w:asciiTheme="majorBidi" w:hAnsiTheme="majorBidi" w:cstheme="majorBidi"/>
        </w:rPr>
        <w:softHyphen/>
        <w:t xml:space="preserve">– </w:t>
      </w:r>
      <w:r w:rsidRPr="005635E7">
        <w:rPr>
          <w:rFonts w:asciiTheme="majorBidi" w:hAnsiTheme="majorBidi" w:cstheme="majorBidi"/>
        </w:rPr>
        <w:t xml:space="preserve">within the context of SMEs. This study adds to the limited body of literature linking </w:t>
      </w:r>
      <w:r w:rsidRPr="005635E7">
        <w:rPr>
          <w:rFonts w:ascii="Times New Roman" w:eastAsia="Calibri" w:hAnsi="Times New Roman" w:cs="Times New Roman"/>
        </w:rPr>
        <w:t>the OLC and OI in the context of SMEs by demonstrating that the OLC ha</w:t>
      </w:r>
      <w:r w:rsidRPr="005635E7">
        <w:rPr>
          <w:rFonts w:asciiTheme="majorBidi" w:hAnsiTheme="majorBidi" w:cstheme="majorBidi"/>
        </w:rPr>
        <w:t>s positive and substantial effects on IP and OP. This study also demonstrate</w:t>
      </w:r>
      <w:r>
        <w:rPr>
          <w:rFonts w:asciiTheme="majorBidi" w:hAnsiTheme="majorBidi" w:cstheme="majorBidi"/>
        </w:rPr>
        <w:t>s</w:t>
      </w:r>
      <w:r w:rsidRPr="005635E7">
        <w:rPr>
          <w:rFonts w:asciiTheme="majorBidi" w:hAnsiTheme="majorBidi" w:cstheme="majorBidi"/>
        </w:rPr>
        <w:t xml:space="preserve"> the beneficial and noteworthy effects of IP on ME and P. However, the findings indicate that OP ha</w:t>
      </w:r>
      <w:r>
        <w:rPr>
          <w:rFonts w:asciiTheme="majorBidi" w:hAnsiTheme="majorBidi" w:cstheme="majorBidi"/>
        </w:rPr>
        <w:t>s</w:t>
      </w:r>
      <w:r w:rsidRPr="005635E7">
        <w:rPr>
          <w:rFonts w:asciiTheme="majorBidi" w:hAnsiTheme="majorBidi" w:cstheme="majorBidi"/>
        </w:rPr>
        <w:t xml:space="preserve"> </w:t>
      </w:r>
      <w:r w:rsidRPr="005635E7">
        <w:rPr>
          <w:rFonts w:ascii="Times New Roman" w:eastAsia="Calibri" w:hAnsi="Times New Roman" w:cs="Times New Roman"/>
        </w:rPr>
        <w:t>a significant impact on P, whereas it ha</w:t>
      </w:r>
      <w:r>
        <w:rPr>
          <w:rFonts w:ascii="Times New Roman" w:eastAsia="Calibri" w:hAnsi="Times New Roman" w:cs="Times New Roman"/>
        </w:rPr>
        <w:t>s</w:t>
      </w:r>
      <w:r w:rsidRPr="005635E7">
        <w:rPr>
          <w:rFonts w:ascii="Times New Roman" w:eastAsia="Calibri" w:hAnsi="Times New Roman" w:cs="Times New Roman"/>
        </w:rPr>
        <w:t xml:space="preserve"> no impact on ME. This implies that OP is vital for enhancing the profit level of SMEs in emerging countries, </w:t>
      </w:r>
      <w:r w:rsidRPr="005635E7">
        <w:rPr>
          <w:rFonts w:asciiTheme="majorBidi" w:hAnsiTheme="majorBidi" w:cstheme="majorBidi"/>
        </w:rPr>
        <w:t xml:space="preserve">but may not support enhancing </w:t>
      </w:r>
      <w:r>
        <w:rPr>
          <w:rFonts w:asciiTheme="majorBidi" w:hAnsiTheme="majorBidi" w:cstheme="majorBidi"/>
        </w:rPr>
        <w:t>ME</w:t>
      </w:r>
      <w:r w:rsidRPr="005635E7">
        <w:rPr>
          <w:rFonts w:asciiTheme="majorBidi" w:hAnsiTheme="majorBidi" w:cstheme="majorBidi"/>
        </w:rPr>
        <w:t>.</w:t>
      </w:r>
    </w:p>
    <w:p w14:paraId="20E9ECCA"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Second, there is disagreement in the innovation literature on the FP features on which OLC and OI have an impact. In contrast to Gomes and Wojahn (2017), Jiménez-Jiménez and Sanz-Valle (2011) emphasize the importance of OLC in enhancing FP. Additionally, in both trials, it was unclear whether the FP elements were influenced by OLC and OI. By focusing on particular aspects of FP, such as </w:t>
      </w:r>
      <w:r>
        <w:rPr>
          <w:rFonts w:asciiTheme="majorBidi" w:hAnsiTheme="majorBidi" w:cstheme="majorBidi"/>
        </w:rPr>
        <w:t>ME</w:t>
      </w:r>
      <w:r w:rsidRPr="005635E7">
        <w:rPr>
          <w:rFonts w:asciiTheme="majorBidi" w:hAnsiTheme="majorBidi" w:cstheme="majorBidi"/>
        </w:rPr>
        <w:t xml:space="preserve"> and SMEs' profitability, we fill the gaps left by these ambiguous results and gain a thorough understanding of the major influence</w:t>
      </w:r>
      <w:r w:rsidRPr="005635E7">
        <w:rPr>
          <w:rFonts w:ascii="Times New Roman" w:eastAsia="Calibri" w:hAnsi="Times New Roman" w:cs="Times New Roman"/>
        </w:rPr>
        <w:t xml:space="preserve">s </w:t>
      </w:r>
      <w:r w:rsidRPr="005635E7">
        <w:rPr>
          <w:rFonts w:asciiTheme="majorBidi" w:hAnsiTheme="majorBidi" w:cstheme="majorBidi"/>
        </w:rPr>
        <w:t>of OLC and OI on FP.</w:t>
      </w:r>
    </w:p>
    <w:p w14:paraId="492DBB4D"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Third, the empirical results of this study highlight how the adoption and implementation of OI practices can have a favorable impact on the financial performance of SMEs in developing nations, such as the UAE. This idea is highly supported by the fact that most inbound activities and all four outbound activities exhibit positive correlations with the two FP components of </w:t>
      </w:r>
      <w:r>
        <w:rPr>
          <w:rFonts w:asciiTheme="majorBidi" w:hAnsiTheme="majorBidi" w:cstheme="majorBidi"/>
        </w:rPr>
        <w:t>ME</w:t>
      </w:r>
      <w:r w:rsidRPr="005635E7">
        <w:rPr>
          <w:rFonts w:asciiTheme="majorBidi" w:hAnsiTheme="majorBidi" w:cstheme="majorBidi"/>
        </w:rPr>
        <w:t xml:space="preserve"> and profitability</w:t>
      </w:r>
      <w:r w:rsidRPr="005635E7">
        <w:rPr>
          <w:rFonts w:ascii="Times New Roman" w:eastAsia="Calibri" w:hAnsi="Times New Roman" w:cs="Times New Roman"/>
        </w:rPr>
        <w:t>, while exhibiting no negative correlations. Purchasing R&amp;D-related items from external partners and frequently purchasing intellectual property rights</w:t>
      </w:r>
      <w:r w:rsidRPr="005635E7">
        <w:rPr>
          <w:rFonts w:asciiTheme="majorBidi" w:hAnsiTheme="majorBidi" w:cstheme="majorBidi"/>
        </w:rPr>
        <w:t xml:space="preserve"> such as patents, copyrights, or trademarks from external partners to be used in SMEs' innovation projects are two inbound activities that support both parts of </w:t>
      </w:r>
      <w:r w:rsidRPr="005635E7">
        <w:rPr>
          <w:rFonts w:ascii="Times New Roman" w:eastAsia="Calibri" w:hAnsi="Times New Roman" w:cs="Times New Roman"/>
        </w:rPr>
        <w:t xml:space="preserve">the FP. </w:t>
      </w:r>
      <w:r w:rsidRPr="005635E7">
        <w:rPr>
          <w:rFonts w:asciiTheme="majorBidi" w:hAnsiTheme="majorBidi" w:cstheme="majorBidi"/>
        </w:rPr>
        <w:t xml:space="preserve">While outbound activities </w:t>
      </w:r>
      <w:r>
        <w:rPr>
          <w:rFonts w:asciiTheme="majorBidi" w:hAnsiTheme="majorBidi" w:cstheme="majorBidi"/>
        </w:rPr>
        <w:t>a</w:t>
      </w:r>
      <w:r w:rsidRPr="005635E7">
        <w:rPr>
          <w:rFonts w:asciiTheme="majorBidi" w:hAnsiTheme="majorBidi" w:cstheme="majorBidi"/>
        </w:rPr>
        <w:t>re positive</w:t>
      </w:r>
      <w:r w:rsidRPr="005635E7">
        <w:rPr>
          <w:rFonts w:ascii="Times New Roman" w:eastAsia="Calibri" w:hAnsi="Times New Roman" w:cs="Times New Roman"/>
        </w:rPr>
        <w:t>ly correlat</w:t>
      </w:r>
      <w:r w:rsidRPr="005635E7">
        <w:rPr>
          <w:rFonts w:asciiTheme="majorBidi" w:hAnsiTheme="majorBidi" w:cstheme="majorBidi"/>
        </w:rPr>
        <w:t xml:space="preserve">ed with both FP features, they </w:t>
      </w:r>
      <w:r>
        <w:rPr>
          <w:rFonts w:asciiTheme="majorBidi" w:hAnsiTheme="majorBidi" w:cstheme="majorBidi"/>
        </w:rPr>
        <w:t>a</w:t>
      </w:r>
      <w:r w:rsidRPr="005635E7">
        <w:rPr>
          <w:rFonts w:asciiTheme="majorBidi" w:hAnsiTheme="majorBidi" w:cstheme="majorBidi"/>
        </w:rPr>
        <w:t>re only relevant when used by SMEs to increase profitability. Selling licen</w:t>
      </w:r>
      <w:r>
        <w:rPr>
          <w:rFonts w:asciiTheme="majorBidi" w:hAnsiTheme="majorBidi" w:cstheme="majorBidi"/>
        </w:rPr>
        <w:t>s</w:t>
      </w:r>
      <w:r w:rsidRPr="005635E7">
        <w:rPr>
          <w:rFonts w:asciiTheme="majorBidi" w:hAnsiTheme="majorBidi" w:cstheme="majorBidi"/>
        </w:rPr>
        <w:t xml:space="preserve">es, such as patents, copyrights, or trademarks, to better benefit from SMEs' innovation efforts, frequently offering royalty agreements, and strengthening every use of their own intellectual property, as well as spinning-offs, </w:t>
      </w:r>
      <w:r>
        <w:rPr>
          <w:rFonts w:asciiTheme="majorBidi" w:hAnsiTheme="majorBidi" w:cstheme="majorBidi"/>
        </w:rPr>
        <w:t>a</w:t>
      </w:r>
      <w:r w:rsidRPr="005635E7">
        <w:rPr>
          <w:rFonts w:asciiTheme="majorBidi" w:hAnsiTheme="majorBidi" w:cstheme="majorBidi"/>
        </w:rPr>
        <w:t xml:space="preserve">re among the activities </w:t>
      </w:r>
      <w:r w:rsidRPr="005635E7">
        <w:rPr>
          <w:rFonts w:ascii="Times New Roman" w:eastAsia="Calibri" w:hAnsi="Times New Roman" w:cs="Times New Roman"/>
        </w:rPr>
        <w:t>that enhanc</w:t>
      </w:r>
      <w:r w:rsidRPr="005635E7">
        <w:rPr>
          <w:rFonts w:asciiTheme="majorBidi" w:hAnsiTheme="majorBidi" w:cstheme="majorBidi"/>
        </w:rPr>
        <w:t>ed firm profitability.</w:t>
      </w:r>
    </w:p>
    <w:p w14:paraId="7A77627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Fourth, despite the lack of quantitative empirical evidence in the context of SMEs in emerging economies, a few previous studies on innovation and FP </w:t>
      </w:r>
      <w:r>
        <w:rPr>
          <w:rFonts w:asciiTheme="majorBidi" w:hAnsiTheme="majorBidi" w:cstheme="majorBidi"/>
        </w:rPr>
        <w:t>highlight</w:t>
      </w:r>
      <w:r w:rsidRPr="005635E7">
        <w:rPr>
          <w:rFonts w:asciiTheme="majorBidi" w:hAnsiTheme="majorBidi" w:cstheme="majorBidi"/>
        </w:rPr>
        <w:t xml:space="preserve"> the significance of SMEs starting their innovation process through external influences (Bianchi et al. 2010; Parid et al., 2012; Lee et al. 2010). According to Parid et al. (2012), most earlier studies on OI in SMEs are either qualitative or conceptual. This study addresses this gap in the </w:t>
      </w:r>
      <w:r w:rsidRPr="005635E7">
        <w:rPr>
          <w:rFonts w:ascii="Times New Roman" w:eastAsia="Calibri" w:hAnsi="Times New Roman" w:cs="Times New Roman"/>
        </w:rPr>
        <w:t xml:space="preserve">innovation literature </w:t>
      </w:r>
      <w:r w:rsidRPr="005635E7">
        <w:rPr>
          <w:rFonts w:asciiTheme="majorBidi" w:hAnsiTheme="majorBidi" w:cstheme="majorBidi"/>
        </w:rPr>
        <w:t xml:space="preserve">by quantitatively identifying FP as a suitable dependent variable. Consequently, OI was measured as IP and OP using Cheng and Shiu's (2015) scale. FP was measured using the scales developed by Morgan et al. (2009) as ME and P. To quantitatively demonstrate the relationship between OI and FP, SEM </w:t>
      </w:r>
      <w:r>
        <w:rPr>
          <w:rFonts w:asciiTheme="majorBidi" w:hAnsiTheme="majorBidi" w:cstheme="majorBidi"/>
        </w:rPr>
        <w:t>wa</w:t>
      </w:r>
      <w:r w:rsidRPr="005635E7">
        <w:rPr>
          <w:rFonts w:asciiTheme="majorBidi" w:hAnsiTheme="majorBidi" w:cstheme="majorBidi"/>
        </w:rPr>
        <w:t>s supported.</w:t>
      </w:r>
    </w:p>
    <w:p w14:paraId="51098C34" w14:textId="4F3F5055"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 examination of OI as a mediator of the intricate interaction between OLC and FP</w:t>
      </w:r>
      <w:r w:rsidR="001B4901" w:rsidRPr="005635E7">
        <w:rPr>
          <w:rFonts w:asciiTheme="majorBidi" w:hAnsiTheme="majorBidi" w:cstheme="majorBidi"/>
        </w:rPr>
        <w:t xml:space="preserve"> </w:t>
      </w:r>
      <w:r w:rsidR="001B4901">
        <w:rPr>
          <w:rFonts w:asciiTheme="majorBidi" w:hAnsiTheme="majorBidi" w:cstheme="majorBidi"/>
        </w:rPr>
        <w:t>i</w:t>
      </w:r>
      <w:r w:rsidRPr="005635E7">
        <w:rPr>
          <w:rFonts w:asciiTheme="majorBidi" w:hAnsiTheme="majorBidi" w:cstheme="majorBidi"/>
        </w:rPr>
        <w:t>s the final significant and ground-breaking contribution</w:t>
      </w:r>
      <w:r w:rsidRPr="005635E7">
        <w:rPr>
          <w:rFonts w:ascii="Times New Roman" w:eastAsia="Calibri" w:hAnsi="Times New Roman" w:cs="Times New Roman"/>
        </w:rPr>
        <w:t xml:space="preserve"> of this study. The OLC has been shown to play a significant role in improving FP (</w:t>
      </w:r>
      <w:r w:rsidRPr="005635E7">
        <w:rPr>
          <w:rFonts w:asciiTheme="majorBidi" w:hAnsiTheme="majorBidi" w:cstheme="majorBidi"/>
        </w:rPr>
        <w:t xml:space="preserve">Kalmuk &amp; Acar, 2015; Mousavi, Bossink, &amp; van Vliet, 2018), but the connecting processes that make this happen are still poorly understood. However, there is currently a dearth of empirical data supporting the mediating role of OI in the relationship between OLC and FP. By demonstrating that the positive correlation between </w:t>
      </w:r>
      <w:r w:rsidRPr="005635E7">
        <w:rPr>
          <w:rFonts w:ascii="Times New Roman" w:eastAsia="Calibri" w:hAnsi="Times New Roman" w:cs="Times New Roman"/>
        </w:rPr>
        <w:t xml:space="preserve">the OLC and FP of </w:t>
      </w:r>
      <w:r w:rsidRPr="005635E7">
        <w:rPr>
          <w:rFonts w:asciiTheme="majorBidi" w:hAnsiTheme="majorBidi" w:cstheme="majorBidi"/>
        </w:rPr>
        <w:t xml:space="preserve">SMEs may be explained by the beneficial effect of OI, the present study adds to the sparse body of knowledge. It was discovered that IP acted as a mediator in the relationships between OLC and ME and between OLC and P. However, the role of OP as a mediator in the associations between OLC and ME and between OLC and P </w:t>
      </w:r>
      <w:r>
        <w:rPr>
          <w:rFonts w:asciiTheme="majorBidi" w:hAnsiTheme="majorBidi" w:cstheme="majorBidi"/>
        </w:rPr>
        <w:t>was not</w:t>
      </w:r>
      <w:r w:rsidRPr="005635E7">
        <w:rPr>
          <w:rFonts w:ascii="Times New Roman" w:eastAsia="Calibri" w:hAnsi="Times New Roman" w:cs="Times New Roman"/>
        </w:rPr>
        <w:t xml:space="preserve"> substantiated.</w:t>
      </w:r>
    </w:p>
    <w:p w14:paraId="76549568"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The ability of SMEs to innovate their products/processes is increased by access to and exploitation of new skills, competenc</w:t>
      </w:r>
      <w:r w:rsidRPr="005635E7">
        <w:rPr>
          <w:rFonts w:ascii="Times New Roman" w:eastAsia="Calibri" w:hAnsi="Times New Roman" w:cs="Times New Roman"/>
        </w:rPr>
        <w:t xml:space="preserve">ies, and knowledge from external sources </w:t>
      </w:r>
      <w:r w:rsidRPr="005635E7">
        <w:rPr>
          <w:rFonts w:asciiTheme="majorBidi" w:hAnsiTheme="majorBidi" w:cstheme="majorBidi"/>
        </w:rPr>
        <w:t>that actively promote OI practices (IP and OP). This can result in the design and development of new products/services associated with external partners or contracting out their R&amp;D activities (Nedon, 2015).</w:t>
      </w:r>
    </w:p>
    <w:p w14:paraId="25F4B3EA" w14:textId="77777777" w:rsidR="005976AB" w:rsidRPr="005635E7" w:rsidRDefault="005976AB" w:rsidP="005976AB">
      <w:pPr>
        <w:pStyle w:val="Heading2"/>
        <w:spacing w:before="0" w:after="240"/>
        <w:jc w:val="both"/>
        <w:rPr>
          <w:rFonts w:asciiTheme="majorBidi" w:hAnsiTheme="majorBidi"/>
          <w:b/>
          <w:bCs/>
          <w:color w:val="auto"/>
          <w:sz w:val="28"/>
          <w:szCs w:val="28"/>
        </w:rPr>
      </w:pPr>
      <w:bookmarkStart w:id="125" w:name="_Toc115310420"/>
      <w:r w:rsidRPr="005635E7">
        <w:rPr>
          <w:rFonts w:asciiTheme="majorBidi" w:hAnsiTheme="majorBidi"/>
          <w:b/>
          <w:bCs/>
          <w:color w:val="auto"/>
          <w:sz w:val="28"/>
          <w:szCs w:val="28"/>
        </w:rPr>
        <w:t>5.4 Practical Implications</w:t>
      </w:r>
      <w:bookmarkEnd w:id="125"/>
    </w:p>
    <w:p w14:paraId="37A6D8AC"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This study has several real-world applications. First, manufacturing SMEs in the UAE need to be </w:t>
      </w:r>
      <w:r w:rsidRPr="005635E7">
        <w:rPr>
          <w:rFonts w:ascii="Times New Roman" w:eastAsia="Calibri" w:hAnsi="Times New Roman" w:cs="Times New Roman"/>
        </w:rPr>
        <w:t>sufficiently adaptable</w:t>
      </w:r>
      <w:r w:rsidRPr="005635E7">
        <w:rPr>
          <w:rFonts w:asciiTheme="majorBidi" w:hAnsiTheme="majorBidi" w:cstheme="majorBidi"/>
        </w:rPr>
        <w:t xml:space="preserve"> to spread their revenue and profitability streams across several markets in times of key business environment changes and crises (e.g., COVID-19 and the post-COVID-19 period). </w:t>
      </w:r>
      <w:r w:rsidRPr="005635E7">
        <w:rPr>
          <w:rFonts w:ascii="Times New Roman" w:eastAsia="Calibri" w:hAnsi="Times New Roman" w:cs="Times New Roman"/>
        </w:rPr>
        <w:t xml:space="preserve">The OI model is essential for businesses to enable transformation and adaptability, as well as for businesses to stay successful in their respective fields (Bai 2021). This study provides evidence that OI, which includes both IP and OP, directly improves ME and P. </w:t>
      </w:r>
      <w:r w:rsidRPr="005635E7">
        <w:rPr>
          <w:rFonts w:asciiTheme="majorBidi" w:hAnsiTheme="majorBidi" w:cstheme="majorBidi"/>
        </w:rPr>
        <w:t>However, IP indirectly strengthens the relationship between OLC and ME and between OLC and P.</w:t>
      </w:r>
    </w:p>
    <w:p w14:paraId="16D30EF6" w14:textId="7D5D6A8F"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Second, OP is more effective for manufacturing SMEs than IP in term</w:t>
      </w:r>
      <w:r w:rsidRPr="005635E7">
        <w:rPr>
          <w:rFonts w:ascii="Times New Roman" w:eastAsia="Calibri" w:hAnsi="Times New Roman" w:cs="Times New Roman"/>
        </w:rPr>
        <w:t xml:space="preserve">s of taping niche markets not acquired by large companies in the UAE. Amid global crisis vis-à-vis business environment in the UAE, manufacturing SMEs need to tend to adopt to OP rather than IP as it can enhance the cost savings on R&amp;D activities, reputation for future </w:t>
      </w:r>
      <w:r w:rsidRPr="005635E7">
        <w:rPr>
          <w:rFonts w:asciiTheme="majorBidi" w:hAnsiTheme="majorBidi" w:cstheme="majorBidi"/>
        </w:rPr>
        <w:t>endeavors, as well as royalty income. However, SMEs' owner</w:t>
      </w:r>
      <w:r w:rsidRPr="005635E7">
        <w:rPr>
          <w:rFonts w:ascii="Times New Roman" w:eastAsia="Calibri" w:hAnsi="Times New Roman" w:cs="Times New Roman"/>
        </w:rPr>
        <w:t xml:space="preserve">s/managers or upcoming small start-ups should </w:t>
      </w:r>
      <w:r w:rsidRPr="005635E7">
        <w:rPr>
          <w:rFonts w:asciiTheme="majorBidi" w:hAnsiTheme="majorBidi" w:cstheme="majorBidi"/>
        </w:rPr>
        <w:t>consider adhering to both IP and OP because they are more likely to obtain higher benefits from their technological capabilities and knowledge bases (Popa et al., 2017).</w:t>
      </w:r>
    </w:p>
    <w:p w14:paraId="39F1A9FE"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Third, strengthening </w:t>
      </w:r>
      <w:r w:rsidRPr="005635E7">
        <w:rPr>
          <w:rFonts w:ascii="Times New Roman" w:eastAsia="Calibri" w:hAnsi="Times New Roman" w:cs="Times New Roman"/>
        </w:rPr>
        <w:t xml:space="preserve">the OLC within manufacturing SMEs in the areas of </w:t>
      </w:r>
      <w:r>
        <w:rPr>
          <w:rFonts w:ascii="Times New Roman" w:eastAsia="Calibri" w:hAnsi="Times New Roman" w:cs="Times New Roman"/>
        </w:rPr>
        <w:t>MC</w:t>
      </w:r>
      <w:r w:rsidRPr="005635E7">
        <w:rPr>
          <w:rFonts w:ascii="Times New Roman" w:eastAsia="Calibri" w:hAnsi="Times New Roman" w:cs="Times New Roman"/>
        </w:rPr>
        <w:t xml:space="preserve">, </w:t>
      </w:r>
      <w:r>
        <w:rPr>
          <w:rFonts w:ascii="Times New Roman" w:eastAsia="Calibri" w:hAnsi="Times New Roman" w:cs="Times New Roman"/>
        </w:rPr>
        <w:t>SP</w:t>
      </w:r>
      <w:r w:rsidRPr="005635E7">
        <w:rPr>
          <w:rFonts w:ascii="Times New Roman" w:eastAsia="Calibri" w:hAnsi="Times New Roman" w:cs="Times New Roman"/>
        </w:rPr>
        <w:t xml:space="preserve">, </w:t>
      </w:r>
      <w:r>
        <w:rPr>
          <w:rFonts w:ascii="Times New Roman" w:eastAsia="Calibri" w:hAnsi="Times New Roman" w:cs="Times New Roman"/>
        </w:rPr>
        <w:t>EX, and TR</w:t>
      </w:r>
      <w:r w:rsidRPr="005635E7">
        <w:rPr>
          <w:rFonts w:ascii="Times New Roman" w:eastAsia="Calibri" w:hAnsi="Times New Roman" w:cs="Times New Roman"/>
        </w:rPr>
        <w:t xml:space="preserve"> is essential because these areas are crucial for identifying successful OI practices, such as IP and OP, which directly and indirectly improve FP. However, SMEs are not scaled-down versions of larger enterprises, as most empirical studies have focused on, </w:t>
      </w:r>
      <w:r w:rsidRPr="005635E7">
        <w:rPr>
          <w:rFonts w:asciiTheme="majorBidi" w:hAnsiTheme="majorBidi" w:cstheme="majorBidi"/>
        </w:rPr>
        <w:t xml:space="preserve">because they must deal with a variety of issues owing to their size, limited resources, and expertise (Altinay et al. 2016). As a result, </w:t>
      </w:r>
      <w:r w:rsidRPr="005635E7">
        <w:rPr>
          <w:rFonts w:ascii="Times New Roman" w:eastAsia="Calibri" w:hAnsi="Times New Roman" w:cs="Times New Roman"/>
        </w:rPr>
        <w:t xml:space="preserve">the OLC of SMEs might not have as great </w:t>
      </w:r>
      <w:r w:rsidRPr="005635E7">
        <w:rPr>
          <w:rFonts w:asciiTheme="majorBidi" w:hAnsiTheme="majorBidi" w:cstheme="majorBidi"/>
        </w:rPr>
        <w:t xml:space="preserve">a capacity for learning as </w:t>
      </w:r>
      <w:r w:rsidRPr="005635E7">
        <w:rPr>
          <w:rFonts w:ascii="Times New Roman" w:eastAsia="Calibri" w:hAnsi="Times New Roman" w:cs="Times New Roman"/>
        </w:rPr>
        <w:t xml:space="preserve">that observed in larger companies in the UAE. Due to the requirement to increase IP attention </w:t>
      </w:r>
      <w:r w:rsidRPr="005635E7">
        <w:rPr>
          <w:rFonts w:asciiTheme="majorBidi" w:hAnsiTheme="majorBidi" w:cstheme="majorBidi"/>
        </w:rPr>
        <w:t xml:space="preserve">to maximize the overall influence of OI on the relationship between </w:t>
      </w:r>
      <w:r w:rsidRPr="005635E7">
        <w:rPr>
          <w:rFonts w:ascii="Times New Roman" w:eastAsia="Calibri" w:hAnsi="Times New Roman" w:cs="Times New Roman"/>
        </w:rPr>
        <w:t xml:space="preserve">an OLC and </w:t>
      </w:r>
      <w:r>
        <w:rPr>
          <w:rFonts w:ascii="Times New Roman" w:eastAsia="Calibri" w:hAnsi="Times New Roman" w:cs="Times New Roman"/>
        </w:rPr>
        <w:t>ME</w:t>
      </w:r>
      <w:r w:rsidRPr="005635E7">
        <w:rPr>
          <w:rFonts w:ascii="Times New Roman" w:eastAsia="Calibri" w:hAnsi="Times New Roman" w:cs="Times New Roman"/>
        </w:rPr>
        <w:t>, as well as between an OLC and profitability, this study offers managerial implications for SMEs without an OLC. The empirical findings confirm</w:t>
      </w:r>
      <w:r w:rsidRPr="005635E7">
        <w:rPr>
          <w:rFonts w:asciiTheme="majorBidi" w:hAnsiTheme="majorBidi" w:cstheme="majorBidi"/>
        </w:rPr>
        <w:t xml:space="preserve"> that OP does not mediate the association between OLC and SME performance</w:t>
      </w:r>
      <w:r w:rsidRPr="005635E7">
        <w:rPr>
          <w:rFonts w:ascii="Times New Roman" w:eastAsia="Calibri" w:hAnsi="Times New Roman" w:cs="Times New Roman"/>
        </w:rPr>
        <w:t>, and that only IP mediates this relationship.</w:t>
      </w:r>
    </w:p>
    <w:p w14:paraId="071338B6"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 xml:space="preserve">Overall, this study's findings support the need for manufacturing SMEs' owners and managers to be aware of the importance of fostering organizational learning processes and capabilities to strengthen inbound and outbound </w:t>
      </w:r>
      <w:r>
        <w:rPr>
          <w:rFonts w:asciiTheme="majorBidi" w:hAnsiTheme="majorBidi" w:cstheme="majorBidi"/>
        </w:rPr>
        <w:t>OI</w:t>
      </w:r>
      <w:r w:rsidRPr="005635E7">
        <w:rPr>
          <w:rFonts w:asciiTheme="majorBidi" w:hAnsiTheme="majorBidi" w:cstheme="majorBidi"/>
        </w:rPr>
        <w:t xml:space="preserve"> activities, which will increase their </w:t>
      </w:r>
      <w:r>
        <w:rPr>
          <w:rFonts w:asciiTheme="majorBidi" w:hAnsiTheme="majorBidi" w:cstheme="majorBidi"/>
        </w:rPr>
        <w:t>ME</w:t>
      </w:r>
      <w:r w:rsidRPr="005635E7">
        <w:rPr>
          <w:rFonts w:asciiTheme="majorBidi" w:hAnsiTheme="majorBidi" w:cstheme="majorBidi"/>
        </w:rPr>
        <w:t xml:space="preserve"> and profitability.</w:t>
      </w:r>
    </w:p>
    <w:p w14:paraId="077363E1" w14:textId="77777777" w:rsidR="005976AB" w:rsidRPr="005635E7" w:rsidRDefault="005976AB" w:rsidP="005976AB">
      <w:pPr>
        <w:pStyle w:val="Heading2"/>
        <w:spacing w:before="0" w:after="240"/>
        <w:jc w:val="both"/>
        <w:rPr>
          <w:rFonts w:asciiTheme="majorBidi" w:hAnsiTheme="majorBidi"/>
          <w:b/>
          <w:bCs/>
          <w:color w:val="auto"/>
          <w:sz w:val="28"/>
          <w:szCs w:val="28"/>
        </w:rPr>
      </w:pPr>
      <w:bookmarkStart w:id="126" w:name="_Toc115310421"/>
      <w:r w:rsidRPr="005635E7">
        <w:rPr>
          <w:rFonts w:asciiTheme="majorBidi" w:hAnsiTheme="majorBidi"/>
          <w:b/>
          <w:bCs/>
          <w:color w:val="auto"/>
          <w:sz w:val="28"/>
          <w:szCs w:val="28"/>
        </w:rPr>
        <w:t>5.5 Limitations and Suggestions for Future Research</w:t>
      </w:r>
      <w:bookmarkEnd w:id="126"/>
    </w:p>
    <w:p w14:paraId="70CB6655"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Like many others, this study has limitations that should be addressed in subsequent research. First, the opinions and views of only one person from one entity, either the owner or manager of the SME</w:t>
      </w:r>
      <w:r w:rsidRPr="005635E7">
        <w:rPr>
          <w:rFonts w:ascii="Times New Roman" w:eastAsia="Calibri" w:hAnsi="Times New Roman" w:cs="Times New Roman"/>
        </w:rPr>
        <w:t>, w</w:t>
      </w:r>
      <w:r w:rsidRPr="005635E7">
        <w:rPr>
          <w:rFonts w:asciiTheme="majorBidi" w:hAnsiTheme="majorBidi" w:cstheme="majorBidi"/>
        </w:rPr>
        <w:t xml:space="preserve">ere surveyed. Future studies should consider research designs that tolerate data collection from various respondents within an SME. </w:t>
      </w:r>
      <w:bookmarkStart w:id="127" w:name="_Hlk104078659"/>
      <w:r w:rsidRPr="005635E7">
        <w:rPr>
          <w:rFonts w:asciiTheme="majorBidi" w:hAnsiTheme="majorBidi" w:cstheme="majorBidi"/>
        </w:rPr>
        <w:t xml:space="preserve">Second, as </w:t>
      </w:r>
      <w:r w:rsidRPr="005635E7">
        <w:rPr>
          <w:rFonts w:ascii="Times New Roman" w:eastAsia="Calibri" w:hAnsi="Times New Roman" w:cs="Times New Roman"/>
        </w:rPr>
        <w:t>the FP metrics rel</w:t>
      </w:r>
      <w:r>
        <w:rPr>
          <w:rFonts w:ascii="Times New Roman" w:eastAsia="Calibri" w:hAnsi="Times New Roman" w:cs="Times New Roman"/>
        </w:rPr>
        <w:t>y</w:t>
      </w:r>
      <w:r w:rsidRPr="005635E7">
        <w:rPr>
          <w:rFonts w:ascii="Times New Roman" w:eastAsia="Calibri" w:hAnsi="Times New Roman" w:cs="Times New Roman"/>
        </w:rPr>
        <w:t xml:space="preserve"> on management or owner replies on a seven-point Likert scale, they </w:t>
      </w:r>
      <w:r>
        <w:rPr>
          <w:rFonts w:ascii="Times New Roman" w:eastAsia="Calibri" w:hAnsi="Times New Roman" w:cs="Times New Roman"/>
        </w:rPr>
        <w:t>a</w:t>
      </w:r>
      <w:r w:rsidRPr="005635E7">
        <w:rPr>
          <w:rFonts w:ascii="Times New Roman" w:eastAsia="Calibri" w:hAnsi="Times New Roman" w:cs="Times New Roman"/>
        </w:rPr>
        <w:t xml:space="preserve">re considered arbitrary. </w:t>
      </w:r>
      <w:r w:rsidRPr="005635E7">
        <w:rPr>
          <w:rFonts w:asciiTheme="majorBidi" w:hAnsiTheme="majorBidi" w:cstheme="majorBidi"/>
        </w:rPr>
        <w:t>Therefore, incorporating objective questionnaire items for gauging FP, which encompasses both financial and non-financial performance, could be interesting. Third, this study adopts a cross-sectional static view of OLC, OI, and FP. Addressing the issue of how these factors and their relevance may alter over time becomes difficult as a result of this. Thus, a longitudinal perspective on this study could improve the outcomes.</w:t>
      </w:r>
    </w:p>
    <w:p w14:paraId="4621C28A" w14:textId="77777777" w:rsidR="005976AB" w:rsidRPr="005635E7" w:rsidRDefault="005976AB" w:rsidP="005976AB">
      <w:pPr>
        <w:spacing w:after="240" w:line="480" w:lineRule="auto"/>
        <w:jc w:val="both"/>
        <w:rPr>
          <w:rFonts w:asciiTheme="majorBidi" w:hAnsiTheme="majorBidi" w:cstheme="majorBidi"/>
        </w:rPr>
      </w:pPr>
      <w:r w:rsidRPr="005635E7">
        <w:rPr>
          <w:rFonts w:asciiTheme="majorBidi" w:hAnsiTheme="majorBidi" w:cstheme="majorBidi"/>
        </w:rPr>
        <w:t>Furthermore, to reduce the variety across businesses, this study only considered manufacturing SMEs when choosing the UAE SMEs for the survey. Therefore, the conclusion</w:t>
      </w:r>
      <w:r w:rsidRPr="005635E7">
        <w:rPr>
          <w:rFonts w:ascii="Times New Roman" w:eastAsia="Calibri" w:hAnsi="Times New Roman" w:cs="Times New Roman"/>
        </w:rPr>
        <w:t xml:space="preserve">s drawn from this study </w:t>
      </w:r>
      <w:r w:rsidRPr="005635E7">
        <w:rPr>
          <w:rFonts w:asciiTheme="majorBidi" w:hAnsiTheme="majorBidi" w:cstheme="majorBidi"/>
        </w:rPr>
        <w:t xml:space="preserve">may not apply to other sectors of the economy, such </w:t>
      </w:r>
      <w:r w:rsidRPr="005635E7">
        <w:rPr>
          <w:rFonts w:ascii="Times New Roman" w:eastAsia="Calibri" w:hAnsi="Times New Roman" w:cs="Times New Roman"/>
        </w:rPr>
        <w:t xml:space="preserve">as the trading and service sectors. </w:t>
      </w:r>
      <w:r>
        <w:rPr>
          <w:rFonts w:ascii="Times New Roman" w:eastAsia="Calibri" w:hAnsi="Times New Roman" w:cs="Times New Roman"/>
        </w:rPr>
        <w:t>S</w:t>
      </w:r>
      <w:r w:rsidRPr="005635E7">
        <w:rPr>
          <w:rFonts w:ascii="Times New Roman" w:eastAsia="Calibri" w:hAnsi="Times New Roman" w:cs="Times New Roman"/>
        </w:rPr>
        <w:t xml:space="preserve">tudies that </w:t>
      </w:r>
      <w:r>
        <w:rPr>
          <w:rFonts w:ascii="Times New Roman" w:eastAsia="Calibri" w:hAnsi="Times New Roman" w:cs="Times New Roman"/>
        </w:rPr>
        <w:t>focus</w:t>
      </w:r>
      <w:r w:rsidRPr="005635E7">
        <w:rPr>
          <w:rFonts w:ascii="Times New Roman" w:eastAsia="Calibri" w:hAnsi="Times New Roman" w:cs="Times New Roman"/>
        </w:rPr>
        <w:t xml:space="preserve"> on SMEs in the trading and service sectors </w:t>
      </w:r>
      <w:r w:rsidRPr="005635E7">
        <w:rPr>
          <w:rFonts w:asciiTheme="majorBidi" w:hAnsiTheme="majorBidi" w:cstheme="majorBidi"/>
        </w:rPr>
        <w:t>can provide comparison</w:t>
      </w:r>
      <w:r w:rsidRPr="005635E7">
        <w:rPr>
          <w:rFonts w:ascii="Times New Roman" w:eastAsia="Calibri" w:hAnsi="Times New Roman" w:cs="Times New Roman"/>
        </w:rPr>
        <w:t xml:space="preserve">s with the results of </w:t>
      </w:r>
      <w:r w:rsidRPr="005635E7">
        <w:rPr>
          <w:rFonts w:asciiTheme="majorBidi" w:hAnsiTheme="majorBidi" w:cstheme="majorBidi"/>
        </w:rPr>
        <w:t>this study. The relationship between OLC, OI, and FP may also be examined in future studies by considering other crucial organizational aspects, such as environmental conditions, HR practices, organizational strategy, and leadership.</w:t>
      </w:r>
      <w:bookmarkEnd w:id="127"/>
    </w:p>
    <w:p w14:paraId="1831051F" w14:textId="77777777" w:rsidR="005976AB" w:rsidRPr="005635E7" w:rsidRDefault="005976AB" w:rsidP="005976AB">
      <w:pPr>
        <w:rPr>
          <w:rFonts w:asciiTheme="majorBidi" w:hAnsiTheme="majorBidi" w:cstheme="majorBidi"/>
        </w:rPr>
      </w:pPr>
      <w:r w:rsidRPr="005635E7">
        <w:rPr>
          <w:rFonts w:asciiTheme="majorBidi" w:hAnsiTheme="majorBidi" w:cstheme="majorBidi"/>
        </w:rPr>
        <w:br w:type="page"/>
      </w:r>
    </w:p>
    <w:p w14:paraId="2B9E39B3" w14:textId="77777777" w:rsidR="005976AB" w:rsidRPr="005635E7" w:rsidRDefault="005976AB" w:rsidP="005976AB">
      <w:pPr>
        <w:pStyle w:val="Heading1"/>
        <w:spacing w:after="240" w:line="360" w:lineRule="auto"/>
        <w:rPr>
          <w:rFonts w:asciiTheme="majorBidi" w:hAnsiTheme="majorBidi"/>
          <w:b/>
          <w:bCs/>
          <w:color w:val="auto"/>
          <w:sz w:val="28"/>
          <w:szCs w:val="28"/>
        </w:rPr>
      </w:pPr>
      <w:bookmarkStart w:id="128" w:name="_Hlk48180140"/>
      <w:bookmarkStart w:id="129" w:name="_Toc115310422"/>
      <w:r w:rsidRPr="005635E7">
        <w:rPr>
          <w:rFonts w:asciiTheme="majorBidi" w:hAnsiTheme="majorBidi"/>
          <w:b/>
          <w:bCs/>
          <w:color w:val="auto"/>
          <w:sz w:val="28"/>
          <w:szCs w:val="28"/>
        </w:rPr>
        <w:t>REFERENCES</w:t>
      </w:r>
      <w:bookmarkEnd w:id="128"/>
      <w:bookmarkEnd w:id="129"/>
    </w:p>
    <w:p w14:paraId="70184DC8"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Ahmad S. &amp; Schroeder R. G. (2003), The impact of human resource management practices on operational performance: recognizing country and industry differences. </w:t>
      </w:r>
      <w:r w:rsidRPr="005635E7">
        <w:rPr>
          <w:rFonts w:asciiTheme="majorBidi" w:hAnsiTheme="majorBidi" w:cstheme="majorBidi"/>
          <w:i/>
          <w:iCs/>
        </w:rPr>
        <w:t>Journal of Operation Management</w:t>
      </w:r>
      <w:r w:rsidRPr="005635E7">
        <w:rPr>
          <w:rFonts w:asciiTheme="majorBidi" w:hAnsiTheme="majorBidi" w:cstheme="majorBidi"/>
        </w:rPr>
        <w:t>, 21(1):19–43.</w:t>
      </w:r>
    </w:p>
    <w:p w14:paraId="6F6CF5FA"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Ahn, J. M., Mortara, L., &amp; Minshall, T. (2013). The effects of open innovation on firm performance: a capacity approach. </w:t>
      </w:r>
      <w:r w:rsidRPr="005635E7">
        <w:rPr>
          <w:rFonts w:asciiTheme="majorBidi" w:hAnsiTheme="majorBidi" w:cstheme="majorBidi"/>
          <w:i/>
          <w:iCs/>
        </w:rPr>
        <w:t>STI Policy Review</w:t>
      </w:r>
      <w:r w:rsidRPr="005635E7">
        <w:rPr>
          <w:rFonts w:asciiTheme="majorBidi" w:hAnsiTheme="majorBidi" w:cstheme="majorBidi"/>
        </w:rPr>
        <w:t>, 4(1), 79-93.</w:t>
      </w:r>
    </w:p>
    <w:p w14:paraId="42256FA1"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Almutawa, Z., Muenjohn, N. &amp; Zhang, J. (2016), The effect of human resource management system on employees’ commitment: the mediating role of the AMO model, </w:t>
      </w:r>
      <w:r w:rsidRPr="005635E7">
        <w:rPr>
          <w:rFonts w:asciiTheme="majorBidi" w:hAnsiTheme="majorBidi" w:cstheme="majorBidi"/>
          <w:i/>
          <w:iCs/>
        </w:rPr>
        <w:t>The Journal of Developing Areas</w:t>
      </w:r>
      <w:r w:rsidRPr="005635E7">
        <w:rPr>
          <w:rFonts w:asciiTheme="majorBidi" w:hAnsiTheme="majorBidi" w:cstheme="majorBidi"/>
        </w:rPr>
        <w:t>, 50 (6). 17-29.</w:t>
      </w:r>
    </w:p>
    <w:p w14:paraId="31385E6A" w14:textId="77777777" w:rsidR="005976AB" w:rsidRPr="005635E7" w:rsidRDefault="005976AB" w:rsidP="005976AB">
      <w:pPr>
        <w:spacing w:after="240" w:line="276" w:lineRule="auto"/>
        <w:ind w:left="567" w:hanging="567"/>
        <w:rPr>
          <w:rFonts w:asciiTheme="majorBidi" w:hAnsiTheme="majorBidi" w:cstheme="majorBidi"/>
        </w:rPr>
      </w:pPr>
      <w:bookmarkStart w:id="130" w:name="_Hlk104021068"/>
      <w:r w:rsidRPr="005635E7">
        <w:rPr>
          <w:rFonts w:asciiTheme="majorBidi" w:hAnsiTheme="majorBidi" w:cstheme="majorBidi"/>
        </w:rPr>
        <w:t>Altinay</w:t>
      </w:r>
      <w:bookmarkEnd w:id="130"/>
      <w:r w:rsidRPr="005635E7">
        <w:rPr>
          <w:rFonts w:asciiTheme="majorBidi" w:hAnsiTheme="majorBidi" w:cstheme="majorBidi"/>
        </w:rPr>
        <w:t xml:space="preserve">, L., Madanoglu, M., De Vita, G., Arasli, H. &amp; Ekinci, Y. (2016) The interface between organizational learning capability, entrepreneurial orientation, and SME growth. </w:t>
      </w:r>
      <w:r w:rsidRPr="005635E7">
        <w:rPr>
          <w:rFonts w:asciiTheme="majorBidi" w:hAnsiTheme="majorBidi" w:cstheme="majorBidi"/>
          <w:i/>
          <w:iCs/>
        </w:rPr>
        <w:t>Journal of Small Business Management</w:t>
      </w:r>
      <w:r w:rsidRPr="005635E7">
        <w:rPr>
          <w:rFonts w:asciiTheme="majorBidi" w:hAnsiTheme="majorBidi" w:cstheme="majorBidi"/>
        </w:rPr>
        <w:t>, 54 (3). 871-891. doi:https://doi.org/10.1111/jsbm.12219</w:t>
      </w:r>
    </w:p>
    <w:p w14:paraId="5A8AC3B3"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Amara, N. Landry, R., Becheikh, N., &amp; Ouimet, M. (2008), Learning and novelty of innovation in established manufacturing SMEs, </w:t>
      </w:r>
      <w:r w:rsidRPr="005635E7">
        <w:rPr>
          <w:rFonts w:asciiTheme="majorBidi" w:hAnsiTheme="majorBidi" w:cstheme="majorBidi"/>
          <w:i/>
          <w:iCs/>
        </w:rPr>
        <w:t>Technovation</w:t>
      </w:r>
      <w:r w:rsidRPr="005635E7">
        <w:rPr>
          <w:rFonts w:asciiTheme="majorBidi" w:hAnsiTheme="majorBidi" w:cstheme="majorBidi"/>
        </w:rPr>
        <w:t>, 28 (7), 450-463</w:t>
      </w:r>
    </w:p>
    <w:p w14:paraId="188296E7"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Anand, J., R. Oriani, and R. S. Vassolo. (2010). Alliance Activity as a Dynamic Capability in the Face of a Discontinuous Technological Change. </w:t>
      </w:r>
      <w:r w:rsidRPr="005635E7">
        <w:rPr>
          <w:rFonts w:asciiTheme="majorBidi" w:hAnsiTheme="majorBidi" w:cstheme="majorBidi"/>
          <w:i/>
          <w:iCs/>
        </w:rPr>
        <w:t>Organization Science</w:t>
      </w:r>
      <w:r w:rsidRPr="005635E7">
        <w:rPr>
          <w:rFonts w:asciiTheme="majorBidi" w:hAnsiTheme="majorBidi" w:cstheme="majorBidi"/>
        </w:rPr>
        <w:t xml:space="preserve"> 21 (6): 1213–1232.</w:t>
      </w:r>
    </w:p>
    <w:p w14:paraId="64E3CC78"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Appelbaum, E., Bailey, T., Berg, P., &amp; Kalleberg, A.L. (2000). </w:t>
      </w:r>
      <w:r w:rsidRPr="005635E7">
        <w:rPr>
          <w:rFonts w:asciiTheme="majorBidi" w:hAnsiTheme="majorBidi" w:cstheme="majorBidi"/>
          <w:i/>
          <w:iCs/>
        </w:rPr>
        <w:t>Manufacturing advantage: Why high-performance work systems pay off.</w:t>
      </w:r>
      <w:r w:rsidRPr="005635E7">
        <w:rPr>
          <w:rFonts w:asciiTheme="majorBidi" w:hAnsiTheme="majorBidi" w:cstheme="majorBidi"/>
        </w:rPr>
        <w:t> London: ILR Press</w:t>
      </w:r>
    </w:p>
    <w:p w14:paraId="12280C69"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Apuke, O. D. (2017). Quantitative research methods: A synopsis approach. </w:t>
      </w:r>
      <w:r w:rsidRPr="005635E7">
        <w:rPr>
          <w:rFonts w:asciiTheme="majorBidi" w:hAnsiTheme="majorBidi" w:cstheme="majorBidi"/>
          <w:i/>
          <w:iCs/>
        </w:rPr>
        <w:t>Arabian Journal of Business and Management Review,</w:t>
      </w:r>
      <w:r w:rsidRPr="005635E7">
        <w:rPr>
          <w:rFonts w:asciiTheme="majorBidi" w:hAnsiTheme="majorBidi" w:cstheme="majorBidi"/>
        </w:rPr>
        <w:t xml:space="preserve"> 6(10), 40-47.</w:t>
      </w:r>
    </w:p>
    <w:p w14:paraId="2570D271" w14:textId="77777777" w:rsidR="005976AB" w:rsidRPr="005635E7" w:rsidRDefault="005976AB" w:rsidP="005976AB">
      <w:pPr>
        <w:spacing w:after="240" w:line="276" w:lineRule="auto"/>
        <w:ind w:left="284" w:hanging="284"/>
        <w:jc w:val="both"/>
        <w:rPr>
          <w:rFonts w:asciiTheme="majorBidi" w:hAnsiTheme="majorBidi" w:cstheme="majorBidi"/>
        </w:rPr>
      </w:pPr>
      <w:r w:rsidRPr="005635E7">
        <w:rPr>
          <w:rFonts w:asciiTheme="majorBidi" w:hAnsiTheme="majorBidi" w:cstheme="majorBidi"/>
          <w:shd w:val="clear" w:color="auto" w:fill="FFFFFF"/>
        </w:rPr>
        <w:t>Arias-Pérez, J., Coronado-Medina, A. &amp; Perdomo-Charry, G. (2022), Big data analytics capability as a mediator in the impact of open innovation on firm performance, </w:t>
      </w:r>
      <w:r w:rsidRPr="005635E7">
        <w:rPr>
          <w:rFonts w:asciiTheme="majorBidi" w:hAnsiTheme="majorBidi" w:cstheme="majorBidi"/>
          <w:i/>
          <w:iCs/>
        </w:rPr>
        <w:t>Journal of Strategy and Management</w:t>
      </w:r>
      <w:r w:rsidRPr="005635E7">
        <w:rPr>
          <w:rFonts w:asciiTheme="majorBidi" w:hAnsiTheme="majorBidi" w:cstheme="majorBidi"/>
          <w:shd w:val="clear" w:color="auto" w:fill="FFFFFF"/>
        </w:rPr>
        <w:t>, 15(1), 1-15. </w:t>
      </w:r>
      <w:hyperlink r:id="rId17" w:tooltip="DOI: https://doi.org/10.1108/JSMA-09-2020-0262" w:history="1">
        <w:r w:rsidRPr="005635E7">
          <w:rPr>
            <w:rStyle w:val="Hyperlink"/>
            <w:rFonts w:asciiTheme="majorBidi" w:hAnsiTheme="majorBidi"/>
            <w:color w:val="auto"/>
            <w:shd w:val="clear" w:color="auto" w:fill="FFFFFF"/>
          </w:rPr>
          <w:t>https://doi.org/10.1108/JSMA-09-2020-0262</w:t>
        </w:r>
      </w:hyperlink>
    </w:p>
    <w:p w14:paraId="7445F8A9"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Arranz, N., Arroyabe, M. F., Li, J., &amp; de Arroyabe, J. F. (2019). An integrated model of organisational innovation and firm performance: Generation, persistence and complementarity. </w:t>
      </w:r>
      <w:r w:rsidRPr="005635E7">
        <w:rPr>
          <w:rFonts w:ascii="Times New Roman" w:hAnsi="Times New Roman" w:cs="Times New Roman"/>
          <w:i/>
          <w:iCs/>
          <w:shd w:val="clear" w:color="auto" w:fill="FFFFFF"/>
        </w:rPr>
        <w:t>Journal of Business Research</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105</w:t>
      </w:r>
      <w:r w:rsidRPr="005635E7">
        <w:rPr>
          <w:rFonts w:ascii="Times New Roman" w:hAnsi="Times New Roman" w:cs="Times New Roman"/>
          <w:shd w:val="clear" w:color="auto" w:fill="FFFFFF"/>
        </w:rPr>
        <w:t>, 270-282.</w:t>
      </w:r>
    </w:p>
    <w:p w14:paraId="3B6173C4"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Aryee, S., Walumbwa, F.O., Seidu, E.Y. &amp; Otaye, L.E. (2016), Developing and leveraging human capital resource to promote service quality: testing a theory of performance, </w:t>
      </w:r>
      <w:r w:rsidRPr="005635E7">
        <w:rPr>
          <w:rFonts w:asciiTheme="majorBidi" w:hAnsiTheme="majorBidi" w:cstheme="majorBidi"/>
          <w:i/>
          <w:iCs/>
        </w:rPr>
        <w:t>Journal of Management</w:t>
      </w:r>
      <w:r w:rsidRPr="005635E7">
        <w:rPr>
          <w:rFonts w:asciiTheme="majorBidi" w:hAnsiTheme="majorBidi" w:cstheme="majorBidi"/>
        </w:rPr>
        <w:t>, 42 (2), 480-499.</w:t>
      </w:r>
    </w:p>
    <w:p w14:paraId="24A2F029" w14:textId="77777777" w:rsidR="005976AB" w:rsidRPr="005635E7" w:rsidRDefault="005976AB" w:rsidP="005976AB">
      <w:pPr>
        <w:spacing w:after="240" w:line="276" w:lineRule="auto"/>
        <w:ind w:left="284" w:hanging="284"/>
        <w:rPr>
          <w:rFonts w:asciiTheme="majorBidi" w:hAnsiTheme="majorBidi" w:cstheme="majorBidi"/>
          <w:shd w:val="clear" w:color="auto" w:fill="FFFFFF"/>
        </w:rPr>
      </w:pPr>
      <w:r w:rsidRPr="005635E7">
        <w:rPr>
          <w:rFonts w:asciiTheme="majorBidi" w:hAnsiTheme="majorBidi" w:cstheme="majorBidi"/>
          <w:shd w:val="clear" w:color="auto" w:fill="FFFFFF"/>
        </w:rPr>
        <w:t>Badir, Y. F., Frank, B., &amp; Bogers, M. (2020). Employee-level open innovation in emerging markets: linking internal, external, and managerial resources. </w:t>
      </w:r>
      <w:r w:rsidRPr="005635E7">
        <w:rPr>
          <w:rFonts w:asciiTheme="majorBidi" w:hAnsiTheme="majorBidi" w:cstheme="majorBidi"/>
          <w:i/>
          <w:iCs/>
          <w:shd w:val="clear" w:color="auto" w:fill="FFFFFF"/>
        </w:rPr>
        <w:t>Journal of the Academy of Marketing Science</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48</w:t>
      </w:r>
      <w:r w:rsidRPr="005635E7">
        <w:rPr>
          <w:rFonts w:asciiTheme="majorBidi" w:hAnsiTheme="majorBidi" w:cstheme="majorBidi"/>
          <w:shd w:val="clear" w:color="auto" w:fill="FFFFFF"/>
        </w:rPr>
        <w:t>(5), 891-913.</w:t>
      </w:r>
    </w:p>
    <w:p w14:paraId="19E41316" w14:textId="77777777" w:rsidR="005976AB" w:rsidRPr="005635E7" w:rsidRDefault="005976AB" w:rsidP="005976AB">
      <w:pPr>
        <w:spacing w:after="240" w:line="276" w:lineRule="auto"/>
        <w:ind w:left="284" w:hanging="284"/>
        <w:jc w:val="both"/>
        <w:rPr>
          <w:rFonts w:asciiTheme="majorBidi" w:hAnsiTheme="majorBidi" w:cstheme="majorBidi"/>
          <w:shd w:val="clear" w:color="auto" w:fill="FFFFFF"/>
        </w:rPr>
      </w:pPr>
      <w:r w:rsidRPr="005635E7">
        <w:rPr>
          <w:rFonts w:asciiTheme="majorBidi" w:hAnsiTheme="majorBidi" w:cstheme="majorBidi"/>
          <w:shd w:val="clear" w:color="auto" w:fill="FFFFFF"/>
        </w:rPr>
        <w:t>Barrett, G., Dooley, L., &amp; Bogue, J. (2021). Open innovation within high-tech SMEs: A study of the entrepreneurial founder's influence on open innovation practices. </w:t>
      </w:r>
      <w:r w:rsidRPr="005635E7">
        <w:rPr>
          <w:rFonts w:asciiTheme="majorBidi" w:hAnsiTheme="majorBidi" w:cstheme="majorBidi"/>
          <w:i/>
          <w:iCs/>
          <w:shd w:val="clear" w:color="auto" w:fill="FFFFFF"/>
        </w:rPr>
        <w:t>Technovation</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103</w:t>
      </w:r>
      <w:r w:rsidRPr="005635E7">
        <w:rPr>
          <w:rFonts w:asciiTheme="majorBidi" w:hAnsiTheme="majorBidi" w:cstheme="majorBidi"/>
          <w:shd w:val="clear" w:color="auto" w:fill="FFFFFF"/>
        </w:rPr>
        <w:t>, 102232.</w:t>
      </w:r>
    </w:p>
    <w:p w14:paraId="5DBD03B0"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Barrick, M. R., Thurgood, G. R., Smith, T. A., &amp; Courtright, S. H. (2015). Collective organizational engagement: Linking motivational antecedents, strategic implementation, and firm performance. </w:t>
      </w:r>
      <w:r w:rsidRPr="005635E7">
        <w:rPr>
          <w:rFonts w:asciiTheme="majorBidi" w:hAnsiTheme="majorBidi" w:cstheme="majorBidi"/>
          <w:i/>
          <w:iCs/>
        </w:rPr>
        <w:t>Academy of Management Journal</w:t>
      </w:r>
      <w:r w:rsidRPr="005635E7">
        <w:rPr>
          <w:rFonts w:asciiTheme="majorBidi" w:hAnsiTheme="majorBidi" w:cstheme="majorBidi"/>
        </w:rPr>
        <w:t>, 58(1), 111-135.</w:t>
      </w:r>
    </w:p>
    <w:p w14:paraId="374368D4" w14:textId="77777777" w:rsidR="005976AB" w:rsidRPr="005635E7" w:rsidRDefault="005976AB" w:rsidP="005976AB">
      <w:pPr>
        <w:spacing w:after="240" w:line="276" w:lineRule="auto"/>
        <w:ind w:left="567" w:hanging="567"/>
        <w:rPr>
          <w:rFonts w:asciiTheme="majorBidi" w:hAnsiTheme="majorBidi" w:cstheme="majorBidi"/>
        </w:rPr>
      </w:pPr>
      <w:bookmarkStart w:id="131" w:name="_Hlk103991081"/>
      <w:r w:rsidRPr="005635E7">
        <w:rPr>
          <w:rFonts w:asciiTheme="majorBidi" w:hAnsiTheme="majorBidi" w:cstheme="majorBidi"/>
        </w:rPr>
        <w:t xml:space="preserve">Bašić, M. (2021). </w:t>
      </w:r>
      <w:bookmarkEnd w:id="131"/>
      <w:r w:rsidRPr="005635E7">
        <w:rPr>
          <w:rFonts w:asciiTheme="majorBidi" w:hAnsiTheme="majorBidi" w:cstheme="majorBidi"/>
        </w:rPr>
        <w:t>Organizational learning antecedents and open innovation: Differences in internationalisation level. </w:t>
      </w:r>
      <w:r w:rsidRPr="005635E7">
        <w:rPr>
          <w:rFonts w:asciiTheme="majorBidi" w:hAnsiTheme="majorBidi" w:cstheme="majorBidi"/>
          <w:i/>
          <w:iCs/>
        </w:rPr>
        <w:t>International Journal of Innovation Studies</w:t>
      </w:r>
      <w:r w:rsidRPr="005635E7">
        <w:rPr>
          <w:rFonts w:asciiTheme="majorBidi" w:hAnsiTheme="majorBidi" w:cstheme="majorBidi"/>
        </w:rPr>
        <w:t>, 5(4), 161-174.</w:t>
      </w:r>
    </w:p>
    <w:p w14:paraId="30196A74"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Bhatti, S.H., </w:t>
      </w:r>
      <w:hyperlink r:id="rId18" w:tooltip="Ramsha Zakariya" w:history="1">
        <w:r w:rsidRPr="005635E7">
          <w:rPr>
            <w:rStyle w:val="Hyperlink"/>
            <w:rFonts w:asciiTheme="majorBidi" w:hAnsiTheme="majorBidi"/>
            <w:color w:val="auto"/>
          </w:rPr>
          <w:t>Zakariya, R.</w:t>
        </w:r>
      </w:hyperlink>
      <w:r w:rsidRPr="005635E7">
        <w:rPr>
          <w:rFonts w:asciiTheme="majorBidi" w:hAnsiTheme="majorBidi" w:cstheme="majorBidi"/>
        </w:rPr>
        <w:t>, </w:t>
      </w:r>
      <w:hyperlink r:id="rId19" w:tooltip="Demetris Vrontis" w:history="1">
        <w:r w:rsidRPr="005635E7">
          <w:rPr>
            <w:rStyle w:val="Hyperlink"/>
            <w:rFonts w:asciiTheme="majorBidi" w:hAnsiTheme="majorBidi"/>
            <w:color w:val="auto"/>
          </w:rPr>
          <w:t>Vrontis, D.</w:t>
        </w:r>
      </w:hyperlink>
      <w:r w:rsidRPr="005635E7">
        <w:rPr>
          <w:rFonts w:asciiTheme="majorBidi" w:hAnsiTheme="majorBidi" w:cstheme="majorBidi"/>
        </w:rPr>
        <w:t>, </w:t>
      </w:r>
      <w:hyperlink r:id="rId20" w:tooltip="Gabriele Santoro" w:history="1">
        <w:r w:rsidRPr="005635E7">
          <w:rPr>
            <w:rStyle w:val="Hyperlink"/>
            <w:rFonts w:asciiTheme="majorBidi" w:hAnsiTheme="majorBidi"/>
            <w:color w:val="auto"/>
          </w:rPr>
          <w:t>Santoro, G.</w:t>
        </w:r>
      </w:hyperlink>
      <w:r w:rsidRPr="005635E7">
        <w:rPr>
          <w:rFonts w:asciiTheme="majorBidi" w:hAnsiTheme="majorBidi" w:cstheme="majorBidi"/>
        </w:rPr>
        <w:t> and </w:t>
      </w:r>
      <w:hyperlink r:id="rId21" w:tooltip="Michael Christofi" w:history="1">
        <w:r w:rsidRPr="005635E7">
          <w:rPr>
            <w:rStyle w:val="Hyperlink"/>
            <w:rFonts w:asciiTheme="majorBidi" w:hAnsiTheme="majorBidi"/>
            <w:color w:val="auto"/>
          </w:rPr>
          <w:t>Christofi, M.</w:t>
        </w:r>
      </w:hyperlink>
      <w:r w:rsidRPr="005635E7">
        <w:rPr>
          <w:rFonts w:asciiTheme="majorBidi" w:hAnsiTheme="majorBidi" w:cstheme="majorBidi"/>
        </w:rPr>
        <w:t> (2020), High-performance work systems, innovation and knowledge sharing: An empirical analysis in the context of project-based organizations, </w:t>
      </w:r>
      <w:hyperlink r:id="rId22" w:history="1">
        <w:r w:rsidRPr="005635E7">
          <w:rPr>
            <w:rStyle w:val="Hyperlink"/>
            <w:rFonts w:asciiTheme="majorBidi" w:hAnsiTheme="majorBidi"/>
            <w:color w:val="auto"/>
          </w:rPr>
          <w:t>Employee Relations</w:t>
        </w:r>
      </w:hyperlink>
      <w:r w:rsidRPr="005635E7">
        <w:rPr>
          <w:rFonts w:asciiTheme="majorBidi" w:hAnsiTheme="majorBidi" w:cstheme="majorBidi"/>
        </w:rPr>
        <w:t>, (ahead-of-print)</w:t>
      </w:r>
    </w:p>
    <w:p w14:paraId="5A15AB06"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Bigliardi, B., Ferraro, G., Filippelli, S., &amp; Galati, F. (2020). The influence of open innovation on firm performance. </w:t>
      </w:r>
      <w:r w:rsidRPr="005635E7">
        <w:rPr>
          <w:rFonts w:asciiTheme="majorBidi" w:hAnsiTheme="majorBidi" w:cstheme="majorBidi"/>
          <w:i/>
          <w:iCs/>
        </w:rPr>
        <w:t>International Journal of Engineering Business Management</w:t>
      </w:r>
      <w:r w:rsidRPr="005635E7">
        <w:rPr>
          <w:rFonts w:asciiTheme="majorBidi" w:hAnsiTheme="majorBidi" w:cstheme="majorBidi"/>
        </w:rPr>
        <w:t>, 12, 1847979020969545.</w:t>
      </w:r>
    </w:p>
    <w:p w14:paraId="0C4ED894"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Birley, S., &amp; Westhead, P. (1990). Growth and performance contrasts between ‘types’ of small firms. </w:t>
      </w:r>
      <w:r w:rsidRPr="005635E7">
        <w:rPr>
          <w:rFonts w:ascii="Times New Roman" w:hAnsi="Times New Roman" w:cs="Times New Roman"/>
          <w:i/>
          <w:iCs/>
          <w:shd w:val="clear" w:color="auto" w:fill="FFFFFF"/>
        </w:rPr>
        <w:t>Strategic Management Journal</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11</w:t>
      </w:r>
      <w:r w:rsidRPr="005635E7">
        <w:rPr>
          <w:rFonts w:ascii="Times New Roman" w:hAnsi="Times New Roman" w:cs="Times New Roman"/>
          <w:shd w:val="clear" w:color="auto" w:fill="FFFFFF"/>
        </w:rPr>
        <w:t>(7), 535-557.</w:t>
      </w:r>
    </w:p>
    <w:p w14:paraId="47D75F9C"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Brunswicker, S., &amp; Chesbrough, H. (2018). The Adoption of Open Innovation in Large Firms: Practices, Measures, and Risks A survey of large firms examines how firms approach open innovation strategically and manage knowledge flows at the project level. </w:t>
      </w:r>
      <w:r w:rsidRPr="005635E7">
        <w:rPr>
          <w:rFonts w:asciiTheme="majorBidi" w:hAnsiTheme="majorBidi" w:cstheme="majorBidi"/>
          <w:i/>
          <w:iCs/>
          <w:shd w:val="clear" w:color="auto" w:fill="FFFFFF"/>
        </w:rPr>
        <w:t>Research-Technology Management</w:t>
      </w:r>
      <w:r w:rsidRPr="005635E7">
        <w:rPr>
          <w:rFonts w:asciiTheme="majorBidi" w:hAnsiTheme="majorBidi" w:cstheme="majorBidi"/>
          <w:shd w:val="clear" w:color="auto" w:fill="FFFFFF"/>
        </w:rPr>
        <w:t>, 61(1), 35-45.</w:t>
      </w:r>
    </w:p>
    <w:p w14:paraId="2C7BC634"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Bryson, A. &amp; White, M. (2018), HRM and small-firm employee motivation: before and after the great recession, </w:t>
      </w:r>
      <w:r w:rsidRPr="005635E7">
        <w:rPr>
          <w:rFonts w:asciiTheme="majorBidi" w:hAnsiTheme="majorBidi" w:cstheme="majorBidi"/>
          <w:i/>
          <w:iCs/>
        </w:rPr>
        <w:t>ILR Review</w:t>
      </w:r>
      <w:r w:rsidRPr="005635E7">
        <w:rPr>
          <w:rFonts w:asciiTheme="majorBidi" w:hAnsiTheme="majorBidi" w:cstheme="majorBidi"/>
        </w:rPr>
        <w:t xml:space="preserve">, available at: </w:t>
      </w:r>
      <w:hyperlink r:id="rId23" w:history="1">
        <w:r w:rsidRPr="005635E7">
          <w:rPr>
            <w:rStyle w:val="Hyperlink"/>
            <w:rFonts w:asciiTheme="majorBidi" w:hAnsiTheme="majorBidi"/>
            <w:color w:val="auto"/>
          </w:rPr>
          <w:t>https://doi.org/10.1177/0019793918774524</w:t>
        </w:r>
      </w:hyperlink>
    </w:p>
    <w:p w14:paraId="236F8D43"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Camelo-Ordaz, C., Garcia-Cruz, J., Sousa-Ginel, E. &amp; Valle-Cabrera, R. (2011), The influence of human resource management on knowledge sharing and innovation in Spain: the mediating role of affective commitment, </w:t>
      </w:r>
      <w:r w:rsidRPr="005635E7">
        <w:rPr>
          <w:rFonts w:asciiTheme="majorBidi" w:hAnsiTheme="majorBidi" w:cstheme="majorBidi"/>
          <w:i/>
          <w:iCs/>
        </w:rPr>
        <w:t>The International Journal of Human Resource Management,</w:t>
      </w:r>
      <w:r w:rsidRPr="005635E7">
        <w:rPr>
          <w:rFonts w:asciiTheme="majorBidi" w:hAnsiTheme="majorBidi" w:cstheme="majorBidi"/>
        </w:rPr>
        <w:t xml:space="preserve"> 22 (7), 1442-1463</w:t>
      </w:r>
    </w:p>
    <w:p w14:paraId="098B0B0D"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Carayannis, E. G., &amp; Meissner, D. (2017). Glocal targeted open innovation: Challenges, opportunities and implications for theory, policy and practice. </w:t>
      </w:r>
      <w:r w:rsidRPr="005635E7">
        <w:rPr>
          <w:rFonts w:asciiTheme="majorBidi" w:hAnsiTheme="majorBidi" w:cstheme="majorBidi"/>
          <w:i/>
          <w:iCs/>
        </w:rPr>
        <w:t>The Journal of Technology Transfer</w:t>
      </w:r>
      <w:r w:rsidRPr="005635E7">
        <w:rPr>
          <w:rFonts w:asciiTheme="majorBidi" w:hAnsiTheme="majorBidi" w:cstheme="majorBidi"/>
        </w:rPr>
        <w:t>, 42(2), 236-252.</w:t>
      </w:r>
    </w:p>
    <w:p w14:paraId="36339EAE" w14:textId="77777777" w:rsidR="005976AB" w:rsidRPr="005635E7"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Carree, M., Lokshin, B., &amp; Alvarez, H. A. (2019). Technology partnership portfolios and firm innovation performance: Further evidence. </w:t>
      </w:r>
      <w:r w:rsidRPr="005635E7">
        <w:rPr>
          <w:rFonts w:ascii="Times New Roman" w:hAnsi="Times New Roman" w:cs="Times New Roman"/>
          <w:i/>
          <w:iCs/>
          <w:shd w:val="clear" w:color="auto" w:fill="FFFFFF"/>
        </w:rPr>
        <w:t>Journal of Engineering and Technology Management</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54</w:t>
      </w:r>
      <w:r w:rsidRPr="005635E7">
        <w:rPr>
          <w:rFonts w:ascii="Times New Roman" w:hAnsi="Times New Roman" w:cs="Times New Roman"/>
          <w:shd w:val="clear" w:color="auto" w:fill="FFFFFF"/>
        </w:rPr>
        <w:t>, 1-11.</w:t>
      </w:r>
    </w:p>
    <w:p w14:paraId="755B5273"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Chang, Y. C., Chang, H. T., Chi, H. R., Chen, M. H., &amp; Deng, L. L. (2012). How do established firms improve radical innovation performance? The organizational capabilities view. </w:t>
      </w:r>
      <w:r w:rsidRPr="005635E7">
        <w:rPr>
          <w:rFonts w:ascii="Times New Roman" w:hAnsi="Times New Roman" w:cs="Times New Roman"/>
          <w:i/>
          <w:iCs/>
          <w:shd w:val="clear" w:color="auto" w:fill="FFFFFF"/>
        </w:rPr>
        <w:t>Technovation</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32</w:t>
      </w:r>
      <w:r w:rsidRPr="005635E7">
        <w:rPr>
          <w:rFonts w:ascii="Times New Roman" w:hAnsi="Times New Roman" w:cs="Times New Roman"/>
          <w:shd w:val="clear" w:color="auto" w:fill="FFFFFF"/>
        </w:rPr>
        <w:t>(7-8), 441-451.</w:t>
      </w:r>
    </w:p>
    <w:p w14:paraId="4B76EC6E" w14:textId="77777777" w:rsidR="005976AB" w:rsidRPr="005635E7" w:rsidRDefault="005976AB" w:rsidP="005976AB">
      <w:pPr>
        <w:spacing w:after="240" w:line="276" w:lineRule="auto"/>
        <w:ind w:left="284" w:hanging="284"/>
        <w:jc w:val="both"/>
        <w:rPr>
          <w:rFonts w:asciiTheme="majorBidi" w:hAnsiTheme="majorBidi" w:cstheme="majorBidi"/>
          <w:shd w:val="clear" w:color="auto" w:fill="FFFFFF"/>
        </w:rPr>
      </w:pPr>
      <w:r w:rsidRPr="005635E7">
        <w:rPr>
          <w:rFonts w:asciiTheme="majorBidi" w:hAnsiTheme="majorBidi" w:cstheme="majorBidi"/>
          <w:shd w:val="clear" w:color="auto" w:fill="FFFFFF"/>
        </w:rPr>
        <w:t xml:space="preserve">Cheah, S. L. Y., &amp; Yuen-Ping, H. O. (2021). Commercialization </w:t>
      </w:r>
      <w:bookmarkStart w:id="132" w:name="_Hlk115295544"/>
      <w:r w:rsidRPr="005635E7">
        <w:rPr>
          <w:rFonts w:asciiTheme="majorBidi" w:hAnsiTheme="majorBidi" w:cstheme="majorBidi"/>
          <w:shd w:val="clear" w:color="auto" w:fill="FFFFFF"/>
        </w:rPr>
        <w:t>performance of outbound open innovation projects in public research organizations</w:t>
      </w:r>
      <w:bookmarkEnd w:id="132"/>
      <w:r w:rsidRPr="005635E7">
        <w:rPr>
          <w:rFonts w:asciiTheme="majorBidi" w:hAnsiTheme="majorBidi" w:cstheme="majorBidi"/>
          <w:shd w:val="clear" w:color="auto" w:fill="FFFFFF"/>
        </w:rPr>
        <w:t>: The roles of innovation potential and organizational capabilities. </w:t>
      </w:r>
      <w:r w:rsidRPr="005635E7">
        <w:rPr>
          <w:rFonts w:asciiTheme="majorBidi" w:hAnsiTheme="majorBidi" w:cstheme="majorBidi"/>
          <w:i/>
          <w:iCs/>
          <w:shd w:val="clear" w:color="auto" w:fill="FFFFFF"/>
        </w:rPr>
        <w:t>Industrial Marketing Management</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94</w:t>
      </w:r>
      <w:r w:rsidRPr="005635E7">
        <w:rPr>
          <w:rFonts w:asciiTheme="majorBidi" w:hAnsiTheme="majorBidi" w:cstheme="majorBidi"/>
          <w:shd w:val="clear" w:color="auto" w:fill="FFFFFF"/>
        </w:rPr>
        <w:t>, 229-241.</w:t>
      </w:r>
    </w:p>
    <w:p w14:paraId="2C590C1B" w14:textId="77777777" w:rsidR="005976AB"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Cheng, C. C., &amp; Shiu, E. C. (2015). The inconvenient truth of the relationship between open innovation activities and innovation performance. </w:t>
      </w:r>
      <w:r w:rsidRPr="005635E7">
        <w:rPr>
          <w:rFonts w:ascii="Times New Roman" w:hAnsi="Times New Roman" w:cs="Times New Roman"/>
          <w:i/>
          <w:iCs/>
          <w:shd w:val="clear" w:color="auto" w:fill="FFFFFF"/>
        </w:rPr>
        <w:t>Management Decision</w:t>
      </w:r>
      <w:r w:rsidRPr="005635E7">
        <w:rPr>
          <w:rFonts w:ascii="Times New Roman" w:hAnsi="Times New Roman" w:cs="Times New Roman"/>
          <w:shd w:val="clear" w:color="auto" w:fill="FFFFFF"/>
        </w:rPr>
        <w:t>, 53(3), 625-647.</w:t>
      </w:r>
    </w:p>
    <w:p w14:paraId="606BB649" w14:textId="77777777" w:rsidR="00F25757" w:rsidRPr="005635E7" w:rsidRDefault="00F25757" w:rsidP="005976AB">
      <w:pPr>
        <w:spacing w:line="276" w:lineRule="auto"/>
        <w:ind w:left="567" w:hanging="567"/>
        <w:rPr>
          <w:rFonts w:ascii="Times New Roman" w:hAnsi="Times New Roman" w:cs="Times New Roman"/>
          <w:shd w:val="clear" w:color="auto" w:fill="FFFFFF"/>
        </w:rPr>
      </w:pPr>
    </w:p>
    <w:p w14:paraId="6F3240F9"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Chesbrough, H. W. (2003). Open Innovation: </w:t>
      </w:r>
      <w:r w:rsidRPr="005635E7">
        <w:rPr>
          <w:rFonts w:asciiTheme="majorBidi" w:hAnsiTheme="majorBidi" w:cstheme="majorBidi"/>
          <w:i/>
          <w:iCs/>
        </w:rPr>
        <w:t>The new imperative for creating and profiting from technology.</w:t>
      </w:r>
      <w:r w:rsidRPr="005635E7">
        <w:rPr>
          <w:rFonts w:asciiTheme="majorBidi" w:hAnsiTheme="majorBidi" w:cstheme="majorBidi"/>
        </w:rPr>
        <w:t xml:space="preserve"> Boston: Harvard Business School Press</w:t>
      </w:r>
    </w:p>
    <w:p w14:paraId="75F37023"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Cuéllar M.D., </w:t>
      </w:r>
      <w:hyperlink r:id="rId24" w:tooltip="Mª Cruz Déniz-Déniz" w:history="1">
        <w:r w:rsidRPr="005635E7">
          <w:rPr>
            <w:rStyle w:val="Hyperlink"/>
            <w:rFonts w:asciiTheme="majorBidi" w:hAnsiTheme="majorBidi"/>
            <w:color w:val="auto"/>
          </w:rPr>
          <w:t>Déniz-Déniz, M.C.</w:t>
        </w:r>
      </w:hyperlink>
      <w:r w:rsidRPr="005635E7">
        <w:rPr>
          <w:rFonts w:asciiTheme="majorBidi" w:hAnsiTheme="majorBidi" w:cstheme="majorBidi"/>
        </w:rPr>
        <w:t xml:space="preserve"> &amp; </w:t>
      </w:r>
      <w:hyperlink r:id="rId25" w:tooltip="Antonia M. García-Cabrera" w:history="1">
        <w:r w:rsidRPr="005635E7">
          <w:rPr>
            <w:rStyle w:val="Hyperlink"/>
            <w:rFonts w:asciiTheme="majorBidi" w:hAnsiTheme="majorBidi"/>
            <w:color w:val="auto"/>
          </w:rPr>
          <w:t>García-Cabrera, A.M.</w:t>
        </w:r>
      </w:hyperlink>
      <w:r w:rsidRPr="005635E7">
        <w:rPr>
          <w:rFonts w:asciiTheme="majorBidi" w:hAnsiTheme="majorBidi" w:cstheme="majorBidi"/>
        </w:rPr>
        <w:t> (2019), The HR decision-maker’s emotional intelligence and SME performance, </w:t>
      </w:r>
      <w:hyperlink r:id="rId26" w:history="1">
        <w:r w:rsidRPr="005635E7">
          <w:rPr>
            <w:rStyle w:val="Hyperlink"/>
            <w:rFonts w:asciiTheme="majorBidi" w:hAnsiTheme="majorBidi"/>
            <w:color w:val="auto"/>
          </w:rPr>
          <w:t>Management Research Review</w:t>
        </w:r>
      </w:hyperlink>
      <w:r w:rsidRPr="005635E7">
        <w:rPr>
          <w:rFonts w:asciiTheme="majorBidi" w:hAnsiTheme="majorBidi" w:cstheme="majorBidi"/>
        </w:rPr>
        <w:t>, 43(1), 56-81</w:t>
      </w:r>
    </w:p>
    <w:p w14:paraId="1721ED46" w14:textId="77777777" w:rsidR="005976AB" w:rsidRPr="005635E7" w:rsidRDefault="005976AB" w:rsidP="005976AB">
      <w:pPr>
        <w:spacing w:after="240" w:line="276" w:lineRule="auto"/>
        <w:ind w:left="284" w:hanging="284"/>
        <w:jc w:val="both"/>
        <w:rPr>
          <w:rFonts w:asciiTheme="majorBidi" w:hAnsiTheme="majorBidi" w:cstheme="majorBidi"/>
          <w:shd w:val="clear" w:color="auto" w:fill="FFFFFF"/>
        </w:rPr>
      </w:pPr>
      <w:r w:rsidRPr="005635E7">
        <w:rPr>
          <w:rFonts w:asciiTheme="majorBidi" w:hAnsiTheme="majorBidi" w:cstheme="majorBidi"/>
          <w:shd w:val="clear" w:color="auto" w:fill="FFFFFF"/>
        </w:rPr>
        <w:t>D’Angelo, A., &amp; Baroncelli, A. (2020). An investigation over inbound open innovation in SMEs: Insights from an Italian manufacturing sample. </w:t>
      </w:r>
      <w:r w:rsidRPr="005635E7">
        <w:rPr>
          <w:rFonts w:asciiTheme="majorBidi" w:hAnsiTheme="majorBidi" w:cstheme="majorBidi"/>
          <w:i/>
          <w:iCs/>
          <w:shd w:val="clear" w:color="auto" w:fill="FFFFFF"/>
        </w:rPr>
        <w:t>Technology Analysis &amp; Strategic Management</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32</w:t>
      </w:r>
      <w:r w:rsidRPr="005635E7">
        <w:rPr>
          <w:rFonts w:asciiTheme="majorBidi" w:hAnsiTheme="majorBidi" w:cstheme="majorBidi"/>
          <w:shd w:val="clear" w:color="auto" w:fill="FFFFFF"/>
        </w:rPr>
        <w:t>(5), 542-560.</w:t>
      </w:r>
    </w:p>
    <w:p w14:paraId="0B9841F7"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Dang, T., </w:t>
      </w:r>
      <w:hyperlink r:id="rId27" w:tooltip="Thai Tri Dung" w:history="1">
        <w:r w:rsidRPr="005635E7">
          <w:rPr>
            <w:rStyle w:val="Hyperlink"/>
            <w:rFonts w:asciiTheme="majorBidi" w:hAnsiTheme="majorBidi"/>
            <w:color w:val="auto"/>
          </w:rPr>
          <w:t>Dung, T.T.</w:t>
        </w:r>
      </w:hyperlink>
      <w:r w:rsidRPr="005635E7">
        <w:rPr>
          <w:rFonts w:asciiTheme="majorBidi" w:hAnsiTheme="majorBidi" w:cstheme="majorBidi"/>
        </w:rPr>
        <w:t>, </w:t>
      </w:r>
      <w:hyperlink r:id="rId28" w:tooltip="Vu Thi Phuong" w:history="1">
        <w:r w:rsidRPr="005635E7">
          <w:rPr>
            <w:rStyle w:val="Hyperlink"/>
            <w:rFonts w:asciiTheme="majorBidi" w:hAnsiTheme="majorBidi"/>
            <w:color w:val="auto"/>
          </w:rPr>
          <w:t>Phuong, V.T.</w:t>
        </w:r>
      </w:hyperlink>
      <w:r w:rsidRPr="005635E7">
        <w:rPr>
          <w:rFonts w:asciiTheme="majorBidi" w:hAnsiTheme="majorBidi" w:cstheme="majorBidi"/>
        </w:rPr>
        <w:t> &amp; </w:t>
      </w:r>
      <w:hyperlink r:id="rId29" w:tooltip="Tran Dinh Vinh" w:history="1">
        <w:r w:rsidRPr="005635E7">
          <w:rPr>
            <w:rStyle w:val="Hyperlink"/>
            <w:rFonts w:asciiTheme="majorBidi" w:hAnsiTheme="majorBidi"/>
            <w:color w:val="auto"/>
          </w:rPr>
          <w:t>Vinh, T.D.</w:t>
        </w:r>
      </w:hyperlink>
      <w:r w:rsidRPr="005635E7">
        <w:rPr>
          <w:rFonts w:asciiTheme="majorBidi" w:hAnsiTheme="majorBidi" w:cstheme="majorBidi"/>
        </w:rPr>
        <w:t> (2018), Human resource management practices and firm outcomes: evidence from Vietnam, </w:t>
      </w:r>
      <w:hyperlink r:id="rId30" w:history="1">
        <w:r w:rsidRPr="005635E7">
          <w:rPr>
            <w:rStyle w:val="Hyperlink"/>
            <w:rFonts w:asciiTheme="majorBidi" w:hAnsiTheme="majorBidi"/>
            <w:color w:val="auto"/>
          </w:rPr>
          <w:t>Journal of Asian Business and Economic Studies</w:t>
        </w:r>
      </w:hyperlink>
      <w:r w:rsidRPr="005635E7">
        <w:rPr>
          <w:rFonts w:asciiTheme="majorBidi" w:hAnsiTheme="majorBidi" w:cstheme="majorBidi"/>
          <w:i/>
          <w:iCs/>
        </w:rPr>
        <w:t>,</w:t>
      </w:r>
      <w:r w:rsidRPr="005635E7">
        <w:rPr>
          <w:rFonts w:asciiTheme="majorBidi" w:hAnsiTheme="majorBidi" w:cstheme="majorBidi"/>
        </w:rPr>
        <w:t xml:space="preserve"> 25(2), 221-238.</w:t>
      </w:r>
    </w:p>
    <w:p w14:paraId="6B2768A9"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Danneels, E. (2008). Organizational antecedents of second‐order competences. </w:t>
      </w:r>
      <w:r w:rsidRPr="005635E7">
        <w:rPr>
          <w:rFonts w:ascii="Times New Roman" w:hAnsi="Times New Roman" w:cs="Times New Roman"/>
          <w:i/>
          <w:iCs/>
          <w:shd w:val="clear" w:color="auto" w:fill="FFFFFF"/>
        </w:rPr>
        <w:t>Strategic Management Journal</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29</w:t>
      </w:r>
      <w:r w:rsidRPr="005635E7">
        <w:rPr>
          <w:rFonts w:ascii="Times New Roman" w:hAnsi="Times New Roman" w:cs="Times New Roman"/>
          <w:shd w:val="clear" w:color="auto" w:fill="FFFFFF"/>
        </w:rPr>
        <w:t>(5), 519-543.</w:t>
      </w:r>
    </w:p>
    <w:p w14:paraId="61E7039E"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De Winne, S. &amp; Sels, L. (2010), Interrelationships between human capital, HRM and innovation in Belgian start-ups aiming at an innovation strategy, </w:t>
      </w:r>
      <w:r w:rsidRPr="005635E7">
        <w:rPr>
          <w:rFonts w:asciiTheme="majorBidi" w:hAnsiTheme="majorBidi" w:cstheme="majorBidi"/>
          <w:i/>
          <w:iCs/>
        </w:rPr>
        <w:t>The International Journal of Human Resource Management,</w:t>
      </w:r>
      <w:r w:rsidRPr="005635E7">
        <w:rPr>
          <w:rFonts w:asciiTheme="majorBidi" w:hAnsiTheme="majorBidi" w:cstheme="majorBidi"/>
        </w:rPr>
        <w:t xml:space="preserve"> 21(11), 1863-1883</w:t>
      </w:r>
    </w:p>
    <w:p w14:paraId="7682B7B6"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de Zubielqui, G. C., Fryges, H., &amp; Jones, J. (2019). Social media, open innovation &amp; HRM: Implications for performance. </w:t>
      </w:r>
      <w:r w:rsidRPr="005635E7">
        <w:rPr>
          <w:rFonts w:asciiTheme="majorBidi" w:hAnsiTheme="majorBidi" w:cstheme="majorBidi"/>
          <w:i/>
          <w:iCs/>
        </w:rPr>
        <w:t>Technological Forecasting and Social Change,</w:t>
      </w:r>
      <w:r w:rsidRPr="005635E7">
        <w:rPr>
          <w:rFonts w:asciiTheme="majorBidi" w:hAnsiTheme="majorBidi" w:cstheme="majorBidi"/>
        </w:rPr>
        <w:t> 144, 334-347.</w:t>
      </w:r>
    </w:p>
    <w:p w14:paraId="0FCEAFDD" w14:textId="01B0204F" w:rsidR="005976AB" w:rsidRDefault="005976AB" w:rsidP="005976AB">
      <w:pPr>
        <w:spacing w:after="240" w:line="276" w:lineRule="auto"/>
        <w:ind w:left="284" w:hanging="284"/>
        <w:jc w:val="both"/>
        <w:rPr>
          <w:rFonts w:asciiTheme="majorBidi" w:hAnsiTheme="majorBidi" w:cstheme="majorBidi"/>
        </w:rPr>
      </w:pPr>
      <w:bookmarkStart w:id="133" w:name="_Hlk115257700"/>
      <w:r w:rsidRPr="005635E7">
        <w:rPr>
          <w:rFonts w:asciiTheme="majorBidi" w:hAnsiTheme="majorBidi" w:cstheme="majorBidi"/>
        </w:rPr>
        <w:t>Do, T.T. &amp; Mai, N.K. (2022</w:t>
      </w:r>
      <w:bookmarkEnd w:id="133"/>
      <w:r w:rsidRPr="005635E7">
        <w:rPr>
          <w:rFonts w:asciiTheme="majorBidi" w:hAnsiTheme="majorBidi" w:cstheme="majorBidi"/>
        </w:rPr>
        <w:t>), Organizational learning and firm performance: a systematic review, </w:t>
      </w:r>
      <w:hyperlink r:id="rId31" w:history="1">
        <w:r w:rsidRPr="005635E7">
          <w:rPr>
            <w:rStyle w:val="Hyperlink"/>
            <w:rFonts w:asciiTheme="majorBidi" w:hAnsiTheme="majorBidi"/>
            <w:color w:val="auto"/>
          </w:rPr>
          <w:t>International Journal of Productivity and Performance Management</w:t>
        </w:r>
      </w:hyperlink>
      <w:r w:rsidRPr="005635E7">
        <w:rPr>
          <w:rFonts w:asciiTheme="majorBidi" w:hAnsiTheme="majorBidi" w:cstheme="majorBidi"/>
          <w:i/>
          <w:iCs/>
        </w:rPr>
        <w:t>,</w:t>
      </w:r>
      <w:r w:rsidRPr="005635E7">
        <w:rPr>
          <w:rFonts w:asciiTheme="majorBidi" w:hAnsiTheme="majorBidi" w:cstheme="majorBidi"/>
        </w:rPr>
        <w:t xml:space="preserve"> 71(4). 1230-1253. </w:t>
      </w:r>
      <w:r w:rsidR="00F25757" w:rsidRPr="005635E7">
        <w:rPr>
          <w:rFonts w:asciiTheme="majorBidi" w:hAnsiTheme="majorBidi" w:cstheme="majorBidi"/>
        </w:rPr>
        <w:t xml:space="preserve"> </w:t>
      </w:r>
    </w:p>
    <w:p w14:paraId="445F5C5B" w14:textId="77777777" w:rsidR="00F25757" w:rsidRDefault="00F25757" w:rsidP="005976AB">
      <w:pPr>
        <w:spacing w:after="240" w:line="276" w:lineRule="auto"/>
        <w:ind w:left="284" w:hanging="284"/>
        <w:jc w:val="both"/>
        <w:rPr>
          <w:rFonts w:asciiTheme="majorBidi" w:hAnsiTheme="majorBidi" w:cstheme="majorBidi"/>
        </w:rPr>
      </w:pPr>
    </w:p>
    <w:p w14:paraId="1C0A30D7" w14:textId="77777777" w:rsidR="00F25757" w:rsidRPr="005635E7" w:rsidRDefault="00F25757" w:rsidP="005976AB">
      <w:pPr>
        <w:spacing w:after="240" w:line="276" w:lineRule="auto"/>
        <w:ind w:left="284" w:hanging="284"/>
        <w:jc w:val="both"/>
        <w:rPr>
          <w:rFonts w:asciiTheme="majorBidi" w:hAnsiTheme="majorBidi" w:cstheme="majorBidi"/>
        </w:rPr>
      </w:pPr>
    </w:p>
    <w:p w14:paraId="073D76BF" w14:textId="73D0C41B" w:rsidR="005976AB" w:rsidRPr="005635E7" w:rsidRDefault="005976AB" w:rsidP="005976AB">
      <w:pPr>
        <w:spacing w:after="240" w:line="276" w:lineRule="auto"/>
        <w:ind w:left="284" w:hanging="284"/>
        <w:rPr>
          <w:rFonts w:asciiTheme="majorBidi" w:hAnsiTheme="majorBidi" w:cstheme="majorBidi"/>
        </w:rPr>
      </w:pPr>
      <w:r w:rsidRPr="005635E7">
        <w:rPr>
          <w:rFonts w:asciiTheme="majorBidi" w:hAnsiTheme="majorBidi" w:cstheme="majorBidi"/>
        </w:rPr>
        <w:t>Dolfsma, W. and Van der Eijk, R. (2017)</w:t>
      </w:r>
      <w:r w:rsidR="00F25757">
        <w:rPr>
          <w:rFonts w:asciiTheme="majorBidi" w:hAnsiTheme="majorBidi" w:cstheme="majorBidi"/>
        </w:rPr>
        <w:t xml:space="preserve">. </w:t>
      </w:r>
      <w:r w:rsidRPr="005635E7">
        <w:rPr>
          <w:rFonts w:asciiTheme="majorBidi" w:hAnsiTheme="majorBidi" w:cstheme="majorBidi"/>
        </w:rPr>
        <w:t>Knowledge gifts and social networks</w:t>
      </w:r>
      <w:r w:rsidR="00F25757">
        <w:rPr>
          <w:rFonts w:asciiTheme="majorBidi" w:hAnsiTheme="majorBidi" w:cstheme="majorBidi"/>
        </w:rPr>
        <w:t xml:space="preserve">. </w:t>
      </w:r>
      <w:r w:rsidRPr="00F25757">
        <w:rPr>
          <w:rFonts w:asciiTheme="majorBidi" w:hAnsiTheme="majorBidi" w:cstheme="majorBidi"/>
          <w:i/>
          <w:iCs/>
        </w:rPr>
        <w:t>Innovation-Management Policy &amp; Practice,</w:t>
      </w:r>
      <w:r w:rsidRPr="005635E7">
        <w:rPr>
          <w:rFonts w:asciiTheme="majorBidi" w:hAnsiTheme="majorBidi" w:cstheme="majorBidi"/>
        </w:rPr>
        <w:t xml:space="preserve"> 19</w:t>
      </w:r>
      <w:r w:rsidR="00F25757">
        <w:rPr>
          <w:rFonts w:asciiTheme="majorBidi" w:hAnsiTheme="majorBidi" w:cstheme="majorBidi"/>
        </w:rPr>
        <w:t>(</w:t>
      </w:r>
      <w:r w:rsidRPr="005635E7">
        <w:rPr>
          <w:rFonts w:asciiTheme="majorBidi" w:hAnsiTheme="majorBidi" w:cstheme="majorBidi"/>
        </w:rPr>
        <w:t>2</w:t>
      </w:r>
      <w:r w:rsidR="00F25757">
        <w:rPr>
          <w:rFonts w:asciiTheme="majorBidi" w:hAnsiTheme="majorBidi" w:cstheme="majorBidi"/>
        </w:rPr>
        <w:t xml:space="preserve">), </w:t>
      </w:r>
      <w:r w:rsidRPr="005635E7">
        <w:rPr>
          <w:rFonts w:asciiTheme="majorBidi" w:hAnsiTheme="majorBidi" w:cstheme="majorBidi"/>
        </w:rPr>
        <w:t>287-306.</w:t>
      </w:r>
    </w:p>
    <w:p w14:paraId="5C013F79"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Eggers, J. P., &amp; S. Kaplan. (2009). Cognition and Renewal: Comparing CEO and Organizational Effects on Incumbent Adaptation to Technical Change. </w:t>
      </w:r>
      <w:r w:rsidRPr="005635E7">
        <w:rPr>
          <w:rFonts w:asciiTheme="majorBidi" w:hAnsiTheme="majorBidi" w:cstheme="majorBidi"/>
          <w:i/>
          <w:iCs/>
        </w:rPr>
        <w:t>Organization Science</w:t>
      </w:r>
      <w:r w:rsidRPr="005635E7">
        <w:rPr>
          <w:rFonts w:asciiTheme="majorBidi" w:hAnsiTheme="majorBidi" w:cstheme="majorBidi"/>
        </w:rPr>
        <w:t xml:space="preserve"> 20 (2): 461–477.</w:t>
      </w:r>
    </w:p>
    <w:p w14:paraId="36ECE6BD"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Eisenhardt, K. M., &amp; S. L. Brown. (1999). Patching: Restitching Business Portfolios in Dynamic Markets. </w:t>
      </w:r>
      <w:r w:rsidRPr="005635E7">
        <w:rPr>
          <w:rFonts w:asciiTheme="majorBidi" w:hAnsiTheme="majorBidi" w:cstheme="majorBidi"/>
          <w:i/>
          <w:iCs/>
        </w:rPr>
        <w:t>Harvard Business Review</w:t>
      </w:r>
      <w:r w:rsidRPr="005635E7">
        <w:rPr>
          <w:rFonts w:asciiTheme="majorBidi" w:hAnsiTheme="majorBidi" w:cstheme="majorBidi"/>
        </w:rPr>
        <w:t xml:space="preserve"> 77 (3): 72–82.</w:t>
      </w:r>
    </w:p>
    <w:p w14:paraId="395CBC13" w14:textId="77777777" w:rsidR="005976AB"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Eriksson, T., Qin, Z., &amp; Wang, W. (2014). Firm-level innovation activity, employee turnover and HRM practices—Evidence from Chinese firms. </w:t>
      </w:r>
      <w:r w:rsidRPr="005635E7">
        <w:rPr>
          <w:rFonts w:ascii="Times New Roman" w:hAnsi="Times New Roman" w:cs="Times New Roman"/>
          <w:i/>
          <w:iCs/>
          <w:shd w:val="clear" w:color="auto" w:fill="FFFFFF"/>
        </w:rPr>
        <w:t>China Economic Review</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30</w:t>
      </w:r>
      <w:r w:rsidRPr="005635E7">
        <w:rPr>
          <w:rFonts w:ascii="Times New Roman" w:hAnsi="Times New Roman" w:cs="Times New Roman"/>
          <w:shd w:val="clear" w:color="auto" w:fill="FFFFFF"/>
        </w:rPr>
        <w:t>, 583-597.</w:t>
      </w:r>
    </w:p>
    <w:p w14:paraId="029A68B4" w14:textId="77777777" w:rsidR="00F25757" w:rsidRPr="005635E7" w:rsidRDefault="00F25757" w:rsidP="005976AB">
      <w:pPr>
        <w:spacing w:line="276" w:lineRule="auto"/>
        <w:ind w:left="567" w:hanging="567"/>
        <w:rPr>
          <w:rFonts w:ascii="Times New Roman" w:hAnsi="Times New Roman" w:cs="Times New Roman"/>
          <w:shd w:val="clear" w:color="auto" w:fill="FFFFFF"/>
        </w:rPr>
      </w:pPr>
    </w:p>
    <w:p w14:paraId="35A7EF75" w14:textId="003142A9" w:rsidR="005976AB" w:rsidRPr="005635E7" w:rsidRDefault="005976AB" w:rsidP="005976AB">
      <w:pPr>
        <w:spacing w:after="240" w:line="276" w:lineRule="auto"/>
        <w:ind w:left="284" w:hanging="284"/>
        <w:rPr>
          <w:rFonts w:asciiTheme="majorBidi" w:hAnsiTheme="majorBidi" w:cstheme="majorBidi"/>
        </w:rPr>
      </w:pPr>
      <w:r w:rsidRPr="005635E7">
        <w:rPr>
          <w:rFonts w:asciiTheme="majorBidi" w:hAnsiTheme="majorBidi" w:cstheme="majorBidi"/>
          <w:shd w:val="clear" w:color="auto" w:fill="FFFFFF"/>
        </w:rPr>
        <w:t>Expósito, A., </w:t>
      </w:r>
      <w:hyperlink r:id="rId32" w:tooltip="José Fernández-Serrano" w:history="1">
        <w:r w:rsidRPr="005635E7">
          <w:rPr>
            <w:rStyle w:val="Hyperlink"/>
            <w:rFonts w:asciiTheme="majorBidi" w:hAnsiTheme="majorBidi"/>
            <w:color w:val="auto"/>
            <w:shd w:val="clear" w:color="auto" w:fill="FFFFFF"/>
          </w:rPr>
          <w:t>Fernández-Serrano, J.</w:t>
        </w:r>
      </w:hyperlink>
      <w:r w:rsidRPr="005635E7">
        <w:rPr>
          <w:rFonts w:asciiTheme="majorBidi" w:hAnsiTheme="majorBidi" w:cstheme="majorBidi"/>
          <w:shd w:val="clear" w:color="auto" w:fill="FFFFFF"/>
        </w:rPr>
        <w:t> &amp; </w:t>
      </w:r>
      <w:hyperlink r:id="rId33" w:tooltip="Francisco Liñán" w:history="1">
        <w:r w:rsidRPr="005635E7">
          <w:rPr>
            <w:rStyle w:val="Hyperlink"/>
            <w:rFonts w:asciiTheme="majorBidi" w:hAnsiTheme="majorBidi"/>
            <w:color w:val="auto"/>
            <w:shd w:val="clear" w:color="auto" w:fill="FFFFFF"/>
          </w:rPr>
          <w:t>Liñán, F.</w:t>
        </w:r>
      </w:hyperlink>
      <w:r w:rsidRPr="005635E7">
        <w:rPr>
          <w:rFonts w:asciiTheme="majorBidi" w:hAnsiTheme="majorBidi" w:cstheme="majorBidi"/>
          <w:shd w:val="clear" w:color="auto" w:fill="FFFFFF"/>
        </w:rPr>
        <w:t> (2019), The impact of open innovation on SMEs’ innovation outcomes: New empirical evidence from a multidimensional approach, </w:t>
      </w:r>
      <w:r w:rsidRPr="005635E7">
        <w:rPr>
          <w:rFonts w:asciiTheme="majorBidi" w:hAnsiTheme="majorBidi" w:cstheme="majorBidi"/>
          <w:i/>
          <w:iCs/>
        </w:rPr>
        <w:t>Journal of Organizational Change Management</w:t>
      </w:r>
      <w:r w:rsidRPr="005635E7">
        <w:rPr>
          <w:rFonts w:asciiTheme="majorBidi" w:hAnsiTheme="majorBidi" w:cstheme="majorBidi"/>
          <w:shd w:val="clear" w:color="auto" w:fill="FFFFFF"/>
        </w:rPr>
        <w:t>, 32(5). 558-577. </w:t>
      </w:r>
      <w:r w:rsidR="00F25757" w:rsidRPr="005635E7">
        <w:rPr>
          <w:rFonts w:asciiTheme="majorBidi" w:hAnsiTheme="majorBidi" w:cstheme="majorBidi"/>
        </w:rPr>
        <w:t xml:space="preserve"> </w:t>
      </w:r>
    </w:p>
    <w:p w14:paraId="069A2B15" w14:textId="77777777" w:rsidR="005976AB" w:rsidRPr="005635E7" w:rsidRDefault="005976AB" w:rsidP="005976AB">
      <w:pPr>
        <w:spacing w:after="240" w:line="276" w:lineRule="auto"/>
        <w:ind w:left="284" w:hanging="284"/>
        <w:rPr>
          <w:rFonts w:asciiTheme="majorBidi" w:hAnsiTheme="majorBidi" w:cstheme="majorBidi"/>
          <w:shd w:val="clear" w:color="auto" w:fill="FFFFFF"/>
        </w:rPr>
      </w:pPr>
      <w:r w:rsidRPr="005635E7">
        <w:rPr>
          <w:rFonts w:asciiTheme="majorBidi" w:hAnsiTheme="majorBidi" w:cstheme="majorBidi"/>
          <w:shd w:val="clear" w:color="auto" w:fill="FFFFFF"/>
        </w:rPr>
        <w:t>Ferreira, J., Cardim, S., &amp; Coelho, A. (2021). Dynamic capabilities and mediating effects of innovation on the competitive advantage and firm’s performance: The moderating role of organizational learning capability. </w:t>
      </w:r>
      <w:r w:rsidRPr="005635E7">
        <w:rPr>
          <w:rFonts w:asciiTheme="majorBidi" w:hAnsiTheme="majorBidi" w:cstheme="majorBidi"/>
          <w:i/>
          <w:iCs/>
          <w:shd w:val="clear" w:color="auto" w:fill="FFFFFF"/>
        </w:rPr>
        <w:t>Journal of the Knowledge Economy</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12</w:t>
      </w:r>
      <w:r w:rsidRPr="005635E7">
        <w:rPr>
          <w:rFonts w:asciiTheme="majorBidi" w:hAnsiTheme="majorBidi" w:cstheme="majorBidi"/>
          <w:shd w:val="clear" w:color="auto" w:fill="FFFFFF"/>
        </w:rPr>
        <w:t>(2), 620-644.</w:t>
      </w:r>
    </w:p>
    <w:p w14:paraId="6373745B" w14:textId="3A9625D2"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shd w:val="clear" w:color="auto" w:fill="FFFFFF"/>
        </w:rPr>
        <w:t>Ferrigno, G., </w:t>
      </w:r>
      <w:hyperlink r:id="rId34" w:tooltip="Nicola Del Sarto" w:history="1">
        <w:r w:rsidRPr="005635E7">
          <w:rPr>
            <w:rStyle w:val="Hyperlink"/>
            <w:rFonts w:asciiTheme="majorBidi" w:hAnsiTheme="majorBidi"/>
            <w:color w:val="auto"/>
            <w:shd w:val="clear" w:color="auto" w:fill="FFFFFF"/>
          </w:rPr>
          <w:t>Del Sarto, N.</w:t>
        </w:r>
      </w:hyperlink>
      <w:r w:rsidRPr="005635E7">
        <w:rPr>
          <w:rFonts w:asciiTheme="majorBidi" w:hAnsiTheme="majorBidi" w:cstheme="majorBidi"/>
          <w:shd w:val="clear" w:color="auto" w:fill="FFFFFF"/>
        </w:rPr>
        <w:t>, </w:t>
      </w:r>
      <w:hyperlink r:id="rId35" w:tooltip="Valentina Cucino" w:history="1">
        <w:r w:rsidRPr="005635E7">
          <w:rPr>
            <w:rStyle w:val="Hyperlink"/>
            <w:rFonts w:asciiTheme="majorBidi" w:hAnsiTheme="majorBidi"/>
            <w:color w:val="auto"/>
            <w:shd w:val="clear" w:color="auto" w:fill="FFFFFF"/>
          </w:rPr>
          <w:t>Cucino, V.</w:t>
        </w:r>
      </w:hyperlink>
      <w:r w:rsidRPr="005635E7">
        <w:rPr>
          <w:rFonts w:asciiTheme="majorBidi" w:hAnsiTheme="majorBidi" w:cstheme="majorBidi"/>
          <w:shd w:val="clear" w:color="auto" w:fill="FFFFFF"/>
        </w:rPr>
        <w:t> </w:t>
      </w:r>
      <w:r w:rsidRPr="005635E7">
        <w:rPr>
          <w:rFonts w:asciiTheme="majorBidi" w:hAnsiTheme="majorBidi" w:cstheme="majorBidi"/>
        </w:rPr>
        <w:t>&amp;</w:t>
      </w:r>
      <w:r w:rsidRPr="005635E7">
        <w:rPr>
          <w:rFonts w:asciiTheme="majorBidi" w:hAnsiTheme="majorBidi" w:cstheme="majorBidi"/>
          <w:shd w:val="clear" w:color="auto" w:fill="FFFFFF"/>
        </w:rPr>
        <w:t> </w:t>
      </w:r>
      <w:hyperlink r:id="rId36" w:tooltip="Andrea Piccaluga" w:history="1">
        <w:r w:rsidRPr="005635E7">
          <w:rPr>
            <w:rStyle w:val="Hyperlink"/>
            <w:rFonts w:asciiTheme="majorBidi" w:hAnsiTheme="majorBidi"/>
            <w:color w:val="auto"/>
            <w:shd w:val="clear" w:color="auto" w:fill="FFFFFF"/>
          </w:rPr>
          <w:t>Piccaluga, A.</w:t>
        </w:r>
      </w:hyperlink>
      <w:r w:rsidRPr="005635E7">
        <w:rPr>
          <w:rFonts w:asciiTheme="majorBidi" w:hAnsiTheme="majorBidi" w:cstheme="majorBidi"/>
          <w:shd w:val="clear" w:color="auto" w:fill="FFFFFF"/>
        </w:rPr>
        <w:t> (2022)</w:t>
      </w:r>
      <w:r w:rsidR="00F25757">
        <w:rPr>
          <w:rFonts w:asciiTheme="majorBidi" w:hAnsiTheme="majorBidi" w:cstheme="majorBidi"/>
          <w:shd w:val="clear" w:color="auto" w:fill="FFFFFF"/>
        </w:rPr>
        <w:t>.</w:t>
      </w:r>
      <w:r w:rsidRPr="005635E7">
        <w:rPr>
          <w:rFonts w:asciiTheme="majorBidi" w:hAnsiTheme="majorBidi" w:cstheme="majorBidi"/>
          <w:shd w:val="clear" w:color="auto" w:fill="FFFFFF"/>
        </w:rPr>
        <w:t xml:space="preserve"> Connecting organizational learning and open innovation research: an integrative framework and insights from case studies of strategic alliances</w:t>
      </w:r>
      <w:r w:rsidR="00F25757">
        <w:rPr>
          <w:rFonts w:asciiTheme="majorBidi" w:hAnsiTheme="majorBidi" w:cstheme="majorBidi"/>
          <w:shd w:val="clear" w:color="auto" w:fill="FFFFFF"/>
        </w:rPr>
        <w:t xml:space="preserve">. </w:t>
      </w:r>
      <w:r w:rsidR="00F25757" w:rsidRPr="00F25757">
        <w:rPr>
          <w:rFonts w:asciiTheme="majorBidi" w:hAnsiTheme="majorBidi" w:cstheme="majorBidi"/>
          <w:i/>
          <w:iCs/>
          <w:shd w:val="clear" w:color="auto" w:fill="FFFFFF"/>
        </w:rPr>
        <w:t>The Learning Organization,</w:t>
      </w:r>
      <w:r w:rsidR="00F25757">
        <w:rPr>
          <w:rFonts w:asciiTheme="majorBidi" w:hAnsiTheme="majorBidi" w:cstheme="majorBidi"/>
          <w:shd w:val="clear" w:color="auto" w:fill="FFFFFF"/>
        </w:rPr>
        <w:t xml:space="preserve"> </w:t>
      </w:r>
      <w:r w:rsidRPr="005635E7">
        <w:rPr>
          <w:rFonts w:asciiTheme="majorBidi" w:hAnsiTheme="majorBidi" w:cstheme="majorBidi"/>
          <w:shd w:val="clear" w:color="auto" w:fill="FFFFFF"/>
        </w:rPr>
        <w:t>Vol. ahead-of-print No. ahead-of-print. </w:t>
      </w:r>
      <w:hyperlink r:id="rId37" w:tooltip="DOI: https://doi.org/10.1108/TLO-03-2021-0030" w:history="1">
        <w:r w:rsidRPr="005635E7">
          <w:rPr>
            <w:rStyle w:val="Hyperlink"/>
            <w:rFonts w:asciiTheme="majorBidi" w:hAnsiTheme="majorBidi"/>
            <w:color w:val="auto"/>
            <w:shd w:val="clear" w:color="auto" w:fill="FFFFFF"/>
          </w:rPr>
          <w:t>https://doi.org/10.1108/TLO-03-2021-0030</w:t>
        </w:r>
      </w:hyperlink>
    </w:p>
    <w:p w14:paraId="5F43BBF2" w14:textId="2383DFB7" w:rsidR="005976AB" w:rsidRDefault="005976AB" w:rsidP="005976AB">
      <w:pPr>
        <w:spacing w:line="276" w:lineRule="auto"/>
        <w:ind w:left="567" w:hanging="567"/>
        <w:rPr>
          <w:rFonts w:ascii="Times New Roman" w:hAnsi="Times New Roman" w:cs="Times New Roman"/>
        </w:rPr>
      </w:pPr>
      <w:r w:rsidRPr="005635E7">
        <w:rPr>
          <w:rFonts w:ascii="Times New Roman" w:hAnsi="Times New Roman" w:cs="Times New Roman"/>
        </w:rPr>
        <w:t xml:space="preserve">Fornell, C. G., &amp; Larcker, D. F. (1981). Evaluating structural equation models with unobservable variables and measurement error. </w:t>
      </w:r>
      <w:r w:rsidRPr="00A156D6">
        <w:rPr>
          <w:rFonts w:ascii="Times New Roman" w:hAnsi="Times New Roman" w:cs="Times New Roman"/>
          <w:i/>
          <w:iCs/>
        </w:rPr>
        <w:t>Journal of Marketing Research</w:t>
      </w:r>
      <w:r w:rsidRPr="005635E7">
        <w:rPr>
          <w:rFonts w:ascii="Times New Roman" w:hAnsi="Times New Roman" w:cs="Times New Roman"/>
        </w:rPr>
        <w:t>, 18(1), 39–50</w:t>
      </w:r>
      <w:r w:rsidR="00A156D6">
        <w:rPr>
          <w:rFonts w:ascii="Times New Roman" w:hAnsi="Times New Roman" w:cs="Times New Roman"/>
        </w:rPr>
        <w:t>.</w:t>
      </w:r>
    </w:p>
    <w:p w14:paraId="0D29FB91" w14:textId="77777777" w:rsidR="00A156D6" w:rsidRPr="005635E7" w:rsidRDefault="00A156D6" w:rsidP="005976AB">
      <w:pPr>
        <w:spacing w:line="276" w:lineRule="auto"/>
        <w:ind w:left="567" w:hanging="567"/>
        <w:rPr>
          <w:rFonts w:ascii="Times New Roman" w:hAnsi="Times New Roman" w:cs="Times New Roman"/>
        </w:rPr>
      </w:pPr>
    </w:p>
    <w:p w14:paraId="448E1A8A"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Forsten-Astikainen, R., Kultalahti, S., &amp; Muhos, M. (2018, December). Age-related Differences in Work Motivations: The Case of SMEs. </w:t>
      </w:r>
      <w:r w:rsidRPr="005635E7">
        <w:rPr>
          <w:rFonts w:asciiTheme="majorBidi" w:hAnsiTheme="majorBidi" w:cstheme="majorBidi"/>
          <w:i/>
          <w:iCs/>
        </w:rPr>
        <w:t>In 2018 IEEE International Conference on Industrial Engineering and Engineering Management</w:t>
      </w:r>
      <w:r w:rsidRPr="005635E7">
        <w:rPr>
          <w:rFonts w:asciiTheme="majorBidi" w:hAnsiTheme="majorBidi" w:cstheme="majorBidi"/>
        </w:rPr>
        <w:t xml:space="preserve"> (IEEM) (pp. 1031-1034).</w:t>
      </w:r>
    </w:p>
    <w:p w14:paraId="1A9D01FE"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Freeburg, D. (2018). The knowledge lens: Equipping information professionals to spark innovation within organizations and society. </w:t>
      </w:r>
      <w:r w:rsidRPr="005635E7">
        <w:rPr>
          <w:rFonts w:asciiTheme="majorBidi" w:hAnsiTheme="majorBidi" w:cstheme="majorBidi"/>
          <w:i/>
          <w:iCs/>
        </w:rPr>
        <w:t>Journal of Education for Library and Information Science</w:t>
      </w:r>
      <w:r w:rsidRPr="005635E7">
        <w:rPr>
          <w:rFonts w:asciiTheme="majorBidi" w:hAnsiTheme="majorBidi" w:cstheme="majorBidi"/>
        </w:rPr>
        <w:t>, 59(4), 228-252.</w:t>
      </w:r>
    </w:p>
    <w:p w14:paraId="1462294B" w14:textId="411A9F9F" w:rsidR="005976AB" w:rsidRPr="005635E7" w:rsidRDefault="005976AB" w:rsidP="005976AB">
      <w:pPr>
        <w:spacing w:after="240" w:line="276" w:lineRule="auto"/>
        <w:ind w:left="567" w:hanging="567"/>
        <w:rPr>
          <w:rFonts w:asciiTheme="majorBidi" w:hAnsiTheme="majorBidi" w:cstheme="majorBidi"/>
        </w:rPr>
      </w:pPr>
      <w:bookmarkStart w:id="134" w:name="_Hlk48164096"/>
      <w:r w:rsidRPr="005635E7">
        <w:rPr>
          <w:rFonts w:asciiTheme="majorBidi" w:hAnsiTheme="majorBidi" w:cstheme="majorBidi"/>
        </w:rPr>
        <w:t>Garavan</w:t>
      </w:r>
      <w:bookmarkEnd w:id="134"/>
      <w:r w:rsidRPr="005635E7">
        <w:rPr>
          <w:rFonts w:asciiTheme="majorBidi" w:hAnsiTheme="majorBidi" w:cstheme="majorBidi"/>
        </w:rPr>
        <w:t xml:space="preserve">, T. Shanahan, V., Carbery, R. &amp; Watson S. (2016): Strategic human resource development: towards a conceptual framework to understand its contribution to dynamic capabilities, </w:t>
      </w:r>
      <w:r w:rsidRPr="005635E7">
        <w:rPr>
          <w:rFonts w:asciiTheme="majorBidi" w:hAnsiTheme="majorBidi" w:cstheme="majorBidi"/>
          <w:i/>
          <w:iCs/>
        </w:rPr>
        <w:t>Human Resource Development International</w:t>
      </w:r>
      <w:r w:rsidRPr="005635E7">
        <w:rPr>
          <w:rFonts w:asciiTheme="majorBidi" w:hAnsiTheme="majorBidi" w:cstheme="majorBidi"/>
        </w:rPr>
        <w:t>,</w:t>
      </w:r>
      <w:r w:rsidR="00A156D6">
        <w:rPr>
          <w:rFonts w:asciiTheme="majorBidi" w:hAnsiTheme="majorBidi" w:cstheme="majorBidi"/>
        </w:rPr>
        <w:t xml:space="preserve"> 19(4), 289-3</w:t>
      </w:r>
      <w:r w:rsidR="005652A1">
        <w:rPr>
          <w:rFonts w:asciiTheme="majorBidi" w:hAnsiTheme="majorBidi" w:cstheme="majorBidi"/>
        </w:rPr>
        <w:t>0</w:t>
      </w:r>
      <w:r w:rsidR="00A156D6">
        <w:rPr>
          <w:rFonts w:asciiTheme="majorBidi" w:hAnsiTheme="majorBidi" w:cstheme="majorBidi"/>
        </w:rPr>
        <w:t xml:space="preserve">6. </w:t>
      </w:r>
    </w:p>
    <w:p w14:paraId="14D6E8AF" w14:textId="77777777" w:rsidR="005976AB" w:rsidRPr="005635E7" w:rsidRDefault="005976AB" w:rsidP="005976AB">
      <w:pPr>
        <w:spacing w:after="240" w:line="276" w:lineRule="auto"/>
        <w:ind w:left="284" w:hanging="284"/>
        <w:jc w:val="both"/>
        <w:rPr>
          <w:rFonts w:asciiTheme="majorBidi" w:hAnsiTheme="majorBidi" w:cstheme="majorBidi"/>
          <w:shd w:val="clear" w:color="auto" w:fill="FFFFFF"/>
        </w:rPr>
      </w:pPr>
      <w:bookmarkStart w:id="135" w:name="_Hlk115249584"/>
      <w:r w:rsidRPr="005635E7">
        <w:rPr>
          <w:rFonts w:asciiTheme="majorBidi" w:hAnsiTheme="majorBidi" w:cstheme="majorBidi"/>
          <w:shd w:val="clear" w:color="auto" w:fill="FFFFFF"/>
        </w:rPr>
        <w:t>Giniuniene, J., &amp; Jurksiene, L. (2015</w:t>
      </w:r>
      <w:bookmarkEnd w:id="135"/>
      <w:r w:rsidRPr="005635E7">
        <w:rPr>
          <w:rFonts w:asciiTheme="majorBidi" w:hAnsiTheme="majorBidi" w:cstheme="majorBidi"/>
          <w:shd w:val="clear" w:color="auto" w:fill="FFFFFF"/>
        </w:rPr>
        <w:t>). Dynamic capabilities, innovation and organizational learning: Interrelations and impact on firm performance. </w:t>
      </w:r>
      <w:r w:rsidRPr="005635E7">
        <w:rPr>
          <w:rFonts w:asciiTheme="majorBidi" w:hAnsiTheme="majorBidi" w:cstheme="majorBidi"/>
          <w:i/>
          <w:iCs/>
          <w:shd w:val="clear" w:color="auto" w:fill="FFFFFF"/>
        </w:rPr>
        <w:t>Procedia-Social and Behavioral Sciences</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213</w:t>
      </w:r>
      <w:r w:rsidRPr="005635E7">
        <w:rPr>
          <w:rFonts w:asciiTheme="majorBidi" w:hAnsiTheme="majorBidi" w:cstheme="majorBidi"/>
          <w:shd w:val="clear" w:color="auto" w:fill="FFFFFF"/>
        </w:rPr>
        <w:t>, 985-991.</w:t>
      </w:r>
    </w:p>
    <w:p w14:paraId="5BE99677" w14:textId="76C4027F"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Gold, A. H., Malhotra, A., &amp; Segars, A. H. (2001). Knowledge management: An organizational capabilities perspective. </w:t>
      </w:r>
      <w:r w:rsidRPr="005635E7">
        <w:rPr>
          <w:rFonts w:ascii="Times New Roman" w:hAnsi="Times New Roman" w:cs="Times New Roman"/>
          <w:i/>
          <w:iCs/>
          <w:shd w:val="clear" w:color="auto" w:fill="FFFFFF"/>
        </w:rPr>
        <w:t xml:space="preserve">Journal of </w:t>
      </w:r>
      <w:r w:rsidR="00236EFD">
        <w:rPr>
          <w:rFonts w:ascii="Times New Roman" w:hAnsi="Times New Roman" w:cs="Times New Roman"/>
          <w:i/>
          <w:iCs/>
          <w:shd w:val="clear" w:color="auto" w:fill="FFFFFF"/>
        </w:rPr>
        <w:t>M</w:t>
      </w:r>
      <w:r w:rsidRPr="005635E7">
        <w:rPr>
          <w:rFonts w:ascii="Times New Roman" w:hAnsi="Times New Roman" w:cs="Times New Roman"/>
          <w:i/>
          <w:iCs/>
          <w:shd w:val="clear" w:color="auto" w:fill="FFFFFF"/>
        </w:rPr>
        <w:t xml:space="preserve">anagement </w:t>
      </w:r>
      <w:r w:rsidR="00236EFD">
        <w:rPr>
          <w:rFonts w:ascii="Times New Roman" w:hAnsi="Times New Roman" w:cs="Times New Roman"/>
          <w:i/>
          <w:iCs/>
          <w:shd w:val="clear" w:color="auto" w:fill="FFFFFF"/>
        </w:rPr>
        <w:t>I</w:t>
      </w:r>
      <w:r w:rsidRPr="005635E7">
        <w:rPr>
          <w:rFonts w:ascii="Times New Roman" w:hAnsi="Times New Roman" w:cs="Times New Roman"/>
          <w:i/>
          <w:iCs/>
          <w:shd w:val="clear" w:color="auto" w:fill="FFFFFF"/>
        </w:rPr>
        <w:t xml:space="preserve">nformation </w:t>
      </w:r>
      <w:r w:rsidR="00236EFD">
        <w:rPr>
          <w:rFonts w:ascii="Times New Roman" w:hAnsi="Times New Roman" w:cs="Times New Roman"/>
          <w:i/>
          <w:iCs/>
          <w:shd w:val="clear" w:color="auto" w:fill="FFFFFF"/>
        </w:rPr>
        <w:t>S</w:t>
      </w:r>
      <w:r w:rsidRPr="005635E7">
        <w:rPr>
          <w:rFonts w:ascii="Times New Roman" w:hAnsi="Times New Roman" w:cs="Times New Roman"/>
          <w:i/>
          <w:iCs/>
          <w:shd w:val="clear" w:color="auto" w:fill="FFFFFF"/>
        </w:rPr>
        <w:t>ystems</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18</w:t>
      </w:r>
      <w:r w:rsidRPr="005635E7">
        <w:rPr>
          <w:rFonts w:ascii="Times New Roman" w:hAnsi="Times New Roman" w:cs="Times New Roman"/>
          <w:shd w:val="clear" w:color="auto" w:fill="FFFFFF"/>
        </w:rPr>
        <w:t>(1), 185-214.</w:t>
      </w:r>
    </w:p>
    <w:p w14:paraId="2B3E3384"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Gomes, G., &amp; Wojahn, R. M. (2017). Organizational learning capability, innovation and performance: study in small and medium-sized enterprises (SMES</w:t>
      </w:r>
      <w:r w:rsidRPr="005635E7">
        <w:rPr>
          <w:rFonts w:asciiTheme="majorBidi" w:hAnsiTheme="majorBidi" w:cstheme="majorBidi"/>
          <w:i/>
          <w:iCs/>
        </w:rPr>
        <w:t>). Revista de Administração</w:t>
      </w:r>
      <w:r w:rsidRPr="005635E7">
        <w:rPr>
          <w:rFonts w:asciiTheme="majorBidi" w:hAnsiTheme="majorBidi" w:cstheme="majorBidi"/>
        </w:rPr>
        <w:t xml:space="preserve"> (São Paulo), 52(2), 163-175.</w:t>
      </w:r>
    </w:p>
    <w:p w14:paraId="0C4B1218" w14:textId="41EFC895" w:rsidR="005976AB" w:rsidRPr="005635E7" w:rsidRDefault="005976AB" w:rsidP="005976AB">
      <w:pPr>
        <w:spacing w:after="240" w:line="276" w:lineRule="auto"/>
        <w:ind w:left="284" w:hanging="284"/>
        <w:rPr>
          <w:rFonts w:asciiTheme="majorBidi" w:hAnsiTheme="majorBidi" w:cstheme="majorBidi"/>
        </w:rPr>
      </w:pPr>
      <w:r w:rsidRPr="005635E7">
        <w:rPr>
          <w:rFonts w:asciiTheme="majorBidi" w:hAnsiTheme="majorBidi" w:cstheme="majorBidi"/>
          <w:shd w:val="clear" w:color="auto" w:fill="FFFFFF"/>
        </w:rPr>
        <w:t>Greco, M., Grimaldi, M., &amp; Cricelli, L. (2019). Benefits and costs of open innovation: the BeCO framework. </w:t>
      </w:r>
      <w:r w:rsidRPr="005635E7">
        <w:rPr>
          <w:rFonts w:asciiTheme="majorBidi" w:hAnsiTheme="majorBidi" w:cstheme="majorBidi"/>
          <w:i/>
          <w:iCs/>
          <w:shd w:val="clear" w:color="auto" w:fill="FFFFFF"/>
        </w:rPr>
        <w:t xml:space="preserve">Technology </w:t>
      </w:r>
      <w:r w:rsidR="000F63C3">
        <w:rPr>
          <w:rFonts w:asciiTheme="majorBidi" w:hAnsiTheme="majorBidi" w:cstheme="majorBidi"/>
          <w:i/>
          <w:iCs/>
          <w:shd w:val="clear" w:color="auto" w:fill="FFFFFF"/>
        </w:rPr>
        <w:t>A</w:t>
      </w:r>
      <w:r w:rsidRPr="005635E7">
        <w:rPr>
          <w:rFonts w:asciiTheme="majorBidi" w:hAnsiTheme="majorBidi" w:cstheme="majorBidi"/>
          <w:i/>
          <w:iCs/>
          <w:shd w:val="clear" w:color="auto" w:fill="FFFFFF"/>
        </w:rPr>
        <w:t xml:space="preserve">nalysis &amp; </w:t>
      </w:r>
      <w:r w:rsidR="000F63C3">
        <w:rPr>
          <w:rFonts w:asciiTheme="majorBidi" w:hAnsiTheme="majorBidi" w:cstheme="majorBidi"/>
          <w:i/>
          <w:iCs/>
          <w:shd w:val="clear" w:color="auto" w:fill="FFFFFF"/>
        </w:rPr>
        <w:t>S</w:t>
      </w:r>
      <w:r w:rsidRPr="005635E7">
        <w:rPr>
          <w:rFonts w:asciiTheme="majorBidi" w:hAnsiTheme="majorBidi" w:cstheme="majorBidi"/>
          <w:i/>
          <w:iCs/>
          <w:shd w:val="clear" w:color="auto" w:fill="FFFFFF"/>
        </w:rPr>
        <w:t xml:space="preserve">trategic </w:t>
      </w:r>
      <w:r w:rsidR="000F63C3">
        <w:rPr>
          <w:rFonts w:asciiTheme="majorBidi" w:hAnsiTheme="majorBidi" w:cstheme="majorBidi"/>
          <w:i/>
          <w:iCs/>
          <w:shd w:val="clear" w:color="auto" w:fill="FFFFFF"/>
        </w:rPr>
        <w:t>M</w:t>
      </w:r>
      <w:r w:rsidRPr="005635E7">
        <w:rPr>
          <w:rFonts w:asciiTheme="majorBidi" w:hAnsiTheme="majorBidi" w:cstheme="majorBidi"/>
          <w:i/>
          <w:iCs/>
          <w:shd w:val="clear" w:color="auto" w:fill="FFFFFF"/>
        </w:rPr>
        <w:t>anagement</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31</w:t>
      </w:r>
      <w:r w:rsidRPr="005635E7">
        <w:rPr>
          <w:rFonts w:asciiTheme="majorBidi" w:hAnsiTheme="majorBidi" w:cstheme="majorBidi"/>
          <w:shd w:val="clear" w:color="auto" w:fill="FFFFFF"/>
        </w:rPr>
        <w:t>(1), 53-66.</w:t>
      </w:r>
      <w:hyperlink r:id="rId38" w:tgtFrame="_blank" w:history="1">
        <w:r w:rsidRPr="005635E7">
          <w:rPr>
            <w:rStyle w:val="Hyperlink"/>
            <w:rFonts w:asciiTheme="majorBidi" w:hAnsiTheme="majorBidi"/>
            <w:color w:val="auto"/>
          </w:rPr>
          <w:t>10.1080/09537325.2018.1484442</w:t>
        </w:r>
      </w:hyperlink>
    </w:p>
    <w:p w14:paraId="3701CC9B"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Greco, M., Grimaldi, M., &amp; Cricelli, L. (2019). Benefits and costs of open innovation: the BeCO framework. </w:t>
      </w:r>
      <w:r w:rsidRPr="005635E7">
        <w:rPr>
          <w:rFonts w:ascii="Times New Roman" w:hAnsi="Times New Roman" w:cs="Times New Roman"/>
          <w:i/>
          <w:iCs/>
          <w:shd w:val="clear" w:color="auto" w:fill="FFFFFF"/>
        </w:rPr>
        <w:t>Technology Analysis &amp; Strategic Management</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31</w:t>
      </w:r>
      <w:r w:rsidRPr="005635E7">
        <w:rPr>
          <w:rFonts w:ascii="Times New Roman" w:hAnsi="Times New Roman" w:cs="Times New Roman"/>
          <w:shd w:val="clear" w:color="auto" w:fill="FFFFFF"/>
        </w:rPr>
        <w:t>(1), 53-66.</w:t>
      </w:r>
    </w:p>
    <w:p w14:paraId="5B131E63"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Gressgard, L. J., Amundsen, O., Aasen, T. M., &amp; Hansen, K. (2014). Use of information and communication technology to support employee-driven innovation in organizations: A knowledge management perspective. </w:t>
      </w:r>
      <w:r w:rsidRPr="005635E7">
        <w:rPr>
          <w:rFonts w:asciiTheme="majorBidi" w:hAnsiTheme="majorBidi" w:cstheme="majorBidi"/>
          <w:i/>
          <w:iCs/>
        </w:rPr>
        <w:t>Journal of Knowledge Management</w:t>
      </w:r>
      <w:r w:rsidRPr="005635E7">
        <w:rPr>
          <w:rFonts w:asciiTheme="majorBidi" w:hAnsiTheme="majorBidi" w:cstheme="majorBidi"/>
        </w:rPr>
        <w:t>, 18(4), 633-650.</w:t>
      </w:r>
    </w:p>
    <w:p w14:paraId="0781B221"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Gruber, M., Harhoff, D. &amp; Hoisl, K. (2013), Knowledge recombination across technological boundaries: scientists vs engineers, </w:t>
      </w:r>
      <w:r w:rsidRPr="005635E7">
        <w:rPr>
          <w:rFonts w:asciiTheme="majorBidi" w:hAnsiTheme="majorBidi" w:cstheme="majorBidi"/>
          <w:i/>
          <w:iCs/>
        </w:rPr>
        <w:t>Management Science</w:t>
      </w:r>
      <w:r w:rsidRPr="005635E7">
        <w:rPr>
          <w:rFonts w:asciiTheme="majorBidi" w:hAnsiTheme="majorBidi" w:cstheme="majorBidi"/>
        </w:rPr>
        <w:t>, 59(4), 837-851.</w:t>
      </w:r>
    </w:p>
    <w:p w14:paraId="159B60A0" w14:textId="77777777" w:rsidR="005976AB" w:rsidRPr="005635E7" w:rsidRDefault="005976AB" w:rsidP="005976AB">
      <w:pPr>
        <w:spacing w:after="240" w:line="276" w:lineRule="auto"/>
        <w:ind w:left="567" w:hanging="567"/>
        <w:rPr>
          <w:rFonts w:ascii="Times New Roman" w:hAnsi="Times New Roman" w:cs="Times New Roman"/>
        </w:rPr>
      </w:pPr>
      <w:r w:rsidRPr="005635E7">
        <w:rPr>
          <w:rFonts w:ascii="Times New Roman" w:hAnsi="Times New Roman" w:cs="Times New Roman"/>
        </w:rPr>
        <w:t xml:space="preserve">Hair, J. F., Black, W. C., Babin, B. J., &amp; Anderson, R. E. (2010). </w:t>
      </w:r>
      <w:r w:rsidRPr="000F63C3">
        <w:rPr>
          <w:rFonts w:ascii="Times New Roman" w:hAnsi="Times New Roman" w:cs="Times New Roman"/>
          <w:i/>
          <w:iCs/>
        </w:rPr>
        <w:t>Multivariate data analysis (7th ed.).</w:t>
      </w:r>
      <w:r w:rsidRPr="005635E7">
        <w:rPr>
          <w:rFonts w:ascii="Times New Roman" w:hAnsi="Times New Roman" w:cs="Times New Roman"/>
        </w:rPr>
        <w:t xml:space="preserve"> Englewood Cliffs: Prentice Hall.</w:t>
      </w:r>
    </w:p>
    <w:p w14:paraId="04D69C4A" w14:textId="541F141D" w:rsidR="005976AB" w:rsidRPr="005635E7" w:rsidRDefault="005976AB" w:rsidP="005976AB">
      <w:pPr>
        <w:spacing w:after="240" w:line="276" w:lineRule="auto"/>
        <w:ind w:left="567" w:hanging="567"/>
        <w:rPr>
          <w:rFonts w:ascii="Times New Roman" w:hAnsi="Times New Roman" w:cs="Times New Roman"/>
        </w:rPr>
      </w:pPr>
      <w:r w:rsidRPr="005635E7">
        <w:rPr>
          <w:rFonts w:ascii="Times New Roman" w:hAnsi="Times New Roman" w:cs="Times New Roman"/>
        </w:rPr>
        <w:t>Hair, J.F., Sarstedt, M., Ringle, C.M. and Gudergan, S.P. (2018)</w:t>
      </w:r>
      <w:r w:rsidR="000F63C3">
        <w:rPr>
          <w:rFonts w:ascii="Times New Roman" w:hAnsi="Times New Roman" w:cs="Times New Roman"/>
        </w:rPr>
        <w:t>.</w:t>
      </w:r>
      <w:r w:rsidRPr="005635E7">
        <w:rPr>
          <w:rFonts w:ascii="Times New Roman" w:hAnsi="Times New Roman" w:cs="Times New Roman"/>
        </w:rPr>
        <w:t xml:space="preserve"> </w:t>
      </w:r>
      <w:r w:rsidRPr="000F63C3">
        <w:rPr>
          <w:rFonts w:ascii="Times New Roman" w:hAnsi="Times New Roman" w:cs="Times New Roman"/>
          <w:i/>
          <w:iCs/>
        </w:rPr>
        <w:t>Advanced Issues in Partial Least Squares Structural Equation Modeling (PLS-SEM)</w:t>
      </w:r>
      <w:r w:rsidR="000F63C3">
        <w:rPr>
          <w:rFonts w:ascii="Times New Roman" w:hAnsi="Times New Roman" w:cs="Times New Roman"/>
          <w:i/>
          <w:iCs/>
        </w:rPr>
        <w:t xml:space="preserve">. </w:t>
      </w:r>
      <w:r w:rsidRPr="005635E7">
        <w:rPr>
          <w:rFonts w:ascii="Times New Roman" w:hAnsi="Times New Roman" w:cs="Times New Roman"/>
        </w:rPr>
        <w:t>Sage, Thousand Oaks, CA.</w:t>
      </w:r>
    </w:p>
    <w:p w14:paraId="38368545"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Hameed, W. U., Basheer, M. F., Iqbal, J., Anwar, A., &amp; Ahmad, H. K. (2018). Determinants of Firm’s open innovation performance and the role of R &amp; D department: an empirical evidence from Malaysian SME’s. </w:t>
      </w:r>
      <w:r w:rsidRPr="005635E7">
        <w:rPr>
          <w:rFonts w:asciiTheme="majorBidi" w:hAnsiTheme="majorBidi" w:cstheme="majorBidi"/>
          <w:i/>
          <w:iCs/>
        </w:rPr>
        <w:t>Journal of Global Entrepreneurship Research</w:t>
      </w:r>
      <w:r w:rsidRPr="005635E7">
        <w:rPr>
          <w:rFonts w:asciiTheme="majorBidi" w:hAnsiTheme="majorBidi" w:cstheme="majorBidi"/>
        </w:rPr>
        <w:t>, 8(1), 29.</w:t>
      </w:r>
    </w:p>
    <w:p w14:paraId="1EA37F5C"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Heffernan, M., Harney, B., Cafferkey, K. &amp; Dundon, T. (2016), “Exploring the HRM-performance relationship: the role of creativity climate and strategy”, </w:t>
      </w:r>
      <w:r w:rsidRPr="005635E7">
        <w:rPr>
          <w:rFonts w:asciiTheme="majorBidi" w:hAnsiTheme="majorBidi" w:cstheme="majorBidi"/>
          <w:i/>
          <w:iCs/>
        </w:rPr>
        <w:t>Employee Relations</w:t>
      </w:r>
      <w:r w:rsidRPr="005635E7">
        <w:rPr>
          <w:rFonts w:asciiTheme="majorBidi" w:hAnsiTheme="majorBidi" w:cstheme="majorBidi"/>
        </w:rPr>
        <w:t>, 38(3), 438-462</w:t>
      </w:r>
    </w:p>
    <w:p w14:paraId="0159B75B"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Helfat, C. E., and M. A. Peteraf. (2015). Managerial Cognitive Capabilities and the Microfoundations of Dynamic Capabilities. </w:t>
      </w:r>
      <w:r w:rsidRPr="005635E7">
        <w:rPr>
          <w:rFonts w:asciiTheme="majorBidi" w:hAnsiTheme="majorBidi" w:cstheme="majorBidi"/>
          <w:i/>
          <w:iCs/>
        </w:rPr>
        <w:t xml:space="preserve">Strategic Management Journal, </w:t>
      </w:r>
      <w:r w:rsidRPr="005635E7">
        <w:rPr>
          <w:rFonts w:asciiTheme="majorBidi" w:hAnsiTheme="majorBidi" w:cstheme="majorBidi"/>
        </w:rPr>
        <w:t>36 (6): 831–850.</w:t>
      </w:r>
    </w:p>
    <w:p w14:paraId="69DBC3BF" w14:textId="77777777" w:rsidR="005976AB" w:rsidRPr="005635E7" w:rsidRDefault="005976AB" w:rsidP="005976AB">
      <w:pPr>
        <w:spacing w:after="240" w:line="276" w:lineRule="auto"/>
        <w:ind w:left="284" w:hanging="284"/>
        <w:rPr>
          <w:rFonts w:asciiTheme="majorBidi" w:hAnsiTheme="majorBidi" w:cstheme="majorBidi"/>
          <w:shd w:val="clear" w:color="auto" w:fill="FFFFFF"/>
        </w:rPr>
      </w:pPr>
      <w:r w:rsidRPr="005635E7">
        <w:rPr>
          <w:rFonts w:asciiTheme="majorBidi" w:hAnsiTheme="majorBidi" w:cstheme="majorBidi"/>
          <w:shd w:val="clear" w:color="auto" w:fill="FFFFFF"/>
        </w:rPr>
        <w:t>Hernández-Linares, R., Kellermanns, F. W., &amp; López-Fernández, M. C. (2021). Dynamic capabilities and SME performance: The moderating effect of market orientation. </w:t>
      </w:r>
      <w:r w:rsidRPr="005635E7">
        <w:rPr>
          <w:rFonts w:asciiTheme="majorBidi" w:hAnsiTheme="majorBidi" w:cstheme="majorBidi"/>
          <w:i/>
          <w:iCs/>
          <w:shd w:val="clear" w:color="auto" w:fill="FFFFFF"/>
        </w:rPr>
        <w:t>Journal of Small Business Management</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59</w:t>
      </w:r>
      <w:r w:rsidRPr="005635E7">
        <w:rPr>
          <w:rFonts w:asciiTheme="majorBidi" w:hAnsiTheme="majorBidi" w:cstheme="majorBidi"/>
          <w:shd w:val="clear" w:color="auto" w:fill="FFFFFF"/>
        </w:rPr>
        <w:t>(1), 162-195.</w:t>
      </w:r>
    </w:p>
    <w:p w14:paraId="7CB92605" w14:textId="77777777" w:rsidR="005976AB"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Hidalgo-Peñate, A., Padrón-Robaina, V., &amp; Nieves, J. (2019). Knowledge as a driver of dynamic capabilities and learning outcomes. </w:t>
      </w:r>
      <w:r w:rsidRPr="005635E7">
        <w:rPr>
          <w:rFonts w:ascii="Times New Roman" w:hAnsi="Times New Roman" w:cs="Times New Roman"/>
          <w:i/>
          <w:iCs/>
          <w:shd w:val="clear" w:color="auto" w:fill="FFFFFF"/>
        </w:rPr>
        <w:t>Journal of Hospitality, Leisure, Sport &amp; Tourism Education</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24</w:t>
      </w:r>
      <w:r w:rsidRPr="005635E7">
        <w:rPr>
          <w:rFonts w:ascii="Times New Roman" w:hAnsi="Times New Roman" w:cs="Times New Roman"/>
          <w:shd w:val="clear" w:color="auto" w:fill="FFFFFF"/>
        </w:rPr>
        <w:t>, 143-154.</w:t>
      </w:r>
    </w:p>
    <w:p w14:paraId="181FF4CE" w14:textId="77777777" w:rsidR="000F63C3" w:rsidRPr="005635E7" w:rsidRDefault="000F63C3" w:rsidP="005976AB">
      <w:pPr>
        <w:spacing w:line="276" w:lineRule="auto"/>
        <w:ind w:left="567" w:hanging="567"/>
        <w:rPr>
          <w:rFonts w:ascii="Times New Roman" w:hAnsi="Times New Roman" w:cs="Times New Roman"/>
          <w:shd w:val="clear" w:color="auto" w:fill="FFFFFF"/>
        </w:rPr>
      </w:pPr>
    </w:p>
    <w:p w14:paraId="65F4822E" w14:textId="475379D2" w:rsidR="005976AB" w:rsidRPr="005635E7" w:rsidRDefault="005976AB" w:rsidP="005976AB">
      <w:pPr>
        <w:spacing w:after="240" w:line="276" w:lineRule="auto"/>
        <w:ind w:left="567" w:hanging="567"/>
        <w:rPr>
          <w:rFonts w:asciiTheme="majorBidi" w:hAnsiTheme="majorBidi" w:cstheme="majorBidi"/>
        </w:rPr>
      </w:pPr>
      <w:bookmarkStart w:id="136" w:name="_Hlk104022838"/>
      <w:r w:rsidRPr="005635E7">
        <w:rPr>
          <w:rFonts w:asciiTheme="majorBidi" w:hAnsiTheme="majorBidi" w:cstheme="majorBidi"/>
        </w:rPr>
        <w:t>Hochleitner</w:t>
      </w:r>
      <w:bookmarkEnd w:id="136"/>
      <w:r w:rsidRPr="005635E7">
        <w:rPr>
          <w:rFonts w:asciiTheme="majorBidi" w:hAnsiTheme="majorBidi" w:cstheme="majorBidi"/>
        </w:rPr>
        <w:t xml:space="preserve">, F. P., Arbussà, A., &amp; Coenders, G. (2016). Inbound open innovation in SMEs: indicators, non-financial outcomes and entry-timing. </w:t>
      </w:r>
      <w:r w:rsidRPr="005635E7">
        <w:rPr>
          <w:rFonts w:asciiTheme="majorBidi" w:hAnsiTheme="majorBidi" w:cstheme="majorBidi"/>
          <w:i/>
          <w:iCs/>
        </w:rPr>
        <w:t>Technology Analysis &amp; Strategic Management,</w:t>
      </w:r>
      <w:r w:rsidRPr="005635E7">
        <w:rPr>
          <w:rFonts w:asciiTheme="majorBidi" w:hAnsiTheme="majorBidi" w:cstheme="majorBidi"/>
        </w:rPr>
        <w:t xml:space="preserve"> 29(2), 204–218. doi:10.1080/09537325.2016.121126</w:t>
      </w:r>
    </w:p>
    <w:p w14:paraId="7032FBFE"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Hong, J. F., Zhao, X., &amp; Stanley Snell, R. (2019). Collaborative-based HRM practices and open innovation: a conceptual review. </w:t>
      </w:r>
      <w:r w:rsidRPr="005635E7">
        <w:rPr>
          <w:rFonts w:asciiTheme="majorBidi" w:hAnsiTheme="majorBidi" w:cstheme="majorBidi"/>
          <w:i/>
          <w:iCs/>
        </w:rPr>
        <w:t>The International Journal of Human Resource Management,</w:t>
      </w:r>
      <w:r w:rsidRPr="005635E7">
        <w:rPr>
          <w:rFonts w:asciiTheme="majorBidi" w:hAnsiTheme="majorBidi" w:cstheme="majorBidi"/>
        </w:rPr>
        <w:t> 30(1), 31-62.</w:t>
      </w:r>
    </w:p>
    <w:p w14:paraId="6EFA44F1" w14:textId="4DA74AA2"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Hooi, L. W. (2019). Firm performance: is organizational learning capability the magic wand?. </w:t>
      </w:r>
      <w:r w:rsidRPr="005635E7">
        <w:rPr>
          <w:rFonts w:asciiTheme="majorBidi" w:hAnsiTheme="majorBidi" w:cstheme="majorBidi"/>
          <w:i/>
          <w:iCs/>
        </w:rPr>
        <w:t>International Journal of Productivity and Performance Management.</w:t>
      </w:r>
      <w:r w:rsidRPr="005635E7">
        <w:rPr>
          <w:rFonts w:asciiTheme="majorBidi" w:hAnsiTheme="majorBidi" w:cstheme="majorBidi"/>
        </w:rPr>
        <w:t xml:space="preserve"> Vol. 68</w:t>
      </w:r>
      <w:r w:rsidR="000F63C3">
        <w:rPr>
          <w:rFonts w:asciiTheme="majorBidi" w:hAnsiTheme="majorBidi" w:cstheme="majorBidi"/>
        </w:rPr>
        <w:t xml:space="preserve">(8), </w:t>
      </w:r>
      <w:r w:rsidRPr="005635E7">
        <w:rPr>
          <w:rFonts w:asciiTheme="majorBidi" w:hAnsiTheme="majorBidi" w:cstheme="majorBidi"/>
        </w:rPr>
        <w:t>1411-1433</w:t>
      </w:r>
      <w:r w:rsidR="000F63C3">
        <w:rPr>
          <w:rFonts w:asciiTheme="majorBidi" w:hAnsiTheme="majorBidi" w:cstheme="majorBidi"/>
        </w:rPr>
        <w:t>.</w:t>
      </w:r>
    </w:p>
    <w:p w14:paraId="1233D38E"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Hu, H., Wu, J., &amp; Shi, J. (2016). Strategic HRM and organizational learning in the Chinese private sector during second-pioneering. </w:t>
      </w:r>
      <w:r w:rsidRPr="005635E7">
        <w:rPr>
          <w:rFonts w:asciiTheme="majorBidi" w:hAnsiTheme="majorBidi" w:cstheme="majorBidi"/>
          <w:i/>
          <w:iCs/>
        </w:rPr>
        <w:t>The International Journal of Human Resource Management</w:t>
      </w:r>
      <w:r w:rsidRPr="005635E7">
        <w:rPr>
          <w:rFonts w:asciiTheme="majorBidi" w:hAnsiTheme="majorBidi" w:cstheme="majorBidi"/>
        </w:rPr>
        <w:t>, 27(16), 1813-1832.</w:t>
      </w:r>
    </w:p>
    <w:p w14:paraId="6947A7C1" w14:textId="77777777" w:rsidR="005976AB"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Huggins, R., &amp; Thompson, P. (2015). Entrepreneurship, innovation and regional growth: a network theory. </w:t>
      </w:r>
      <w:r w:rsidRPr="005635E7">
        <w:rPr>
          <w:rFonts w:ascii="Times New Roman" w:hAnsi="Times New Roman" w:cs="Times New Roman"/>
          <w:i/>
          <w:iCs/>
          <w:shd w:val="clear" w:color="auto" w:fill="FFFFFF"/>
        </w:rPr>
        <w:t>Small Business Economics</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45</w:t>
      </w:r>
      <w:r w:rsidRPr="005635E7">
        <w:rPr>
          <w:rFonts w:ascii="Times New Roman" w:hAnsi="Times New Roman" w:cs="Times New Roman"/>
          <w:shd w:val="clear" w:color="auto" w:fill="FFFFFF"/>
        </w:rPr>
        <w:t>(1), 103-128.</w:t>
      </w:r>
    </w:p>
    <w:p w14:paraId="2E712C2F" w14:textId="77777777" w:rsidR="00F97ADC" w:rsidRPr="005635E7" w:rsidRDefault="00F97ADC" w:rsidP="005976AB">
      <w:pPr>
        <w:spacing w:line="276" w:lineRule="auto"/>
        <w:ind w:left="567" w:hanging="567"/>
        <w:rPr>
          <w:rFonts w:ascii="Times New Roman" w:hAnsi="Times New Roman" w:cs="Times New Roman"/>
          <w:shd w:val="clear" w:color="auto" w:fill="FFFFFF"/>
        </w:rPr>
      </w:pPr>
    </w:p>
    <w:p w14:paraId="7CFB87A7"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Hung, K. P., &amp; Chou, C. (2013). The impact of open innovation on firm performance: The moderating effects of internal R&amp;D and environmental turbulence. </w:t>
      </w:r>
      <w:r w:rsidRPr="005635E7">
        <w:rPr>
          <w:rFonts w:asciiTheme="majorBidi" w:hAnsiTheme="majorBidi" w:cstheme="majorBidi"/>
          <w:i/>
          <w:iCs/>
        </w:rPr>
        <w:t>Technovation</w:t>
      </w:r>
      <w:r w:rsidRPr="005635E7">
        <w:rPr>
          <w:rFonts w:asciiTheme="majorBidi" w:hAnsiTheme="majorBidi" w:cstheme="majorBidi"/>
        </w:rPr>
        <w:t>. 33(10-11), 368-380.</w:t>
      </w:r>
    </w:p>
    <w:p w14:paraId="58900B20" w14:textId="2288FA74"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Ivars, J.V.P. &amp; Martínez, J.M.C. (2015), The effect of high performance work systems on small and medium size enterprises, </w:t>
      </w:r>
      <w:r w:rsidRPr="005635E7">
        <w:rPr>
          <w:rFonts w:asciiTheme="majorBidi" w:hAnsiTheme="majorBidi" w:cstheme="majorBidi"/>
          <w:i/>
          <w:iCs/>
        </w:rPr>
        <w:t>Journal of Business Research</w:t>
      </w:r>
      <w:r w:rsidRPr="005635E7">
        <w:rPr>
          <w:rFonts w:asciiTheme="majorBidi" w:hAnsiTheme="majorBidi" w:cstheme="majorBidi"/>
        </w:rPr>
        <w:t>, 68(7)</w:t>
      </w:r>
      <w:r w:rsidR="00F97ADC">
        <w:rPr>
          <w:rFonts w:asciiTheme="majorBidi" w:hAnsiTheme="majorBidi" w:cstheme="majorBidi"/>
        </w:rPr>
        <w:t>,</w:t>
      </w:r>
      <w:r w:rsidRPr="005635E7">
        <w:rPr>
          <w:rFonts w:asciiTheme="majorBidi" w:hAnsiTheme="majorBidi" w:cstheme="majorBidi"/>
        </w:rPr>
        <w:t xml:space="preserve"> 1463-1465</w:t>
      </w:r>
      <w:r w:rsidR="00F97ADC">
        <w:rPr>
          <w:rFonts w:asciiTheme="majorBidi" w:hAnsiTheme="majorBidi" w:cstheme="majorBidi"/>
        </w:rPr>
        <w:t>.</w:t>
      </w:r>
    </w:p>
    <w:p w14:paraId="2907B566" w14:textId="78F7392F"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Jacky F. L. Hong, X. Z. &amp; Robin S. S. (2019) Collaborative-based HRM practices and open innovation: a conceptual review, </w:t>
      </w:r>
      <w:r w:rsidRPr="005635E7">
        <w:rPr>
          <w:rFonts w:asciiTheme="majorBidi" w:hAnsiTheme="majorBidi" w:cstheme="majorBidi"/>
          <w:i/>
          <w:iCs/>
        </w:rPr>
        <w:t>The International Journal of Human Resource Management</w:t>
      </w:r>
      <w:r w:rsidRPr="005635E7">
        <w:rPr>
          <w:rFonts w:asciiTheme="majorBidi" w:hAnsiTheme="majorBidi" w:cstheme="majorBidi"/>
        </w:rPr>
        <w:t>, 30</w:t>
      </w:r>
      <w:r w:rsidR="00F97ADC">
        <w:rPr>
          <w:rFonts w:asciiTheme="majorBidi" w:hAnsiTheme="majorBidi" w:cstheme="majorBidi"/>
        </w:rPr>
        <w:t>(</w:t>
      </w:r>
      <w:r w:rsidRPr="005635E7">
        <w:rPr>
          <w:rFonts w:asciiTheme="majorBidi" w:hAnsiTheme="majorBidi" w:cstheme="majorBidi"/>
        </w:rPr>
        <w:t>1</w:t>
      </w:r>
      <w:r w:rsidR="00F97ADC">
        <w:rPr>
          <w:rFonts w:asciiTheme="majorBidi" w:hAnsiTheme="majorBidi" w:cstheme="majorBidi"/>
        </w:rPr>
        <w:t>),</w:t>
      </w:r>
      <w:r w:rsidRPr="005635E7">
        <w:rPr>
          <w:rFonts w:asciiTheme="majorBidi" w:hAnsiTheme="majorBidi" w:cstheme="majorBidi"/>
        </w:rPr>
        <w:t xml:space="preserve"> 31-62</w:t>
      </w:r>
      <w:r w:rsidR="00F97ADC">
        <w:rPr>
          <w:rFonts w:asciiTheme="majorBidi" w:hAnsiTheme="majorBidi" w:cstheme="majorBidi"/>
        </w:rPr>
        <w:t>.</w:t>
      </w:r>
    </w:p>
    <w:p w14:paraId="27C6DDAD"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Jerez-Gomez, P., Cespedes-Lorente, J., &amp; Perez-Valls, M. (2019). Do high-performance Human resource practices work? The mediating role of organizational learning capability. </w:t>
      </w:r>
      <w:r w:rsidRPr="005635E7">
        <w:rPr>
          <w:rFonts w:asciiTheme="majorBidi" w:hAnsiTheme="majorBidi" w:cstheme="majorBidi"/>
          <w:i/>
          <w:iCs/>
        </w:rPr>
        <w:t>Journal of Management &amp; Organization</w:t>
      </w:r>
      <w:r w:rsidRPr="005635E7">
        <w:rPr>
          <w:rFonts w:asciiTheme="majorBidi" w:hAnsiTheme="majorBidi" w:cstheme="majorBidi"/>
        </w:rPr>
        <w:t>, 25(2), 189-210.</w:t>
      </w:r>
    </w:p>
    <w:p w14:paraId="1333049A" w14:textId="7C8DC850"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Jerez-Gomez, P., Cespedes-Lorente, J., &amp; Valle-Cabrera, R. (2005). Organizational learning capability: a proposal of measurement. </w:t>
      </w:r>
      <w:r w:rsidRPr="005635E7">
        <w:rPr>
          <w:rFonts w:asciiTheme="majorBidi" w:hAnsiTheme="majorBidi" w:cstheme="majorBidi"/>
          <w:i/>
          <w:iCs/>
        </w:rPr>
        <w:t xml:space="preserve">Journal of </w:t>
      </w:r>
      <w:r w:rsidR="00F97ADC">
        <w:rPr>
          <w:rFonts w:asciiTheme="majorBidi" w:hAnsiTheme="majorBidi" w:cstheme="majorBidi"/>
          <w:i/>
          <w:iCs/>
        </w:rPr>
        <w:t>B</w:t>
      </w:r>
      <w:r w:rsidRPr="005635E7">
        <w:rPr>
          <w:rFonts w:asciiTheme="majorBidi" w:hAnsiTheme="majorBidi" w:cstheme="majorBidi"/>
          <w:i/>
          <w:iCs/>
        </w:rPr>
        <w:t xml:space="preserve">usiness </w:t>
      </w:r>
      <w:r w:rsidR="00F97ADC">
        <w:rPr>
          <w:rFonts w:asciiTheme="majorBidi" w:hAnsiTheme="majorBidi" w:cstheme="majorBidi"/>
          <w:i/>
          <w:iCs/>
        </w:rPr>
        <w:t>R</w:t>
      </w:r>
      <w:r w:rsidRPr="005635E7">
        <w:rPr>
          <w:rFonts w:asciiTheme="majorBidi" w:hAnsiTheme="majorBidi" w:cstheme="majorBidi"/>
          <w:i/>
          <w:iCs/>
        </w:rPr>
        <w:t>esearch</w:t>
      </w:r>
      <w:r w:rsidRPr="005635E7">
        <w:rPr>
          <w:rFonts w:asciiTheme="majorBidi" w:hAnsiTheme="majorBidi" w:cstheme="majorBidi"/>
        </w:rPr>
        <w:t>, 58(6), 715-725.</w:t>
      </w:r>
    </w:p>
    <w:p w14:paraId="274437C0" w14:textId="191B36C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Jiang, K., Lepak, D.P., Hu, J. &amp; Baer, J.C. (2012), How does human resource management influence organizational outcomes? Ameta-analytic investigation of mediating mechanisms, </w:t>
      </w:r>
      <w:r w:rsidRPr="005635E7">
        <w:rPr>
          <w:rFonts w:asciiTheme="majorBidi" w:hAnsiTheme="majorBidi" w:cstheme="majorBidi"/>
          <w:i/>
          <w:iCs/>
        </w:rPr>
        <w:t>Academy of Management Journal</w:t>
      </w:r>
      <w:r w:rsidRPr="005635E7">
        <w:rPr>
          <w:rFonts w:asciiTheme="majorBidi" w:hAnsiTheme="majorBidi" w:cstheme="majorBidi"/>
        </w:rPr>
        <w:t>, 55</w:t>
      </w:r>
      <w:r w:rsidR="000B589E">
        <w:rPr>
          <w:rFonts w:asciiTheme="majorBidi" w:hAnsiTheme="majorBidi" w:cstheme="majorBidi"/>
        </w:rPr>
        <w:t>(</w:t>
      </w:r>
      <w:r w:rsidRPr="005635E7">
        <w:rPr>
          <w:rFonts w:asciiTheme="majorBidi" w:hAnsiTheme="majorBidi" w:cstheme="majorBidi"/>
        </w:rPr>
        <w:t>6</w:t>
      </w:r>
      <w:r w:rsidR="000B589E">
        <w:rPr>
          <w:rFonts w:asciiTheme="majorBidi" w:hAnsiTheme="majorBidi" w:cstheme="majorBidi"/>
        </w:rPr>
        <w:t>),</w:t>
      </w:r>
      <w:r w:rsidRPr="005635E7">
        <w:rPr>
          <w:rFonts w:asciiTheme="majorBidi" w:hAnsiTheme="majorBidi" w:cstheme="majorBidi"/>
        </w:rPr>
        <w:t xml:space="preserve"> 1264-1294.</w:t>
      </w:r>
    </w:p>
    <w:p w14:paraId="7F1B963D" w14:textId="602E92E4"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Jiang, K., Takeuchi, R. &amp; Lepak, D. (2013), Where do we go from here? New perspectives on the black box in strategic human resource management research, </w:t>
      </w:r>
      <w:r w:rsidRPr="005635E7">
        <w:rPr>
          <w:rFonts w:asciiTheme="majorBidi" w:hAnsiTheme="majorBidi" w:cstheme="majorBidi"/>
          <w:i/>
          <w:iCs/>
        </w:rPr>
        <w:t>Journal of Management Studies</w:t>
      </w:r>
      <w:r w:rsidRPr="005635E7">
        <w:rPr>
          <w:rFonts w:asciiTheme="majorBidi" w:hAnsiTheme="majorBidi" w:cstheme="majorBidi"/>
        </w:rPr>
        <w:t>, 50(8)</w:t>
      </w:r>
      <w:r w:rsidR="000B589E">
        <w:rPr>
          <w:rFonts w:asciiTheme="majorBidi" w:hAnsiTheme="majorBidi" w:cstheme="majorBidi"/>
        </w:rPr>
        <w:t>,</w:t>
      </w:r>
      <w:r w:rsidRPr="005635E7">
        <w:rPr>
          <w:rFonts w:asciiTheme="majorBidi" w:hAnsiTheme="majorBidi" w:cstheme="majorBidi"/>
        </w:rPr>
        <w:t xml:space="preserve"> 1448-1480.</w:t>
      </w:r>
    </w:p>
    <w:p w14:paraId="605FAC07" w14:textId="77777777" w:rsidR="005976AB"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Kalmuk, G., &amp; Acar, A. Z. (2015). The effect of quality orientation and learning orientation on firm performance. </w:t>
      </w:r>
      <w:r w:rsidRPr="005635E7">
        <w:rPr>
          <w:rFonts w:ascii="Times New Roman" w:hAnsi="Times New Roman" w:cs="Times New Roman"/>
          <w:i/>
          <w:iCs/>
          <w:shd w:val="clear" w:color="auto" w:fill="FFFFFF"/>
        </w:rPr>
        <w:t>Research Journal of Business and Management</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2</w:t>
      </w:r>
      <w:r w:rsidRPr="005635E7">
        <w:rPr>
          <w:rFonts w:ascii="Times New Roman" w:hAnsi="Times New Roman" w:cs="Times New Roman"/>
          <w:shd w:val="clear" w:color="auto" w:fill="FFFFFF"/>
        </w:rPr>
        <w:t>(4), 455-487.</w:t>
      </w:r>
    </w:p>
    <w:p w14:paraId="5C586AF7" w14:textId="77777777" w:rsidR="00D417BB" w:rsidRPr="005635E7" w:rsidRDefault="00D417BB" w:rsidP="005976AB">
      <w:pPr>
        <w:spacing w:line="276" w:lineRule="auto"/>
        <w:ind w:left="567" w:hanging="567"/>
        <w:rPr>
          <w:rFonts w:ascii="Times New Roman" w:hAnsi="Times New Roman" w:cs="Times New Roman"/>
          <w:shd w:val="clear" w:color="auto" w:fill="FFFFFF"/>
        </w:rPr>
      </w:pPr>
    </w:p>
    <w:p w14:paraId="51576AC6"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Kaufman, B. E. (2015). Market competition, HRM, and firm performance: The conventional paradigm critiqued and reformulated. </w:t>
      </w:r>
      <w:r w:rsidRPr="005635E7">
        <w:rPr>
          <w:rFonts w:asciiTheme="majorBidi" w:hAnsiTheme="majorBidi" w:cstheme="majorBidi"/>
          <w:i/>
          <w:iCs/>
        </w:rPr>
        <w:t>Human Resource Management Review</w:t>
      </w:r>
      <w:r w:rsidRPr="005635E7">
        <w:rPr>
          <w:rFonts w:asciiTheme="majorBidi" w:hAnsiTheme="majorBidi" w:cstheme="majorBidi"/>
        </w:rPr>
        <w:t>, 25(1), 107-125.</w:t>
      </w:r>
    </w:p>
    <w:p w14:paraId="21A80CCB"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shd w:val="clear" w:color="auto" w:fill="FFFFFF"/>
        </w:rPr>
        <w:t>Kazmi, S., Kanwal, F., Rathore, K., Faheem, K., &amp; Fatima, A. (2021). The Relationship Between Transformational Leadership and Organizational Learning Capability with the Mediating Role of Perceived Human Resource Effectiveness. </w:t>
      </w:r>
      <w:r w:rsidRPr="005635E7">
        <w:rPr>
          <w:rFonts w:asciiTheme="majorBidi" w:hAnsiTheme="majorBidi" w:cstheme="majorBidi"/>
          <w:i/>
          <w:iCs/>
          <w:shd w:val="clear" w:color="auto" w:fill="FFFFFF"/>
        </w:rPr>
        <w:t>South Asian Journal of Human Resources Management</w:t>
      </w:r>
      <w:r w:rsidRPr="005635E7">
        <w:rPr>
          <w:rFonts w:asciiTheme="majorBidi" w:hAnsiTheme="majorBidi" w:cstheme="majorBidi"/>
          <w:shd w:val="clear" w:color="auto" w:fill="FFFFFF"/>
        </w:rPr>
        <w:t>, 8(1), 133-157.</w:t>
      </w:r>
    </w:p>
    <w:p w14:paraId="46FF7993" w14:textId="77777777" w:rsidR="005976AB"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Kianto, A., Sáenz, J., &amp; Aramburu, N. (2017). Knowledge-based human resource management practices, intellectual capital and innovation. </w:t>
      </w:r>
      <w:r w:rsidRPr="005635E7">
        <w:rPr>
          <w:rFonts w:ascii="Times New Roman" w:hAnsi="Times New Roman" w:cs="Times New Roman"/>
          <w:i/>
          <w:iCs/>
          <w:shd w:val="clear" w:color="auto" w:fill="FFFFFF"/>
        </w:rPr>
        <w:t>Journal of Business Research</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81</w:t>
      </w:r>
      <w:r w:rsidRPr="005635E7">
        <w:rPr>
          <w:rFonts w:ascii="Times New Roman" w:hAnsi="Times New Roman" w:cs="Times New Roman"/>
          <w:shd w:val="clear" w:color="auto" w:fill="FFFFFF"/>
        </w:rPr>
        <w:t>, 11-20.</w:t>
      </w:r>
    </w:p>
    <w:p w14:paraId="5D96A7CA" w14:textId="77777777" w:rsidR="00F73D5D" w:rsidRPr="005635E7" w:rsidRDefault="00F73D5D" w:rsidP="005976AB">
      <w:pPr>
        <w:spacing w:line="276" w:lineRule="auto"/>
        <w:ind w:left="567" w:hanging="567"/>
        <w:rPr>
          <w:rFonts w:ascii="Times New Roman" w:hAnsi="Times New Roman" w:cs="Times New Roman"/>
          <w:shd w:val="clear" w:color="auto" w:fill="FFFFFF"/>
        </w:rPr>
      </w:pPr>
    </w:p>
    <w:p w14:paraId="51E7CE39" w14:textId="27843360"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Köhler, C., Sofka, W. &amp; Grimpe, C. (2012), Selective search, sectoral patterns, and the impact on product innovation performance, </w:t>
      </w:r>
      <w:r w:rsidRPr="005635E7">
        <w:rPr>
          <w:rFonts w:asciiTheme="majorBidi" w:hAnsiTheme="majorBidi" w:cstheme="majorBidi"/>
          <w:i/>
          <w:iCs/>
        </w:rPr>
        <w:t>Research Policy</w:t>
      </w:r>
      <w:r w:rsidRPr="005635E7">
        <w:rPr>
          <w:rFonts w:asciiTheme="majorBidi" w:hAnsiTheme="majorBidi" w:cstheme="majorBidi"/>
        </w:rPr>
        <w:t>, 41</w:t>
      </w:r>
      <w:r w:rsidR="00634164">
        <w:rPr>
          <w:rFonts w:asciiTheme="majorBidi" w:hAnsiTheme="majorBidi" w:cstheme="majorBidi"/>
        </w:rPr>
        <w:t>(</w:t>
      </w:r>
      <w:r w:rsidRPr="005635E7">
        <w:rPr>
          <w:rFonts w:asciiTheme="majorBidi" w:hAnsiTheme="majorBidi" w:cstheme="majorBidi"/>
        </w:rPr>
        <w:t>8</w:t>
      </w:r>
      <w:r w:rsidR="00634164">
        <w:rPr>
          <w:rFonts w:asciiTheme="majorBidi" w:hAnsiTheme="majorBidi" w:cstheme="majorBidi"/>
        </w:rPr>
        <w:t>),</w:t>
      </w:r>
      <w:r w:rsidRPr="005635E7">
        <w:rPr>
          <w:rFonts w:asciiTheme="majorBidi" w:hAnsiTheme="majorBidi" w:cstheme="majorBidi"/>
        </w:rPr>
        <w:t xml:space="preserve"> 1344-1356.</w:t>
      </w:r>
    </w:p>
    <w:p w14:paraId="44DF4808" w14:textId="77777777" w:rsidR="005976AB"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Kump, B., Engelmann, A., Kessler, A., &amp; Schweiger, C. (2019). Toward a dynamic capabilities scale: measuring organizational sensing, seizing, and transforming capacities. </w:t>
      </w:r>
      <w:r w:rsidRPr="005635E7">
        <w:rPr>
          <w:rFonts w:ascii="Times New Roman" w:hAnsi="Times New Roman" w:cs="Times New Roman"/>
          <w:i/>
          <w:iCs/>
          <w:shd w:val="clear" w:color="auto" w:fill="FFFFFF"/>
        </w:rPr>
        <w:t>Industrial and Corporate Change</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28</w:t>
      </w:r>
      <w:r w:rsidRPr="005635E7">
        <w:rPr>
          <w:rFonts w:ascii="Times New Roman" w:hAnsi="Times New Roman" w:cs="Times New Roman"/>
          <w:shd w:val="clear" w:color="auto" w:fill="FFFFFF"/>
        </w:rPr>
        <w:t>(5), 1149-1172.</w:t>
      </w:r>
    </w:p>
    <w:p w14:paraId="2FA60B68" w14:textId="77777777" w:rsidR="00F73D5D" w:rsidRPr="005635E7" w:rsidRDefault="00F73D5D" w:rsidP="005976AB">
      <w:pPr>
        <w:spacing w:line="276" w:lineRule="auto"/>
        <w:ind w:left="567" w:hanging="567"/>
        <w:rPr>
          <w:rFonts w:ascii="Times New Roman" w:hAnsi="Times New Roman" w:cs="Times New Roman"/>
          <w:shd w:val="clear" w:color="auto" w:fill="FFFFFF"/>
        </w:rPr>
      </w:pPr>
    </w:p>
    <w:p w14:paraId="44DB4741" w14:textId="10DEC1AB"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shd w:val="clear" w:color="auto" w:fill="FFFFFF"/>
        </w:rPr>
        <w:t>Kutvonen, A. (2011)</w:t>
      </w:r>
      <w:r w:rsidR="00183975">
        <w:rPr>
          <w:rFonts w:asciiTheme="majorBidi" w:hAnsiTheme="majorBidi" w:cstheme="majorBidi"/>
          <w:shd w:val="clear" w:color="auto" w:fill="FFFFFF"/>
        </w:rPr>
        <w:t>.</w:t>
      </w:r>
      <w:r w:rsidRPr="005635E7">
        <w:rPr>
          <w:rFonts w:asciiTheme="majorBidi" w:hAnsiTheme="majorBidi" w:cstheme="majorBidi"/>
          <w:shd w:val="clear" w:color="auto" w:fill="FFFFFF"/>
        </w:rPr>
        <w:t xml:space="preserve"> Strategic application of outbound open innovation</w:t>
      </w:r>
      <w:r w:rsidR="00183975">
        <w:rPr>
          <w:rFonts w:asciiTheme="majorBidi" w:hAnsiTheme="majorBidi" w:cstheme="majorBidi"/>
          <w:shd w:val="clear" w:color="auto" w:fill="FFFFFF"/>
        </w:rPr>
        <w:t xml:space="preserve">. </w:t>
      </w:r>
      <w:r w:rsidR="00183975" w:rsidRPr="007A4C75">
        <w:rPr>
          <w:rFonts w:asciiTheme="majorBidi" w:hAnsiTheme="majorBidi" w:cstheme="majorBidi"/>
          <w:i/>
          <w:iCs/>
          <w:shd w:val="clear" w:color="auto" w:fill="FFFFFF"/>
        </w:rPr>
        <w:t>European Journal of Innovation Management</w:t>
      </w:r>
      <w:r w:rsidR="00183975">
        <w:rPr>
          <w:rFonts w:asciiTheme="majorBidi" w:hAnsiTheme="majorBidi" w:cstheme="majorBidi"/>
          <w:shd w:val="clear" w:color="auto" w:fill="FFFFFF"/>
        </w:rPr>
        <w:t xml:space="preserve">, </w:t>
      </w:r>
      <w:r w:rsidRPr="005635E7">
        <w:rPr>
          <w:rFonts w:asciiTheme="majorBidi" w:hAnsiTheme="majorBidi" w:cstheme="majorBidi"/>
          <w:shd w:val="clear" w:color="auto" w:fill="FFFFFF"/>
        </w:rPr>
        <w:t>14</w:t>
      </w:r>
      <w:r w:rsidR="00183975">
        <w:rPr>
          <w:rFonts w:asciiTheme="majorBidi" w:hAnsiTheme="majorBidi" w:cstheme="majorBidi"/>
          <w:shd w:val="clear" w:color="auto" w:fill="FFFFFF"/>
        </w:rPr>
        <w:t>(</w:t>
      </w:r>
      <w:r w:rsidRPr="005635E7">
        <w:rPr>
          <w:rFonts w:asciiTheme="majorBidi" w:hAnsiTheme="majorBidi" w:cstheme="majorBidi"/>
          <w:shd w:val="clear" w:color="auto" w:fill="FFFFFF"/>
        </w:rPr>
        <w:t>4</w:t>
      </w:r>
      <w:r w:rsidR="00183975">
        <w:rPr>
          <w:rFonts w:asciiTheme="majorBidi" w:hAnsiTheme="majorBidi" w:cstheme="majorBidi"/>
          <w:shd w:val="clear" w:color="auto" w:fill="FFFFFF"/>
        </w:rPr>
        <w:t xml:space="preserve">), </w:t>
      </w:r>
      <w:r w:rsidRPr="005635E7">
        <w:rPr>
          <w:rFonts w:asciiTheme="majorBidi" w:hAnsiTheme="majorBidi" w:cstheme="majorBidi"/>
          <w:shd w:val="clear" w:color="auto" w:fill="FFFFFF"/>
        </w:rPr>
        <w:t xml:space="preserve">460-474. </w:t>
      </w:r>
      <w:hyperlink r:id="rId39" w:history="1"/>
    </w:p>
    <w:p w14:paraId="2B49551E" w14:textId="784D3E6C"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Laursen, K., &amp; Salter, A. (2006). Open for innovation: the role of openness in explaining innovation performance among UK manufacturing firms. </w:t>
      </w:r>
      <w:r w:rsidRPr="005635E7">
        <w:rPr>
          <w:rFonts w:asciiTheme="majorBidi" w:hAnsiTheme="majorBidi" w:cstheme="majorBidi"/>
          <w:i/>
          <w:iCs/>
        </w:rPr>
        <w:t xml:space="preserve">Strategic </w:t>
      </w:r>
      <w:r w:rsidR="00C703C9">
        <w:rPr>
          <w:rFonts w:asciiTheme="majorBidi" w:hAnsiTheme="majorBidi" w:cstheme="majorBidi"/>
          <w:i/>
          <w:iCs/>
        </w:rPr>
        <w:t>M</w:t>
      </w:r>
      <w:r w:rsidRPr="005635E7">
        <w:rPr>
          <w:rFonts w:asciiTheme="majorBidi" w:hAnsiTheme="majorBidi" w:cstheme="majorBidi"/>
          <w:i/>
          <w:iCs/>
        </w:rPr>
        <w:t xml:space="preserve">anagement </w:t>
      </w:r>
      <w:r w:rsidR="00C703C9">
        <w:rPr>
          <w:rFonts w:asciiTheme="majorBidi" w:hAnsiTheme="majorBidi" w:cstheme="majorBidi"/>
          <w:i/>
          <w:iCs/>
        </w:rPr>
        <w:t>J</w:t>
      </w:r>
      <w:r w:rsidRPr="005635E7">
        <w:rPr>
          <w:rFonts w:asciiTheme="majorBidi" w:hAnsiTheme="majorBidi" w:cstheme="majorBidi"/>
          <w:i/>
          <w:iCs/>
        </w:rPr>
        <w:t>ournal</w:t>
      </w:r>
      <w:r w:rsidRPr="005635E7">
        <w:rPr>
          <w:rFonts w:asciiTheme="majorBidi" w:hAnsiTheme="majorBidi" w:cstheme="majorBidi"/>
        </w:rPr>
        <w:t>, 27(2), 131-150.</w:t>
      </w:r>
    </w:p>
    <w:p w14:paraId="0BB8DD6B" w14:textId="2E3F2BD0" w:rsidR="005976AB"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Lazzarotti, V., Manzini, R., Nosella, A., &amp; Pellegrini, L. (2016). Collaborations with scientific partners: The mediating role of the social context in fostering innovation performance. </w:t>
      </w:r>
      <w:r w:rsidRPr="005635E7">
        <w:rPr>
          <w:rFonts w:asciiTheme="majorBidi" w:hAnsiTheme="majorBidi" w:cstheme="majorBidi"/>
          <w:i/>
          <w:iCs/>
        </w:rPr>
        <w:t xml:space="preserve">Creativity and </w:t>
      </w:r>
      <w:r w:rsidR="00C703C9">
        <w:rPr>
          <w:rFonts w:asciiTheme="majorBidi" w:hAnsiTheme="majorBidi" w:cstheme="majorBidi"/>
          <w:i/>
          <w:iCs/>
        </w:rPr>
        <w:t>I</w:t>
      </w:r>
      <w:r w:rsidRPr="005635E7">
        <w:rPr>
          <w:rFonts w:asciiTheme="majorBidi" w:hAnsiTheme="majorBidi" w:cstheme="majorBidi"/>
          <w:i/>
          <w:iCs/>
        </w:rPr>
        <w:t xml:space="preserve">nnovation </w:t>
      </w:r>
      <w:r w:rsidR="00C703C9">
        <w:rPr>
          <w:rFonts w:asciiTheme="majorBidi" w:hAnsiTheme="majorBidi" w:cstheme="majorBidi"/>
          <w:i/>
          <w:iCs/>
        </w:rPr>
        <w:t>M</w:t>
      </w:r>
      <w:r w:rsidRPr="005635E7">
        <w:rPr>
          <w:rFonts w:asciiTheme="majorBidi" w:hAnsiTheme="majorBidi" w:cstheme="majorBidi"/>
          <w:i/>
          <w:iCs/>
        </w:rPr>
        <w:t>anagement</w:t>
      </w:r>
      <w:r w:rsidRPr="005635E7">
        <w:rPr>
          <w:rFonts w:asciiTheme="majorBidi" w:hAnsiTheme="majorBidi" w:cstheme="majorBidi"/>
        </w:rPr>
        <w:t>, 25(1), 142-156.</w:t>
      </w:r>
    </w:p>
    <w:p w14:paraId="43B4F371" w14:textId="77777777" w:rsidR="00D417BB" w:rsidRPr="005635E7" w:rsidRDefault="00D417BB" w:rsidP="005976AB">
      <w:pPr>
        <w:spacing w:after="240" w:line="276" w:lineRule="auto"/>
        <w:ind w:left="567" w:hanging="567"/>
        <w:rPr>
          <w:rFonts w:asciiTheme="majorBidi" w:hAnsiTheme="majorBidi" w:cstheme="majorBidi"/>
        </w:rPr>
      </w:pPr>
    </w:p>
    <w:p w14:paraId="4E1303C6"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Leckel, A., Veilleux, S., &amp; Dana, L. P. (2020). Local Open Innovation: A means for public policy to increase collaboration for innovation in SMEs. </w:t>
      </w:r>
      <w:r w:rsidRPr="005635E7">
        <w:rPr>
          <w:rFonts w:asciiTheme="majorBidi" w:hAnsiTheme="majorBidi" w:cstheme="majorBidi"/>
          <w:i/>
          <w:iCs/>
          <w:shd w:val="clear" w:color="auto" w:fill="FFFFFF"/>
        </w:rPr>
        <w:t>Technological Forecasting and Social Change</w:t>
      </w:r>
      <w:r w:rsidRPr="005635E7">
        <w:rPr>
          <w:rFonts w:asciiTheme="majorBidi" w:hAnsiTheme="majorBidi" w:cstheme="majorBidi"/>
          <w:shd w:val="clear" w:color="auto" w:fill="FFFFFF"/>
        </w:rPr>
        <w:t>, 153, 119891.</w:t>
      </w:r>
    </w:p>
    <w:p w14:paraId="4A849BB8" w14:textId="79A19FC9"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Lee, B., Cho, H. H., &amp; Shin, J. (2015). The relationship between inbound open innovation patents and financial performance: Evidence from global information technology companies. </w:t>
      </w:r>
      <w:r w:rsidRPr="005635E7">
        <w:rPr>
          <w:rFonts w:asciiTheme="majorBidi" w:hAnsiTheme="majorBidi" w:cstheme="majorBidi"/>
          <w:i/>
          <w:iCs/>
        </w:rPr>
        <w:t xml:space="preserve">Asian </w:t>
      </w:r>
      <w:r w:rsidR="00F63770">
        <w:rPr>
          <w:rFonts w:asciiTheme="majorBidi" w:hAnsiTheme="majorBidi" w:cstheme="majorBidi"/>
          <w:i/>
          <w:iCs/>
        </w:rPr>
        <w:t>J</w:t>
      </w:r>
      <w:r w:rsidRPr="005635E7">
        <w:rPr>
          <w:rFonts w:asciiTheme="majorBidi" w:hAnsiTheme="majorBidi" w:cstheme="majorBidi"/>
          <w:i/>
          <w:iCs/>
        </w:rPr>
        <w:t xml:space="preserve">ournal of </w:t>
      </w:r>
      <w:r w:rsidR="00F63770">
        <w:rPr>
          <w:rFonts w:asciiTheme="majorBidi" w:hAnsiTheme="majorBidi" w:cstheme="majorBidi"/>
          <w:i/>
          <w:iCs/>
        </w:rPr>
        <w:t>T</w:t>
      </w:r>
      <w:r w:rsidRPr="005635E7">
        <w:rPr>
          <w:rFonts w:asciiTheme="majorBidi" w:hAnsiTheme="majorBidi" w:cstheme="majorBidi"/>
          <w:i/>
          <w:iCs/>
        </w:rPr>
        <w:t xml:space="preserve">echnology </w:t>
      </w:r>
      <w:r w:rsidR="00F63770">
        <w:rPr>
          <w:rFonts w:asciiTheme="majorBidi" w:hAnsiTheme="majorBidi" w:cstheme="majorBidi"/>
          <w:i/>
          <w:iCs/>
        </w:rPr>
        <w:t>I</w:t>
      </w:r>
      <w:r w:rsidRPr="005635E7">
        <w:rPr>
          <w:rFonts w:asciiTheme="majorBidi" w:hAnsiTheme="majorBidi" w:cstheme="majorBidi"/>
          <w:i/>
          <w:iCs/>
        </w:rPr>
        <w:t>nnovation</w:t>
      </w:r>
      <w:r w:rsidRPr="005635E7">
        <w:rPr>
          <w:rFonts w:asciiTheme="majorBidi" w:hAnsiTheme="majorBidi" w:cstheme="majorBidi"/>
        </w:rPr>
        <w:t>, 23(3), 289-303.</w:t>
      </w:r>
    </w:p>
    <w:p w14:paraId="5C56C50C" w14:textId="77777777" w:rsidR="005976AB"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Lee, J., Min, J., &amp; Lee, H. (2016). The effect of organizational structure on open innovation: a quadratic equation. </w:t>
      </w:r>
      <w:r w:rsidRPr="005635E7">
        <w:rPr>
          <w:rFonts w:ascii="Times New Roman" w:hAnsi="Times New Roman" w:cs="Times New Roman"/>
          <w:i/>
          <w:iCs/>
          <w:shd w:val="clear" w:color="auto" w:fill="FFFFFF"/>
        </w:rPr>
        <w:t>Procedia Computer Science</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91</w:t>
      </w:r>
      <w:r w:rsidRPr="005635E7">
        <w:rPr>
          <w:rFonts w:ascii="Times New Roman" w:hAnsi="Times New Roman" w:cs="Times New Roman"/>
          <w:shd w:val="clear" w:color="auto" w:fill="FFFFFF"/>
        </w:rPr>
        <w:t>, 492-501.</w:t>
      </w:r>
    </w:p>
    <w:p w14:paraId="1299FA42" w14:textId="77777777" w:rsidR="00B907B5" w:rsidRPr="005635E7" w:rsidRDefault="00B907B5" w:rsidP="005976AB">
      <w:pPr>
        <w:spacing w:line="276" w:lineRule="auto"/>
        <w:ind w:left="567" w:hanging="567"/>
        <w:rPr>
          <w:rFonts w:ascii="Times New Roman" w:hAnsi="Times New Roman" w:cs="Times New Roman"/>
          <w:shd w:val="clear" w:color="auto" w:fill="FFFFFF"/>
        </w:rPr>
      </w:pPr>
    </w:p>
    <w:p w14:paraId="07D24A16" w14:textId="7BA1533E"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Lee, S., Park, G., Yoon, B., Park, J., (2010). Open innovation in SMEs - an intermediated network model. </w:t>
      </w:r>
      <w:r w:rsidRPr="005635E7">
        <w:rPr>
          <w:rFonts w:asciiTheme="majorBidi" w:hAnsiTheme="majorBidi" w:cstheme="majorBidi"/>
          <w:i/>
          <w:iCs/>
        </w:rPr>
        <w:t>Res</w:t>
      </w:r>
      <w:r w:rsidR="00CE44E7">
        <w:rPr>
          <w:rFonts w:asciiTheme="majorBidi" w:hAnsiTheme="majorBidi" w:cstheme="majorBidi"/>
          <w:i/>
          <w:iCs/>
        </w:rPr>
        <w:t>earch</w:t>
      </w:r>
      <w:r w:rsidRPr="005635E7">
        <w:rPr>
          <w:rFonts w:asciiTheme="majorBidi" w:hAnsiTheme="majorBidi" w:cstheme="majorBidi"/>
          <w:i/>
          <w:iCs/>
        </w:rPr>
        <w:t xml:space="preserve"> Policy</w:t>
      </w:r>
      <w:r w:rsidRPr="005635E7">
        <w:rPr>
          <w:rFonts w:asciiTheme="majorBidi" w:hAnsiTheme="majorBidi" w:cstheme="majorBidi"/>
        </w:rPr>
        <w:t xml:space="preserve"> 39 (2), 290–300</w:t>
      </w:r>
    </w:p>
    <w:p w14:paraId="2970D09C" w14:textId="5D21BE0E"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Lee, Y. H., Y. C. Hsieh, &amp; C. Y. Ma. (2011). A </w:t>
      </w:r>
      <w:r w:rsidR="00CE44E7">
        <w:rPr>
          <w:rFonts w:asciiTheme="majorBidi" w:hAnsiTheme="majorBidi" w:cstheme="majorBidi"/>
        </w:rPr>
        <w:t>m</w:t>
      </w:r>
      <w:r w:rsidRPr="005635E7">
        <w:rPr>
          <w:rFonts w:asciiTheme="majorBidi" w:hAnsiTheme="majorBidi" w:cstheme="majorBidi"/>
        </w:rPr>
        <w:t xml:space="preserve">odel of </w:t>
      </w:r>
      <w:r w:rsidR="00CE44E7">
        <w:rPr>
          <w:rFonts w:asciiTheme="majorBidi" w:hAnsiTheme="majorBidi" w:cstheme="majorBidi"/>
        </w:rPr>
        <w:t>o</w:t>
      </w:r>
      <w:r w:rsidRPr="005635E7">
        <w:rPr>
          <w:rFonts w:asciiTheme="majorBidi" w:hAnsiTheme="majorBidi" w:cstheme="majorBidi"/>
        </w:rPr>
        <w:t xml:space="preserve">rganizational </w:t>
      </w:r>
      <w:r w:rsidR="00CE44E7">
        <w:rPr>
          <w:rFonts w:asciiTheme="majorBidi" w:hAnsiTheme="majorBidi" w:cstheme="majorBidi"/>
        </w:rPr>
        <w:t>e</w:t>
      </w:r>
      <w:r w:rsidRPr="005635E7">
        <w:rPr>
          <w:rFonts w:asciiTheme="majorBidi" w:hAnsiTheme="majorBidi" w:cstheme="majorBidi"/>
        </w:rPr>
        <w:t xml:space="preserve">mployees’e-learning Systems Acceptance. </w:t>
      </w:r>
      <w:r w:rsidRPr="005635E7">
        <w:rPr>
          <w:rFonts w:asciiTheme="majorBidi" w:hAnsiTheme="majorBidi" w:cstheme="majorBidi"/>
          <w:i/>
          <w:iCs/>
        </w:rPr>
        <w:t>Knowledge-based Systems</w:t>
      </w:r>
      <w:r w:rsidRPr="005635E7">
        <w:rPr>
          <w:rFonts w:asciiTheme="majorBidi" w:hAnsiTheme="majorBidi" w:cstheme="majorBidi"/>
        </w:rPr>
        <w:t xml:space="preserve"> 24 (3): 355–366.</w:t>
      </w:r>
    </w:p>
    <w:p w14:paraId="67FFC75D" w14:textId="494B11AB"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Liao, S., Fu, L. and </w:t>
      </w:r>
      <w:hyperlink r:id="rId40" w:tooltip="Zhiying Liu" w:history="1">
        <w:r w:rsidRPr="005635E7">
          <w:rPr>
            <w:rStyle w:val="Hyperlink"/>
            <w:rFonts w:asciiTheme="majorBidi" w:hAnsiTheme="majorBidi"/>
            <w:color w:val="auto"/>
          </w:rPr>
          <w:t>Liu, Z.</w:t>
        </w:r>
      </w:hyperlink>
      <w:r w:rsidRPr="005635E7">
        <w:rPr>
          <w:rFonts w:asciiTheme="majorBidi" w:hAnsiTheme="majorBidi" w:cstheme="majorBidi"/>
        </w:rPr>
        <w:t> (2020), Investigating open innovation strategies and firm performance: the moderating role of technological capability and market information management capability</w:t>
      </w:r>
      <w:r w:rsidR="00175025">
        <w:rPr>
          <w:rFonts w:asciiTheme="majorBidi" w:hAnsiTheme="majorBidi" w:cstheme="majorBidi"/>
        </w:rPr>
        <w:t>.</w:t>
      </w:r>
      <w:r w:rsidRPr="005635E7">
        <w:rPr>
          <w:rFonts w:asciiTheme="majorBidi" w:hAnsiTheme="majorBidi" w:cstheme="majorBidi"/>
        </w:rPr>
        <w:t> </w:t>
      </w:r>
      <w:r w:rsidRPr="00175025">
        <w:rPr>
          <w:rFonts w:asciiTheme="majorBidi" w:hAnsiTheme="majorBidi" w:cstheme="majorBidi"/>
          <w:i/>
          <w:iCs/>
        </w:rPr>
        <w:t>Journal of Business &amp; Industrial Marketing</w:t>
      </w:r>
      <w:r w:rsidRPr="005635E7">
        <w:rPr>
          <w:rFonts w:asciiTheme="majorBidi" w:hAnsiTheme="majorBidi" w:cstheme="majorBidi"/>
        </w:rPr>
        <w:t>, 35(1), 23-39</w:t>
      </w:r>
      <w:r w:rsidR="00175025">
        <w:rPr>
          <w:rFonts w:asciiTheme="majorBidi" w:hAnsiTheme="majorBidi" w:cstheme="majorBidi"/>
        </w:rPr>
        <w:t>.</w:t>
      </w:r>
    </w:p>
    <w:p w14:paraId="5A901AB1" w14:textId="2E56D43F"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Lichtenthaler U. (2009) Outbound open innovation and its effect on firm performance: examining environmental influences. </w:t>
      </w:r>
      <w:r w:rsidRPr="005635E7">
        <w:rPr>
          <w:rFonts w:asciiTheme="majorBidi" w:hAnsiTheme="majorBidi" w:cstheme="majorBidi"/>
          <w:i/>
          <w:iCs/>
        </w:rPr>
        <w:t>R&amp;D Management</w:t>
      </w:r>
      <w:r w:rsidRPr="005635E7">
        <w:rPr>
          <w:rFonts w:asciiTheme="majorBidi" w:hAnsiTheme="majorBidi" w:cstheme="majorBidi"/>
        </w:rPr>
        <w:t>, 39(4)</w:t>
      </w:r>
      <w:r w:rsidR="007A4C75">
        <w:rPr>
          <w:rFonts w:asciiTheme="majorBidi" w:hAnsiTheme="majorBidi" w:cstheme="majorBidi"/>
        </w:rPr>
        <w:t>,</w:t>
      </w:r>
      <w:r w:rsidRPr="005635E7">
        <w:rPr>
          <w:rFonts w:asciiTheme="majorBidi" w:hAnsiTheme="majorBidi" w:cstheme="majorBidi"/>
        </w:rPr>
        <w:t xml:space="preserve"> 317–330</w:t>
      </w:r>
    </w:p>
    <w:p w14:paraId="655CE552" w14:textId="77777777" w:rsidR="005976AB" w:rsidRPr="005635E7" w:rsidRDefault="005976AB" w:rsidP="005976AB">
      <w:pPr>
        <w:spacing w:after="240" w:line="276" w:lineRule="auto"/>
        <w:ind w:left="284" w:hanging="284"/>
        <w:jc w:val="both"/>
        <w:rPr>
          <w:rFonts w:asciiTheme="majorBidi" w:hAnsiTheme="majorBidi" w:cstheme="majorBidi"/>
          <w:shd w:val="clear" w:color="auto" w:fill="FFFFFF"/>
        </w:rPr>
      </w:pPr>
      <w:r w:rsidRPr="005635E7">
        <w:rPr>
          <w:rFonts w:asciiTheme="majorBidi" w:hAnsiTheme="majorBidi" w:cstheme="majorBidi"/>
          <w:shd w:val="clear" w:color="auto" w:fill="FFFFFF"/>
        </w:rPr>
        <w:t>Lim, S. T., Preis, M. W., Lee, C. K., Mangematin, V., &amp; Kim, M. J. (2020). The influence of open innovation activities on non-financial performance in the cultural tourism content industry. </w:t>
      </w:r>
      <w:r w:rsidRPr="005635E7">
        <w:rPr>
          <w:rFonts w:asciiTheme="majorBidi" w:hAnsiTheme="majorBidi" w:cstheme="majorBidi"/>
          <w:i/>
          <w:iCs/>
          <w:shd w:val="clear" w:color="auto" w:fill="FFFFFF"/>
        </w:rPr>
        <w:t>Current Issues in Tourism</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24</w:t>
      </w:r>
      <w:r w:rsidRPr="005635E7">
        <w:rPr>
          <w:rFonts w:asciiTheme="majorBidi" w:hAnsiTheme="majorBidi" w:cstheme="majorBidi"/>
          <w:shd w:val="clear" w:color="auto" w:fill="FFFFFF"/>
        </w:rPr>
        <w:t>(10), 1340-1344.</w:t>
      </w:r>
    </w:p>
    <w:p w14:paraId="37D65FA5"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Lopez-Cabrales, A., Real, J., &amp; Valle, R. (2011). Relationships between human resources management practices and organizational learning capability: The mediating role of human capital. </w:t>
      </w:r>
      <w:r w:rsidRPr="005635E7">
        <w:rPr>
          <w:rFonts w:asciiTheme="majorBidi" w:hAnsiTheme="majorBidi" w:cstheme="majorBidi"/>
          <w:i/>
          <w:iCs/>
        </w:rPr>
        <w:t>Personnel Review</w:t>
      </w:r>
      <w:r w:rsidRPr="005635E7">
        <w:rPr>
          <w:rFonts w:asciiTheme="majorBidi" w:hAnsiTheme="majorBidi" w:cstheme="majorBidi"/>
        </w:rPr>
        <w:t>, 40(3), 344-363.</w:t>
      </w:r>
    </w:p>
    <w:p w14:paraId="36200326" w14:textId="77777777" w:rsidR="005976AB" w:rsidRDefault="005976AB" w:rsidP="005976AB">
      <w:pPr>
        <w:spacing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Lyu, Y., He, B., Zhu, Y., &amp; Li, L. (2019). Network embeddedness and inbound open innovation practice: The moderating role of technology cluster. </w:t>
      </w:r>
      <w:r w:rsidRPr="005635E7">
        <w:rPr>
          <w:rFonts w:ascii="Times New Roman" w:hAnsi="Times New Roman" w:cs="Times New Roman"/>
          <w:i/>
          <w:iCs/>
          <w:shd w:val="clear" w:color="auto" w:fill="FFFFFF"/>
        </w:rPr>
        <w:t>Technological Forecasting and Social Change</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144</w:t>
      </w:r>
      <w:r w:rsidRPr="005635E7">
        <w:rPr>
          <w:rFonts w:ascii="Times New Roman" w:hAnsi="Times New Roman" w:cs="Times New Roman"/>
          <w:shd w:val="clear" w:color="auto" w:fill="FFFFFF"/>
        </w:rPr>
        <w:t>, 12-24.</w:t>
      </w:r>
    </w:p>
    <w:p w14:paraId="6A2D4465" w14:textId="77777777" w:rsidR="007A4C75" w:rsidRPr="005635E7" w:rsidRDefault="007A4C75" w:rsidP="005976AB">
      <w:pPr>
        <w:spacing w:line="276" w:lineRule="auto"/>
        <w:ind w:left="567" w:hanging="567"/>
        <w:rPr>
          <w:rFonts w:ascii="Times New Roman" w:hAnsi="Times New Roman" w:cs="Times New Roman"/>
          <w:shd w:val="clear" w:color="auto" w:fill="FFFFFF"/>
        </w:rPr>
      </w:pPr>
    </w:p>
    <w:p w14:paraId="0525AA37"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Marin-Garcia, J. A., &amp; Tomas, J. M. (2016). Deconstructing AMO framework: A systematic review. </w:t>
      </w:r>
      <w:r w:rsidRPr="005635E7">
        <w:rPr>
          <w:rFonts w:asciiTheme="majorBidi" w:hAnsiTheme="majorBidi" w:cstheme="majorBidi"/>
          <w:i/>
          <w:iCs/>
        </w:rPr>
        <w:t>Intangible Capital</w:t>
      </w:r>
      <w:r w:rsidRPr="005635E7">
        <w:rPr>
          <w:rFonts w:asciiTheme="majorBidi" w:hAnsiTheme="majorBidi" w:cstheme="majorBidi"/>
        </w:rPr>
        <w:t>, 12(4), 1040-1087.</w:t>
      </w:r>
    </w:p>
    <w:p w14:paraId="10FFB88E" w14:textId="77777777" w:rsidR="005976AB" w:rsidRDefault="005976AB" w:rsidP="005976AB">
      <w:pPr>
        <w:spacing w:after="240" w:line="276" w:lineRule="auto"/>
        <w:ind w:left="284" w:hanging="284"/>
        <w:rPr>
          <w:rFonts w:asciiTheme="majorBidi" w:hAnsiTheme="majorBidi" w:cstheme="majorBidi"/>
          <w:shd w:val="clear" w:color="auto" w:fill="FFFFFF"/>
        </w:rPr>
      </w:pPr>
      <w:r w:rsidRPr="005635E7">
        <w:rPr>
          <w:rFonts w:asciiTheme="majorBidi" w:hAnsiTheme="majorBidi" w:cstheme="majorBidi"/>
          <w:shd w:val="clear" w:color="auto" w:fill="FFFFFF"/>
        </w:rPr>
        <w:t>Martínez-Costa, M., Jiménez-Jiménez, D., &amp; Dine Rabeh, H. A. (2019). The effect of organisational learning on interorganisational collaborations in innovation: an empirical study in SMEs. </w:t>
      </w:r>
      <w:r w:rsidRPr="005635E7">
        <w:rPr>
          <w:rFonts w:asciiTheme="majorBidi" w:hAnsiTheme="majorBidi" w:cstheme="majorBidi"/>
          <w:i/>
          <w:iCs/>
          <w:shd w:val="clear" w:color="auto" w:fill="FFFFFF"/>
        </w:rPr>
        <w:t>Knowledge Management Research &amp; Practice</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17</w:t>
      </w:r>
      <w:r w:rsidRPr="005635E7">
        <w:rPr>
          <w:rFonts w:asciiTheme="majorBidi" w:hAnsiTheme="majorBidi" w:cstheme="majorBidi"/>
          <w:shd w:val="clear" w:color="auto" w:fill="FFFFFF"/>
        </w:rPr>
        <w:t>(2), 137-150.</w:t>
      </w:r>
    </w:p>
    <w:p w14:paraId="6B6A2F2F" w14:textId="77777777" w:rsidR="00D417BB" w:rsidRPr="005635E7" w:rsidRDefault="00D417BB" w:rsidP="005976AB">
      <w:pPr>
        <w:spacing w:after="240" w:line="276" w:lineRule="auto"/>
        <w:ind w:left="284" w:hanging="284"/>
        <w:rPr>
          <w:rFonts w:asciiTheme="majorBidi" w:hAnsiTheme="majorBidi" w:cstheme="majorBidi"/>
        </w:rPr>
      </w:pPr>
    </w:p>
    <w:p w14:paraId="3D57D862" w14:textId="65A5C881" w:rsidR="005976AB" w:rsidRPr="005635E7" w:rsidRDefault="005976AB" w:rsidP="005976AB">
      <w:pPr>
        <w:spacing w:after="240" w:line="276" w:lineRule="auto"/>
        <w:ind w:left="284" w:hanging="284"/>
        <w:jc w:val="both"/>
        <w:rPr>
          <w:rFonts w:asciiTheme="majorBidi" w:hAnsiTheme="majorBidi" w:cstheme="majorBidi"/>
        </w:rPr>
      </w:pPr>
      <w:r w:rsidRPr="005635E7">
        <w:rPr>
          <w:rFonts w:asciiTheme="majorBidi" w:hAnsiTheme="majorBidi" w:cstheme="majorBidi"/>
        </w:rPr>
        <w:t xml:space="preserve">Martínez-Pérez, Á, Elche, D., García-Villaverde, P. M., &amp; Parra-Requena, G. (2019). Cultural tourism clusters: Social capital, relations with institutions, and radical innovation. </w:t>
      </w:r>
      <w:r w:rsidRPr="005635E7">
        <w:rPr>
          <w:rFonts w:asciiTheme="majorBidi" w:hAnsiTheme="majorBidi" w:cstheme="majorBidi"/>
          <w:i/>
          <w:iCs/>
        </w:rPr>
        <w:t>Journal of Travel Research</w:t>
      </w:r>
      <w:r w:rsidRPr="005635E7">
        <w:rPr>
          <w:rFonts w:asciiTheme="majorBidi" w:hAnsiTheme="majorBidi" w:cstheme="majorBidi"/>
        </w:rPr>
        <w:t xml:space="preserve">, 58(5), 793–807. </w:t>
      </w:r>
    </w:p>
    <w:p w14:paraId="6E14F54D" w14:textId="77777777" w:rsidR="005976AB" w:rsidRPr="005635E7" w:rsidRDefault="005976AB" w:rsidP="005976AB">
      <w:pPr>
        <w:spacing w:after="240" w:line="276" w:lineRule="auto"/>
        <w:ind w:left="284" w:hanging="284"/>
        <w:rPr>
          <w:rFonts w:asciiTheme="majorBidi" w:hAnsiTheme="majorBidi" w:cstheme="majorBidi"/>
          <w:shd w:val="clear" w:color="auto" w:fill="FFFFFF"/>
        </w:rPr>
      </w:pPr>
      <w:bookmarkStart w:id="137" w:name="_Hlk115296132"/>
      <w:r w:rsidRPr="005635E7">
        <w:rPr>
          <w:rFonts w:asciiTheme="majorBidi" w:hAnsiTheme="majorBidi" w:cstheme="majorBidi"/>
          <w:shd w:val="clear" w:color="auto" w:fill="FFFFFF"/>
        </w:rPr>
        <w:t>Matarazzo</w:t>
      </w:r>
      <w:bookmarkEnd w:id="137"/>
      <w:r w:rsidRPr="005635E7">
        <w:rPr>
          <w:rFonts w:asciiTheme="majorBidi" w:hAnsiTheme="majorBidi" w:cstheme="majorBidi"/>
          <w:shd w:val="clear" w:color="auto" w:fill="FFFFFF"/>
        </w:rPr>
        <w:t>, M., Penco, L., Profumo, G., &amp; Quaglia, R. (2021). Digital transformation and customer value creation in Made in Italy SMEs: A dynamic capabilities perspective. </w:t>
      </w:r>
      <w:r w:rsidRPr="005635E7">
        <w:rPr>
          <w:rFonts w:asciiTheme="majorBidi" w:hAnsiTheme="majorBidi" w:cstheme="majorBidi"/>
          <w:i/>
          <w:iCs/>
          <w:shd w:val="clear" w:color="auto" w:fill="FFFFFF"/>
        </w:rPr>
        <w:t>Journal of Business Research</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123</w:t>
      </w:r>
      <w:r w:rsidRPr="005635E7">
        <w:rPr>
          <w:rFonts w:asciiTheme="majorBidi" w:hAnsiTheme="majorBidi" w:cstheme="majorBidi"/>
          <w:shd w:val="clear" w:color="auto" w:fill="FFFFFF"/>
        </w:rPr>
        <w:t>, 642-656.</w:t>
      </w:r>
    </w:p>
    <w:p w14:paraId="351372AD" w14:textId="2409F9B2" w:rsidR="005976AB" w:rsidRPr="005635E7" w:rsidRDefault="005976AB" w:rsidP="005976AB">
      <w:pPr>
        <w:spacing w:after="240" w:line="276" w:lineRule="auto"/>
        <w:ind w:left="284" w:hanging="284"/>
        <w:rPr>
          <w:rFonts w:asciiTheme="majorBidi" w:hAnsiTheme="majorBidi" w:cstheme="majorBidi"/>
        </w:rPr>
      </w:pPr>
      <w:bookmarkStart w:id="138" w:name="_Hlk42723538"/>
      <w:r w:rsidRPr="005635E7">
        <w:rPr>
          <w:rFonts w:asciiTheme="majorBidi" w:hAnsiTheme="majorBidi" w:cstheme="majorBidi"/>
        </w:rPr>
        <w:t>Migdadi, M.M. (2021), Organizational learning capability, innovation and organizational performance, </w:t>
      </w:r>
      <w:r w:rsidRPr="005635E7">
        <w:rPr>
          <w:rFonts w:asciiTheme="majorBidi" w:hAnsiTheme="majorBidi" w:cstheme="majorBidi"/>
          <w:i/>
          <w:iCs/>
        </w:rPr>
        <w:t>European Journal of Innovation Management,</w:t>
      </w:r>
      <w:r w:rsidRPr="005635E7">
        <w:rPr>
          <w:rFonts w:asciiTheme="majorBidi" w:hAnsiTheme="majorBidi" w:cstheme="majorBidi"/>
        </w:rPr>
        <w:t xml:space="preserve"> 24 (1), 151-172 </w:t>
      </w:r>
    </w:p>
    <w:p w14:paraId="4623194F" w14:textId="77777777" w:rsidR="005976AB" w:rsidRPr="005635E7" w:rsidRDefault="005976AB" w:rsidP="005976AB">
      <w:pPr>
        <w:shd w:val="clear" w:color="auto" w:fill="F5F5F5"/>
        <w:spacing w:after="240" w:line="276" w:lineRule="auto"/>
        <w:ind w:left="284" w:hanging="284"/>
        <w:rPr>
          <w:rFonts w:asciiTheme="majorBidi" w:hAnsiTheme="majorBidi" w:cstheme="majorBidi"/>
          <w:shd w:val="clear" w:color="auto" w:fill="FFFFFF"/>
        </w:rPr>
      </w:pPr>
      <w:r w:rsidRPr="005635E7">
        <w:rPr>
          <w:rFonts w:asciiTheme="majorBidi" w:hAnsiTheme="majorBidi" w:cstheme="majorBidi"/>
          <w:shd w:val="clear" w:color="auto" w:fill="FFFFFF"/>
        </w:rPr>
        <w:t>Milan, E., Ulrich, F., Faria, L. G., &amp; Li-Ying, J. (2020). Exploring the impact of organisational, technological and relational contingencies on innovation speed in the light of open innovation. </w:t>
      </w:r>
      <w:r w:rsidRPr="005635E7">
        <w:rPr>
          <w:rFonts w:asciiTheme="majorBidi" w:hAnsiTheme="majorBidi" w:cstheme="majorBidi"/>
          <w:i/>
          <w:iCs/>
          <w:shd w:val="clear" w:color="auto" w:fill="FFFFFF"/>
        </w:rPr>
        <w:t>Industry and innovation</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27</w:t>
      </w:r>
      <w:r w:rsidRPr="005635E7">
        <w:rPr>
          <w:rFonts w:asciiTheme="majorBidi" w:hAnsiTheme="majorBidi" w:cstheme="majorBidi"/>
          <w:shd w:val="clear" w:color="auto" w:fill="FFFFFF"/>
        </w:rPr>
        <w:t>(7), 804-836.</w:t>
      </w:r>
    </w:p>
    <w:p w14:paraId="3FE6A92D"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Morgan, N. A., Vorhies, D. W., &amp; Mason, C. H. (2009). Market orientation, marketing capabilities, and firm performance. </w:t>
      </w:r>
      <w:r w:rsidRPr="005635E7">
        <w:rPr>
          <w:rFonts w:ascii="Times New Roman" w:hAnsi="Times New Roman" w:cs="Times New Roman"/>
          <w:i/>
          <w:iCs/>
          <w:shd w:val="clear" w:color="auto" w:fill="FFFFFF"/>
        </w:rPr>
        <w:t>Strategic Management Journal</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30</w:t>
      </w:r>
      <w:r w:rsidRPr="005635E7">
        <w:rPr>
          <w:rFonts w:ascii="Times New Roman" w:hAnsi="Times New Roman" w:cs="Times New Roman"/>
          <w:shd w:val="clear" w:color="auto" w:fill="FFFFFF"/>
        </w:rPr>
        <w:t>(8), 909-920.</w:t>
      </w:r>
    </w:p>
    <w:p w14:paraId="659F6342"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Motohashi, K. (2016). Innovation and entrepreneurship: A first look at the linkage data of Japanese Patent and Enterprise Census. </w:t>
      </w:r>
      <w:r w:rsidRPr="00C7231A">
        <w:rPr>
          <w:rFonts w:asciiTheme="majorBidi" w:hAnsiTheme="majorBidi" w:cstheme="majorBidi"/>
          <w:i/>
          <w:iCs/>
        </w:rPr>
        <w:t>Seoul Journal of Economics</w:t>
      </w:r>
      <w:r w:rsidRPr="005635E7">
        <w:rPr>
          <w:rFonts w:asciiTheme="majorBidi" w:hAnsiTheme="majorBidi" w:cstheme="majorBidi"/>
        </w:rPr>
        <w:t>, 29, 69-94.</w:t>
      </w:r>
    </w:p>
    <w:p w14:paraId="2EAFBD22"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Mousavi, S., Bossink, B., &amp; van Vliet, M. (2018). Dynamic capabilities and organizational routines for managing innovation towards sustainability. </w:t>
      </w:r>
      <w:r w:rsidRPr="005635E7">
        <w:rPr>
          <w:rFonts w:ascii="Times New Roman" w:hAnsi="Times New Roman" w:cs="Times New Roman"/>
          <w:i/>
          <w:iCs/>
          <w:shd w:val="clear" w:color="auto" w:fill="FFFFFF"/>
        </w:rPr>
        <w:t>Journal of Cleaner Production</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203</w:t>
      </w:r>
      <w:r w:rsidRPr="005635E7">
        <w:rPr>
          <w:rFonts w:ascii="Times New Roman" w:hAnsi="Times New Roman" w:cs="Times New Roman"/>
          <w:shd w:val="clear" w:color="auto" w:fill="FFFFFF"/>
        </w:rPr>
        <w:t>, 224-239.</w:t>
      </w:r>
    </w:p>
    <w:p w14:paraId="26F7993F"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bookmarkStart w:id="139" w:name="_Hlk109723903"/>
      <w:r w:rsidRPr="005635E7">
        <w:rPr>
          <w:rFonts w:asciiTheme="majorBidi" w:hAnsiTheme="majorBidi" w:cstheme="majorBidi"/>
          <w:shd w:val="clear" w:color="auto" w:fill="FFFFFF"/>
        </w:rPr>
        <w:t xml:space="preserve">Naqshbandi, M. M., &amp; Tabche, I. (2018). </w:t>
      </w:r>
      <w:bookmarkEnd w:id="139"/>
      <w:r w:rsidRPr="005635E7">
        <w:rPr>
          <w:rFonts w:asciiTheme="majorBidi" w:hAnsiTheme="majorBidi" w:cstheme="majorBidi"/>
          <w:shd w:val="clear" w:color="auto" w:fill="FFFFFF"/>
        </w:rPr>
        <w:t>The interplay of leadership, absorptive capacity, and organizational learning culture in open innovation: Testing a moderated mediation model. </w:t>
      </w:r>
      <w:r w:rsidRPr="005635E7">
        <w:rPr>
          <w:rFonts w:asciiTheme="majorBidi" w:hAnsiTheme="majorBidi" w:cstheme="majorBidi"/>
          <w:i/>
          <w:iCs/>
          <w:shd w:val="clear" w:color="auto" w:fill="FFFFFF"/>
        </w:rPr>
        <w:t>Technological Forecasting and Social Change</w:t>
      </w:r>
      <w:r w:rsidRPr="005635E7">
        <w:rPr>
          <w:rFonts w:asciiTheme="majorBidi" w:hAnsiTheme="majorBidi" w:cstheme="majorBidi"/>
          <w:shd w:val="clear" w:color="auto" w:fill="FFFFFF"/>
        </w:rPr>
        <w:t>, 133, 156-167.</w:t>
      </w:r>
    </w:p>
    <w:p w14:paraId="03BEBBD7"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Natalicchio, A., Petruzzelli, A. M., Cardinali, S., &amp; Savino, T. (2018). Open innovation and the human resource dimension: An investigation into the Italian manufacturing sector. </w:t>
      </w:r>
      <w:r w:rsidRPr="005635E7">
        <w:rPr>
          <w:rFonts w:asciiTheme="majorBidi" w:hAnsiTheme="majorBidi" w:cstheme="majorBidi"/>
          <w:i/>
          <w:iCs/>
        </w:rPr>
        <w:t>Management Decision</w:t>
      </w:r>
      <w:r w:rsidRPr="005635E7">
        <w:rPr>
          <w:rFonts w:asciiTheme="majorBidi" w:hAnsiTheme="majorBidi" w:cstheme="majorBidi"/>
        </w:rPr>
        <w:t>, 56(6), 1271-1284.</w:t>
      </w:r>
    </w:p>
    <w:bookmarkEnd w:id="138"/>
    <w:p w14:paraId="4738D230" w14:textId="3DDF29BE"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NBF (2019)</w:t>
      </w:r>
      <w:r w:rsidR="00C7231A">
        <w:rPr>
          <w:rFonts w:asciiTheme="majorBidi" w:hAnsiTheme="majorBidi" w:cstheme="majorBidi"/>
        </w:rPr>
        <w:t xml:space="preserve">. </w:t>
      </w:r>
      <w:r w:rsidRPr="005635E7">
        <w:rPr>
          <w:rFonts w:asciiTheme="majorBidi" w:hAnsiTheme="majorBidi" w:cstheme="majorBidi"/>
        </w:rPr>
        <w:t xml:space="preserve">SME in depth, Available from: </w:t>
      </w:r>
      <w:hyperlink r:id="rId41" w:history="1">
        <w:r w:rsidRPr="005635E7">
          <w:rPr>
            <w:rStyle w:val="Hyperlink"/>
            <w:rFonts w:asciiTheme="majorBidi" w:hAnsiTheme="majorBidi"/>
            <w:color w:val="auto"/>
          </w:rPr>
          <w:t>https://nbf.ae/media/114007/sme-in-depth.pdf</w:t>
        </w:r>
      </w:hyperlink>
    </w:p>
    <w:p w14:paraId="69E46648"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Nestle, V., Täube, F. A., Heidenreich, S., &amp; Bogers, M. (2019). Establishing open innovation culture in cluster initiatives: The role of trust and information asymmetry. </w:t>
      </w:r>
      <w:r w:rsidRPr="005635E7">
        <w:rPr>
          <w:rFonts w:ascii="Times New Roman" w:hAnsi="Times New Roman" w:cs="Times New Roman"/>
          <w:i/>
          <w:iCs/>
          <w:shd w:val="clear" w:color="auto" w:fill="FFFFFF"/>
        </w:rPr>
        <w:t>Technological Forecasting and Social Change</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146</w:t>
      </w:r>
      <w:r w:rsidRPr="005635E7">
        <w:rPr>
          <w:rFonts w:ascii="Times New Roman" w:hAnsi="Times New Roman" w:cs="Times New Roman"/>
          <w:shd w:val="clear" w:color="auto" w:fill="FFFFFF"/>
        </w:rPr>
        <w:t>, 563-572.</w:t>
      </w:r>
    </w:p>
    <w:p w14:paraId="7A34D91B" w14:textId="2D61EFAC" w:rsidR="005976AB"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Ngo H.Y, Lau CM, Foley S. (2008). Strategic human resource management, firm performance, and employee relations climate in China. </w:t>
      </w:r>
      <w:r w:rsidRPr="005635E7">
        <w:rPr>
          <w:rFonts w:asciiTheme="majorBidi" w:hAnsiTheme="majorBidi" w:cstheme="majorBidi"/>
          <w:i/>
          <w:iCs/>
        </w:rPr>
        <w:t>Human Resource Management</w:t>
      </w:r>
      <w:r w:rsidRPr="005635E7">
        <w:rPr>
          <w:rFonts w:asciiTheme="majorBidi" w:hAnsiTheme="majorBidi" w:cstheme="majorBidi"/>
        </w:rPr>
        <w:t>, 47(1)</w:t>
      </w:r>
      <w:r w:rsidR="00D417BB">
        <w:rPr>
          <w:rFonts w:asciiTheme="majorBidi" w:hAnsiTheme="majorBidi" w:cstheme="majorBidi"/>
        </w:rPr>
        <w:t>,</w:t>
      </w:r>
      <w:r w:rsidRPr="005635E7">
        <w:rPr>
          <w:rFonts w:asciiTheme="majorBidi" w:hAnsiTheme="majorBidi" w:cstheme="majorBidi"/>
        </w:rPr>
        <w:t>73–90.</w:t>
      </w:r>
    </w:p>
    <w:p w14:paraId="5DAC1301" w14:textId="77777777" w:rsidR="00D417BB" w:rsidRPr="005635E7" w:rsidRDefault="00D417BB" w:rsidP="005976AB">
      <w:pPr>
        <w:spacing w:after="240" w:line="276" w:lineRule="auto"/>
        <w:ind w:left="567" w:hanging="567"/>
        <w:rPr>
          <w:rFonts w:asciiTheme="majorBidi" w:hAnsiTheme="majorBidi" w:cstheme="majorBidi"/>
        </w:rPr>
      </w:pPr>
    </w:p>
    <w:p w14:paraId="5879D1CD" w14:textId="77777777" w:rsidR="005976AB" w:rsidRPr="005635E7" w:rsidRDefault="005976AB" w:rsidP="005976AB">
      <w:pPr>
        <w:spacing w:after="240" w:line="276" w:lineRule="auto"/>
        <w:ind w:left="284" w:hanging="284"/>
        <w:jc w:val="both"/>
        <w:rPr>
          <w:rFonts w:asciiTheme="majorBidi" w:hAnsiTheme="majorBidi" w:cstheme="majorBidi"/>
          <w:shd w:val="clear" w:color="auto" w:fill="FFFFFF"/>
        </w:rPr>
      </w:pPr>
      <w:r w:rsidRPr="005635E7">
        <w:rPr>
          <w:rFonts w:asciiTheme="majorBidi" w:hAnsiTheme="majorBidi" w:cstheme="majorBidi"/>
          <w:shd w:val="clear" w:color="auto" w:fill="FFFFFF"/>
        </w:rPr>
        <w:t>Oduro, S., Vincenzo, S., Manfo, C. S. N., &amp; Nguar, K. D. A. (2021). Are We Happy Together? A Meta-Analytic Review Of The Impact Of Open Innovation On Firm Performance. </w:t>
      </w:r>
      <w:r w:rsidRPr="005635E7">
        <w:rPr>
          <w:rFonts w:asciiTheme="majorBidi" w:hAnsiTheme="majorBidi" w:cstheme="majorBidi"/>
          <w:i/>
          <w:iCs/>
          <w:shd w:val="clear" w:color="auto" w:fill="FFFFFF"/>
        </w:rPr>
        <w:t>International Journal of Innovation Management</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25</w:t>
      </w:r>
      <w:r w:rsidRPr="005635E7">
        <w:rPr>
          <w:rFonts w:asciiTheme="majorBidi" w:hAnsiTheme="majorBidi" w:cstheme="majorBidi"/>
          <w:shd w:val="clear" w:color="auto" w:fill="FFFFFF"/>
        </w:rPr>
        <w:t>(09), 2130004.</w:t>
      </w:r>
    </w:p>
    <w:p w14:paraId="54727C04"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Ogunyomi, P., &amp; Bruning, N. S. (2016). Human resource management and organizational performance of small and medium enterprises (SMEs) in Nigeria. </w:t>
      </w:r>
      <w:r w:rsidRPr="00D417BB">
        <w:rPr>
          <w:rFonts w:asciiTheme="majorBidi" w:hAnsiTheme="majorBidi" w:cstheme="majorBidi"/>
          <w:i/>
          <w:iCs/>
        </w:rPr>
        <w:t>The International Journal of Human Resource Management, </w:t>
      </w:r>
      <w:r w:rsidRPr="005635E7">
        <w:rPr>
          <w:rFonts w:asciiTheme="majorBidi" w:hAnsiTheme="majorBidi" w:cstheme="majorBidi"/>
        </w:rPr>
        <w:t>27(6), 612-634.</w:t>
      </w:r>
    </w:p>
    <w:p w14:paraId="470C776D" w14:textId="144101FE"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Oh, S.-Y. (2019)</w:t>
      </w:r>
      <w:r w:rsidR="00C7231A">
        <w:rPr>
          <w:rFonts w:asciiTheme="majorBidi" w:hAnsiTheme="majorBidi" w:cstheme="majorBidi"/>
          <w:shd w:val="clear" w:color="auto" w:fill="FFFFFF"/>
        </w:rPr>
        <w:t>.</w:t>
      </w:r>
      <w:r w:rsidRPr="005635E7">
        <w:rPr>
          <w:rFonts w:asciiTheme="majorBidi" w:hAnsiTheme="majorBidi" w:cstheme="majorBidi"/>
          <w:shd w:val="clear" w:color="auto" w:fill="FFFFFF"/>
        </w:rPr>
        <w:t xml:space="preserve"> Effects of organizational learning on performance: the moderating roles of trust in leaders and organizational justice</w:t>
      </w:r>
      <w:r w:rsidR="00C7231A">
        <w:rPr>
          <w:rFonts w:asciiTheme="majorBidi" w:hAnsiTheme="majorBidi" w:cstheme="majorBidi"/>
          <w:shd w:val="clear" w:color="auto" w:fill="FFFFFF"/>
        </w:rPr>
        <w:t>.</w:t>
      </w:r>
      <w:r w:rsidRPr="005635E7">
        <w:rPr>
          <w:rFonts w:asciiTheme="majorBidi" w:hAnsiTheme="majorBidi" w:cstheme="majorBidi"/>
          <w:shd w:val="clear" w:color="auto" w:fill="FFFFFF"/>
        </w:rPr>
        <w:t> </w:t>
      </w:r>
      <w:r w:rsidRPr="00C7231A">
        <w:rPr>
          <w:rFonts w:asciiTheme="majorBidi" w:hAnsiTheme="majorBidi" w:cstheme="majorBidi"/>
          <w:i/>
          <w:iCs/>
        </w:rPr>
        <w:t>Journal of Knowledge Management</w:t>
      </w:r>
      <w:r w:rsidRPr="00C7231A">
        <w:rPr>
          <w:rFonts w:asciiTheme="majorBidi" w:hAnsiTheme="majorBidi" w:cstheme="majorBidi"/>
          <w:i/>
          <w:iCs/>
          <w:shd w:val="clear" w:color="auto" w:fill="FFFFFF"/>
        </w:rPr>
        <w:t>,</w:t>
      </w:r>
      <w:r w:rsidRPr="005635E7">
        <w:rPr>
          <w:rFonts w:asciiTheme="majorBidi" w:hAnsiTheme="majorBidi" w:cstheme="majorBidi"/>
          <w:shd w:val="clear" w:color="auto" w:fill="FFFFFF"/>
        </w:rPr>
        <w:t xml:space="preserve"> 23(2), 313-331</w:t>
      </w:r>
    </w:p>
    <w:p w14:paraId="444E5F7F"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Otoo, F. N. (2019). Human resource management (HRM) practices and organizational performance: The mediating role of employee competencies. Employee Relations: </w:t>
      </w:r>
      <w:r w:rsidRPr="005635E7">
        <w:rPr>
          <w:rFonts w:asciiTheme="majorBidi" w:hAnsiTheme="majorBidi" w:cstheme="majorBidi"/>
          <w:i/>
          <w:iCs/>
        </w:rPr>
        <w:t>The International Journal</w:t>
      </w:r>
      <w:r w:rsidRPr="005635E7">
        <w:rPr>
          <w:rFonts w:asciiTheme="majorBidi" w:hAnsiTheme="majorBidi" w:cstheme="majorBidi"/>
        </w:rPr>
        <w:t>, 41(5), 949-970.</w:t>
      </w:r>
    </w:p>
    <w:p w14:paraId="0DB26F3F" w14:textId="2145E94E" w:rsidR="005976AB" w:rsidRPr="005635E7" w:rsidRDefault="00812035" w:rsidP="005976AB">
      <w:pPr>
        <w:spacing w:after="240" w:line="276" w:lineRule="auto"/>
        <w:ind w:left="567" w:hanging="567"/>
        <w:rPr>
          <w:rFonts w:asciiTheme="majorBidi" w:hAnsiTheme="majorBidi" w:cstheme="majorBidi"/>
        </w:rPr>
      </w:pPr>
      <w:r w:rsidRPr="00812035">
        <w:rPr>
          <w:rFonts w:ascii="Times New Roman" w:hAnsi="Times New Roman" w:cs="Times New Roman"/>
          <w:color w:val="222222"/>
          <w:shd w:val="clear" w:color="auto" w:fill="FFFFFF"/>
        </w:rPr>
        <w:t xml:space="preserve">Papa, A., Dezi, L., Gregori, G. L., Mueller, J., &amp; Miglietta, N. (2020). </w:t>
      </w:r>
      <w:r w:rsidR="005976AB" w:rsidRPr="00812035">
        <w:rPr>
          <w:rFonts w:ascii="Times New Roman" w:hAnsi="Times New Roman" w:cs="Times New Roman"/>
        </w:rPr>
        <w:t xml:space="preserve">Improving innovation </w:t>
      </w:r>
      <w:r w:rsidR="005976AB" w:rsidRPr="005635E7">
        <w:rPr>
          <w:rFonts w:asciiTheme="majorBidi" w:hAnsiTheme="majorBidi" w:cstheme="majorBidi"/>
        </w:rPr>
        <w:t>performance through knowledge acquisition: the moderating role of employee retention and human resource management practices,</w:t>
      </w:r>
      <w:r w:rsidR="007D6E31">
        <w:rPr>
          <w:rFonts w:asciiTheme="majorBidi" w:hAnsiTheme="majorBidi" w:cstheme="majorBidi"/>
        </w:rPr>
        <w:t xml:space="preserve"> </w:t>
      </w:r>
      <w:r w:rsidR="007D6E31" w:rsidRPr="007D6E31">
        <w:rPr>
          <w:rFonts w:asciiTheme="majorBidi" w:hAnsiTheme="majorBidi" w:cstheme="majorBidi"/>
          <w:i/>
          <w:iCs/>
        </w:rPr>
        <w:t>Journal of Knowledge Management,</w:t>
      </w:r>
      <w:r w:rsidR="007D6E31">
        <w:rPr>
          <w:rFonts w:asciiTheme="majorBidi" w:hAnsiTheme="majorBidi" w:cstheme="majorBidi"/>
        </w:rPr>
        <w:t xml:space="preserve"> </w:t>
      </w:r>
      <w:r w:rsidR="005976AB" w:rsidRPr="005635E7">
        <w:rPr>
          <w:rFonts w:asciiTheme="majorBidi" w:hAnsiTheme="majorBidi" w:cstheme="majorBidi"/>
        </w:rPr>
        <w:t>24(3), pp. 589-605</w:t>
      </w:r>
    </w:p>
    <w:p w14:paraId="11626AC7" w14:textId="13B61007" w:rsidR="005976AB" w:rsidRPr="005635E7" w:rsidRDefault="005976AB" w:rsidP="005976AB">
      <w:pPr>
        <w:spacing w:after="240" w:line="276" w:lineRule="auto"/>
        <w:ind w:left="567" w:hanging="567"/>
        <w:rPr>
          <w:rFonts w:asciiTheme="majorBidi" w:hAnsiTheme="majorBidi" w:cstheme="majorBidi"/>
        </w:rPr>
      </w:pPr>
      <w:bookmarkStart w:id="140" w:name="_Hlk104093434"/>
      <w:r w:rsidRPr="005635E7">
        <w:rPr>
          <w:rFonts w:asciiTheme="majorBidi" w:hAnsiTheme="majorBidi" w:cstheme="majorBidi"/>
        </w:rPr>
        <w:t>Parida V, Westerberg M &amp; Frishammar J. (2012</w:t>
      </w:r>
      <w:bookmarkEnd w:id="140"/>
      <w:r w:rsidRPr="005635E7">
        <w:rPr>
          <w:rFonts w:asciiTheme="majorBidi" w:hAnsiTheme="majorBidi" w:cstheme="majorBidi"/>
        </w:rPr>
        <w:t xml:space="preserve">) Inbound open innovation activities in high-tech SMEs: the impact on innovation performance. </w:t>
      </w:r>
      <w:r w:rsidRPr="005635E7">
        <w:rPr>
          <w:rFonts w:asciiTheme="majorBidi" w:hAnsiTheme="majorBidi" w:cstheme="majorBidi"/>
          <w:i/>
          <w:iCs/>
        </w:rPr>
        <w:t>Journal Small Business Management,</w:t>
      </w:r>
      <w:r w:rsidRPr="005635E7">
        <w:rPr>
          <w:rFonts w:asciiTheme="majorBidi" w:hAnsiTheme="majorBidi" w:cstheme="majorBidi"/>
        </w:rPr>
        <w:t xml:space="preserve"> 50(2)</w:t>
      </w:r>
      <w:r w:rsidR="006B7157">
        <w:rPr>
          <w:rFonts w:asciiTheme="majorBidi" w:hAnsiTheme="majorBidi" w:cstheme="majorBidi"/>
        </w:rPr>
        <w:t>,</w:t>
      </w:r>
      <w:r w:rsidRPr="005635E7">
        <w:rPr>
          <w:rFonts w:asciiTheme="majorBidi" w:hAnsiTheme="majorBidi" w:cstheme="majorBidi"/>
        </w:rPr>
        <w:t xml:space="preserve"> 283–309.</w:t>
      </w:r>
    </w:p>
    <w:p w14:paraId="07A71230"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Patel, P.C. &amp; Conklin, B. (2012), Perceived labor productivity in small firms – the effects of high– performance work systems and group culture through employee retention, </w:t>
      </w:r>
      <w:r w:rsidRPr="005635E7">
        <w:rPr>
          <w:rFonts w:asciiTheme="majorBidi" w:hAnsiTheme="majorBidi" w:cstheme="majorBidi"/>
          <w:i/>
          <w:iCs/>
        </w:rPr>
        <w:t>Entrepreneurship Theory and Practice</w:t>
      </w:r>
      <w:r w:rsidRPr="005635E7">
        <w:rPr>
          <w:rFonts w:asciiTheme="majorBidi" w:hAnsiTheme="majorBidi" w:cstheme="majorBidi"/>
        </w:rPr>
        <w:t>, 36(2), 205-235</w:t>
      </w:r>
    </w:p>
    <w:p w14:paraId="2F717043"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Pavlou, P. A., &amp; El Sawy, O. A. (2011). Understanding the elusive black box of dynamic capabilities. </w:t>
      </w:r>
      <w:r w:rsidRPr="005635E7">
        <w:rPr>
          <w:rFonts w:ascii="Times New Roman" w:hAnsi="Times New Roman" w:cs="Times New Roman"/>
          <w:i/>
          <w:iCs/>
          <w:shd w:val="clear" w:color="auto" w:fill="FFFFFF"/>
        </w:rPr>
        <w:t>Decision Sciences</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42</w:t>
      </w:r>
      <w:r w:rsidRPr="005635E7">
        <w:rPr>
          <w:rFonts w:ascii="Times New Roman" w:hAnsi="Times New Roman" w:cs="Times New Roman"/>
          <w:shd w:val="clear" w:color="auto" w:fill="FFFFFF"/>
        </w:rPr>
        <w:t>(1), 239-273.</w:t>
      </w:r>
    </w:p>
    <w:p w14:paraId="2DEC965A" w14:textId="0CAB1A8C"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Peris-Ortiz, M., Devece-Carañana, C. A., &amp; Navarro-Garcia, A. (2018). Organizational learning capability and open innovation,</w:t>
      </w:r>
      <w:r w:rsidR="006B7157">
        <w:rPr>
          <w:rFonts w:asciiTheme="majorBidi" w:hAnsiTheme="majorBidi" w:cstheme="majorBidi"/>
        </w:rPr>
        <w:t xml:space="preserve"> </w:t>
      </w:r>
      <w:r w:rsidR="006B7157" w:rsidRPr="006B7157">
        <w:rPr>
          <w:rFonts w:asciiTheme="majorBidi" w:hAnsiTheme="majorBidi" w:cstheme="majorBidi"/>
          <w:i/>
          <w:iCs/>
        </w:rPr>
        <w:t>Management Decision</w:t>
      </w:r>
      <w:r w:rsidR="006B7157">
        <w:rPr>
          <w:rFonts w:asciiTheme="majorBidi" w:hAnsiTheme="majorBidi" w:cstheme="majorBidi"/>
        </w:rPr>
        <w:t xml:space="preserve">, </w:t>
      </w:r>
      <w:r w:rsidRPr="005635E7">
        <w:rPr>
          <w:rFonts w:asciiTheme="majorBidi" w:hAnsiTheme="majorBidi" w:cstheme="majorBidi"/>
        </w:rPr>
        <w:t>5(6), 1217-1231. </w:t>
      </w:r>
      <w:r w:rsidR="006B7157" w:rsidRPr="005635E7">
        <w:rPr>
          <w:rFonts w:asciiTheme="majorBidi" w:hAnsiTheme="majorBidi" w:cstheme="majorBidi"/>
        </w:rPr>
        <w:t xml:space="preserve"> </w:t>
      </w:r>
    </w:p>
    <w:p w14:paraId="6850D6A1" w14:textId="1F070830" w:rsidR="005976AB" w:rsidRPr="005635E7" w:rsidRDefault="005976AB" w:rsidP="005976AB">
      <w:pPr>
        <w:spacing w:after="240" w:line="276" w:lineRule="auto"/>
        <w:ind w:left="284" w:hanging="284"/>
        <w:jc w:val="both"/>
        <w:rPr>
          <w:rFonts w:asciiTheme="majorBidi" w:hAnsiTheme="majorBidi" w:cstheme="majorBidi"/>
        </w:rPr>
      </w:pPr>
      <w:r w:rsidRPr="005635E7">
        <w:rPr>
          <w:rFonts w:asciiTheme="majorBidi" w:hAnsiTheme="majorBidi" w:cstheme="majorBidi"/>
        </w:rPr>
        <w:t>Pham, L.T. &amp; Hoang, H.V. (2019), The relationship between organizational learning capability and business performance: The case of Vietnam firms, </w:t>
      </w:r>
      <w:r w:rsidRPr="005635E7">
        <w:rPr>
          <w:rFonts w:asciiTheme="majorBidi" w:hAnsiTheme="majorBidi" w:cstheme="majorBidi"/>
          <w:i/>
          <w:iCs/>
        </w:rPr>
        <w:t>Journal of Economics and Development</w:t>
      </w:r>
      <w:r w:rsidRPr="005635E7">
        <w:rPr>
          <w:rFonts w:asciiTheme="majorBidi" w:hAnsiTheme="majorBidi" w:cstheme="majorBidi"/>
        </w:rPr>
        <w:t>, 21(2), 259-269. </w:t>
      </w:r>
      <w:r w:rsidR="006B7157" w:rsidRPr="005635E7">
        <w:rPr>
          <w:rFonts w:asciiTheme="majorBidi" w:hAnsiTheme="majorBidi" w:cstheme="majorBidi"/>
        </w:rPr>
        <w:t xml:space="preserve"> </w:t>
      </w:r>
    </w:p>
    <w:p w14:paraId="0046D9D3" w14:textId="0B99F502"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Ployhart, R. E., &amp; T. P. Moliterno. (2011). Emergence of the Human Capital Resource: A Multilevel Model. </w:t>
      </w:r>
      <w:r w:rsidRPr="005635E7">
        <w:rPr>
          <w:rFonts w:asciiTheme="majorBidi" w:hAnsiTheme="majorBidi" w:cstheme="majorBidi"/>
          <w:i/>
          <w:iCs/>
        </w:rPr>
        <w:t>Academy of Management Review</w:t>
      </w:r>
      <w:r w:rsidRPr="005635E7">
        <w:rPr>
          <w:rFonts w:asciiTheme="majorBidi" w:hAnsiTheme="majorBidi" w:cstheme="majorBidi"/>
        </w:rPr>
        <w:t xml:space="preserve"> 36(1)</w:t>
      </w:r>
      <w:r w:rsidR="006B7157">
        <w:rPr>
          <w:rFonts w:asciiTheme="majorBidi" w:hAnsiTheme="majorBidi" w:cstheme="majorBidi"/>
        </w:rPr>
        <w:t>,</w:t>
      </w:r>
      <w:r w:rsidRPr="005635E7">
        <w:rPr>
          <w:rFonts w:asciiTheme="majorBidi" w:hAnsiTheme="majorBidi" w:cstheme="majorBidi"/>
        </w:rPr>
        <w:t xml:space="preserve"> 127–150.</w:t>
      </w:r>
    </w:p>
    <w:p w14:paraId="391F2661"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Popa, S., Soto-Acosta, P., &amp; Martinez-Conesa, I. (2017). Antecedents, moderators, and outcomes of innovation climate and open innovation: An empirical study in SMEs. </w:t>
      </w:r>
      <w:r w:rsidRPr="005635E7">
        <w:rPr>
          <w:rFonts w:asciiTheme="majorBidi" w:hAnsiTheme="majorBidi" w:cstheme="majorBidi"/>
          <w:i/>
          <w:iCs/>
        </w:rPr>
        <w:t>Technological Forecasting and Social Change</w:t>
      </w:r>
      <w:r w:rsidRPr="005635E7">
        <w:rPr>
          <w:rFonts w:asciiTheme="majorBidi" w:hAnsiTheme="majorBidi" w:cstheme="majorBidi"/>
        </w:rPr>
        <w:t>, 118, 134-142.</w:t>
      </w:r>
    </w:p>
    <w:p w14:paraId="7B102FF4" w14:textId="5F303055"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Rasheed, M.A.,</w:t>
      </w:r>
      <w:r w:rsidR="0070715D">
        <w:rPr>
          <w:rFonts w:asciiTheme="majorBidi" w:hAnsiTheme="majorBidi" w:cstheme="majorBidi"/>
        </w:rPr>
        <w:t xml:space="preserve"> Shahzad, K., Conroy, C., </w:t>
      </w:r>
      <w:r w:rsidRPr="005635E7">
        <w:rPr>
          <w:rFonts w:asciiTheme="majorBidi" w:hAnsiTheme="majorBidi" w:cstheme="majorBidi"/>
        </w:rPr>
        <w:t>Nadeem, S. &amp;</w:t>
      </w:r>
      <w:r w:rsidR="0070715D">
        <w:rPr>
          <w:rFonts w:asciiTheme="majorBidi" w:hAnsiTheme="majorBidi" w:cstheme="majorBidi"/>
        </w:rPr>
        <w:t xml:space="preserve"> Siddique, M.U.</w:t>
      </w:r>
      <w:r w:rsidRPr="005635E7">
        <w:rPr>
          <w:rFonts w:asciiTheme="majorBidi" w:hAnsiTheme="majorBidi" w:cstheme="majorBidi"/>
        </w:rPr>
        <w:t> (2017), Exploring the role of employee voice between high-performance work system and organizational innovation in small and medium enterprises</w:t>
      </w:r>
      <w:r w:rsidR="006B7157">
        <w:rPr>
          <w:rFonts w:asciiTheme="majorBidi" w:hAnsiTheme="majorBidi" w:cstheme="majorBidi"/>
        </w:rPr>
        <w:t xml:space="preserve">. </w:t>
      </w:r>
      <w:r w:rsidR="006B7157" w:rsidRPr="006B7157">
        <w:rPr>
          <w:rFonts w:asciiTheme="majorBidi" w:hAnsiTheme="majorBidi" w:cstheme="majorBidi"/>
          <w:i/>
          <w:iCs/>
        </w:rPr>
        <w:t>Journal of Small Business and Enterprise Development,</w:t>
      </w:r>
      <w:r w:rsidR="006B7157">
        <w:rPr>
          <w:rFonts w:asciiTheme="majorBidi" w:hAnsiTheme="majorBidi" w:cstheme="majorBidi"/>
        </w:rPr>
        <w:t xml:space="preserve"> </w:t>
      </w:r>
      <w:r w:rsidRPr="005635E7">
        <w:rPr>
          <w:rFonts w:asciiTheme="majorBidi" w:hAnsiTheme="majorBidi" w:cstheme="majorBidi"/>
        </w:rPr>
        <w:t>24(4), 670-688</w:t>
      </w:r>
    </w:p>
    <w:p w14:paraId="370C8E44" w14:textId="77777777" w:rsidR="005976AB" w:rsidRPr="005635E7" w:rsidRDefault="005976AB" w:rsidP="005976AB">
      <w:pPr>
        <w:spacing w:after="240" w:line="276" w:lineRule="auto"/>
        <w:ind w:left="284" w:hanging="284"/>
        <w:jc w:val="both"/>
        <w:rPr>
          <w:rFonts w:asciiTheme="majorBidi" w:hAnsiTheme="majorBidi" w:cstheme="majorBidi"/>
          <w:shd w:val="clear" w:color="auto" w:fill="FFFFFF"/>
        </w:rPr>
      </w:pPr>
      <w:r w:rsidRPr="005635E7">
        <w:rPr>
          <w:rFonts w:asciiTheme="majorBidi" w:hAnsiTheme="majorBidi" w:cstheme="majorBidi"/>
          <w:shd w:val="clear" w:color="auto" w:fill="FFFFFF"/>
        </w:rPr>
        <w:t>Rashid, M. H. U., Nurunnabi, M., Rahman, M., &amp; Masud, M. A. K. (2020). Exploring the relationship between customer loyalty and financial performance of banks: Customer open innovation perspective. </w:t>
      </w:r>
      <w:r w:rsidRPr="005635E7">
        <w:rPr>
          <w:rFonts w:asciiTheme="majorBidi" w:hAnsiTheme="majorBidi" w:cstheme="majorBidi"/>
          <w:i/>
          <w:iCs/>
          <w:shd w:val="clear" w:color="auto" w:fill="FFFFFF"/>
        </w:rPr>
        <w:t>Journal of Open Innovation: Technology, Market, and Complexity</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6</w:t>
      </w:r>
      <w:r w:rsidRPr="005635E7">
        <w:rPr>
          <w:rFonts w:asciiTheme="majorBidi" w:hAnsiTheme="majorBidi" w:cstheme="majorBidi"/>
          <w:shd w:val="clear" w:color="auto" w:fill="FFFFFF"/>
        </w:rPr>
        <w:t>(4), 108.</w:t>
      </w:r>
    </w:p>
    <w:p w14:paraId="77BA8C75" w14:textId="77777777" w:rsidR="005976AB" w:rsidRPr="005635E7" w:rsidRDefault="005976AB" w:rsidP="005976AB">
      <w:pPr>
        <w:spacing w:after="240" w:line="276" w:lineRule="auto"/>
        <w:ind w:left="567" w:hanging="567"/>
        <w:rPr>
          <w:rFonts w:asciiTheme="majorBidi" w:hAnsiTheme="majorBidi" w:cstheme="majorBidi"/>
        </w:rPr>
      </w:pPr>
      <w:bookmarkStart w:id="141" w:name="_Hlk42714216"/>
      <w:r w:rsidRPr="005635E7">
        <w:rPr>
          <w:rFonts w:asciiTheme="majorBidi" w:hAnsiTheme="majorBidi" w:cstheme="majorBidi"/>
        </w:rPr>
        <w:t xml:space="preserve">Rasool S. F., Maqbool R., Samma M., Zhao Y., &amp; Anjum A. (2019), </w:t>
      </w:r>
      <w:bookmarkEnd w:id="141"/>
      <w:r w:rsidRPr="005635E7">
        <w:rPr>
          <w:rFonts w:asciiTheme="majorBidi" w:hAnsiTheme="majorBidi" w:cstheme="majorBidi"/>
        </w:rPr>
        <w:t>Positioning Depression as a Critical Factor in Creating a Toxic Workplace Environment for Diminishing Worker Productivity. </w:t>
      </w:r>
      <w:r w:rsidRPr="005635E7">
        <w:rPr>
          <w:rFonts w:asciiTheme="majorBidi" w:hAnsiTheme="majorBidi" w:cstheme="majorBidi"/>
          <w:i/>
          <w:iCs/>
        </w:rPr>
        <w:t>Sustainability</w:t>
      </w:r>
      <w:r w:rsidRPr="005635E7">
        <w:rPr>
          <w:rFonts w:asciiTheme="majorBidi" w:hAnsiTheme="majorBidi" w:cstheme="majorBidi"/>
        </w:rPr>
        <w:t>. 11(9):2589</w:t>
      </w:r>
    </w:p>
    <w:p w14:paraId="4AAB68D4"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Rasool, S. F., Samma, M., Wang, M., Zhao, Y., &amp; Zhang, Y. (2019). How human resource management practices translate into sustainable organizational performance: The mediating role of product, process, and knowledge innovation. </w:t>
      </w:r>
      <w:r w:rsidRPr="005635E7">
        <w:rPr>
          <w:rFonts w:asciiTheme="majorBidi" w:hAnsiTheme="majorBidi" w:cstheme="majorBidi"/>
          <w:i/>
          <w:iCs/>
        </w:rPr>
        <w:t>Psychology Research and Behavior Management</w:t>
      </w:r>
      <w:r w:rsidRPr="005635E7">
        <w:rPr>
          <w:rFonts w:asciiTheme="majorBidi" w:hAnsiTheme="majorBidi" w:cstheme="majorBidi"/>
        </w:rPr>
        <w:t>, 12, 1009-1025.</w:t>
      </w:r>
    </w:p>
    <w:p w14:paraId="2CE15E77" w14:textId="1A7640A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Rass, M., Dumbach, M., Danzinger, F., Bullinger, A. C., &amp; Moeslein, K. M. (2013). Open innovation and firm performance: the mediating role of social capital. </w:t>
      </w:r>
      <w:r w:rsidRPr="005635E7">
        <w:rPr>
          <w:rFonts w:asciiTheme="majorBidi" w:hAnsiTheme="majorBidi" w:cstheme="majorBidi"/>
          <w:i/>
          <w:iCs/>
        </w:rPr>
        <w:t xml:space="preserve">Creativity and </w:t>
      </w:r>
      <w:r w:rsidR="00EA3EB5">
        <w:rPr>
          <w:rFonts w:asciiTheme="majorBidi" w:hAnsiTheme="majorBidi" w:cstheme="majorBidi"/>
          <w:i/>
          <w:iCs/>
        </w:rPr>
        <w:t>I</w:t>
      </w:r>
      <w:r w:rsidRPr="005635E7">
        <w:rPr>
          <w:rFonts w:asciiTheme="majorBidi" w:hAnsiTheme="majorBidi" w:cstheme="majorBidi"/>
          <w:i/>
          <w:iCs/>
        </w:rPr>
        <w:t xml:space="preserve">nnovation </w:t>
      </w:r>
      <w:r w:rsidR="00EA3EB5">
        <w:rPr>
          <w:rFonts w:asciiTheme="majorBidi" w:hAnsiTheme="majorBidi" w:cstheme="majorBidi"/>
          <w:i/>
          <w:iCs/>
        </w:rPr>
        <w:t>M</w:t>
      </w:r>
      <w:r w:rsidRPr="005635E7">
        <w:rPr>
          <w:rFonts w:asciiTheme="majorBidi" w:hAnsiTheme="majorBidi" w:cstheme="majorBidi"/>
          <w:i/>
          <w:iCs/>
        </w:rPr>
        <w:t>anagement</w:t>
      </w:r>
      <w:r w:rsidRPr="005635E7">
        <w:rPr>
          <w:rFonts w:asciiTheme="majorBidi" w:hAnsiTheme="majorBidi" w:cstheme="majorBidi"/>
        </w:rPr>
        <w:t>, 22(2), 177-194.</w:t>
      </w:r>
    </w:p>
    <w:p w14:paraId="5CF1BFB7"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Razouk, A. (2011), High-performance work systems and performance of French small-and medium sized enterprises: examining causal order, </w:t>
      </w:r>
      <w:r w:rsidRPr="005635E7">
        <w:rPr>
          <w:rFonts w:asciiTheme="majorBidi" w:hAnsiTheme="majorBidi" w:cstheme="majorBidi"/>
          <w:i/>
          <w:iCs/>
        </w:rPr>
        <w:t>The International Journal of Human Resource Management</w:t>
      </w:r>
      <w:r w:rsidRPr="005635E7">
        <w:rPr>
          <w:rFonts w:asciiTheme="majorBidi" w:hAnsiTheme="majorBidi" w:cstheme="majorBidi"/>
        </w:rPr>
        <w:t>, 22(2). 311-330</w:t>
      </w:r>
    </w:p>
    <w:p w14:paraId="4154AA12"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Reinholt, M., Pedersen, T. &amp; Foss, N.J. (2011), Why a central network position isn’t enough: the role of motivation and ability for knowledge sharing in employee networks, </w:t>
      </w:r>
      <w:r w:rsidRPr="005635E7">
        <w:rPr>
          <w:rFonts w:asciiTheme="majorBidi" w:hAnsiTheme="majorBidi" w:cstheme="majorBidi"/>
          <w:i/>
          <w:iCs/>
        </w:rPr>
        <w:t>Academy of Management Journal</w:t>
      </w:r>
      <w:r w:rsidRPr="005635E7">
        <w:rPr>
          <w:rFonts w:asciiTheme="majorBidi" w:hAnsiTheme="majorBidi" w:cstheme="majorBidi"/>
        </w:rPr>
        <w:t>, 54(6) 1277-1297</w:t>
      </w:r>
    </w:p>
    <w:p w14:paraId="680D3F2A"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shd w:val="clear" w:color="auto" w:fill="FFFFFF"/>
        </w:rPr>
        <w:t>Remneland W. B. (2020). Open innovation change agents in large firms: how open innovation is enacted in paradoxical settings. </w:t>
      </w:r>
      <w:r w:rsidRPr="005635E7">
        <w:rPr>
          <w:rFonts w:asciiTheme="majorBidi" w:hAnsiTheme="majorBidi" w:cstheme="majorBidi"/>
          <w:i/>
          <w:iCs/>
          <w:shd w:val="clear" w:color="auto" w:fill="FFFFFF"/>
        </w:rPr>
        <w:t>R&amp;D Management</w:t>
      </w:r>
      <w:r w:rsidRPr="005635E7">
        <w:rPr>
          <w:rFonts w:asciiTheme="majorBidi" w:hAnsiTheme="majorBidi" w:cstheme="majorBidi"/>
          <w:shd w:val="clear" w:color="auto" w:fill="FFFFFF"/>
        </w:rPr>
        <w:t>, 50(2), 198-211.</w:t>
      </w:r>
    </w:p>
    <w:p w14:paraId="5F3D2B29"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Remneland W. B., &amp; Styhre, A. (2019). Corporate hub as a governance structure for coupled open innovation in large firms. </w:t>
      </w:r>
      <w:r w:rsidRPr="005635E7">
        <w:rPr>
          <w:rFonts w:asciiTheme="majorBidi" w:hAnsiTheme="majorBidi" w:cstheme="majorBidi"/>
          <w:i/>
          <w:iCs/>
          <w:shd w:val="clear" w:color="auto" w:fill="FFFFFF"/>
        </w:rPr>
        <w:t>Creativity and Innovation Management</w:t>
      </w:r>
      <w:r w:rsidRPr="005635E7">
        <w:rPr>
          <w:rFonts w:asciiTheme="majorBidi" w:hAnsiTheme="majorBidi" w:cstheme="majorBidi"/>
          <w:shd w:val="clear" w:color="auto" w:fill="FFFFFF"/>
        </w:rPr>
        <w:t>, 28(4), 450-463.</w:t>
      </w:r>
    </w:p>
    <w:p w14:paraId="48ADBC3B" w14:textId="77777777" w:rsidR="005976AB"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Reuber, A. R., &amp; Fischer, E. (2002). Foreign sales and small firm growth: The moderating role of the management team. </w:t>
      </w:r>
      <w:r w:rsidRPr="005635E7">
        <w:rPr>
          <w:rFonts w:ascii="Times New Roman" w:hAnsi="Times New Roman" w:cs="Times New Roman"/>
          <w:i/>
          <w:iCs/>
          <w:shd w:val="clear" w:color="auto" w:fill="FFFFFF"/>
        </w:rPr>
        <w:t>Entrepreneurship Theory and Practice</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27</w:t>
      </w:r>
      <w:r w:rsidRPr="005635E7">
        <w:rPr>
          <w:rFonts w:ascii="Times New Roman" w:hAnsi="Times New Roman" w:cs="Times New Roman"/>
          <w:shd w:val="clear" w:color="auto" w:fill="FFFFFF"/>
        </w:rPr>
        <w:t>(1), 29-45.</w:t>
      </w:r>
    </w:p>
    <w:p w14:paraId="25848831" w14:textId="77777777" w:rsidR="00911208" w:rsidRDefault="00911208" w:rsidP="005976AB">
      <w:pPr>
        <w:spacing w:after="240" w:line="276" w:lineRule="auto"/>
        <w:ind w:left="567" w:hanging="567"/>
        <w:rPr>
          <w:rFonts w:ascii="Times New Roman" w:hAnsi="Times New Roman" w:cs="Times New Roman"/>
          <w:shd w:val="clear" w:color="auto" w:fill="FFFFFF"/>
        </w:rPr>
      </w:pPr>
    </w:p>
    <w:p w14:paraId="31E82BEA" w14:textId="77777777" w:rsidR="00911208" w:rsidRDefault="00911208" w:rsidP="005976AB">
      <w:pPr>
        <w:spacing w:after="240" w:line="276" w:lineRule="auto"/>
        <w:ind w:left="567" w:hanging="567"/>
        <w:rPr>
          <w:rFonts w:ascii="Times New Roman" w:hAnsi="Times New Roman" w:cs="Times New Roman"/>
          <w:shd w:val="clear" w:color="auto" w:fill="FFFFFF"/>
        </w:rPr>
      </w:pPr>
    </w:p>
    <w:p w14:paraId="3FF90DF1" w14:textId="77777777" w:rsidR="00911208" w:rsidRPr="005635E7" w:rsidRDefault="00911208" w:rsidP="005976AB">
      <w:pPr>
        <w:spacing w:after="240" w:line="276" w:lineRule="auto"/>
        <w:ind w:left="567" w:hanging="567"/>
        <w:rPr>
          <w:rFonts w:ascii="Times New Roman" w:hAnsi="Times New Roman" w:cs="Times New Roman"/>
          <w:shd w:val="clear" w:color="auto" w:fill="FFFFFF"/>
        </w:rPr>
      </w:pPr>
    </w:p>
    <w:p w14:paraId="4C1AF255"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Sánchez-Marín, G., Meroño-Cerdán, Á. L., &amp; Carrasco-Hernández, A. J. (2019). Formalized HR practices and firm performance: an empirical comparison of family and non-family firms. </w:t>
      </w:r>
      <w:r w:rsidRPr="005635E7">
        <w:rPr>
          <w:rFonts w:asciiTheme="majorBidi" w:hAnsiTheme="majorBidi" w:cstheme="majorBidi"/>
          <w:i/>
          <w:iCs/>
        </w:rPr>
        <w:t>The International Journal of Human Resource Management</w:t>
      </w:r>
      <w:r w:rsidRPr="005635E7">
        <w:rPr>
          <w:rFonts w:asciiTheme="majorBidi" w:hAnsiTheme="majorBidi" w:cstheme="majorBidi"/>
        </w:rPr>
        <w:t>, 30(7), 1084-1110.</w:t>
      </w:r>
    </w:p>
    <w:p w14:paraId="40CF8AFC" w14:textId="09E25D05"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Saridakis, G., Lai, Y., &amp; Cooper, C. L. (2017). Exploring the relationship between HRM and firm performance: A meta-analysis of longitudinal studies. </w:t>
      </w:r>
      <w:r w:rsidRPr="005635E7">
        <w:rPr>
          <w:rFonts w:asciiTheme="majorBidi" w:hAnsiTheme="majorBidi" w:cstheme="majorBidi"/>
          <w:i/>
          <w:iCs/>
        </w:rPr>
        <w:t xml:space="preserve">Human </w:t>
      </w:r>
      <w:r w:rsidR="00EA3EB5">
        <w:rPr>
          <w:rFonts w:asciiTheme="majorBidi" w:hAnsiTheme="majorBidi" w:cstheme="majorBidi"/>
          <w:i/>
          <w:iCs/>
        </w:rPr>
        <w:t>R</w:t>
      </w:r>
      <w:r w:rsidRPr="005635E7">
        <w:rPr>
          <w:rFonts w:asciiTheme="majorBidi" w:hAnsiTheme="majorBidi" w:cstheme="majorBidi"/>
          <w:i/>
          <w:iCs/>
        </w:rPr>
        <w:t xml:space="preserve">esource </w:t>
      </w:r>
      <w:r w:rsidR="00EA3EB5">
        <w:rPr>
          <w:rFonts w:asciiTheme="majorBidi" w:hAnsiTheme="majorBidi" w:cstheme="majorBidi"/>
          <w:i/>
          <w:iCs/>
        </w:rPr>
        <w:t>M</w:t>
      </w:r>
      <w:r w:rsidRPr="005635E7">
        <w:rPr>
          <w:rFonts w:asciiTheme="majorBidi" w:hAnsiTheme="majorBidi" w:cstheme="majorBidi"/>
          <w:i/>
          <w:iCs/>
        </w:rPr>
        <w:t xml:space="preserve">anagement </w:t>
      </w:r>
      <w:r w:rsidR="00EA3EB5">
        <w:rPr>
          <w:rFonts w:asciiTheme="majorBidi" w:hAnsiTheme="majorBidi" w:cstheme="majorBidi"/>
          <w:i/>
          <w:iCs/>
        </w:rPr>
        <w:t>R</w:t>
      </w:r>
      <w:r w:rsidRPr="005635E7">
        <w:rPr>
          <w:rFonts w:asciiTheme="majorBidi" w:hAnsiTheme="majorBidi" w:cstheme="majorBidi"/>
          <w:i/>
          <w:iCs/>
        </w:rPr>
        <w:t>eview</w:t>
      </w:r>
      <w:r w:rsidRPr="005635E7">
        <w:rPr>
          <w:rFonts w:asciiTheme="majorBidi" w:hAnsiTheme="majorBidi" w:cstheme="majorBidi"/>
        </w:rPr>
        <w:t>, 27(1), 87-96.</w:t>
      </w:r>
    </w:p>
    <w:p w14:paraId="7513B2CC" w14:textId="77777777" w:rsidR="005976AB" w:rsidRPr="005635E7" w:rsidRDefault="005976AB" w:rsidP="005976AB">
      <w:pPr>
        <w:spacing w:after="240" w:line="276" w:lineRule="auto"/>
        <w:ind w:left="284" w:hanging="284"/>
        <w:jc w:val="both"/>
        <w:rPr>
          <w:rFonts w:asciiTheme="majorBidi" w:hAnsiTheme="majorBidi" w:cstheme="majorBidi"/>
          <w:shd w:val="clear" w:color="auto" w:fill="FFFFFF"/>
        </w:rPr>
      </w:pPr>
      <w:bookmarkStart w:id="142" w:name="_Hlk115257190"/>
      <w:r w:rsidRPr="005635E7">
        <w:rPr>
          <w:rFonts w:asciiTheme="majorBidi" w:hAnsiTheme="majorBidi" w:cstheme="majorBidi"/>
          <w:shd w:val="clear" w:color="auto" w:fill="FFFFFF"/>
        </w:rPr>
        <w:t>Scaliza</w:t>
      </w:r>
      <w:bookmarkEnd w:id="142"/>
      <w:r w:rsidRPr="005635E7">
        <w:rPr>
          <w:rFonts w:asciiTheme="majorBidi" w:hAnsiTheme="majorBidi" w:cstheme="majorBidi"/>
          <w:shd w:val="clear" w:color="auto" w:fill="FFFFFF"/>
        </w:rPr>
        <w:t>, J. A. A., Jugend, D., Jabbour, C. J. C., Latan, H., Armellini, F., Twigg, D., &amp; Andrade, D. F. (2022). Relationships among organizational culture, open innovation, innovative ecosystems, and performance of firms: Evidence from an emerging economy context. </w:t>
      </w:r>
      <w:r w:rsidRPr="005635E7">
        <w:rPr>
          <w:rFonts w:asciiTheme="majorBidi" w:hAnsiTheme="majorBidi" w:cstheme="majorBidi"/>
          <w:i/>
          <w:iCs/>
          <w:shd w:val="clear" w:color="auto" w:fill="FFFFFF"/>
        </w:rPr>
        <w:t>Journal of Business Research</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140</w:t>
      </w:r>
      <w:r w:rsidRPr="005635E7">
        <w:rPr>
          <w:rFonts w:asciiTheme="majorBidi" w:hAnsiTheme="majorBidi" w:cstheme="majorBidi"/>
          <w:shd w:val="clear" w:color="auto" w:fill="FFFFFF"/>
        </w:rPr>
        <w:t>, 264-279.</w:t>
      </w:r>
    </w:p>
    <w:p w14:paraId="0FBF205E"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Scarbrough, H. (2003). Knowledge management, HRM and the innovation process. </w:t>
      </w:r>
      <w:r w:rsidRPr="005635E7">
        <w:rPr>
          <w:rFonts w:asciiTheme="majorBidi" w:hAnsiTheme="majorBidi" w:cstheme="majorBidi"/>
          <w:i/>
          <w:iCs/>
        </w:rPr>
        <w:t>International Journal of Manpower</w:t>
      </w:r>
      <w:r w:rsidRPr="005635E7">
        <w:rPr>
          <w:rFonts w:asciiTheme="majorBidi" w:hAnsiTheme="majorBidi" w:cstheme="majorBidi"/>
        </w:rPr>
        <w:t>, 24, 501–516.</w:t>
      </w:r>
    </w:p>
    <w:p w14:paraId="32496B20"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Severoni, F., &amp; Muldoon, N. (2019). The influence of design agencies (as a form of inbound open innovation) on organisational learning. Master Thesis, Lund University, Lund, Sweden.</w:t>
      </w:r>
    </w:p>
    <w:p w14:paraId="459F6E36" w14:textId="32C1574C"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Shahzad, K., Arenius, P., Muller, A., Rasheed, M. A., &amp; Bajwa, S. U. (2019). Unpacking the relationship between high-performance work systems and innovation performance in SMEs. </w:t>
      </w:r>
      <w:r w:rsidRPr="00EA3EB5">
        <w:rPr>
          <w:rFonts w:asciiTheme="majorBidi" w:hAnsiTheme="majorBidi" w:cstheme="majorBidi"/>
          <w:i/>
          <w:iCs/>
        </w:rPr>
        <w:t>Personnel Review</w:t>
      </w:r>
      <w:r w:rsidR="00EA3EB5">
        <w:rPr>
          <w:rFonts w:asciiTheme="majorBidi" w:hAnsiTheme="majorBidi" w:cstheme="majorBidi"/>
        </w:rPr>
        <w:t>,</w:t>
      </w:r>
      <w:r w:rsidRPr="005635E7">
        <w:rPr>
          <w:rFonts w:asciiTheme="majorBidi" w:hAnsiTheme="majorBidi" w:cstheme="majorBidi"/>
        </w:rPr>
        <w:t xml:space="preserve"> 48(4), 977-1000</w:t>
      </w:r>
    </w:p>
    <w:p w14:paraId="1053E151" w14:textId="3D25C0F2"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Silver, J. (2016), SMEs in the UAE, </w:t>
      </w:r>
      <w:hyperlink r:id="rId42" w:history="1">
        <w:r w:rsidR="00EA3EB5" w:rsidRPr="00AD2413">
          <w:rPr>
            <w:rStyle w:val="Hyperlink"/>
            <w:rFonts w:asciiTheme="majorBidi" w:hAnsiTheme="majorBidi" w:cstheme="majorBidi"/>
          </w:rPr>
          <w:t>https://www.mondaq.com/corporate-and-company-law/530664/smes-in-the-uae</w:t>
        </w:r>
      </w:hyperlink>
      <w:r w:rsidR="00EA3EB5">
        <w:rPr>
          <w:rFonts w:asciiTheme="majorBidi" w:hAnsiTheme="majorBidi" w:cstheme="majorBidi"/>
        </w:rPr>
        <w:t xml:space="preserve"> </w:t>
      </w:r>
    </w:p>
    <w:p w14:paraId="7CF78FC7" w14:textId="071AA7D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shd w:val="clear" w:color="auto" w:fill="FFFFFF"/>
        </w:rPr>
        <w:t>Soomro, B.A.,</w:t>
      </w:r>
      <w:r w:rsidR="00EA3EB5">
        <w:rPr>
          <w:rFonts w:asciiTheme="majorBidi" w:hAnsiTheme="majorBidi" w:cstheme="majorBidi"/>
          <w:shd w:val="clear" w:color="auto" w:fill="FFFFFF"/>
        </w:rPr>
        <w:t xml:space="preserve"> Mangi, S. &amp;</w:t>
      </w:r>
      <w:r w:rsidRPr="005635E7">
        <w:rPr>
          <w:rFonts w:asciiTheme="majorBidi" w:hAnsiTheme="majorBidi" w:cstheme="majorBidi"/>
          <w:shd w:val="clear" w:color="auto" w:fill="FFFFFF"/>
        </w:rPr>
        <w:t> Shah, N. (2021)</w:t>
      </w:r>
      <w:r w:rsidR="00EA3EB5">
        <w:rPr>
          <w:rFonts w:asciiTheme="majorBidi" w:hAnsiTheme="majorBidi" w:cstheme="majorBidi"/>
          <w:shd w:val="clear" w:color="auto" w:fill="FFFFFF"/>
        </w:rPr>
        <w:t>.</w:t>
      </w:r>
      <w:r w:rsidRPr="005635E7">
        <w:rPr>
          <w:rFonts w:asciiTheme="majorBidi" w:hAnsiTheme="majorBidi" w:cstheme="majorBidi"/>
          <w:shd w:val="clear" w:color="auto" w:fill="FFFFFF"/>
        </w:rPr>
        <w:t xml:space="preserve"> Strategic factors and significance of organizational innovation and organizational learning in organizational performance,</w:t>
      </w:r>
      <w:r w:rsidR="00EA3EB5">
        <w:rPr>
          <w:rFonts w:asciiTheme="majorBidi" w:hAnsiTheme="majorBidi" w:cstheme="majorBidi"/>
          <w:shd w:val="clear" w:color="auto" w:fill="FFFFFF"/>
        </w:rPr>
        <w:t xml:space="preserve"> </w:t>
      </w:r>
      <w:r w:rsidR="00EA3EB5" w:rsidRPr="00EA3EB5">
        <w:rPr>
          <w:rFonts w:asciiTheme="majorBidi" w:hAnsiTheme="majorBidi" w:cstheme="majorBidi"/>
          <w:i/>
          <w:iCs/>
          <w:shd w:val="clear" w:color="auto" w:fill="FFFFFF"/>
        </w:rPr>
        <w:t>European Journal of Innovation Management,</w:t>
      </w:r>
      <w:r w:rsidR="00EA3EB5">
        <w:rPr>
          <w:rFonts w:asciiTheme="majorBidi" w:hAnsiTheme="majorBidi" w:cstheme="majorBidi"/>
          <w:shd w:val="clear" w:color="auto" w:fill="FFFFFF"/>
        </w:rPr>
        <w:t xml:space="preserve"> </w:t>
      </w:r>
      <w:r w:rsidRPr="005635E7">
        <w:rPr>
          <w:rFonts w:asciiTheme="majorBidi" w:hAnsiTheme="majorBidi" w:cstheme="majorBidi"/>
          <w:shd w:val="clear" w:color="auto" w:fill="FFFFFF"/>
        </w:rPr>
        <w:t>24(2), 481-506</w:t>
      </w:r>
      <w:r w:rsidR="00EA3EB5">
        <w:rPr>
          <w:rFonts w:asciiTheme="majorBidi" w:hAnsiTheme="majorBidi" w:cstheme="majorBidi"/>
          <w:shd w:val="clear" w:color="auto" w:fill="FFFFFF"/>
        </w:rPr>
        <w:t>.</w:t>
      </w:r>
    </w:p>
    <w:p w14:paraId="4053BDB4" w14:textId="73F2B6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Spithoven, A., Vanhaverbeke, W., </w:t>
      </w:r>
      <w:r w:rsidR="0092151E">
        <w:rPr>
          <w:rFonts w:asciiTheme="majorBidi" w:hAnsiTheme="majorBidi" w:cstheme="majorBidi"/>
        </w:rPr>
        <w:t xml:space="preserve">&amp; </w:t>
      </w:r>
      <w:r w:rsidRPr="005635E7">
        <w:rPr>
          <w:rFonts w:asciiTheme="majorBidi" w:hAnsiTheme="majorBidi" w:cstheme="majorBidi"/>
        </w:rPr>
        <w:t xml:space="preserve">Roijakkers, N. (2013). Open innovation practices in SMEs and large enterprises. </w:t>
      </w:r>
      <w:r w:rsidRPr="005635E7">
        <w:rPr>
          <w:rFonts w:asciiTheme="majorBidi" w:hAnsiTheme="majorBidi" w:cstheme="majorBidi"/>
          <w:i/>
          <w:iCs/>
        </w:rPr>
        <w:t xml:space="preserve">Small Bus. Econ. </w:t>
      </w:r>
      <w:r w:rsidRPr="005635E7">
        <w:rPr>
          <w:rFonts w:asciiTheme="majorBidi" w:hAnsiTheme="majorBidi" w:cstheme="majorBidi"/>
        </w:rPr>
        <w:t>41(3), 537–562</w:t>
      </w:r>
    </w:p>
    <w:p w14:paraId="67A17855"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Sun, Y., Liu, J., &amp; Ding, Y. (2020). Analysis of the relationship between open innovation, knowledge management capability and dual innovation. </w:t>
      </w:r>
      <w:r w:rsidRPr="005635E7">
        <w:rPr>
          <w:rFonts w:asciiTheme="majorBidi" w:hAnsiTheme="majorBidi" w:cstheme="majorBidi"/>
          <w:i/>
          <w:iCs/>
        </w:rPr>
        <w:t>Technology Analysis &amp; Strategic Management</w:t>
      </w:r>
      <w:r w:rsidRPr="005635E7">
        <w:rPr>
          <w:rFonts w:asciiTheme="majorBidi" w:hAnsiTheme="majorBidi" w:cstheme="majorBidi"/>
        </w:rPr>
        <w:t>, 32(1), 15-28.</w:t>
      </w:r>
    </w:p>
    <w:p w14:paraId="38923BD5" w14:textId="77777777" w:rsidR="005976AB"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Sung, S. Y., &amp; Choi, J. N. (2018). Building knowledge stock and facilitating knowledge flow through human resource management practices toward firm innovation. </w:t>
      </w:r>
      <w:r w:rsidRPr="005635E7">
        <w:rPr>
          <w:rFonts w:asciiTheme="majorBidi" w:hAnsiTheme="majorBidi" w:cstheme="majorBidi"/>
          <w:i/>
          <w:iCs/>
        </w:rPr>
        <w:t>Human Resource Management</w:t>
      </w:r>
      <w:r w:rsidRPr="005635E7">
        <w:rPr>
          <w:rFonts w:asciiTheme="majorBidi" w:hAnsiTheme="majorBidi" w:cstheme="majorBidi"/>
        </w:rPr>
        <w:t>, 57, 1429-1442.</w:t>
      </w:r>
    </w:p>
    <w:p w14:paraId="0C0745C3" w14:textId="77777777" w:rsidR="00911208" w:rsidRDefault="00911208" w:rsidP="005976AB">
      <w:pPr>
        <w:spacing w:after="240" w:line="276" w:lineRule="auto"/>
        <w:ind w:left="567" w:hanging="567"/>
        <w:rPr>
          <w:rFonts w:asciiTheme="majorBidi" w:hAnsiTheme="majorBidi" w:cstheme="majorBidi"/>
        </w:rPr>
      </w:pPr>
    </w:p>
    <w:p w14:paraId="7F800162" w14:textId="77777777" w:rsidR="00911208" w:rsidRPr="005635E7" w:rsidRDefault="00911208" w:rsidP="005976AB">
      <w:pPr>
        <w:spacing w:after="240" w:line="276" w:lineRule="auto"/>
        <w:ind w:left="567" w:hanging="567"/>
        <w:rPr>
          <w:rFonts w:asciiTheme="majorBidi" w:hAnsiTheme="majorBidi" w:cstheme="majorBidi"/>
        </w:rPr>
      </w:pPr>
    </w:p>
    <w:p w14:paraId="5D0E23E2"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Swoboda, B., &amp; Olejnik, E. (2016). Linking processes and dynamic capabilities of international SMEs: the mediating effect of international entrepreneurial orientation. </w:t>
      </w:r>
      <w:r w:rsidRPr="005635E7">
        <w:rPr>
          <w:rFonts w:ascii="Times New Roman" w:hAnsi="Times New Roman" w:cs="Times New Roman"/>
          <w:i/>
          <w:iCs/>
          <w:shd w:val="clear" w:color="auto" w:fill="FFFFFF"/>
        </w:rPr>
        <w:t>Journal of Small Business Management</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54</w:t>
      </w:r>
      <w:r w:rsidRPr="005635E7">
        <w:rPr>
          <w:rFonts w:ascii="Times New Roman" w:hAnsi="Times New Roman" w:cs="Times New Roman"/>
          <w:shd w:val="clear" w:color="auto" w:fill="FFFFFF"/>
        </w:rPr>
        <w:t>(1), 139-161.</w:t>
      </w:r>
    </w:p>
    <w:p w14:paraId="02837636"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Tallott, M., &amp; Hilliard, R. (2016). Developing dynamic capabilities for learning and internationalization: A case study of diversification in an SME. </w:t>
      </w:r>
      <w:r w:rsidRPr="005635E7">
        <w:rPr>
          <w:rFonts w:ascii="Times New Roman" w:hAnsi="Times New Roman" w:cs="Times New Roman"/>
          <w:i/>
          <w:iCs/>
          <w:shd w:val="clear" w:color="auto" w:fill="FFFFFF"/>
        </w:rPr>
        <w:t>Baltic Journal of Management</w:t>
      </w:r>
      <w:r w:rsidRPr="005635E7">
        <w:rPr>
          <w:rFonts w:ascii="Times New Roman" w:hAnsi="Times New Roman" w:cs="Times New Roman"/>
          <w:shd w:val="clear" w:color="auto" w:fill="FFFFFF"/>
        </w:rPr>
        <w:t>, 11(3), 328-347.</w:t>
      </w:r>
    </w:p>
    <w:p w14:paraId="085AB8AF" w14:textId="70B3D7DF"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Teece, D. J. (2014). A dynamic capabilities-based entrepreneurial theory of the multinational enterprise. </w:t>
      </w:r>
      <w:r w:rsidRPr="005635E7">
        <w:rPr>
          <w:rFonts w:asciiTheme="majorBidi" w:hAnsiTheme="majorBidi" w:cstheme="majorBidi"/>
          <w:i/>
          <w:iCs/>
        </w:rPr>
        <w:t xml:space="preserve">Journal of </w:t>
      </w:r>
      <w:r w:rsidR="0092151E">
        <w:rPr>
          <w:rFonts w:asciiTheme="majorBidi" w:hAnsiTheme="majorBidi" w:cstheme="majorBidi"/>
          <w:i/>
          <w:iCs/>
        </w:rPr>
        <w:t>I</w:t>
      </w:r>
      <w:r w:rsidRPr="005635E7">
        <w:rPr>
          <w:rFonts w:asciiTheme="majorBidi" w:hAnsiTheme="majorBidi" w:cstheme="majorBidi"/>
          <w:i/>
          <w:iCs/>
        </w:rPr>
        <w:t xml:space="preserve">nternational </w:t>
      </w:r>
      <w:r w:rsidR="0092151E">
        <w:rPr>
          <w:rFonts w:asciiTheme="majorBidi" w:hAnsiTheme="majorBidi" w:cstheme="majorBidi"/>
          <w:i/>
          <w:iCs/>
        </w:rPr>
        <w:t>B</w:t>
      </w:r>
      <w:r w:rsidRPr="005635E7">
        <w:rPr>
          <w:rFonts w:asciiTheme="majorBidi" w:hAnsiTheme="majorBidi" w:cstheme="majorBidi"/>
          <w:i/>
          <w:iCs/>
        </w:rPr>
        <w:t xml:space="preserve">usiness </w:t>
      </w:r>
      <w:r w:rsidR="0092151E">
        <w:rPr>
          <w:rFonts w:asciiTheme="majorBidi" w:hAnsiTheme="majorBidi" w:cstheme="majorBidi"/>
          <w:i/>
          <w:iCs/>
        </w:rPr>
        <w:t>S</w:t>
      </w:r>
      <w:r w:rsidRPr="005635E7">
        <w:rPr>
          <w:rFonts w:asciiTheme="majorBidi" w:hAnsiTheme="majorBidi" w:cstheme="majorBidi"/>
          <w:i/>
          <w:iCs/>
        </w:rPr>
        <w:t>tudies</w:t>
      </w:r>
      <w:r w:rsidRPr="005635E7">
        <w:rPr>
          <w:rFonts w:asciiTheme="majorBidi" w:hAnsiTheme="majorBidi" w:cstheme="majorBidi"/>
        </w:rPr>
        <w:t>, 45(1), 8-37.</w:t>
      </w:r>
    </w:p>
    <w:p w14:paraId="1B6BB47F"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Teece, D. J. (2018). Business models and dynamic capabilities. </w:t>
      </w:r>
      <w:r w:rsidRPr="005635E7">
        <w:rPr>
          <w:rFonts w:ascii="Times New Roman" w:hAnsi="Times New Roman" w:cs="Times New Roman"/>
          <w:i/>
          <w:iCs/>
          <w:shd w:val="clear" w:color="auto" w:fill="FFFFFF"/>
        </w:rPr>
        <w:t>Long Range Planning</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51</w:t>
      </w:r>
      <w:r w:rsidRPr="005635E7">
        <w:rPr>
          <w:rFonts w:ascii="Times New Roman" w:hAnsi="Times New Roman" w:cs="Times New Roman"/>
          <w:shd w:val="clear" w:color="auto" w:fill="FFFFFF"/>
        </w:rPr>
        <w:t>(1), 40-49.</w:t>
      </w:r>
    </w:p>
    <w:p w14:paraId="0DF828F9"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Teece, D. J., Pisano, G., &amp; Shuen, A. (1997). Dynamic capabilities and strategic management. </w:t>
      </w:r>
      <w:r w:rsidRPr="005635E7">
        <w:rPr>
          <w:rFonts w:ascii="Times New Roman" w:hAnsi="Times New Roman" w:cs="Times New Roman"/>
          <w:i/>
          <w:iCs/>
          <w:shd w:val="clear" w:color="auto" w:fill="FFFFFF"/>
        </w:rPr>
        <w:t>Strategic Management Journal</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18</w:t>
      </w:r>
      <w:r w:rsidRPr="005635E7">
        <w:rPr>
          <w:rFonts w:ascii="Times New Roman" w:hAnsi="Times New Roman" w:cs="Times New Roman"/>
          <w:shd w:val="clear" w:color="auto" w:fill="FFFFFF"/>
        </w:rPr>
        <w:t>(7), 509-533.</w:t>
      </w:r>
    </w:p>
    <w:p w14:paraId="04488F92" w14:textId="009C21C9" w:rsidR="005976AB" w:rsidRPr="005635E7" w:rsidRDefault="005976AB" w:rsidP="005976AB">
      <w:pPr>
        <w:spacing w:after="240" w:line="276" w:lineRule="auto"/>
        <w:ind w:left="284" w:hanging="284"/>
        <w:rPr>
          <w:rFonts w:asciiTheme="majorBidi" w:hAnsiTheme="majorBidi" w:cstheme="majorBidi"/>
        </w:rPr>
      </w:pPr>
      <w:r w:rsidRPr="005635E7">
        <w:rPr>
          <w:rFonts w:asciiTheme="majorBidi" w:hAnsiTheme="majorBidi" w:cstheme="majorBidi"/>
        </w:rPr>
        <w:t xml:space="preserve">The UAE Government Portal (2022), </w:t>
      </w:r>
      <w:r w:rsidRPr="005635E7">
        <w:rPr>
          <w:rFonts w:asciiTheme="majorBidi" w:hAnsiTheme="majorBidi" w:cstheme="majorBidi"/>
          <w:i/>
          <w:iCs/>
        </w:rPr>
        <w:t>Small and Medium Enterprises (SMEs),</w:t>
      </w:r>
      <w:r w:rsidRPr="005635E7">
        <w:rPr>
          <w:rFonts w:asciiTheme="majorBidi" w:hAnsiTheme="majorBidi" w:cstheme="majorBidi"/>
        </w:rPr>
        <w:t xml:space="preserve"> </w:t>
      </w:r>
      <w:hyperlink r:id="rId43" w:history="1">
        <w:r w:rsidR="0092151E" w:rsidRPr="00AD2413">
          <w:rPr>
            <w:rStyle w:val="Hyperlink"/>
            <w:rFonts w:asciiTheme="majorBidi" w:hAnsiTheme="majorBidi" w:cstheme="majorBidi"/>
          </w:rPr>
          <w:t>https://u.ae/en/information-and-services/business/small-and-medium-enterprises/small-and-medium-enterprises</w:t>
        </w:r>
      </w:hyperlink>
      <w:r w:rsidR="0092151E">
        <w:rPr>
          <w:rFonts w:asciiTheme="majorBidi" w:hAnsiTheme="majorBidi" w:cstheme="majorBidi"/>
        </w:rPr>
        <w:t xml:space="preserve"> </w:t>
      </w:r>
    </w:p>
    <w:p w14:paraId="6EB88B39" w14:textId="3E29CCAA"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Theriou, G.N. &amp;</w:t>
      </w:r>
      <w:r w:rsidR="0092151E">
        <w:rPr>
          <w:rFonts w:asciiTheme="majorBidi" w:hAnsiTheme="majorBidi" w:cstheme="majorBidi"/>
        </w:rPr>
        <w:t xml:space="preserve"> Chatzoglou, P.D.</w:t>
      </w:r>
      <w:r w:rsidRPr="005635E7">
        <w:rPr>
          <w:rFonts w:asciiTheme="majorBidi" w:hAnsiTheme="majorBidi" w:cstheme="majorBidi"/>
        </w:rPr>
        <w:t> (2008), Enhancing performance through best HRM practices, organizational learning and knowledge management: A conceptual framework,</w:t>
      </w:r>
      <w:r w:rsidR="0092151E">
        <w:rPr>
          <w:rFonts w:asciiTheme="majorBidi" w:hAnsiTheme="majorBidi" w:cstheme="majorBidi"/>
        </w:rPr>
        <w:t xml:space="preserve"> </w:t>
      </w:r>
      <w:r w:rsidR="0092151E" w:rsidRPr="0092151E">
        <w:rPr>
          <w:rFonts w:asciiTheme="majorBidi" w:hAnsiTheme="majorBidi" w:cstheme="majorBidi"/>
          <w:i/>
          <w:iCs/>
        </w:rPr>
        <w:t>European Business Review,</w:t>
      </w:r>
      <w:r w:rsidR="0092151E">
        <w:rPr>
          <w:rFonts w:asciiTheme="majorBidi" w:hAnsiTheme="majorBidi" w:cstheme="majorBidi"/>
        </w:rPr>
        <w:t xml:space="preserve"> </w:t>
      </w:r>
      <w:r w:rsidRPr="005635E7">
        <w:rPr>
          <w:rFonts w:asciiTheme="majorBidi" w:hAnsiTheme="majorBidi" w:cstheme="majorBidi"/>
        </w:rPr>
        <w:t>220(3)</w:t>
      </w:r>
      <w:r w:rsidR="0092151E">
        <w:rPr>
          <w:rFonts w:asciiTheme="majorBidi" w:hAnsiTheme="majorBidi" w:cstheme="majorBidi"/>
        </w:rPr>
        <w:t>,</w:t>
      </w:r>
      <w:r w:rsidRPr="005635E7">
        <w:rPr>
          <w:rFonts w:asciiTheme="majorBidi" w:hAnsiTheme="majorBidi" w:cstheme="majorBidi"/>
        </w:rPr>
        <w:t xml:space="preserve"> 185-207.</w:t>
      </w:r>
    </w:p>
    <w:p w14:paraId="38C1EE39"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Tohidi, H., &amp; Jabbari, M. M. (2012). Measuring organizational learning capability. </w:t>
      </w:r>
      <w:r w:rsidRPr="00695C59">
        <w:rPr>
          <w:rFonts w:asciiTheme="majorBidi" w:hAnsiTheme="majorBidi" w:cstheme="majorBidi"/>
          <w:i/>
          <w:iCs/>
        </w:rPr>
        <w:t xml:space="preserve">Procedia Social and Behavioral Sciences, </w:t>
      </w:r>
      <w:r w:rsidRPr="005635E7">
        <w:rPr>
          <w:rFonts w:asciiTheme="majorBidi" w:hAnsiTheme="majorBidi" w:cstheme="majorBidi"/>
        </w:rPr>
        <w:t>31, 428-432.</w:t>
      </w:r>
    </w:p>
    <w:p w14:paraId="02DCE125" w14:textId="63106E49"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Tohidi, H., Mohsen S., &amp; Mandegari, M. (2012)</w:t>
      </w:r>
      <w:r w:rsidR="00695C59">
        <w:rPr>
          <w:rFonts w:asciiTheme="majorBidi" w:hAnsiTheme="majorBidi" w:cstheme="majorBidi"/>
        </w:rPr>
        <w:t>.</w:t>
      </w:r>
      <w:r w:rsidRPr="005635E7">
        <w:rPr>
          <w:rFonts w:asciiTheme="majorBidi" w:hAnsiTheme="majorBidi" w:cstheme="majorBidi"/>
        </w:rPr>
        <w:t xml:space="preserve"> Organizational learning measurement and the effect on firm innovation</w:t>
      </w:r>
      <w:r w:rsidR="00695C59">
        <w:rPr>
          <w:rFonts w:asciiTheme="majorBidi" w:hAnsiTheme="majorBidi" w:cstheme="majorBidi"/>
        </w:rPr>
        <w:t>.</w:t>
      </w:r>
      <w:r w:rsidRPr="005635E7">
        <w:rPr>
          <w:rFonts w:asciiTheme="majorBidi" w:hAnsiTheme="majorBidi" w:cstheme="majorBidi"/>
        </w:rPr>
        <w:t xml:space="preserve"> </w:t>
      </w:r>
      <w:r w:rsidRPr="00695C59">
        <w:rPr>
          <w:rFonts w:asciiTheme="majorBidi" w:hAnsiTheme="majorBidi" w:cstheme="majorBidi"/>
          <w:i/>
          <w:iCs/>
        </w:rPr>
        <w:t>Journal of Enterprise Information Management,</w:t>
      </w:r>
      <w:r w:rsidRPr="005635E7">
        <w:rPr>
          <w:rFonts w:asciiTheme="majorBidi" w:hAnsiTheme="majorBidi" w:cstheme="majorBidi"/>
        </w:rPr>
        <w:t> 25(3), 219-245</w:t>
      </w:r>
    </w:p>
    <w:p w14:paraId="6EB5F326"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Tojeiro-Rivero, D., &amp; Moreno, R. (2019). Technological cooperation, R&amp;D outsourcing, and innovation performance at the firm level: The role of the regional context. </w:t>
      </w:r>
      <w:r w:rsidRPr="005635E7">
        <w:rPr>
          <w:rFonts w:ascii="Times New Roman" w:hAnsi="Times New Roman" w:cs="Times New Roman"/>
          <w:i/>
          <w:iCs/>
          <w:shd w:val="clear" w:color="auto" w:fill="FFFFFF"/>
        </w:rPr>
        <w:t>Research Policy</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48</w:t>
      </w:r>
      <w:r w:rsidRPr="005635E7">
        <w:rPr>
          <w:rFonts w:ascii="Times New Roman" w:hAnsi="Times New Roman" w:cs="Times New Roman"/>
          <w:shd w:val="clear" w:color="auto" w:fill="FFFFFF"/>
        </w:rPr>
        <w:t>(7), 1798-1808.</w:t>
      </w:r>
    </w:p>
    <w:p w14:paraId="553DE72D"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Torchia, M., &amp; Calabrò, A. (2019). Open innovation in SMEs: A systematic literature review. </w:t>
      </w:r>
      <w:r w:rsidRPr="000320D1">
        <w:rPr>
          <w:rFonts w:asciiTheme="majorBidi" w:hAnsiTheme="majorBidi" w:cstheme="majorBidi"/>
          <w:i/>
          <w:iCs/>
          <w:shd w:val="clear" w:color="auto" w:fill="FFFFFF"/>
        </w:rPr>
        <w:t>Journal of Enterprising Culture</w:t>
      </w:r>
      <w:r w:rsidRPr="005635E7">
        <w:rPr>
          <w:rFonts w:asciiTheme="majorBidi" w:hAnsiTheme="majorBidi" w:cstheme="majorBidi"/>
          <w:shd w:val="clear" w:color="auto" w:fill="FFFFFF"/>
        </w:rPr>
        <w:t>, 27(02), 201-228.</w:t>
      </w:r>
    </w:p>
    <w:p w14:paraId="42DA892E"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Tortorella, G. L., Vergara, A. M. C., Garza-Reyes, J. A., &amp; Sawhney, R. (2020). Organizational learning paths based upon industry 4.0 adoption: An empirical study with Brazilian manufacturers. </w:t>
      </w:r>
      <w:r w:rsidRPr="000320D1">
        <w:rPr>
          <w:rFonts w:asciiTheme="majorBidi" w:hAnsiTheme="majorBidi" w:cstheme="majorBidi"/>
          <w:i/>
          <w:iCs/>
          <w:shd w:val="clear" w:color="auto" w:fill="FFFFFF"/>
        </w:rPr>
        <w:t>International Journal of Production Economics</w:t>
      </w:r>
      <w:r w:rsidRPr="005635E7">
        <w:rPr>
          <w:rFonts w:asciiTheme="majorBidi" w:hAnsiTheme="majorBidi" w:cstheme="majorBidi"/>
          <w:shd w:val="clear" w:color="auto" w:fill="FFFFFF"/>
        </w:rPr>
        <w:t>, 219, 284-294.</w:t>
      </w:r>
    </w:p>
    <w:p w14:paraId="54CD8FC3" w14:textId="7A2765BD"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Tran, P. T., Pham, L. M., Do, P. T., &amp; Le, T. A. (2020). HRM practices and employees’ innovative work behavior-IWB An application of the AMO theory. </w:t>
      </w:r>
      <w:r w:rsidR="000320D1" w:rsidRPr="000320D1">
        <w:rPr>
          <w:rFonts w:asciiTheme="majorBidi" w:hAnsiTheme="majorBidi" w:cstheme="majorBidi"/>
          <w:i/>
          <w:iCs/>
        </w:rPr>
        <w:t>International Journal of Physical and Social Sciences</w:t>
      </w:r>
      <w:r w:rsidR="000320D1">
        <w:rPr>
          <w:rFonts w:asciiTheme="majorBidi" w:hAnsiTheme="majorBidi" w:cstheme="majorBidi"/>
        </w:rPr>
        <w:t xml:space="preserve">, </w:t>
      </w:r>
      <w:r w:rsidRPr="005635E7">
        <w:rPr>
          <w:rFonts w:asciiTheme="majorBidi" w:hAnsiTheme="majorBidi" w:cstheme="majorBidi"/>
        </w:rPr>
        <w:t>10(5)</w:t>
      </w:r>
      <w:r w:rsidR="000320D1">
        <w:rPr>
          <w:rFonts w:asciiTheme="majorBidi" w:hAnsiTheme="majorBidi" w:cstheme="majorBidi"/>
        </w:rPr>
        <w:t>,</w:t>
      </w:r>
      <w:r w:rsidRPr="005635E7">
        <w:rPr>
          <w:rFonts w:asciiTheme="majorBidi" w:hAnsiTheme="majorBidi" w:cstheme="majorBidi"/>
        </w:rPr>
        <w:t xml:space="preserve"> 1-7</w:t>
      </w:r>
    </w:p>
    <w:p w14:paraId="6D1114D0" w14:textId="7E9E8F39" w:rsidR="005976AB" w:rsidRPr="002F48E8" w:rsidRDefault="005976AB" w:rsidP="005976AB">
      <w:pPr>
        <w:spacing w:after="240" w:line="276" w:lineRule="auto"/>
        <w:ind w:left="567" w:hanging="567"/>
        <w:rPr>
          <w:rFonts w:ascii="Times New Roman" w:hAnsi="Times New Roman" w:cs="Times New Roman"/>
        </w:rPr>
      </w:pPr>
      <w:r w:rsidRPr="005635E7">
        <w:rPr>
          <w:rFonts w:asciiTheme="majorBidi" w:hAnsiTheme="majorBidi" w:cstheme="majorBidi"/>
        </w:rPr>
        <w:t xml:space="preserve">Tushman, M., W. K. Smith, R. C. Wood, G. Westerman, &amp; C. O’Reilly. (2010). Organizational Designs and Innovation Streams. </w:t>
      </w:r>
      <w:r w:rsidRPr="005635E7">
        <w:rPr>
          <w:rFonts w:asciiTheme="majorBidi" w:hAnsiTheme="majorBidi" w:cstheme="majorBidi"/>
          <w:i/>
          <w:iCs/>
        </w:rPr>
        <w:t>Industrial and Corporate Change</w:t>
      </w:r>
      <w:r w:rsidRPr="005635E7">
        <w:rPr>
          <w:rFonts w:asciiTheme="majorBidi" w:hAnsiTheme="majorBidi" w:cstheme="majorBidi"/>
        </w:rPr>
        <w:t xml:space="preserve">, </w:t>
      </w:r>
      <w:r w:rsidRPr="002F48E8">
        <w:rPr>
          <w:rFonts w:ascii="Times New Roman" w:hAnsi="Times New Roman" w:cs="Times New Roman"/>
        </w:rPr>
        <w:t>19(5)</w:t>
      </w:r>
      <w:r w:rsidR="00745B88" w:rsidRPr="002F48E8">
        <w:rPr>
          <w:rFonts w:ascii="Times New Roman" w:hAnsi="Times New Roman" w:cs="Times New Roman"/>
        </w:rPr>
        <w:t>,</w:t>
      </w:r>
      <w:r w:rsidRPr="002F48E8">
        <w:rPr>
          <w:rFonts w:ascii="Times New Roman" w:hAnsi="Times New Roman" w:cs="Times New Roman"/>
        </w:rPr>
        <w:t xml:space="preserve"> 1331–1366.</w:t>
      </w:r>
    </w:p>
    <w:p w14:paraId="22ACFED1" w14:textId="593546A1" w:rsidR="002F48E8" w:rsidRPr="005635E7" w:rsidRDefault="002F48E8" w:rsidP="005976AB">
      <w:pPr>
        <w:spacing w:after="240" w:line="276" w:lineRule="auto"/>
        <w:ind w:left="567" w:hanging="567"/>
        <w:rPr>
          <w:rFonts w:asciiTheme="majorBidi" w:hAnsiTheme="majorBidi" w:cstheme="majorBidi"/>
        </w:rPr>
      </w:pPr>
      <w:r w:rsidRPr="002F48E8">
        <w:rPr>
          <w:rFonts w:ascii="Times New Roman" w:hAnsi="Times New Roman" w:cs="Times New Roman"/>
          <w:color w:val="222222"/>
          <w:shd w:val="clear" w:color="auto" w:fill="FFFFFF"/>
        </w:rPr>
        <w:t>Usman, M., &amp; Vanhaverbeke, W. (2017). How start-ups successfully organize and manage open innovation with large companies. </w:t>
      </w:r>
      <w:r w:rsidRPr="002F48E8">
        <w:rPr>
          <w:rFonts w:ascii="Times New Roman" w:hAnsi="Times New Roman" w:cs="Times New Roman"/>
          <w:i/>
          <w:iCs/>
          <w:color w:val="222222"/>
          <w:shd w:val="clear" w:color="auto" w:fill="FFFFFF"/>
        </w:rPr>
        <w:t>European Journal of Innovation Management</w:t>
      </w:r>
      <w:r w:rsidRPr="002F48E8">
        <w:rPr>
          <w:rFonts w:ascii="Times New Roman" w:hAnsi="Times New Roman" w:cs="Times New Roman"/>
          <w:color w:val="222222"/>
          <w:shd w:val="clear" w:color="auto" w:fill="FFFFFF"/>
        </w:rPr>
        <w:t>, </w:t>
      </w:r>
      <w:r w:rsidRPr="002F48E8">
        <w:rPr>
          <w:rFonts w:ascii="Times New Roman" w:hAnsi="Times New Roman" w:cs="Times New Roman"/>
          <w:i/>
          <w:iCs/>
          <w:color w:val="222222"/>
          <w:shd w:val="clear" w:color="auto" w:fill="FFFFFF"/>
        </w:rPr>
        <w:t>20</w:t>
      </w:r>
      <w:r w:rsidRPr="002F48E8">
        <w:rPr>
          <w:rFonts w:ascii="Times New Roman" w:hAnsi="Times New Roman" w:cs="Times New Roman"/>
          <w:color w:val="222222"/>
          <w:shd w:val="clear" w:color="auto" w:fill="FFFFFF"/>
        </w:rPr>
        <w:t>(1), 171-186</w:t>
      </w:r>
      <w:r>
        <w:rPr>
          <w:rFonts w:ascii="Arial" w:hAnsi="Arial" w:cs="Arial"/>
          <w:color w:val="222222"/>
          <w:sz w:val="20"/>
          <w:szCs w:val="20"/>
          <w:shd w:val="clear" w:color="auto" w:fill="FFFFFF"/>
        </w:rPr>
        <w:t>.</w:t>
      </w:r>
    </w:p>
    <w:p w14:paraId="2FC50668"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Usman, M., Roijakkers, N., Vanhaverbeke, W., &amp; Frattini, F. (2018). A systematic review of the literature on open innovation in SMEs. </w:t>
      </w:r>
      <w:r w:rsidRPr="005635E7">
        <w:rPr>
          <w:rFonts w:asciiTheme="majorBidi" w:hAnsiTheme="majorBidi" w:cstheme="majorBidi"/>
          <w:i/>
          <w:iCs/>
          <w:shd w:val="clear" w:color="auto" w:fill="FFFFFF"/>
        </w:rPr>
        <w:t>Researching open innovation in SMEs</w:t>
      </w:r>
      <w:r w:rsidRPr="005635E7">
        <w:rPr>
          <w:rFonts w:asciiTheme="majorBidi" w:hAnsiTheme="majorBidi" w:cstheme="majorBidi"/>
          <w:shd w:val="clear" w:color="auto" w:fill="FFFFFF"/>
        </w:rPr>
        <w:t>, 3-35.</w:t>
      </w:r>
    </w:p>
    <w:p w14:paraId="349390F5"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Valdez-Juárez, L. E., &amp; Castillo-Vergara, M. (2021). Technological capabilities, open innovation, and eco-innovation: Dynamic capabilities to increase corporate performance of SMEs. </w:t>
      </w:r>
      <w:r w:rsidRPr="00922F27">
        <w:rPr>
          <w:rFonts w:asciiTheme="majorBidi" w:hAnsiTheme="majorBidi" w:cstheme="majorBidi"/>
          <w:i/>
          <w:iCs/>
          <w:shd w:val="clear" w:color="auto" w:fill="FFFFFF"/>
        </w:rPr>
        <w:t>Journal of Open Innovation: Technology, Market, and Complexity</w:t>
      </w:r>
      <w:r w:rsidRPr="005635E7">
        <w:rPr>
          <w:rFonts w:asciiTheme="majorBidi" w:hAnsiTheme="majorBidi" w:cstheme="majorBidi"/>
          <w:shd w:val="clear" w:color="auto" w:fill="FFFFFF"/>
        </w:rPr>
        <w:t>, 7(1), 8.</w:t>
      </w:r>
    </w:p>
    <w:p w14:paraId="1C2CE44B" w14:textId="77777777" w:rsidR="005976AB" w:rsidRPr="005635E7" w:rsidRDefault="005976AB" w:rsidP="005976AB">
      <w:pPr>
        <w:spacing w:after="240" w:line="276" w:lineRule="auto"/>
        <w:ind w:left="567" w:hanging="567"/>
        <w:rPr>
          <w:rFonts w:asciiTheme="majorBidi" w:hAnsiTheme="majorBidi" w:cstheme="majorBidi"/>
        </w:rPr>
      </w:pPr>
      <w:bookmarkStart w:id="143" w:name="_Hlk48150514"/>
      <w:r w:rsidRPr="005635E7">
        <w:rPr>
          <w:rFonts w:asciiTheme="majorBidi" w:hAnsiTheme="majorBidi" w:cstheme="majorBidi"/>
        </w:rPr>
        <w:t>Van Waeyenberg, T., &amp; Decramer, A. (2018</w:t>
      </w:r>
      <w:bookmarkEnd w:id="143"/>
      <w:r w:rsidRPr="005635E7">
        <w:rPr>
          <w:rFonts w:asciiTheme="majorBidi" w:hAnsiTheme="majorBidi" w:cstheme="majorBidi"/>
        </w:rPr>
        <w:t>). Line managers’ AMO to manage employees’ performance: the route to effective and satisfying performance management. </w:t>
      </w:r>
      <w:r w:rsidRPr="005635E7">
        <w:rPr>
          <w:rFonts w:asciiTheme="majorBidi" w:hAnsiTheme="majorBidi" w:cstheme="majorBidi"/>
          <w:i/>
          <w:iCs/>
        </w:rPr>
        <w:t>The International Journal of Human Resource Management</w:t>
      </w:r>
      <w:r w:rsidRPr="005635E7">
        <w:rPr>
          <w:rFonts w:asciiTheme="majorBidi" w:hAnsiTheme="majorBidi" w:cstheme="majorBidi"/>
        </w:rPr>
        <w:t>, 29(22), 3093-3114.</w:t>
      </w:r>
    </w:p>
    <w:p w14:paraId="013ECA32"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Vincent-Hoper, S., &amp; Stein, M. (2019). The Leader Support for Innovation Questionnaire (LSIQ): Development and validation of a measure for assessing leader support for innovation. </w:t>
      </w:r>
      <w:r w:rsidRPr="005635E7">
        <w:rPr>
          <w:rFonts w:asciiTheme="majorBidi" w:hAnsiTheme="majorBidi" w:cstheme="majorBidi"/>
          <w:i/>
          <w:iCs/>
        </w:rPr>
        <w:t>Leadership &amp; Organization</w:t>
      </w:r>
      <w:r w:rsidRPr="005635E7">
        <w:rPr>
          <w:rFonts w:asciiTheme="majorBidi" w:hAnsiTheme="majorBidi" w:cstheme="majorBidi"/>
        </w:rPr>
        <w:t>, 40(8), 898-915.</w:t>
      </w:r>
    </w:p>
    <w:p w14:paraId="60DF9570" w14:textId="784A5304"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Wan D., Ong C. H. &amp; Kok V. (2002) Strategic human resource management and organizational performance in Singapore. </w:t>
      </w:r>
      <w:r w:rsidRPr="00922F27">
        <w:rPr>
          <w:rFonts w:asciiTheme="majorBidi" w:hAnsiTheme="majorBidi" w:cstheme="majorBidi"/>
          <w:i/>
          <w:iCs/>
        </w:rPr>
        <w:t>Comp Benefits Rev.</w:t>
      </w:r>
      <w:r w:rsidRPr="005635E7">
        <w:rPr>
          <w:rFonts w:asciiTheme="majorBidi" w:hAnsiTheme="majorBidi" w:cstheme="majorBidi"/>
        </w:rPr>
        <w:t xml:space="preserve"> 34(4)</w:t>
      </w:r>
      <w:r w:rsidR="00922F27">
        <w:rPr>
          <w:rFonts w:asciiTheme="majorBidi" w:hAnsiTheme="majorBidi" w:cstheme="majorBidi"/>
        </w:rPr>
        <w:t>,</w:t>
      </w:r>
      <w:r w:rsidRPr="005635E7">
        <w:rPr>
          <w:rFonts w:asciiTheme="majorBidi" w:hAnsiTheme="majorBidi" w:cstheme="majorBidi"/>
        </w:rPr>
        <w:t>33–42</w:t>
      </w:r>
      <w:r w:rsidR="00922F27">
        <w:rPr>
          <w:rFonts w:asciiTheme="majorBidi" w:hAnsiTheme="majorBidi" w:cstheme="majorBidi"/>
        </w:rPr>
        <w:t>.</w:t>
      </w:r>
    </w:p>
    <w:p w14:paraId="7C74C925" w14:textId="37D5EE55"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Wang, C. L., C. Senaratne, &amp; M. Rafiq. (2015). Success Traps, Dynamic Capabilities and Firm Performance. </w:t>
      </w:r>
      <w:r w:rsidRPr="005635E7">
        <w:rPr>
          <w:rFonts w:asciiTheme="majorBidi" w:hAnsiTheme="majorBidi" w:cstheme="majorBidi"/>
          <w:i/>
          <w:iCs/>
        </w:rPr>
        <w:t>British Journal of Management</w:t>
      </w:r>
      <w:r w:rsidRPr="005635E7">
        <w:rPr>
          <w:rFonts w:asciiTheme="majorBidi" w:hAnsiTheme="majorBidi" w:cstheme="majorBidi"/>
        </w:rPr>
        <w:t xml:space="preserve"> 26(1)</w:t>
      </w:r>
      <w:r w:rsidR="00922F27">
        <w:rPr>
          <w:rFonts w:asciiTheme="majorBidi" w:hAnsiTheme="majorBidi" w:cstheme="majorBidi"/>
        </w:rPr>
        <w:t>,</w:t>
      </w:r>
      <w:r w:rsidRPr="005635E7">
        <w:rPr>
          <w:rFonts w:asciiTheme="majorBidi" w:hAnsiTheme="majorBidi" w:cstheme="majorBidi"/>
        </w:rPr>
        <w:t xml:space="preserve"> 26–44</w:t>
      </w:r>
      <w:r w:rsidR="00922F27">
        <w:rPr>
          <w:rFonts w:asciiTheme="majorBidi" w:hAnsiTheme="majorBidi" w:cstheme="majorBidi"/>
        </w:rPr>
        <w:t>.</w:t>
      </w:r>
    </w:p>
    <w:p w14:paraId="2755857B"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Wang, X. U. E. (2018). The effect of inbound open innovation on firm performance in Japanese manufacturing firms: Comparative study between research centre and business unit. </w:t>
      </w:r>
      <w:r w:rsidRPr="00922F27">
        <w:rPr>
          <w:rFonts w:asciiTheme="majorBidi" w:hAnsiTheme="majorBidi" w:cstheme="majorBidi"/>
          <w:i/>
          <w:iCs/>
          <w:shd w:val="clear" w:color="auto" w:fill="FFFFFF"/>
        </w:rPr>
        <w:t>International Journal of Innovation Management</w:t>
      </w:r>
      <w:r w:rsidRPr="005635E7">
        <w:rPr>
          <w:rFonts w:asciiTheme="majorBidi" w:hAnsiTheme="majorBidi" w:cstheme="majorBidi"/>
          <w:shd w:val="clear" w:color="auto" w:fill="FFFFFF"/>
        </w:rPr>
        <w:t>, 22(07), 1850054.</w:t>
      </w:r>
    </w:p>
    <w:p w14:paraId="16EE8F09"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Wang, X., &amp; Xu, M. (2018). Examining the linkage among open innovation, customer knowledge management and radical innovation: The multiple mediating effects of organizational learning ability. </w:t>
      </w:r>
      <w:r w:rsidRPr="00922F27">
        <w:rPr>
          <w:rFonts w:asciiTheme="majorBidi" w:hAnsiTheme="majorBidi" w:cstheme="majorBidi"/>
          <w:i/>
          <w:iCs/>
          <w:shd w:val="clear" w:color="auto" w:fill="FFFFFF"/>
        </w:rPr>
        <w:t>Baltic Journal of Management</w:t>
      </w:r>
      <w:r w:rsidRPr="005635E7">
        <w:rPr>
          <w:rFonts w:asciiTheme="majorBidi" w:hAnsiTheme="majorBidi" w:cstheme="majorBidi"/>
          <w:shd w:val="clear" w:color="auto" w:fill="FFFFFF"/>
        </w:rPr>
        <w:t>, 13(3), 368-389.</w:t>
      </w:r>
    </w:p>
    <w:p w14:paraId="58F20D75"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Wikhamn, W. (2019). Innovation, sustainable HRM and customer satisfaction. </w:t>
      </w:r>
      <w:r w:rsidRPr="005635E7">
        <w:rPr>
          <w:rFonts w:ascii="Times New Roman" w:hAnsi="Times New Roman" w:cs="Times New Roman"/>
          <w:i/>
          <w:iCs/>
          <w:shd w:val="clear" w:color="auto" w:fill="FFFFFF"/>
        </w:rPr>
        <w:t>International Journal of Hospitality Management</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76</w:t>
      </w:r>
      <w:r w:rsidRPr="005635E7">
        <w:rPr>
          <w:rFonts w:ascii="Times New Roman" w:hAnsi="Times New Roman" w:cs="Times New Roman"/>
          <w:shd w:val="clear" w:color="auto" w:fill="FFFFFF"/>
        </w:rPr>
        <w:t>, 102-110.</w:t>
      </w:r>
    </w:p>
    <w:p w14:paraId="58FB1C64"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Wu, J., Ma, Z., Liu, Z., &amp; Lei, C. K. (2019). A contingent view of institutional environment, firm capability, and innovation performance of emerging multinational enterprises. </w:t>
      </w:r>
      <w:r w:rsidRPr="005635E7">
        <w:rPr>
          <w:rFonts w:ascii="Times New Roman" w:hAnsi="Times New Roman" w:cs="Times New Roman"/>
          <w:i/>
          <w:iCs/>
          <w:shd w:val="clear" w:color="auto" w:fill="FFFFFF"/>
        </w:rPr>
        <w:t>Industrial Marketing Management</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82</w:t>
      </w:r>
      <w:r w:rsidRPr="005635E7">
        <w:rPr>
          <w:rFonts w:ascii="Times New Roman" w:hAnsi="Times New Roman" w:cs="Times New Roman"/>
          <w:shd w:val="clear" w:color="auto" w:fill="FFFFFF"/>
        </w:rPr>
        <w:t>, 148-157.</w:t>
      </w:r>
    </w:p>
    <w:p w14:paraId="347D0ED5"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 xml:space="preserve">Wu, N., Hoque, K., Bacon, N. &amp; Bou Llusar, J.C. (2015), High-performance work systems and workplace performance in small, medium-sized and large firms, </w:t>
      </w:r>
      <w:r w:rsidRPr="005635E7">
        <w:rPr>
          <w:rFonts w:asciiTheme="majorBidi" w:hAnsiTheme="majorBidi" w:cstheme="majorBidi"/>
          <w:i/>
          <w:iCs/>
        </w:rPr>
        <w:t>Human Resource Management Journal</w:t>
      </w:r>
      <w:r w:rsidRPr="005635E7">
        <w:rPr>
          <w:rFonts w:asciiTheme="majorBidi" w:hAnsiTheme="majorBidi" w:cstheme="majorBidi"/>
        </w:rPr>
        <w:t>, 25(4). 408-423</w:t>
      </w:r>
    </w:p>
    <w:p w14:paraId="3CAEC770"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Zaiţ, A., &amp; Bertea, P. S. P. E. (2011). Methods for testing discriminant validity. </w:t>
      </w:r>
      <w:r w:rsidRPr="005635E7">
        <w:rPr>
          <w:rFonts w:ascii="Times New Roman" w:hAnsi="Times New Roman" w:cs="Times New Roman"/>
          <w:i/>
          <w:iCs/>
          <w:shd w:val="clear" w:color="auto" w:fill="FFFFFF"/>
        </w:rPr>
        <w:t>Management &amp; Marketing Journal</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9</w:t>
      </w:r>
      <w:r w:rsidRPr="005635E7">
        <w:rPr>
          <w:rFonts w:ascii="Times New Roman" w:hAnsi="Times New Roman" w:cs="Times New Roman"/>
          <w:shd w:val="clear" w:color="auto" w:fill="FFFFFF"/>
        </w:rPr>
        <w:t>(2), 217-224.</w:t>
      </w:r>
    </w:p>
    <w:p w14:paraId="1825E729" w14:textId="77777777" w:rsidR="005976AB" w:rsidRPr="005635E7" w:rsidRDefault="005976AB" w:rsidP="005976AB">
      <w:pPr>
        <w:spacing w:after="240" w:line="276" w:lineRule="auto"/>
        <w:ind w:left="567" w:hanging="567"/>
        <w:rPr>
          <w:rFonts w:ascii="Times New Roman" w:hAnsi="Times New Roman" w:cs="Times New Roman"/>
          <w:shd w:val="clear" w:color="auto" w:fill="FFFFFF"/>
        </w:rPr>
      </w:pPr>
      <w:r w:rsidRPr="005635E7">
        <w:rPr>
          <w:rFonts w:ascii="Times New Roman" w:hAnsi="Times New Roman" w:cs="Times New Roman"/>
          <w:shd w:val="clear" w:color="auto" w:fill="FFFFFF"/>
        </w:rPr>
        <w:t>Zhang, J. A., Edgar, F., Geare, A., &amp; O'Kane, C. (2016). The interactive effects of entrepreneurial orientation and capability-based HRM on firm performance: The mediating role of innovation ambidexterity. </w:t>
      </w:r>
      <w:r w:rsidRPr="005635E7">
        <w:rPr>
          <w:rFonts w:ascii="Times New Roman" w:hAnsi="Times New Roman" w:cs="Times New Roman"/>
          <w:i/>
          <w:iCs/>
          <w:shd w:val="clear" w:color="auto" w:fill="FFFFFF"/>
        </w:rPr>
        <w:t>Industrial Marketing Management</w:t>
      </w:r>
      <w:r w:rsidRPr="005635E7">
        <w:rPr>
          <w:rFonts w:ascii="Times New Roman" w:hAnsi="Times New Roman" w:cs="Times New Roman"/>
          <w:shd w:val="clear" w:color="auto" w:fill="FFFFFF"/>
        </w:rPr>
        <w:t>, </w:t>
      </w:r>
      <w:r w:rsidRPr="005635E7">
        <w:rPr>
          <w:rFonts w:ascii="Times New Roman" w:hAnsi="Times New Roman" w:cs="Times New Roman"/>
          <w:i/>
          <w:iCs/>
          <w:shd w:val="clear" w:color="auto" w:fill="FFFFFF"/>
        </w:rPr>
        <w:t>59</w:t>
      </w:r>
      <w:r w:rsidRPr="005635E7">
        <w:rPr>
          <w:rFonts w:ascii="Times New Roman" w:hAnsi="Times New Roman" w:cs="Times New Roman"/>
          <w:shd w:val="clear" w:color="auto" w:fill="FFFFFF"/>
        </w:rPr>
        <w:t>, 131-143.</w:t>
      </w:r>
    </w:p>
    <w:p w14:paraId="0121D0B6" w14:textId="77777777" w:rsidR="005976AB" w:rsidRPr="005635E7" w:rsidRDefault="005976AB" w:rsidP="005976AB">
      <w:pPr>
        <w:spacing w:after="240" w:line="276" w:lineRule="auto"/>
        <w:ind w:left="567" w:hanging="567"/>
        <w:rPr>
          <w:rFonts w:asciiTheme="majorBidi" w:hAnsiTheme="majorBidi" w:cstheme="majorBidi"/>
          <w:shd w:val="clear" w:color="auto" w:fill="FFFFFF"/>
        </w:rPr>
      </w:pPr>
      <w:r w:rsidRPr="005635E7">
        <w:rPr>
          <w:rFonts w:asciiTheme="majorBidi" w:hAnsiTheme="majorBidi" w:cstheme="majorBidi"/>
          <w:shd w:val="clear" w:color="auto" w:fill="FFFFFF"/>
        </w:rPr>
        <w:t>Zhang, X., Chu, Z., Ren, L., &amp; Xing, J. (2023). Open innovation and sustainable competitive advantage: The role of organizational learning. </w:t>
      </w:r>
      <w:r w:rsidRPr="008F5672">
        <w:rPr>
          <w:rFonts w:asciiTheme="majorBidi" w:hAnsiTheme="majorBidi" w:cstheme="majorBidi"/>
          <w:i/>
          <w:iCs/>
          <w:shd w:val="clear" w:color="auto" w:fill="FFFFFF"/>
        </w:rPr>
        <w:t>Technological Forecasting and Social Change, </w:t>
      </w:r>
      <w:r w:rsidRPr="005635E7">
        <w:rPr>
          <w:rFonts w:asciiTheme="majorBidi" w:hAnsiTheme="majorBidi" w:cstheme="majorBidi"/>
          <w:shd w:val="clear" w:color="auto" w:fill="FFFFFF"/>
        </w:rPr>
        <w:t>186, 122114.</w:t>
      </w:r>
    </w:p>
    <w:p w14:paraId="09508E2B" w14:textId="77777777" w:rsidR="005976AB" w:rsidRPr="005635E7" w:rsidRDefault="005976AB" w:rsidP="005976AB">
      <w:pPr>
        <w:spacing w:after="240" w:line="276" w:lineRule="auto"/>
        <w:ind w:left="284" w:hanging="284"/>
        <w:jc w:val="both"/>
        <w:rPr>
          <w:rFonts w:asciiTheme="majorBidi" w:hAnsiTheme="majorBidi" w:cstheme="majorBidi"/>
          <w:shd w:val="clear" w:color="auto" w:fill="FFFFFF"/>
        </w:rPr>
      </w:pPr>
      <w:r w:rsidRPr="005635E7">
        <w:rPr>
          <w:rFonts w:asciiTheme="majorBidi" w:hAnsiTheme="majorBidi" w:cstheme="majorBidi"/>
          <w:shd w:val="clear" w:color="auto" w:fill="FFFFFF"/>
        </w:rPr>
        <w:t>Zhou, S. S., Zhou, A. J., Feng, J., &amp; Jiang, S. (2019). Dynamic capabilities and organizational performance: The mediating role of innovation. </w:t>
      </w:r>
      <w:r w:rsidRPr="005635E7">
        <w:rPr>
          <w:rFonts w:asciiTheme="majorBidi" w:hAnsiTheme="majorBidi" w:cstheme="majorBidi"/>
          <w:i/>
          <w:iCs/>
          <w:shd w:val="clear" w:color="auto" w:fill="FFFFFF"/>
        </w:rPr>
        <w:t>Journal of Management &amp; Organization</w:t>
      </w:r>
      <w:r w:rsidRPr="005635E7">
        <w:rPr>
          <w:rFonts w:asciiTheme="majorBidi" w:hAnsiTheme="majorBidi" w:cstheme="majorBidi"/>
          <w:shd w:val="clear" w:color="auto" w:fill="FFFFFF"/>
        </w:rPr>
        <w:t>, </w:t>
      </w:r>
      <w:r w:rsidRPr="005635E7">
        <w:rPr>
          <w:rFonts w:asciiTheme="majorBidi" w:hAnsiTheme="majorBidi" w:cstheme="majorBidi"/>
          <w:i/>
          <w:iCs/>
          <w:shd w:val="clear" w:color="auto" w:fill="FFFFFF"/>
        </w:rPr>
        <w:t>25</w:t>
      </w:r>
      <w:r w:rsidRPr="005635E7">
        <w:rPr>
          <w:rFonts w:asciiTheme="majorBidi" w:hAnsiTheme="majorBidi" w:cstheme="majorBidi"/>
          <w:shd w:val="clear" w:color="auto" w:fill="FFFFFF"/>
        </w:rPr>
        <w:t>(5), 731-747.</w:t>
      </w:r>
    </w:p>
    <w:p w14:paraId="726AB600" w14:textId="77777777" w:rsidR="005976AB" w:rsidRPr="005635E7" w:rsidRDefault="005976AB" w:rsidP="005976AB">
      <w:pPr>
        <w:spacing w:after="240" w:line="276" w:lineRule="auto"/>
        <w:ind w:left="567" w:hanging="567"/>
        <w:rPr>
          <w:rFonts w:asciiTheme="majorBidi" w:hAnsiTheme="majorBidi" w:cstheme="majorBidi"/>
        </w:rPr>
      </w:pPr>
      <w:r w:rsidRPr="005635E7">
        <w:rPr>
          <w:rFonts w:asciiTheme="majorBidi" w:hAnsiTheme="majorBidi" w:cstheme="majorBidi"/>
        </w:rPr>
        <w:t>Zhu, C., Liu, A., &amp; Chen, G. (2018). High performance work systems and corporate performance: the influence of entrepreneurial orientation and organizational learning. </w:t>
      </w:r>
      <w:r w:rsidRPr="005635E7">
        <w:rPr>
          <w:rFonts w:asciiTheme="majorBidi" w:hAnsiTheme="majorBidi" w:cstheme="majorBidi"/>
          <w:i/>
          <w:iCs/>
        </w:rPr>
        <w:t>Frontiers of Business Research in China</w:t>
      </w:r>
      <w:r w:rsidRPr="005635E7">
        <w:rPr>
          <w:rFonts w:asciiTheme="majorBidi" w:hAnsiTheme="majorBidi" w:cstheme="majorBidi"/>
        </w:rPr>
        <w:t>, 12(1), 4.</w:t>
      </w:r>
    </w:p>
    <w:p w14:paraId="02D5140E" w14:textId="77777777" w:rsidR="005976AB" w:rsidRPr="005635E7" w:rsidRDefault="005976AB" w:rsidP="005976AB">
      <w:pPr>
        <w:spacing w:after="240"/>
        <w:ind w:left="567" w:hanging="567"/>
        <w:rPr>
          <w:rFonts w:asciiTheme="majorBidi" w:hAnsiTheme="majorBidi" w:cstheme="majorBidi"/>
        </w:rPr>
      </w:pPr>
    </w:p>
    <w:p w14:paraId="436F0420" w14:textId="77777777" w:rsidR="005976AB" w:rsidRPr="005635E7" w:rsidRDefault="005976AB" w:rsidP="005976AB">
      <w:pPr>
        <w:ind w:left="567" w:hanging="567"/>
        <w:rPr>
          <w:rFonts w:asciiTheme="majorBidi" w:hAnsiTheme="majorBidi" w:cstheme="majorBidi"/>
        </w:rPr>
      </w:pPr>
    </w:p>
    <w:p w14:paraId="14FE0B75" w14:textId="77777777" w:rsidR="005976AB" w:rsidRPr="005635E7" w:rsidRDefault="005976AB" w:rsidP="005976AB">
      <w:pPr>
        <w:rPr>
          <w:rFonts w:asciiTheme="majorBidi" w:hAnsiTheme="majorBidi" w:cstheme="majorBidi"/>
        </w:rPr>
      </w:pPr>
      <w:r w:rsidRPr="005635E7">
        <w:rPr>
          <w:rFonts w:asciiTheme="majorBidi" w:hAnsiTheme="majorBidi" w:cstheme="majorBidi"/>
        </w:rPr>
        <w:br w:type="page"/>
      </w:r>
    </w:p>
    <w:p w14:paraId="710A4B16" w14:textId="77777777" w:rsidR="005976AB" w:rsidRPr="005635E7" w:rsidRDefault="005976AB" w:rsidP="005976AB">
      <w:pPr>
        <w:pStyle w:val="Heading1"/>
        <w:spacing w:after="240" w:line="360" w:lineRule="auto"/>
        <w:rPr>
          <w:rFonts w:asciiTheme="majorBidi" w:hAnsiTheme="majorBidi"/>
          <w:b/>
          <w:bCs/>
          <w:color w:val="auto"/>
          <w:sz w:val="28"/>
          <w:szCs w:val="28"/>
        </w:rPr>
      </w:pPr>
      <w:bookmarkStart w:id="144" w:name="_Toc115310423"/>
      <w:r w:rsidRPr="005635E7">
        <w:rPr>
          <w:rFonts w:asciiTheme="majorBidi" w:hAnsiTheme="majorBidi"/>
          <w:b/>
          <w:bCs/>
          <w:color w:val="auto"/>
          <w:sz w:val="28"/>
          <w:szCs w:val="28"/>
        </w:rPr>
        <w:t>APPENDIX</w:t>
      </w:r>
      <w:bookmarkEnd w:id="144"/>
    </w:p>
    <w:p w14:paraId="32EF850D" w14:textId="77777777" w:rsidR="005976AB" w:rsidRPr="005635E7" w:rsidRDefault="005976AB" w:rsidP="005976AB">
      <w:pPr>
        <w:pStyle w:val="Heading2"/>
        <w:rPr>
          <w:rFonts w:asciiTheme="majorBidi" w:hAnsiTheme="majorBidi"/>
          <w:b/>
          <w:bCs/>
          <w:color w:val="auto"/>
          <w:shd w:val="clear" w:color="auto" w:fill="FFFFFF"/>
        </w:rPr>
      </w:pPr>
      <w:bookmarkStart w:id="145" w:name="_Toc115310424"/>
      <w:r w:rsidRPr="005635E7">
        <w:rPr>
          <w:rFonts w:asciiTheme="majorBidi" w:hAnsiTheme="majorBidi"/>
          <w:b/>
          <w:bCs/>
          <w:color w:val="auto"/>
          <w:shd w:val="clear" w:color="auto" w:fill="FFFFFF"/>
        </w:rPr>
        <w:t xml:space="preserve">Appendix A: Access to </w:t>
      </w:r>
      <w:r>
        <w:rPr>
          <w:rFonts w:asciiTheme="majorBidi" w:hAnsiTheme="majorBidi"/>
          <w:b/>
          <w:bCs/>
          <w:color w:val="auto"/>
          <w:shd w:val="clear" w:color="auto" w:fill="FFFFFF"/>
        </w:rPr>
        <w:t>t</w:t>
      </w:r>
      <w:r w:rsidRPr="005635E7">
        <w:rPr>
          <w:rFonts w:asciiTheme="majorBidi" w:hAnsiTheme="majorBidi"/>
          <w:b/>
          <w:bCs/>
          <w:color w:val="auto"/>
          <w:shd w:val="clear" w:color="auto" w:fill="FFFFFF"/>
        </w:rPr>
        <w:t xml:space="preserve">he List of SMEs Provided by </w:t>
      </w:r>
      <w:r>
        <w:rPr>
          <w:rFonts w:asciiTheme="majorBidi" w:hAnsiTheme="majorBidi"/>
          <w:b/>
          <w:bCs/>
          <w:color w:val="auto"/>
          <w:shd w:val="clear" w:color="auto" w:fill="FFFFFF"/>
        </w:rPr>
        <w:t xml:space="preserve">the </w:t>
      </w:r>
      <w:r w:rsidRPr="005635E7">
        <w:rPr>
          <w:rFonts w:asciiTheme="majorBidi" w:hAnsiTheme="majorBidi"/>
          <w:b/>
          <w:bCs/>
          <w:color w:val="auto"/>
          <w:shd w:val="clear" w:color="auto" w:fill="FFFFFF"/>
        </w:rPr>
        <w:t>Economic Development Department</w:t>
      </w:r>
      <w:bookmarkEnd w:id="145"/>
    </w:p>
    <w:p w14:paraId="29D01984" w14:textId="77777777" w:rsidR="005976AB" w:rsidRPr="005635E7" w:rsidRDefault="005976AB" w:rsidP="005976AB">
      <w:pPr>
        <w:rPr>
          <w:rFonts w:asciiTheme="majorBidi" w:hAnsiTheme="majorBidi" w:cstheme="majorBidi"/>
        </w:rPr>
      </w:pPr>
      <w:r w:rsidRPr="005635E7">
        <w:rPr>
          <w:rFonts w:asciiTheme="majorBidi" w:hAnsiTheme="majorBidi" w:cstheme="majorBidi"/>
          <w:noProof/>
        </w:rPr>
        <w:drawing>
          <wp:inline distT="0" distB="0" distL="0" distR="0" wp14:anchorId="5DDBCF1D" wp14:editId="54A56FF0">
            <wp:extent cx="4251071" cy="6686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1"/>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4253145" cy="6689813"/>
                    </a:xfrm>
                    <a:prstGeom prst="rect">
                      <a:avLst/>
                    </a:prstGeom>
                    <a:noFill/>
                    <a:ln>
                      <a:noFill/>
                    </a:ln>
                  </pic:spPr>
                </pic:pic>
              </a:graphicData>
            </a:graphic>
          </wp:inline>
        </w:drawing>
      </w:r>
      <w:r w:rsidRPr="005635E7">
        <w:rPr>
          <w:rFonts w:asciiTheme="majorBidi" w:hAnsiTheme="majorBidi" w:cstheme="majorBidi"/>
        </w:rPr>
        <w:br w:type="page"/>
      </w:r>
    </w:p>
    <w:p w14:paraId="2F6FB5F8" w14:textId="77777777" w:rsidR="005976AB" w:rsidRPr="005635E7" w:rsidRDefault="005976AB" w:rsidP="005976AB">
      <w:pPr>
        <w:pStyle w:val="Heading2"/>
        <w:rPr>
          <w:rFonts w:asciiTheme="majorBidi" w:hAnsiTheme="majorBidi"/>
          <w:b/>
          <w:bCs/>
          <w:color w:val="auto"/>
        </w:rPr>
      </w:pPr>
      <w:bookmarkStart w:id="146" w:name="_Toc115310425"/>
      <w:r w:rsidRPr="005635E7">
        <w:rPr>
          <w:rFonts w:asciiTheme="majorBidi" w:hAnsiTheme="majorBidi"/>
          <w:b/>
          <w:bCs/>
          <w:color w:val="auto"/>
        </w:rPr>
        <w:t>Appendix B: Questionnaire (English Version)</w:t>
      </w:r>
      <w:bookmarkEnd w:id="146"/>
    </w:p>
    <w:tbl>
      <w:tblPr>
        <w:tblStyle w:val="TableGrid1"/>
        <w:tblW w:w="5000" w:type="pct"/>
        <w:tblLook w:val="04A0" w:firstRow="1" w:lastRow="0" w:firstColumn="1" w:lastColumn="0" w:noHBand="0" w:noVBand="1"/>
      </w:tblPr>
      <w:tblGrid>
        <w:gridCol w:w="9016"/>
      </w:tblGrid>
      <w:tr w:rsidR="005976AB" w:rsidRPr="005635E7" w14:paraId="29ED6477" w14:textId="77777777" w:rsidTr="009E2F41">
        <w:trPr>
          <w:trHeight w:val="1278"/>
        </w:trPr>
        <w:tc>
          <w:tcPr>
            <w:tcW w:w="5000" w:type="pct"/>
          </w:tcPr>
          <w:p w14:paraId="6BA4BCD7" w14:textId="77777777" w:rsidR="005976AB" w:rsidRPr="005635E7" w:rsidRDefault="005976AB" w:rsidP="009E2F41">
            <w:pPr>
              <w:pStyle w:val="Heading1"/>
              <w:spacing w:before="0"/>
              <w:jc w:val="center"/>
              <w:outlineLvl w:val="0"/>
              <w:rPr>
                <w:rFonts w:asciiTheme="majorBidi" w:hAnsiTheme="majorBidi"/>
                <w:b/>
                <w:bCs/>
                <w:color w:val="auto"/>
                <w:sz w:val="22"/>
                <w:szCs w:val="22"/>
                <w:rtl/>
              </w:rPr>
            </w:pPr>
            <w:bookmarkStart w:id="147" w:name="_Toc109964802"/>
            <w:bookmarkStart w:id="148" w:name="_Toc115310426"/>
            <w:r w:rsidRPr="005635E7">
              <w:rPr>
                <w:rFonts w:asciiTheme="majorBidi" w:hAnsiTheme="majorBidi"/>
                <w:b/>
                <w:bCs/>
                <w:color w:val="auto"/>
                <w:sz w:val="22"/>
                <w:szCs w:val="22"/>
              </w:rPr>
              <w:t>Human Resource Management Practices, Organizational Learning Capabilities, Open Innovation, and Firm Performance in SMEs in the UAE</w:t>
            </w:r>
            <w:bookmarkEnd w:id="147"/>
            <w:bookmarkEnd w:id="148"/>
          </w:p>
        </w:tc>
      </w:tr>
      <w:tr w:rsidR="005976AB" w:rsidRPr="005635E7" w14:paraId="4AF9D6F4" w14:textId="77777777" w:rsidTr="009E2F41">
        <w:tc>
          <w:tcPr>
            <w:tcW w:w="5000" w:type="pct"/>
          </w:tcPr>
          <w:p w14:paraId="1333F37D" w14:textId="77777777" w:rsidR="005976AB" w:rsidRPr="005635E7" w:rsidRDefault="005976AB" w:rsidP="009E2F41">
            <w:pPr>
              <w:rPr>
                <w:rFonts w:asciiTheme="majorBidi" w:hAnsiTheme="majorBidi" w:cstheme="majorBidi"/>
                <w:sz w:val="22"/>
                <w:szCs w:val="22"/>
              </w:rPr>
            </w:pPr>
            <w:r w:rsidRPr="005635E7">
              <w:rPr>
                <w:rFonts w:asciiTheme="majorBidi" w:hAnsiTheme="majorBidi" w:cstheme="majorBidi"/>
                <w:sz w:val="22"/>
                <w:szCs w:val="22"/>
              </w:rPr>
              <w:t>Dear Sir/Madam,</w:t>
            </w:r>
          </w:p>
          <w:p w14:paraId="4B10B61C" w14:textId="77777777" w:rsidR="005976AB" w:rsidRPr="005635E7" w:rsidRDefault="005976AB" w:rsidP="009E2F41">
            <w:pPr>
              <w:rPr>
                <w:rFonts w:asciiTheme="majorBidi" w:hAnsiTheme="majorBidi" w:cstheme="majorBidi"/>
                <w:b/>
                <w:bCs/>
                <w:sz w:val="22"/>
                <w:szCs w:val="22"/>
              </w:rPr>
            </w:pPr>
            <w:r w:rsidRPr="005635E7">
              <w:rPr>
                <w:rFonts w:asciiTheme="majorBidi" w:hAnsiTheme="majorBidi" w:cstheme="majorBidi"/>
                <w:sz w:val="22"/>
                <w:szCs w:val="22"/>
              </w:rPr>
              <w:t>The aim of this survey is to examine the relationships between human resource management practices, organizational learning capabilities, open innovation, and firm performance in the context of Small and Medium Enterprises (SMEs) in the UAE. The expected contribution of this survey will be used to fill the gap in research findings as to how human resource management, organizational learning capabilities, open innovation, and firm performance are interrelated in SMEs operating in emerging countries, such as UAE.</w:t>
            </w:r>
          </w:p>
          <w:p w14:paraId="5B2736BF" w14:textId="77777777" w:rsidR="005976AB" w:rsidRPr="005635E7" w:rsidRDefault="005976AB" w:rsidP="009E2F41">
            <w:pPr>
              <w:rPr>
                <w:rFonts w:asciiTheme="majorBidi" w:hAnsiTheme="majorBidi" w:cstheme="majorBidi"/>
                <w:sz w:val="22"/>
                <w:szCs w:val="22"/>
              </w:rPr>
            </w:pPr>
            <w:r w:rsidRPr="005635E7">
              <w:rPr>
                <w:rFonts w:asciiTheme="majorBidi" w:hAnsiTheme="majorBidi" w:cstheme="majorBidi"/>
                <w:sz w:val="22"/>
                <w:szCs w:val="22"/>
              </w:rPr>
              <w:t>A questionnaire will be administered in randomly selected SMEs in the UAE, including your company. Your participation in this study is voluntary and would be very much appreciated. All you need to do is answer the questions and tick or circle the respective box that best describes your opinion. The survey will require not more than 5-10 minutes of your time. Your responses will be kept strictly confidential and will be used for academic purposes only. Your co-operation is highly appreciated and a valuable contribution towards the success of this research project. Thank you very much for taking the time to complete the survey.</w:t>
            </w:r>
          </w:p>
          <w:p w14:paraId="0A6C30C8" w14:textId="77777777" w:rsidR="005976AB" w:rsidRPr="005635E7" w:rsidRDefault="005976AB" w:rsidP="009E2F41">
            <w:pPr>
              <w:autoSpaceDE w:val="0"/>
              <w:autoSpaceDN w:val="0"/>
              <w:adjustRightInd w:val="0"/>
              <w:rPr>
                <w:rFonts w:asciiTheme="majorBidi" w:hAnsiTheme="majorBidi" w:cstheme="majorBidi"/>
                <w:sz w:val="22"/>
                <w:szCs w:val="22"/>
              </w:rPr>
            </w:pPr>
            <w:r w:rsidRPr="005635E7">
              <w:rPr>
                <w:rFonts w:asciiTheme="majorBidi" w:hAnsiTheme="majorBidi" w:cstheme="majorBidi"/>
                <w:sz w:val="22"/>
                <w:szCs w:val="22"/>
              </w:rPr>
              <w:t>If you have any queries regarding this research, please do not hesitate to contact me.</w:t>
            </w:r>
          </w:p>
          <w:p w14:paraId="739811A4" w14:textId="77777777" w:rsidR="005976AB" w:rsidRPr="005635E7" w:rsidRDefault="005976AB" w:rsidP="009E2F41">
            <w:pPr>
              <w:rPr>
                <w:rFonts w:asciiTheme="majorBidi" w:hAnsiTheme="majorBidi" w:cstheme="majorBidi"/>
                <w:b/>
                <w:bCs/>
                <w:sz w:val="22"/>
                <w:szCs w:val="22"/>
              </w:rPr>
            </w:pPr>
            <w:r w:rsidRPr="005635E7">
              <w:rPr>
                <w:rFonts w:asciiTheme="majorBidi" w:hAnsiTheme="majorBidi" w:cstheme="majorBidi"/>
                <w:b/>
                <w:bCs/>
                <w:sz w:val="22"/>
                <w:szCs w:val="22"/>
              </w:rPr>
              <w:t>The researcher/DBA Candidate:</w:t>
            </w:r>
          </w:p>
          <w:p w14:paraId="2BE9A821" w14:textId="77777777" w:rsidR="005976AB" w:rsidRPr="005635E7" w:rsidRDefault="005976AB" w:rsidP="009E2F41">
            <w:pPr>
              <w:rPr>
                <w:rFonts w:asciiTheme="majorBidi" w:hAnsiTheme="majorBidi" w:cstheme="majorBidi"/>
                <w:b/>
                <w:bCs/>
                <w:sz w:val="22"/>
                <w:szCs w:val="22"/>
              </w:rPr>
            </w:pPr>
            <w:r w:rsidRPr="005635E7">
              <w:rPr>
                <w:rFonts w:asciiTheme="majorBidi" w:hAnsiTheme="majorBidi" w:cstheme="majorBidi"/>
                <w:b/>
                <w:bCs/>
                <w:sz w:val="22"/>
                <w:szCs w:val="22"/>
              </w:rPr>
              <w:t>Name:</w:t>
            </w:r>
          </w:p>
          <w:p w14:paraId="3DE3D507" w14:textId="77777777" w:rsidR="005976AB" w:rsidRPr="005635E7" w:rsidRDefault="005976AB" w:rsidP="009E2F41">
            <w:pPr>
              <w:rPr>
                <w:rFonts w:asciiTheme="majorBidi" w:hAnsiTheme="majorBidi" w:cstheme="majorBidi"/>
                <w:b/>
                <w:sz w:val="22"/>
                <w:szCs w:val="22"/>
              </w:rPr>
            </w:pPr>
            <w:r w:rsidRPr="005635E7">
              <w:rPr>
                <w:rFonts w:asciiTheme="majorBidi" w:hAnsiTheme="majorBidi" w:cstheme="majorBidi"/>
                <w:b/>
                <w:bCs/>
                <w:sz w:val="22"/>
                <w:szCs w:val="22"/>
              </w:rPr>
              <w:t>Email:</w:t>
            </w:r>
          </w:p>
          <w:p w14:paraId="68703B9E" w14:textId="77777777" w:rsidR="005976AB" w:rsidRPr="005635E7" w:rsidRDefault="005976AB" w:rsidP="009E2F41">
            <w:pPr>
              <w:rPr>
                <w:rFonts w:asciiTheme="majorBidi" w:hAnsiTheme="majorBidi" w:cstheme="majorBidi"/>
                <w:b/>
                <w:bCs/>
                <w:sz w:val="22"/>
                <w:szCs w:val="22"/>
              </w:rPr>
            </w:pPr>
            <w:r w:rsidRPr="005635E7">
              <w:rPr>
                <w:rFonts w:asciiTheme="majorBidi" w:hAnsiTheme="majorBidi" w:cstheme="majorBidi"/>
                <w:b/>
                <w:bCs/>
                <w:sz w:val="22"/>
                <w:szCs w:val="22"/>
              </w:rPr>
              <w:t>Research Supervisor:</w:t>
            </w:r>
          </w:p>
          <w:p w14:paraId="34AC0094" w14:textId="77777777" w:rsidR="005976AB" w:rsidRPr="005635E7" w:rsidRDefault="005976AB" w:rsidP="009E2F41">
            <w:pPr>
              <w:rPr>
                <w:rFonts w:asciiTheme="majorBidi" w:hAnsiTheme="majorBidi" w:cstheme="majorBidi"/>
                <w:b/>
                <w:bCs/>
                <w:sz w:val="22"/>
                <w:szCs w:val="22"/>
              </w:rPr>
            </w:pPr>
            <w:r w:rsidRPr="005635E7">
              <w:rPr>
                <w:rFonts w:asciiTheme="majorBidi" w:hAnsiTheme="majorBidi" w:cstheme="majorBidi"/>
                <w:b/>
                <w:bCs/>
                <w:sz w:val="22"/>
                <w:szCs w:val="22"/>
              </w:rPr>
              <w:t>Name:</w:t>
            </w:r>
          </w:p>
          <w:p w14:paraId="459F01FC" w14:textId="77777777" w:rsidR="005976AB" w:rsidRPr="005635E7" w:rsidRDefault="005976AB" w:rsidP="009E2F41">
            <w:pPr>
              <w:rPr>
                <w:rFonts w:asciiTheme="majorBidi" w:hAnsiTheme="majorBidi" w:cstheme="majorBidi"/>
                <w:b/>
                <w:bCs/>
                <w:sz w:val="22"/>
                <w:szCs w:val="22"/>
              </w:rPr>
            </w:pPr>
            <w:r w:rsidRPr="005635E7">
              <w:rPr>
                <w:rFonts w:asciiTheme="majorBidi" w:hAnsiTheme="majorBidi" w:cstheme="majorBidi"/>
                <w:b/>
                <w:bCs/>
                <w:sz w:val="22"/>
                <w:szCs w:val="22"/>
              </w:rPr>
              <w:t>Email:</w:t>
            </w:r>
          </w:p>
          <w:p w14:paraId="001C00AF" w14:textId="77777777" w:rsidR="005976AB" w:rsidRPr="005635E7" w:rsidRDefault="005976AB" w:rsidP="009E2F41">
            <w:pPr>
              <w:autoSpaceDE w:val="0"/>
              <w:autoSpaceDN w:val="0"/>
              <w:adjustRightInd w:val="0"/>
              <w:rPr>
                <w:rFonts w:asciiTheme="majorBidi" w:hAnsiTheme="majorBidi" w:cstheme="majorBidi"/>
                <w:sz w:val="22"/>
                <w:szCs w:val="22"/>
              </w:rPr>
            </w:pPr>
            <w:r w:rsidRPr="005635E7">
              <w:rPr>
                <w:rFonts w:asciiTheme="majorBidi" w:hAnsiTheme="majorBidi" w:cstheme="majorBidi"/>
                <w:sz w:val="22"/>
                <w:szCs w:val="22"/>
              </w:rPr>
              <w:t>College of Business Administration</w:t>
            </w:r>
          </w:p>
          <w:p w14:paraId="4D52EEC6" w14:textId="77777777" w:rsidR="005976AB" w:rsidRPr="005635E7" w:rsidRDefault="005976AB" w:rsidP="009E2F41">
            <w:pPr>
              <w:autoSpaceDE w:val="0"/>
              <w:autoSpaceDN w:val="0"/>
              <w:adjustRightInd w:val="0"/>
              <w:rPr>
                <w:rFonts w:asciiTheme="majorBidi" w:hAnsiTheme="majorBidi" w:cstheme="majorBidi"/>
                <w:sz w:val="22"/>
                <w:szCs w:val="22"/>
              </w:rPr>
            </w:pPr>
            <w:r w:rsidRPr="005635E7">
              <w:rPr>
                <w:rFonts w:asciiTheme="majorBidi" w:hAnsiTheme="majorBidi" w:cstheme="majorBidi"/>
                <w:sz w:val="22"/>
                <w:szCs w:val="22"/>
              </w:rPr>
              <w:t>Abu Dhabi University, Abu Dhabi</w:t>
            </w:r>
          </w:p>
          <w:p w14:paraId="019EFA6D" w14:textId="77777777" w:rsidR="005976AB" w:rsidRPr="005635E7" w:rsidRDefault="005976AB" w:rsidP="009E2F41">
            <w:pPr>
              <w:rPr>
                <w:rFonts w:asciiTheme="majorBidi" w:hAnsiTheme="majorBidi" w:cstheme="majorBidi"/>
                <w:sz w:val="22"/>
                <w:szCs w:val="22"/>
              </w:rPr>
            </w:pPr>
            <w:r w:rsidRPr="005635E7">
              <w:rPr>
                <w:rFonts w:asciiTheme="majorBidi" w:hAnsiTheme="majorBidi" w:cstheme="majorBidi"/>
                <w:sz w:val="22"/>
                <w:szCs w:val="22"/>
              </w:rPr>
              <w:t>United Arab Emirates</w:t>
            </w:r>
          </w:p>
        </w:tc>
      </w:tr>
    </w:tbl>
    <w:p w14:paraId="6DB820B0" w14:textId="77777777" w:rsidR="005976AB" w:rsidRPr="005635E7" w:rsidRDefault="005976AB" w:rsidP="005976AB">
      <w:pPr>
        <w:rPr>
          <w:rFonts w:asciiTheme="majorBidi" w:hAnsiTheme="majorBidi" w:cstheme="majorBidi"/>
        </w:rPr>
      </w:pPr>
    </w:p>
    <w:p w14:paraId="4BCAE145" w14:textId="77777777" w:rsidR="005976AB" w:rsidRPr="005635E7" w:rsidRDefault="005976AB" w:rsidP="005976AB">
      <w:pPr>
        <w:rPr>
          <w:rFonts w:asciiTheme="majorBidi" w:hAnsiTheme="majorBidi" w:cstheme="majorBidi"/>
        </w:rPr>
      </w:pPr>
      <w:r w:rsidRPr="005635E7">
        <w:rPr>
          <w:rFonts w:asciiTheme="majorBidi" w:hAnsiTheme="majorBidi" w:cstheme="majorBidi"/>
          <w:noProof/>
          <w:lang w:eastAsia="en-GB"/>
        </w:rPr>
        <mc:AlternateContent>
          <mc:Choice Requires="wps">
            <w:drawing>
              <wp:anchor distT="0" distB="0" distL="114300" distR="114300" simplePos="0" relativeHeight="251683840" behindDoc="0" locked="0" layoutInCell="1" allowOverlap="1" wp14:anchorId="69C4334F" wp14:editId="26F157D6">
                <wp:simplePos x="0" y="0"/>
                <wp:positionH relativeFrom="margin">
                  <wp:align>center</wp:align>
                </wp:positionH>
                <wp:positionV relativeFrom="paragraph">
                  <wp:posOffset>9525</wp:posOffset>
                </wp:positionV>
                <wp:extent cx="6276975" cy="333375"/>
                <wp:effectExtent l="0" t="0" r="28575" b="28575"/>
                <wp:wrapNone/>
                <wp:docPr id="22" name="Rectangle: Rounded Corners 22"/>
                <wp:cNvGraphicFramePr/>
                <a:graphic xmlns:a="http://schemas.openxmlformats.org/drawingml/2006/main">
                  <a:graphicData uri="http://schemas.microsoft.com/office/word/2010/wordprocessingShape">
                    <wps:wsp>
                      <wps:cNvSpPr/>
                      <wps:spPr>
                        <a:xfrm>
                          <a:off x="0" y="0"/>
                          <a:ext cx="6276975" cy="333375"/>
                        </a:xfrm>
                        <a:prstGeom prst="roundRect">
                          <a:avLst/>
                        </a:prstGeom>
                        <a:solidFill>
                          <a:sysClr val="window" lastClr="FFFFFF">
                            <a:lumMod val="95000"/>
                          </a:sysClr>
                        </a:solidFill>
                        <a:ln w="6350">
                          <a:solidFill>
                            <a:srgbClr val="4F81BD">
                              <a:shade val="50000"/>
                            </a:srgbClr>
                          </a:solidFill>
                          <a:prstDash val="solid"/>
                        </a:ln>
                        <a:effectLst/>
                      </wps:spPr>
                      <wps:txbx>
                        <w:txbxContent>
                          <w:p w14:paraId="31B61231" w14:textId="77777777" w:rsidR="005976AB" w:rsidRPr="0014777B" w:rsidRDefault="005976AB" w:rsidP="005976AB">
                            <w:pPr>
                              <w:jc w:val="center"/>
                              <w:rPr>
                                <w:rFonts w:cstheme="minorHAnsi"/>
                                <w:b/>
                                <w:color w:val="000000"/>
                                <w:sz w:val="32"/>
                                <w:szCs w:val="32"/>
                              </w:rPr>
                            </w:pPr>
                            <w:r w:rsidRPr="0014777B">
                              <w:rPr>
                                <w:rFonts w:cstheme="minorHAnsi"/>
                                <w:b/>
                                <w:color w:val="000000"/>
                                <w:sz w:val="28"/>
                                <w:szCs w:val="28"/>
                              </w:rPr>
                              <w:t xml:space="preserve">General Information about the </w:t>
                            </w:r>
                            <w:r>
                              <w:rPr>
                                <w:rFonts w:cstheme="minorHAnsi"/>
                                <w:b/>
                                <w:color w:val="000000"/>
                                <w:sz w:val="28"/>
                                <w:szCs w:val="28"/>
                              </w:rPr>
                              <w:t>Organization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69C4334F" id="Rectangle: Rounded Corners 22" o:spid="_x0000_s1067" style="position:absolute;margin-left:0;margin-top:.75pt;width:494.25pt;height:26.2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" fillcolor="#f2f2f2" strokecolor="#385d8a" strokeweight=".5pt">
                <v:textbox>
                  <w:txbxContent>
                    <w:p w14:paraId="31B61231" w14:textId="77777777" w:rsidR="005976AB" w:rsidRPr="0014777B" w:rsidRDefault="005976AB" w:rsidP="005976AB">
                      <w:pPr>
                        <w:jc w:val="center"/>
                        <w:rPr>
                          <w:rFonts w:cstheme="minorHAnsi"/>
                          <w:b/>
                          <w:color w:val="000000"/>
                          <w:sz w:val="32"/>
                          <w:szCs w:val="32"/>
                        </w:rPr>
                      </w:pPr>
                      <w:r w:rsidRPr="0014777B">
                        <w:rPr>
                          <w:rFonts w:cstheme="minorHAnsi"/>
                          <w:b/>
                          <w:color w:val="000000"/>
                          <w:sz w:val="28"/>
                          <w:szCs w:val="28"/>
                        </w:rPr>
                        <w:t xml:space="preserve">General Information about the </w:t>
                      </w:r>
                      <w:r>
                        <w:rPr>
                          <w:rFonts w:cstheme="minorHAnsi"/>
                          <w:b/>
                          <w:color w:val="000000"/>
                          <w:sz w:val="28"/>
                          <w:szCs w:val="28"/>
                        </w:rPr>
                        <w:t>Organization</w:t>
                      </w:r>
                    </w:p>
                  </w:txbxContent>
                </v:textbox>
                <w10:wrap anchorx="margin"/>
              </v:roundrect>
            </w:pict>
          </mc:Fallback>
        </mc:AlternateContent>
      </w:r>
    </w:p>
    <w:p w14:paraId="4130EC1B" w14:textId="77777777" w:rsidR="005976AB" w:rsidRPr="005635E7" w:rsidRDefault="005976AB" w:rsidP="005976AB">
      <w:pPr>
        <w:rPr>
          <w:rFonts w:asciiTheme="majorBidi" w:hAnsiTheme="majorBidi" w:cstheme="majorBidi"/>
        </w:rPr>
      </w:pPr>
    </w:p>
    <w:p w14:paraId="0CDEB20F" w14:textId="77777777" w:rsidR="005976AB" w:rsidRPr="005635E7" w:rsidRDefault="005976AB" w:rsidP="005976AB">
      <w:pPr>
        <w:rPr>
          <w:rFonts w:asciiTheme="majorBidi" w:hAnsiTheme="majorBidi" w:cstheme="majorBidi"/>
        </w:rPr>
      </w:pPr>
    </w:p>
    <w:p w14:paraId="5661B2A7" w14:textId="77777777" w:rsidR="005976AB" w:rsidRPr="005635E7" w:rsidRDefault="005976AB" w:rsidP="005976AB">
      <w:pPr>
        <w:pStyle w:val="ListParagraph"/>
        <w:numPr>
          <w:ilvl w:val="0"/>
          <w:numId w:val="18"/>
        </w:numPr>
        <w:ind w:left="425"/>
        <w:contextualSpacing w:val="0"/>
        <w:rPr>
          <w:rFonts w:asciiTheme="majorBidi" w:hAnsiTheme="majorBidi" w:cstheme="majorBidi"/>
        </w:rPr>
      </w:pPr>
      <w:r w:rsidRPr="005635E7">
        <w:rPr>
          <w:rFonts w:asciiTheme="majorBidi" w:hAnsiTheme="majorBidi" w:cstheme="majorBidi"/>
        </w:rPr>
        <w:t>When this organization was founded (Year): ………………………….</w:t>
      </w:r>
    </w:p>
    <w:p w14:paraId="7D0F9C43" w14:textId="77777777" w:rsidR="005976AB" w:rsidRPr="005635E7" w:rsidRDefault="005976AB" w:rsidP="005976AB">
      <w:pPr>
        <w:pStyle w:val="ListParagraph"/>
        <w:numPr>
          <w:ilvl w:val="0"/>
          <w:numId w:val="18"/>
        </w:numPr>
        <w:ind w:left="425"/>
        <w:contextualSpacing w:val="0"/>
        <w:rPr>
          <w:rFonts w:asciiTheme="majorBidi" w:hAnsiTheme="majorBidi" w:cstheme="majorBidi"/>
        </w:rPr>
      </w:pPr>
      <w:r w:rsidRPr="005635E7">
        <w:rPr>
          <w:rFonts w:asciiTheme="majorBidi" w:hAnsiTheme="majorBidi" w:cstheme="majorBidi"/>
        </w:rPr>
        <w:t>Number of Total Employees (as on date): …………………………….</w:t>
      </w:r>
    </w:p>
    <w:p w14:paraId="5AEAB03F" w14:textId="77777777" w:rsidR="005976AB" w:rsidRPr="005635E7" w:rsidRDefault="005976AB" w:rsidP="005976AB">
      <w:pPr>
        <w:pStyle w:val="ListParagraph"/>
        <w:numPr>
          <w:ilvl w:val="0"/>
          <w:numId w:val="18"/>
        </w:numPr>
        <w:ind w:left="425"/>
        <w:contextualSpacing w:val="0"/>
        <w:rPr>
          <w:rFonts w:asciiTheme="majorBidi" w:hAnsiTheme="majorBidi" w:cstheme="majorBidi"/>
        </w:rPr>
      </w:pPr>
      <w:r w:rsidRPr="005635E7">
        <w:rPr>
          <w:rFonts w:asciiTheme="majorBidi" w:hAnsiTheme="majorBidi" w:cstheme="majorBidi"/>
        </w:rPr>
        <w:t xml:space="preserve">What product/service </w:t>
      </w:r>
      <w:r w:rsidRPr="005635E7">
        <w:rPr>
          <w:rFonts w:ascii="Times New Roman" w:eastAsia="Calibri" w:hAnsi="Times New Roman" w:cs="Times New Roman"/>
        </w:rPr>
        <w:t xml:space="preserve">does this organization </w:t>
      </w:r>
      <w:r w:rsidRPr="005635E7">
        <w:rPr>
          <w:rFonts w:asciiTheme="majorBidi" w:hAnsiTheme="majorBidi" w:cstheme="majorBidi"/>
        </w:rPr>
        <w:t>sell on the market? ……………………………………</w:t>
      </w:r>
    </w:p>
    <w:p w14:paraId="78784F1A" w14:textId="77777777" w:rsidR="005976AB" w:rsidRPr="005635E7" w:rsidRDefault="005976AB" w:rsidP="005976AB">
      <w:pPr>
        <w:pStyle w:val="ListParagraph"/>
        <w:numPr>
          <w:ilvl w:val="0"/>
          <w:numId w:val="18"/>
        </w:numPr>
        <w:ind w:left="425"/>
        <w:contextualSpacing w:val="0"/>
        <w:rPr>
          <w:rFonts w:asciiTheme="majorBidi" w:hAnsiTheme="majorBidi" w:cstheme="majorBidi"/>
        </w:rPr>
      </w:pPr>
      <w:r w:rsidRPr="005635E7">
        <w:rPr>
          <w:rFonts w:asciiTheme="majorBidi" w:hAnsiTheme="majorBidi" w:cstheme="majorBidi"/>
        </w:rPr>
        <w:t>Which industry that this organization belongs to? ………………………………………………</w:t>
      </w:r>
    </w:p>
    <w:p w14:paraId="3A7FA011" w14:textId="77777777" w:rsidR="005976AB" w:rsidRPr="005635E7" w:rsidRDefault="005976AB" w:rsidP="005976AB">
      <w:pPr>
        <w:pStyle w:val="ListParagraph"/>
        <w:numPr>
          <w:ilvl w:val="0"/>
          <w:numId w:val="18"/>
        </w:numPr>
        <w:ind w:left="425"/>
        <w:contextualSpacing w:val="0"/>
        <w:rPr>
          <w:rFonts w:asciiTheme="majorBidi" w:hAnsiTheme="majorBidi" w:cstheme="majorBidi"/>
        </w:rPr>
      </w:pPr>
      <w:r w:rsidRPr="005635E7">
        <w:rPr>
          <w:rFonts w:asciiTheme="majorBidi" w:hAnsiTheme="majorBidi" w:cstheme="majorBidi"/>
        </w:rPr>
        <w:t>Which Emirates that this organization is situated in?</w:t>
      </w:r>
    </w:p>
    <w:p w14:paraId="4D2C7D53" w14:textId="77777777" w:rsidR="005976AB" w:rsidRPr="005635E7" w:rsidRDefault="005976AB" w:rsidP="005976AB">
      <w:pPr>
        <w:pStyle w:val="ListParagraph"/>
        <w:ind w:left="425"/>
        <w:contextualSpacing w:val="0"/>
        <w:rPr>
          <w:rFonts w:asciiTheme="majorBidi" w:hAnsiTheme="majorBidi" w:cstheme="majorBidi"/>
        </w:rPr>
      </w:pPr>
      <w:r w:rsidRPr="005635E7">
        <w:rPr>
          <w:rFonts w:ascii="Symbol" w:hAnsi="Symbol" w:cstheme="majorBidi"/>
          <w:bCs/>
        </w:rPr>
        <w:sym w:font="Symbol" w:char="F0F0"/>
      </w:r>
      <w:r w:rsidRPr="005635E7">
        <w:rPr>
          <w:rFonts w:asciiTheme="majorBidi" w:hAnsiTheme="majorBidi" w:cstheme="majorBidi"/>
          <w:bCs/>
        </w:rPr>
        <w:t xml:space="preserve"> </w:t>
      </w:r>
      <w:r w:rsidRPr="005635E7">
        <w:rPr>
          <w:rFonts w:asciiTheme="majorBidi" w:hAnsiTheme="majorBidi" w:cstheme="majorBidi"/>
        </w:rPr>
        <w:t>Abu Dhabi,</w:t>
      </w:r>
      <w:r w:rsidRPr="005635E7">
        <w:rPr>
          <w:rFonts w:asciiTheme="majorBidi" w:hAnsiTheme="majorBidi" w:cstheme="majorBidi"/>
          <w:bCs/>
        </w:rPr>
        <w:t xml:space="preserve"> </w:t>
      </w:r>
      <w:r w:rsidRPr="005635E7">
        <w:rPr>
          <w:rFonts w:asciiTheme="majorBidi" w:hAnsiTheme="majorBidi" w:cstheme="majorBidi"/>
        </w:rPr>
        <w:t>Dubai</w:t>
      </w:r>
      <w:r w:rsidRPr="005635E7">
        <w:rPr>
          <w:rFonts w:ascii="Times New Roman" w:eastAsia="Calibri" w:hAnsi="Times New Roman" w:cs="Times New Roman"/>
        </w:rPr>
        <w:t xml:space="preserve">, </w:t>
      </w:r>
      <w:r w:rsidRPr="005635E7">
        <w:rPr>
          <w:rFonts w:asciiTheme="majorBidi" w:hAnsiTheme="majorBidi" w:cstheme="majorBidi"/>
        </w:rPr>
        <w:tab/>
      </w:r>
      <w:r w:rsidRPr="005635E7">
        <w:rPr>
          <w:rFonts w:asciiTheme="majorBidi" w:hAnsiTheme="majorBidi" w:cstheme="majorBidi"/>
        </w:rPr>
        <w:tab/>
      </w:r>
      <w:r w:rsidRPr="005635E7">
        <w:rPr>
          <w:rFonts w:asciiTheme="majorBidi" w:hAnsiTheme="majorBidi" w:cstheme="majorBidi"/>
        </w:rPr>
        <w:tab/>
      </w:r>
      <w:r w:rsidRPr="005635E7">
        <w:rPr>
          <w:rFonts w:ascii="Symbol" w:hAnsi="Symbol" w:cstheme="majorBidi"/>
          <w:bCs/>
        </w:rPr>
        <w:sym w:font="Symbol" w:char="F0F0"/>
      </w:r>
      <w:r w:rsidRPr="005635E7">
        <w:rPr>
          <w:rFonts w:asciiTheme="majorBidi" w:hAnsiTheme="majorBidi" w:cstheme="majorBidi"/>
          <w:bCs/>
        </w:rPr>
        <w:t xml:space="preserve"> </w:t>
      </w:r>
      <w:r w:rsidRPr="005635E7">
        <w:rPr>
          <w:rFonts w:asciiTheme="majorBidi" w:hAnsiTheme="majorBidi" w:cstheme="majorBidi"/>
        </w:rPr>
        <w:t>Sharjah</w:t>
      </w:r>
      <w:r w:rsidRPr="005635E7">
        <w:rPr>
          <w:rFonts w:ascii="Times New Roman" w:eastAsia="Calibri" w:hAnsi="Times New Roman" w:cs="Times New Roman"/>
        </w:rPr>
        <w:t xml:space="preserve">, </w:t>
      </w:r>
      <w:r w:rsidRPr="005635E7">
        <w:rPr>
          <w:rFonts w:asciiTheme="majorBidi" w:hAnsiTheme="majorBidi" w:cstheme="majorBidi"/>
        </w:rPr>
        <w:tab/>
      </w:r>
      <w:r w:rsidRPr="005635E7">
        <w:rPr>
          <w:rFonts w:asciiTheme="majorBidi" w:hAnsiTheme="majorBidi" w:cstheme="majorBidi"/>
        </w:rPr>
        <w:tab/>
      </w:r>
      <w:r w:rsidRPr="005635E7">
        <w:rPr>
          <w:rFonts w:ascii="Symbol" w:hAnsi="Symbol" w:cstheme="majorBidi"/>
          <w:bCs/>
        </w:rPr>
        <w:sym w:font="Symbol" w:char="F0F0"/>
      </w:r>
      <w:r w:rsidRPr="005635E7">
        <w:rPr>
          <w:rFonts w:asciiTheme="majorBidi" w:hAnsiTheme="majorBidi" w:cstheme="majorBidi"/>
          <w:bCs/>
        </w:rPr>
        <w:t xml:space="preserve"> </w:t>
      </w:r>
      <w:r w:rsidRPr="005635E7">
        <w:rPr>
          <w:rFonts w:asciiTheme="majorBidi" w:hAnsiTheme="majorBidi" w:cstheme="majorBidi"/>
        </w:rPr>
        <w:t xml:space="preserve">Fujairah </w:t>
      </w:r>
      <w:r w:rsidRPr="005635E7">
        <w:rPr>
          <w:rFonts w:asciiTheme="majorBidi" w:hAnsiTheme="majorBidi" w:cstheme="majorBidi"/>
        </w:rPr>
        <w:tab/>
      </w:r>
    </w:p>
    <w:p w14:paraId="3ED0A821" w14:textId="77777777" w:rsidR="005976AB" w:rsidRPr="005635E7" w:rsidRDefault="005976AB" w:rsidP="005976AB">
      <w:pPr>
        <w:pStyle w:val="ListParagraph"/>
        <w:ind w:left="425"/>
        <w:contextualSpacing w:val="0"/>
        <w:rPr>
          <w:rFonts w:asciiTheme="majorBidi" w:hAnsiTheme="majorBidi" w:cstheme="majorBidi"/>
        </w:rPr>
      </w:pPr>
      <w:r w:rsidRPr="005635E7">
        <w:rPr>
          <w:rFonts w:ascii="Symbol" w:hAnsi="Symbol" w:cstheme="majorBidi"/>
          <w:bCs/>
        </w:rPr>
        <w:sym w:font="Symbol" w:char="F0F0"/>
      </w:r>
      <w:r w:rsidRPr="005635E7">
        <w:rPr>
          <w:rFonts w:asciiTheme="majorBidi" w:hAnsiTheme="majorBidi" w:cstheme="majorBidi"/>
          <w:bCs/>
        </w:rPr>
        <w:t xml:space="preserve"> </w:t>
      </w:r>
      <w:r w:rsidRPr="005635E7">
        <w:rPr>
          <w:rFonts w:asciiTheme="majorBidi" w:hAnsiTheme="majorBidi" w:cstheme="majorBidi"/>
        </w:rPr>
        <w:t>Ajman</w:t>
      </w:r>
      <w:r w:rsidRPr="005635E7">
        <w:rPr>
          <w:rFonts w:asciiTheme="majorBidi" w:hAnsiTheme="majorBidi" w:cstheme="majorBidi"/>
        </w:rPr>
        <w:tab/>
      </w:r>
      <w:r w:rsidRPr="005635E7">
        <w:rPr>
          <w:rFonts w:asciiTheme="majorBidi" w:hAnsiTheme="majorBidi" w:cstheme="majorBidi"/>
        </w:rPr>
        <w:tab/>
      </w:r>
      <w:r w:rsidRPr="005635E7">
        <w:rPr>
          <w:rFonts w:asciiTheme="majorBidi" w:hAnsiTheme="majorBidi" w:cstheme="majorBidi"/>
        </w:rPr>
        <w:tab/>
      </w:r>
      <w:r w:rsidRPr="005635E7">
        <w:rPr>
          <w:rFonts w:ascii="Symbol" w:hAnsi="Symbol" w:cstheme="majorBidi"/>
          <w:bCs/>
        </w:rPr>
        <w:sym w:font="Symbol" w:char="F0F0"/>
      </w:r>
      <w:r w:rsidRPr="005635E7">
        <w:rPr>
          <w:rFonts w:asciiTheme="majorBidi" w:hAnsiTheme="majorBidi" w:cstheme="majorBidi"/>
          <w:bCs/>
        </w:rPr>
        <w:t xml:space="preserve"> </w:t>
      </w:r>
      <w:r w:rsidRPr="005635E7">
        <w:rPr>
          <w:rFonts w:asciiTheme="majorBidi" w:hAnsiTheme="majorBidi" w:cstheme="majorBidi"/>
        </w:rPr>
        <w:t>Ras al Khaimah</w:t>
      </w:r>
      <w:r w:rsidRPr="005635E7">
        <w:rPr>
          <w:rFonts w:asciiTheme="majorBidi" w:hAnsiTheme="majorBidi" w:cstheme="majorBidi"/>
        </w:rPr>
        <w:tab/>
      </w:r>
      <w:r w:rsidRPr="005635E7">
        <w:rPr>
          <w:rFonts w:ascii="Symbol" w:hAnsi="Symbol" w:cstheme="majorBidi"/>
          <w:bCs/>
        </w:rPr>
        <w:sym w:font="Symbol" w:char="F0F0"/>
      </w:r>
      <w:r w:rsidRPr="005635E7">
        <w:rPr>
          <w:rFonts w:asciiTheme="majorBidi" w:hAnsiTheme="majorBidi" w:cstheme="majorBidi"/>
          <w:bCs/>
        </w:rPr>
        <w:t xml:space="preserve"> </w:t>
      </w:r>
      <w:r w:rsidRPr="005635E7">
        <w:rPr>
          <w:rFonts w:asciiTheme="majorBidi" w:hAnsiTheme="majorBidi" w:cstheme="majorBidi"/>
        </w:rPr>
        <w:t>Umm al Quwain</w:t>
      </w:r>
    </w:p>
    <w:p w14:paraId="65CEBEB2" w14:textId="77777777" w:rsidR="005976AB" w:rsidRPr="005635E7" w:rsidRDefault="005976AB" w:rsidP="005976AB">
      <w:pPr>
        <w:pStyle w:val="ListParagraph"/>
        <w:ind w:left="425"/>
        <w:contextualSpacing w:val="0"/>
        <w:rPr>
          <w:rFonts w:asciiTheme="majorBidi" w:hAnsiTheme="majorBidi" w:cstheme="majorBidi"/>
        </w:rPr>
      </w:pPr>
    </w:p>
    <w:p w14:paraId="4776A228" w14:textId="77777777" w:rsidR="005976AB" w:rsidRPr="005635E7" w:rsidRDefault="005976AB" w:rsidP="005976AB">
      <w:pPr>
        <w:rPr>
          <w:rFonts w:asciiTheme="majorBidi" w:hAnsiTheme="majorBidi" w:cstheme="majorBidi"/>
        </w:rPr>
      </w:pPr>
    </w:p>
    <w:p w14:paraId="2D37BD29" w14:textId="77777777" w:rsidR="005976AB" w:rsidRPr="005635E7" w:rsidRDefault="005976AB" w:rsidP="005976AB">
      <w:pPr>
        <w:rPr>
          <w:rFonts w:asciiTheme="majorBidi" w:hAnsiTheme="majorBidi" w:cstheme="majorBidi"/>
        </w:rPr>
      </w:pPr>
      <w:r w:rsidRPr="005635E7">
        <w:rPr>
          <w:rFonts w:asciiTheme="majorBidi" w:eastAsia="Calibri" w:hAnsiTheme="majorBidi" w:cstheme="majorBidi"/>
          <w:noProof/>
        </w:rPr>
        <mc:AlternateContent>
          <mc:Choice Requires="wps">
            <w:drawing>
              <wp:anchor distT="0" distB="0" distL="114300" distR="114300" simplePos="0" relativeHeight="251680768" behindDoc="0" locked="0" layoutInCell="1" allowOverlap="1" wp14:anchorId="13C36311" wp14:editId="49BC511A">
                <wp:simplePos x="0" y="0"/>
                <wp:positionH relativeFrom="margin">
                  <wp:align>center</wp:align>
                </wp:positionH>
                <wp:positionV relativeFrom="paragraph">
                  <wp:posOffset>-66675</wp:posOffset>
                </wp:positionV>
                <wp:extent cx="6276975" cy="333375"/>
                <wp:effectExtent l="0" t="0" r="28575" b="28575"/>
                <wp:wrapNone/>
                <wp:docPr id="7" name="Rounded Rectangle 1"/>
                <wp:cNvGraphicFramePr/>
                <a:graphic xmlns:a="http://schemas.openxmlformats.org/drawingml/2006/main">
                  <a:graphicData uri="http://schemas.microsoft.com/office/word/2010/wordprocessingShape">
                    <wps:wsp>
                      <wps:cNvSpPr/>
                      <wps:spPr>
                        <a:xfrm>
                          <a:off x="0" y="0"/>
                          <a:ext cx="6276975" cy="333375"/>
                        </a:xfrm>
                        <a:prstGeom prst="roundRect">
                          <a:avLst/>
                        </a:prstGeom>
                        <a:solidFill>
                          <a:sysClr val="window" lastClr="FFFFFF">
                            <a:lumMod val="95000"/>
                          </a:sysClr>
                        </a:solidFill>
                        <a:ln w="6350">
                          <a:solidFill>
                            <a:srgbClr val="4F81BD">
                              <a:shade val="50000"/>
                            </a:srgbClr>
                          </a:solidFill>
                          <a:prstDash val="solid"/>
                        </a:ln>
                        <a:effectLst/>
                      </wps:spPr>
                      <wps:txbx>
                        <w:txbxContent>
                          <w:p w14:paraId="4E563E69" w14:textId="77777777" w:rsidR="005976AB" w:rsidRPr="001F7A14" w:rsidRDefault="005976AB" w:rsidP="005976AB">
                            <w:pPr>
                              <w:jc w:val="center"/>
                              <w:rPr>
                                <w:rFonts w:cstheme="minorHAnsi"/>
                                <w:b/>
                                <w:color w:val="000000"/>
                                <w:sz w:val="32"/>
                                <w:szCs w:val="32"/>
                              </w:rPr>
                            </w:pPr>
                            <w:r w:rsidRPr="001F7A14">
                              <w:rPr>
                                <w:rFonts w:cstheme="minorHAnsi"/>
                                <w:b/>
                                <w:color w:val="000000"/>
                                <w:sz w:val="28"/>
                                <w:szCs w:val="28"/>
                              </w:rPr>
                              <w:t>PART</w:t>
                            </w:r>
                            <w:r>
                              <w:rPr>
                                <w:rFonts w:cstheme="minorHAnsi"/>
                                <w:b/>
                                <w:color w:val="000000"/>
                                <w:sz w:val="28"/>
                                <w:szCs w:val="28"/>
                              </w:rPr>
                              <w:t xml:space="preserve"> -</w:t>
                            </w:r>
                            <w:r w:rsidRPr="001F7A14">
                              <w:rPr>
                                <w:rFonts w:cstheme="minorHAnsi"/>
                                <w:b/>
                                <w:color w:val="000000"/>
                                <w:sz w:val="28"/>
                                <w:szCs w:val="28"/>
                              </w:rPr>
                              <w:t xml:space="preserve"> </w:t>
                            </w:r>
                            <w:r>
                              <w:rPr>
                                <w:rFonts w:cstheme="minorHAnsi"/>
                                <w:b/>
                                <w:color w:val="000000"/>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13C36311" id="Rounded Rectangle 1" o:spid="_x0000_s1068" style="position:absolute;margin-left:0;margin-top:-5.25pt;width:494.25pt;height:26.25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" fillcolor="#f2f2f2" strokecolor="#385d8a" strokeweight=".5pt">
                <v:textbox>
                  <w:txbxContent>
                    <w:p w14:paraId="4E563E69" w14:textId="77777777" w:rsidR="005976AB" w:rsidRPr="001F7A14" w:rsidRDefault="005976AB" w:rsidP="005976AB">
                      <w:pPr>
                        <w:jc w:val="center"/>
                        <w:rPr>
                          <w:rFonts w:cstheme="minorHAnsi"/>
                          <w:b/>
                          <w:color w:val="000000"/>
                          <w:sz w:val="32"/>
                          <w:szCs w:val="32"/>
                        </w:rPr>
                      </w:pPr>
                      <w:r w:rsidRPr="001F7A14">
                        <w:rPr>
                          <w:rFonts w:cstheme="minorHAnsi"/>
                          <w:b/>
                          <w:color w:val="000000"/>
                          <w:sz w:val="28"/>
                          <w:szCs w:val="28"/>
                        </w:rPr>
                        <w:t>PART</w:t>
                      </w:r>
                      <w:r>
                        <w:rPr>
                          <w:rFonts w:cstheme="minorHAnsi"/>
                          <w:b/>
                          <w:color w:val="000000"/>
                          <w:sz w:val="28"/>
                          <w:szCs w:val="28"/>
                        </w:rPr>
                        <w:t xml:space="preserve"> -</w:t>
                      </w:r>
                      <w:r w:rsidRPr="001F7A14">
                        <w:rPr>
                          <w:rFonts w:cstheme="minorHAnsi"/>
                          <w:b/>
                          <w:color w:val="000000"/>
                          <w:sz w:val="28"/>
                          <w:szCs w:val="28"/>
                        </w:rPr>
                        <w:t xml:space="preserve"> </w:t>
                      </w:r>
                      <w:r>
                        <w:rPr>
                          <w:rFonts w:cstheme="minorHAnsi"/>
                          <w:b/>
                          <w:color w:val="000000"/>
                          <w:sz w:val="28"/>
                          <w:szCs w:val="28"/>
                        </w:rPr>
                        <w:t>A</w:t>
                      </w:r>
                    </w:p>
                  </w:txbxContent>
                </v:textbox>
                <w10:wrap anchorx="margin"/>
              </v:roundrect>
            </w:pict>
          </mc:Fallback>
        </mc:AlternateContent>
      </w:r>
    </w:p>
    <w:p w14:paraId="4E60A58F" w14:textId="77777777" w:rsidR="005976AB" w:rsidRPr="005635E7" w:rsidRDefault="005976AB" w:rsidP="005976AB">
      <w:pPr>
        <w:rPr>
          <w:rFonts w:asciiTheme="majorBidi" w:hAnsiTheme="majorBidi" w:cstheme="majorBidi"/>
        </w:rPr>
      </w:pPr>
    </w:p>
    <w:p w14:paraId="6CBC4CB7" w14:textId="77777777" w:rsidR="005976AB" w:rsidRPr="005635E7" w:rsidRDefault="005976AB" w:rsidP="005976AB">
      <w:pPr>
        <w:rPr>
          <w:rFonts w:asciiTheme="majorBidi" w:hAnsiTheme="majorBidi" w:cstheme="majorBidi"/>
        </w:rPr>
      </w:pPr>
      <w:r w:rsidRPr="005635E7">
        <w:rPr>
          <w:rFonts w:asciiTheme="majorBidi" w:hAnsiTheme="majorBidi" w:cstheme="majorBidi"/>
        </w:rPr>
        <w:t>This section includes various statements in relation to organizational learning capabilities (OLC). This is the ability to adapt to change and cope with external variations. Please check the following statements referring to your opinion</w:t>
      </w:r>
      <w:r w:rsidRPr="005635E7">
        <w:rPr>
          <w:rFonts w:ascii="Times New Roman" w:eastAsia="Calibri" w:hAnsi="Times New Roman" w:cs="Times New Roman"/>
        </w:rPr>
        <w:t>s about the OLC at your company</w:t>
      </w:r>
      <w:r w:rsidRPr="005635E7">
        <w:rPr>
          <w:rFonts w:asciiTheme="majorBidi" w:hAnsiTheme="majorBidi" w:cstheme="majorBidi"/>
        </w:rPr>
        <w:t>:</w:t>
      </w:r>
    </w:p>
    <w:p w14:paraId="0ED80CA8" w14:textId="77777777" w:rsidR="005976AB" w:rsidRPr="005635E7" w:rsidRDefault="005976AB" w:rsidP="005976AB">
      <w:pPr>
        <w:rPr>
          <w:rFonts w:asciiTheme="majorBidi" w:hAnsiTheme="majorBidi" w:cstheme="majorBidi"/>
        </w:rPr>
      </w:pPr>
    </w:p>
    <w:tbl>
      <w:tblPr>
        <w:tblStyle w:val="TableGrid"/>
        <w:tblW w:w="5000" w:type="pct"/>
        <w:tblLayout w:type="fixed"/>
        <w:tblLook w:val="04A0" w:firstRow="1" w:lastRow="0" w:firstColumn="1" w:lastColumn="0" w:noHBand="0" w:noVBand="1"/>
      </w:tblPr>
      <w:tblGrid>
        <w:gridCol w:w="473"/>
        <w:gridCol w:w="2750"/>
        <w:gridCol w:w="829"/>
        <w:gridCol w:w="828"/>
        <w:gridCol w:w="828"/>
        <w:gridCol w:w="828"/>
        <w:gridCol w:w="828"/>
        <w:gridCol w:w="828"/>
        <w:gridCol w:w="824"/>
      </w:tblGrid>
      <w:tr w:rsidR="005976AB" w:rsidRPr="005635E7" w14:paraId="08712F25" w14:textId="77777777" w:rsidTr="009E2F41">
        <w:trPr>
          <w:trHeight w:val="820"/>
        </w:trPr>
        <w:tc>
          <w:tcPr>
            <w:tcW w:w="263" w:type="pct"/>
            <w:shd w:val="clear" w:color="auto" w:fill="ACB9CA" w:themeFill="text2" w:themeFillTint="66"/>
            <w:vAlign w:val="center"/>
          </w:tcPr>
          <w:p w14:paraId="116A4C65"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SNo</w:t>
            </w:r>
          </w:p>
        </w:tc>
        <w:tc>
          <w:tcPr>
            <w:tcW w:w="1525" w:type="pct"/>
            <w:shd w:val="clear" w:color="auto" w:fill="ACB9CA" w:themeFill="text2" w:themeFillTint="66"/>
            <w:vAlign w:val="center"/>
          </w:tcPr>
          <w:p w14:paraId="36017D7B"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Questions</w:t>
            </w:r>
          </w:p>
        </w:tc>
        <w:tc>
          <w:tcPr>
            <w:tcW w:w="460" w:type="pct"/>
            <w:shd w:val="clear" w:color="auto" w:fill="ACB9CA" w:themeFill="text2" w:themeFillTint="66"/>
          </w:tcPr>
          <w:p w14:paraId="7237B9C3"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Strongly Disagree</w:t>
            </w:r>
          </w:p>
        </w:tc>
        <w:tc>
          <w:tcPr>
            <w:tcW w:w="459" w:type="pct"/>
            <w:shd w:val="clear" w:color="auto" w:fill="ACB9CA" w:themeFill="text2" w:themeFillTint="66"/>
          </w:tcPr>
          <w:p w14:paraId="5EDE6520"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Disagree</w:t>
            </w:r>
          </w:p>
        </w:tc>
        <w:tc>
          <w:tcPr>
            <w:tcW w:w="459" w:type="pct"/>
            <w:shd w:val="clear" w:color="auto" w:fill="ACB9CA" w:themeFill="text2" w:themeFillTint="66"/>
          </w:tcPr>
          <w:p w14:paraId="14DA5D10"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Somewhat Disagree</w:t>
            </w:r>
          </w:p>
        </w:tc>
        <w:tc>
          <w:tcPr>
            <w:tcW w:w="459" w:type="pct"/>
            <w:shd w:val="clear" w:color="auto" w:fill="ACB9CA" w:themeFill="text2" w:themeFillTint="66"/>
          </w:tcPr>
          <w:p w14:paraId="1830D986" w14:textId="77777777" w:rsidR="005976AB" w:rsidRPr="005635E7" w:rsidRDefault="005976AB" w:rsidP="009E2F41">
            <w:pPr>
              <w:jc w:val="center"/>
              <w:rPr>
                <w:rFonts w:asciiTheme="majorBidi" w:hAnsiTheme="majorBidi" w:cstheme="majorBidi"/>
                <w:rtl/>
              </w:rPr>
            </w:pPr>
            <w:r w:rsidRPr="005635E7">
              <w:rPr>
                <w:rFonts w:asciiTheme="majorBidi" w:hAnsiTheme="majorBidi" w:cstheme="majorBidi"/>
              </w:rPr>
              <w:t>Neutral</w:t>
            </w:r>
          </w:p>
          <w:p w14:paraId="2515B1B0" w14:textId="77777777" w:rsidR="005976AB" w:rsidRPr="005635E7" w:rsidRDefault="005976AB" w:rsidP="009E2F41">
            <w:pPr>
              <w:rPr>
                <w:rFonts w:asciiTheme="majorBidi" w:hAnsiTheme="majorBidi" w:cstheme="majorBidi"/>
              </w:rPr>
            </w:pPr>
          </w:p>
        </w:tc>
        <w:tc>
          <w:tcPr>
            <w:tcW w:w="459" w:type="pct"/>
            <w:shd w:val="clear" w:color="auto" w:fill="ACB9CA" w:themeFill="text2" w:themeFillTint="66"/>
          </w:tcPr>
          <w:p w14:paraId="4C4E75C4"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Somewhat Agree</w:t>
            </w:r>
          </w:p>
        </w:tc>
        <w:tc>
          <w:tcPr>
            <w:tcW w:w="459" w:type="pct"/>
            <w:shd w:val="clear" w:color="auto" w:fill="ACB9CA" w:themeFill="text2" w:themeFillTint="66"/>
          </w:tcPr>
          <w:p w14:paraId="7908CF52" w14:textId="77777777" w:rsidR="005976AB" w:rsidRPr="005635E7" w:rsidRDefault="005976AB" w:rsidP="009E2F41">
            <w:pPr>
              <w:jc w:val="center"/>
              <w:rPr>
                <w:rFonts w:asciiTheme="majorBidi" w:hAnsiTheme="majorBidi" w:cstheme="majorBidi"/>
                <w:rtl/>
              </w:rPr>
            </w:pPr>
            <w:r w:rsidRPr="005635E7">
              <w:rPr>
                <w:rFonts w:asciiTheme="majorBidi" w:hAnsiTheme="majorBidi" w:cstheme="majorBidi"/>
              </w:rPr>
              <w:t>Agree</w:t>
            </w:r>
          </w:p>
          <w:p w14:paraId="620664F0" w14:textId="77777777" w:rsidR="005976AB" w:rsidRPr="005635E7" w:rsidRDefault="005976AB" w:rsidP="009E2F41">
            <w:pPr>
              <w:rPr>
                <w:rFonts w:asciiTheme="majorBidi" w:hAnsiTheme="majorBidi" w:cstheme="majorBidi"/>
              </w:rPr>
            </w:pPr>
          </w:p>
        </w:tc>
        <w:tc>
          <w:tcPr>
            <w:tcW w:w="457" w:type="pct"/>
            <w:shd w:val="clear" w:color="auto" w:fill="ACB9CA" w:themeFill="text2" w:themeFillTint="66"/>
          </w:tcPr>
          <w:p w14:paraId="2A5B379C"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Strongly agree</w:t>
            </w:r>
          </w:p>
        </w:tc>
      </w:tr>
      <w:tr w:rsidR="005976AB" w:rsidRPr="005635E7" w14:paraId="2F99090C" w14:textId="77777777" w:rsidTr="009E2F41">
        <w:trPr>
          <w:trHeight w:val="431"/>
        </w:trPr>
        <w:tc>
          <w:tcPr>
            <w:tcW w:w="263" w:type="pct"/>
            <w:vAlign w:val="center"/>
          </w:tcPr>
          <w:p w14:paraId="792A5F40"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69951F05" w14:textId="77777777" w:rsidR="005976AB" w:rsidRPr="005635E7" w:rsidRDefault="005976AB" w:rsidP="009E2F41">
            <w:pPr>
              <w:rPr>
                <w:rFonts w:asciiTheme="majorBidi" w:hAnsiTheme="majorBidi" w:cstheme="majorBidi"/>
              </w:rPr>
            </w:pPr>
            <w:r w:rsidRPr="005635E7">
              <w:rPr>
                <w:rFonts w:asciiTheme="majorBidi" w:hAnsiTheme="majorBidi" w:cstheme="majorBidi"/>
              </w:rPr>
              <w:t>Regularly, managers involve their workforce in crucial decision-making processes.</w:t>
            </w:r>
          </w:p>
        </w:tc>
        <w:tc>
          <w:tcPr>
            <w:tcW w:w="460" w:type="pct"/>
          </w:tcPr>
          <w:p w14:paraId="18D3FDED" w14:textId="77777777" w:rsidR="005976AB" w:rsidRPr="005635E7" w:rsidRDefault="005976AB" w:rsidP="009E2F41">
            <w:pPr>
              <w:rPr>
                <w:rFonts w:asciiTheme="majorBidi" w:hAnsiTheme="majorBidi" w:cstheme="majorBidi"/>
              </w:rPr>
            </w:pPr>
          </w:p>
        </w:tc>
        <w:tc>
          <w:tcPr>
            <w:tcW w:w="459" w:type="pct"/>
          </w:tcPr>
          <w:p w14:paraId="17C13149" w14:textId="77777777" w:rsidR="005976AB" w:rsidRPr="005635E7" w:rsidRDefault="005976AB" w:rsidP="009E2F41">
            <w:pPr>
              <w:rPr>
                <w:rFonts w:asciiTheme="majorBidi" w:hAnsiTheme="majorBidi" w:cstheme="majorBidi"/>
              </w:rPr>
            </w:pPr>
          </w:p>
        </w:tc>
        <w:tc>
          <w:tcPr>
            <w:tcW w:w="459" w:type="pct"/>
          </w:tcPr>
          <w:p w14:paraId="698C7C3B" w14:textId="77777777" w:rsidR="005976AB" w:rsidRPr="005635E7" w:rsidRDefault="005976AB" w:rsidP="009E2F41">
            <w:pPr>
              <w:rPr>
                <w:rFonts w:asciiTheme="majorBidi" w:hAnsiTheme="majorBidi" w:cstheme="majorBidi"/>
              </w:rPr>
            </w:pPr>
          </w:p>
        </w:tc>
        <w:tc>
          <w:tcPr>
            <w:tcW w:w="459" w:type="pct"/>
          </w:tcPr>
          <w:p w14:paraId="4D86E4E9" w14:textId="77777777" w:rsidR="005976AB" w:rsidRPr="005635E7" w:rsidRDefault="005976AB" w:rsidP="009E2F41">
            <w:pPr>
              <w:rPr>
                <w:rFonts w:asciiTheme="majorBidi" w:hAnsiTheme="majorBidi" w:cstheme="majorBidi"/>
              </w:rPr>
            </w:pPr>
          </w:p>
        </w:tc>
        <w:tc>
          <w:tcPr>
            <w:tcW w:w="459" w:type="pct"/>
          </w:tcPr>
          <w:p w14:paraId="4B0893B0" w14:textId="77777777" w:rsidR="005976AB" w:rsidRPr="005635E7" w:rsidRDefault="005976AB" w:rsidP="009E2F41">
            <w:pPr>
              <w:rPr>
                <w:rFonts w:asciiTheme="majorBidi" w:hAnsiTheme="majorBidi" w:cstheme="majorBidi"/>
              </w:rPr>
            </w:pPr>
          </w:p>
        </w:tc>
        <w:tc>
          <w:tcPr>
            <w:tcW w:w="459" w:type="pct"/>
          </w:tcPr>
          <w:p w14:paraId="2316A6FF" w14:textId="77777777" w:rsidR="005976AB" w:rsidRPr="005635E7" w:rsidRDefault="005976AB" w:rsidP="009E2F41">
            <w:pPr>
              <w:rPr>
                <w:rFonts w:asciiTheme="majorBidi" w:hAnsiTheme="majorBidi" w:cstheme="majorBidi"/>
              </w:rPr>
            </w:pPr>
          </w:p>
        </w:tc>
        <w:tc>
          <w:tcPr>
            <w:tcW w:w="457" w:type="pct"/>
          </w:tcPr>
          <w:p w14:paraId="3711593B" w14:textId="77777777" w:rsidR="005976AB" w:rsidRPr="005635E7" w:rsidRDefault="005976AB" w:rsidP="009E2F41">
            <w:pPr>
              <w:rPr>
                <w:rFonts w:asciiTheme="majorBidi" w:hAnsiTheme="majorBidi" w:cstheme="majorBidi"/>
              </w:rPr>
            </w:pPr>
          </w:p>
        </w:tc>
      </w:tr>
      <w:tr w:rsidR="005976AB" w:rsidRPr="005635E7" w14:paraId="7484D7EC" w14:textId="77777777" w:rsidTr="009E2F41">
        <w:trPr>
          <w:trHeight w:val="406"/>
        </w:trPr>
        <w:tc>
          <w:tcPr>
            <w:tcW w:w="263" w:type="pct"/>
            <w:vAlign w:val="center"/>
          </w:tcPr>
          <w:p w14:paraId="1CFCD852"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2B0375CA" w14:textId="77777777" w:rsidR="005976AB" w:rsidRPr="005635E7" w:rsidRDefault="005976AB" w:rsidP="009E2F41">
            <w:pPr>
              <w:rPr>
                <w:rFonts w:asciiTheme="majorBidi" w:hAnsiTheme="majorBidi" w:cstheme="majorBidi"/>
              </w:rPr>
            </w:pPr>
            <w:r w:rsidRPr="005635E7">
              <w:rPr>
                <w:rFonts w:asciiTheme="majorBidi" w:hAnsiTheme="majorBidi" w:cstheme="majorBidi"/>
              </w:rPr>
              <w:t>Learning for employees is viewed as more of an expense than an investment in this organization.</w:t>
            </w:r>
          </w:p>
        </w:tc>
        <w:tc>
          <w:tcPr>
            <w:tcW w:w="460" w:type="pct"/>
          </w:tcPr>
          <w:p w14:paraId="3ECAA278" w14:textId="77777777" w:rsidR="005976AB" w:rsidRPr="005635E7" w:rsidRDefault="005976AB" w:rsidP="009E2F41">
            <w:pPr>
              <w:rPr>
                <w:rFonts w:asciiTheme="majorBidi" w:hAnsiTheme="majorBidi" w:cstheme="majorBidi"/>
              </w:rPr>
            </w:pPr>
          </w:p>
        </w:tc>
        <w:tc>
          <w:tcPr>
            <w:tcW w:w="459" w:type="pct"/>
          </w:tcPr>
          <w:p w14:paraId="7EC7B87F" w14:textId="77777777" w:rsidR="005976AB" w:rsidRPr="005635E7" w:rsidRDefault="005976AB" w:rsidP="009E2F41">
            <w:pPr>
              <w:rPr>
                <w:rFonts w:asciiTheme="majorBidi" w:hAnsiTheme="majorBidi" w:cstheme="majorBidi"/>
              </w:rPr>
            </w:pPr>
          </w:p>
        </w:tc>
        <w:tc>
          <w:tcPr>
            <w:tcW w:w="459" w:type="pct"/>
          </w:tcPr>
          <w:p w14:paraId="4EFDD759" w14:textId="77777777" w:rsidR="005976AB" w:rsidRPr="005635E7" w:rsidRDefault="005976AB" w:rsidP="009E2F41">
            <w:pPr>
              <w:rPr>
                <w:rFonts w:asciiTheme="majorBidi" w:hAnsiTheme="majorBidi" w:cstheme="majorBidi"/>
              </w:rPr>
            </w:pPr>
          </w:p>
        </w:tc>
        <w:tc>
          <w:tcPr>
            <w:tcW w:w="459" w:type="pct"/>
          </w:tcPr>
          <w:p w14:paraId="7B3B4ADE" w14:textId="77777777" w:rsidR="005976AB" w:rsidRPr="005635E7" w:rsidRDefault="005976AB" w:rsidP="009E2F41">
            <w:pPr>
              <w:rPr>
                <w:rFonts w:asciiTheme="majorBidi" w:hAnsiTheme="majorBidi" w:cstheme="majorBidi"/>
              </w:rPr>
            </w:pPr>
          </w:p>
        </w:tc>
        <w:tc>
          <w:tcPr>
            <w:tcW w:w="459" w:type="pct"/>
          </w:tcPr>
          <w:p w14:paraId="2CB4292D" w14:textId="77777777" w:rsidR="005976AB" w:rsidRPr="005635E7" w:rsidRDefault="005976AB" w:rsidP="009E2F41">
            <w:pPr>
              <w:rPr>
                <w:rFonts w:asciiTheme="majorBidi" w:hAnsiTheme="majorBidi" w:cstheme="majorBidi"/>
              </w:rPr>
            </w:pPr>
          </w:p>
        </w:tc>
        <w:tc>
          <w:tcPr>
            <w:tcW w:w="459" w:type="pct"/>
          </w:tcPr>
          <w:p w14:paraId="169C6703" w14:textId="77777777" w:rsidR="005976AB" w:rsidRPr="005635E7" w:rsidRDefault="005976AB" w:rsidP="009E2F41">
            <w:pPr>
              <w:rPr>
                <w:rFonts w:asciiTheme="majorBidi" w:hAnsiTheme="majorBidi" w:cstheme="majorBidi"/>
              </w:rPr>
            </w:pPr>
          </w:p>
        </w:tc>
        <w:tc>
          <w:tcPr>
            <w:tcW w:w="457" w:type="pct"/>
          </w:tcPr>
          <w:p w14:paraId="09289265" w14:textId="77777777" w:rsidR="005976AB" w:rsidRPr="005635E7" w:rsidRDefault="005976AB" w:rsidP="009E2F41">
            <w:pPr>
              <w:rPr>
                <w:rFonts w:asciiTheme="majorBidi" w:hAnsiTheme="majorBidi" w:cstheme="majorBidi"/>
              </w:rPr>
            </w:pPr>
          </w:p>
        </w:tc>
      </w:tr>
      <w:tr w:rsidR="005976AB" w:rsidRPr="005635E7" w14:paraId="45985E3A" w14:textId="77777777" w:rsidTr="009E2F41">
        <w:trPr>
          <w:trHeight w:val="431"/>
        </w:trPr>
        <w:tc>
          <w:tcPr>
            <w:tcW w:w="263" w:type="pct"/>
            <w:vAlign w:val="center"/>
          </w:tcPr>
          <w:p w14:paraId="275C7185"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207BCDAA" w14:textId="77777777" w:rsidR="005976AB" w:rsidRPr="005635E7" w:rsidRDefault="005976AB" w:rsidP="009E2F41">
            <w:pPr>
              <w:rPr>
                <w:rFonts w:asciiTheme="majorBidi" w:hAnsiTheme="majorBidi" w:cstheme="majorBidi"/>
              </w:rPr>
            </w:pPr>
            <w:r w:rsidRPr="005635E7">
              <w:rPr>
                <w:rFonts w:asciiTheme="majorBidi" w:hAnsiTheme="majorBidi" w:cstheme="majorBidi"/>
              </w:rPr>
              <w:t>The management of the company supports making adjustments in any area to accommodate or stay ahead of emerging environmental conditions.</w:t>
            </w:r>
          </w:p>
        </w:tc>
        <w:tc>
          <w:tcPr>
            <w:tcW w:w="460" w:type="pct"/>
          </w:tcPr>
          <w:p w14:paraId="488DBE23" w14:textId="77777777" w:rsidR="005976AB" w:rsidRPr="005635E7" w:rsidRDefault="005976AB" w:rsidP="009E2F41">
            <w:pPr>
              <w:rPr>
                <w:rFonts w:asciiTheme="majorBidi" w:hAnsiTheme="majorBidi" w:cstheme="majorBidi"/>
              </w:rPr>
            </w:pPr>
          </w:p>
        </w:tc>
        <w:tc>
          <w:tcPr>
            <w:tcW w:w="459" w:type="pct"/>
          </w:tcPr>
          <w:p w14:paraId="00C41438" w14:textId="77777777" w:rsidR="005976AB" w:rsidRPr="005635E7" w:rsidRDefault="005976AB" w:rsidP="009E2F41">
            <w:pPr>
              <w:rPr>
                <w:rFonts w:asciiTheme="majorBidi" w:hAnsiTheme="majorBidi" w:cstheme="majorBidi"/>
              </w:rPr>
            </w:pPr>
          </w:p>
        </w:tc>
        <w:tc>
          <w:tcPr>
            <w:tcW w:w="459" w:type="pct"/>
          </w:tcPr>
          <w:p w14:paraId="7D48511A" w14:textId="77777777" w:rsidR="005976AB" w:rsidRPr="005635E7" w:rsidRDefault="005976AB" w:rsidP="009E2F41">
            <w:pPr>
              <w:rPr>
                <w:rFonts w:asciiTheme="majorBidi" w:hAnsiTheme="majorBidi" w:cstheme="majorBidi"/>
              </w:rPr>
            </w:pPr>
          </w:p>
        </w:tc>
        <w:tc>
          <w:tcPr>
            <w:tcW w:w="459" w:type="pct"/>
          </w:tcPr>
          <w:p w14:paraId="5A5C4B74" w14:textId="77777777" w:rsidR="005976AB" w:rsidRPr="005635E7" w:rsidRDefault="005976AB" w:rsidP="009E2F41">
            <w:pPr>
              <w:rPr>
                <w:rFonts w:asciiTheme="majorBidi" w:hAnsiTheme="majorBidi" w:cstheme="majorBidi"/>
              </w:rPr>
            </w:pPr>
          </w:p>
        </w:tc>
        <w:tc>
          <w:tcPr>
            <w:tcW w:w="459" w:type="pct"/>
          </w:tcPr>
          <w:p w14:paraId="21C79402" w14:textId="77777777" w:rsidR="005976AB" w:rsidRPr="005635E7" w:rsidRDefault="005976AB" w:rsidP="009E2F41">
            <w:pPr>
              <w:rPr>
                <w:rFonts w:asciiTheme="majorBidi" w:hAnsiTheme="majorBidi" w:cstheme="majorBidi"/>
              </w:rPr>
            </w:pPr>
          </w:p>
        </w:tc>
        <w:tc>
          <w:tcPr>
            <w:tcW w:w="459" w:type="pct"/>
          </w:tcPr>
          <w:p w14:paraId="0085D5AA" w14:textId="77777777" w:rsidR="005976AB" w:rsidRPr="005635E7" w:rsidRDefault="005976AB" w:rsidP="009E2F41">
            <w:pPr>
              <w:rPr>
                <w:rFonts w:asciiTheme="majorBidi" w:hAnsiTheme="majorBidi" w:cstheme="majorBidi"/>
              </w:rPr>
            </w:pPr>
          </w:p>
        </w:tc>
        <w:tc>
          <w:tcPr>
            <w:tcW w:w="457" w:type="pct"/>
          </w:tcPr>
          <w:p w14:paraId="2962926E" w14:textId="77777777" w:rsidR="005976AB" w:rsidRPr="005635E7" w:rsidRDefault="005976AB" w:rsidP="009E2F41">
            <w:pPr>
              <w:rPr>
                <w:rFonts w:asciiTheme="majorBidi" w:hAnsiTheme="majorBidi" w:cstheme="majorBidi"/>
              </w:rPr>
            </w:pPr>
          </w:p>
        </w:tc>
      </w:tr>
      <w:tr w:rsidR="005976AB" w:rsidRPr="005635E7" w14:paraId="1C74454C" w14:textId="77777777" w:rsidTr="009E2F41">
        <w:trPr>
          <w:trHeight w:val="406"/>
        </w:trPr>
        <w:tc>
          <w:tcPr>
            <w:tcW w:w="263" w:type="pct"/>
            <w:vAlign w:val="center"/>
          </w:tcPr>
          <w:p w14:paraId="0163BB5E"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6A17AA50" w14:textId="77777777" w:rsidR="005976AB" w:rsidRPr="005635E7" w:rsidRDefault="005976AB" w:rsidP="009E2F41">
            <w:pPr>
              <w:rPr>
                <w:rFonts w:asciiTheme="majorBidi" w:hAnsiTheme="majorBidi" w:cstheme="majorBidi"/>
              </w:rPr>
            </w:pPr>
            <w:r w:rsidRPr="005635E7">
              <w:rPr>
                <w:rFonts w:asciiTheme="majorBidi" w:hAnsiTheme="majorBidi" w:cstheme="majorBidi"/>
              </w:rPr>
              <w:t>Employee learning capacity is valued highly in this company.</w:t>
            </w:r>
          </w:p>
        </w:tc>
        <w:tc>
          <w:tcPr>
            <w:tcW w:w="460" w:type="pct"/>
          </w:tcPr>
          <w:p w14:paraId="28ED9C80" w14:textId="77777777" w:rsidR="005976AB" w:rsidRPr="005635E7" w:rsidRDefault="005976AB" w:rsidP="009E2F41">
            <w:pPr>
              <w:rPr>
                <w:rFonts w:asciiTheme="majorBidi" w:hAnsiTheme="majorBidi" w:cstheme="majorBidi"/>
              </w:rPr>
            </w:pPr>
          </w:p>
        </w:tc>
        <w:tc>
          <w:tcPr>
            <w:tcW w:w="459" w:type="pct"/>
          </w:tcPr>
          <w:p w14:paraId="3E99ACD9" w14:textId="77777777" w:rsidR="005976AB" w:rsidRPr="005635E7" w:rsidRDefault="005976AB" w:rsidP="009E2F41">
            <w:pPr>
              <w:rPr>
                <w:rFonts w:asciiTheme="majorBidi" w:hAnsiTheme="majorBidi" w:cstheme="majorBidi"/>
              </w:rPr>
            </w:pPr>
          </w:p>
        </w:tc>
        <w:tc>
          <w:tcPr>
            <w:tcW w:w="459" w:type="pct"/>
          </w:tcPr>
          <w:p w14:paraId="2888CC36" w14:textId="77777777" w:rsidR="005976AB" w:rsidRPr="005635E7" w:rsidRDefault="005976AB" w:rsidP="009E2F41">
            <w:pPr>
              <w:rPr>
                <w:rFonts w:asciiTheme="majorBidi" w:hAnsiTheme="majorBidi" w:cstheme="majorBidi"/>
              </w:rPr>
            </w:pPr>
          </w:p>
        </w:tc>
        <w:tc>
          <w:tcPr>
            <w:tcW w:w="459" w:type="pct"/>
          </w:tcPr>
          <w:p w14:paraId="230F031E" w14:textId="77777777" w:rsidR="005976AB" w:rsidRPr="005635E7" w:rsidRDefault="005976AB" w:rsidP="009E2F41">
            <w:pPr>
              <w:rPr>
                <w:rFonts w:asciiTheme="majorBidi" w:hAnsiTheme="majorBidi" w:cstheme="majorBidi"/>
              </w:rPr>
            </w:pPr>
          </w:p>
        </w:tc>
        <w:tc>
          <w:tcPr>
            <w:tcW w:w="459" w:type="pct"/>
          </w:tcPr>
          <w:p w14:paraId="11F76507" w14:textId="77777777" w:rsidR="005976AB" w:rsidRPr="005635E7" w:rsidRDefault="005976AB" w:rsidP="009E2F41">
            <w:pPr>
              <w:rPr>
                <w:rFonts w:asciiTheme="majorBidi" w:hAnsiTheme="majorBidi" w:cstheme="majorBidi"/>
              </w:rPr>
            </w:pPr>
          </w:p>
        </w:tc>
        <w:tc>
          <w:tcPr>
            <w:tcW w:w="459" w:type="pct"/>
          </w:tcPr>
          <w:p w14:paraId="5AEB69D3" w14:textId="77777777" w:rsidR="005976AB" w:rsidRPr="005635E7" w:rsidRDefault="005976AB" w:rsidP="009E2F41">
            <w:pPr>
              <w:rPr>
                <w:rFonts w:asciiTheme="majorBidi" w:hAnsiTheme="majorBidi" w:cstheme="majorBidi"/>
              </w:rPr>
            </w:pPr>
          </w:p>
        </w:tc>
        <w:tc>
          <w:tcPr>
            <w:tcW w:w="457" w:type="pct"/>
          </w:tcPr>
          <w:p w14:paraId="1447AAE8" w14:textId="77777777" w:rsidR="005976AB" w:rsidRPr="005635E7" w:rsidRDefault="005976AB" w:rsidP="009E2F41">
            <w:pPr>
              <w:rPr>
                <w:rFonts w:asciiTheme="majorBidi" w:hAnsiTheme="majorBidi" w:cstheme="majorBidi"/>
              </w:rPr>
            </w:pPr>
          </w:p>
        </w:tc>
      </w:tr>
      <w:tr w:rsidR="005976AB" w:rsidRPr="005635E7" w14:paraId="6935AC5A" w14:textId="77777777" w:rsidTr="009E2F41">
        <w:trPr>
          <w:trHeight w:val="406"/>
        </w:trPr>
        <w:tc>
          <w:tcPr>
            <w:tcW w:w="263" w:type="pct"/>
            <w:vAlign w:val="center"/>
          </w:tcPr>
          <w:p w14:paraId="3393453C"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33D3D35B" w14:textId="77777777" w:rsidR="005976AB" w:rsidRPr="005635E7" w:rsidRDefault="005976AB" w:rsidP="009E2F41">
            <w:pPr>
              <w:rPr>
                <w:rFonts w:asciiTheme="majorBidi" w:hAnsiTheme="majorBidi" w:cstheme="majorBidi"/>
              </w:rPr>
            </w:pPr>
            <w:r w:rsidRPr="005635E7">
              <w:rPr>
                <w:rFonts w:asciiTheme="majorBidi" w:hAnsiTheme="majorBidi" w:cstheme="majorBidi"/>
              </w:rPr>
              <w:t>Innovative concepts that succeed are rewarded in this company.</w:t>
            </w:r>
          </w:p>
        </w:tc>
        <w:tc>
          <w:tcPr>
            <w:tcW w:w="460" w:type="pct"/>
          </w:tcPr>
          <w:p w14:paraId="60602B9D" w14:textId="77777777" w:rsidR="005976AB" w:rsidRPr="005635E7" w:rsidRDefault="005976AB" w:rsidP="009E2F41">
            <w:pPr>
              <w:rPr>
                <w:rFonts w:asciiTheme="majorBidi" w:hAnsiTheme="majorBidi" w:cstheme="majorBidi"/>
              </w:rPr>
            </w:pPr>
          </w:p>
        </w:tc>
        <w:tc>
          <w:tcPr>
            <w:tcW w:w="459" w:type="pct"/>
          </w:tcPr>
          <w:p w14:paraId="647612E7" w14:textId="77777777" w:rsidR="005976AB" w:rsidRPr="005635E7" w:rsidRDefault="005976AB" w:rsidP="009E2F41">
            <w:pPr>
              <w:rPr>
                <w:rFonts w:asciiTheme="majorBidi" w:hAnsiTheme="majorBidi" w:cstheme="majorBidi"/>
              </w:rPr>
            </w:pPr>
          </w:p>
        </w:tc>
        <w:tc>
          <w:tcPr>
            <w:tcW w:w="459" w:type="pct"/>
          </w:tcPr>
          <w:p w14:paraId="20C02533" w14:textId="77777777" w:rsidR="005976AB" w:rsidRPr="005635E7" w:rsidRDefault="005976AB" w:rsidP="009E2F41">
            <w:pPr>
              <w:rPr>
                <w:rFonts w:asciiTheme="majorBidi" w:hAnsiTheme="majorBidi" w:cstheme="majorBidi"/>
              </w:rPr>
            </w:pPr>
          </w:p>
        </w:tc>
        <w:tc>
          <w:tcPr>
            <w:tcW w:w="459" w:type="pct"/>
          </w:tcPr>
          <w:p w14:paraId="065FE3FB" w14:textId="77777777" w:rsidR="005976AB" w:rsidRPr="005635E7" w:rsidRDefault="005976AB" w:rsidP="009E2F41">
            <w:pPr>
              <w:rPr>
                <w:rFonts w:asciiTheme="majorBidi" w:hAnsiTheme="majorBidi" w:cstheme="majorBidi"/>
              </w:rPr>
            </w:pPr>
          </w:p>
        </w:tc>
        <w:tc>
          <w:tcPr>
            <w:tcW w:w="459" w:type="pct"/>
          </w:tcPr>
          <w:p w14:paraId="27B9CE7B" w14:textId="77777777" w:rsidR="005976AB" w:rsidRPr="005635E7" w:rsidRDefault="005976AB" w:rsidP="009E2F41">
            <w:pPr>
              <w:rPr>
                <w:rFonts w:asciiTheme="majorBidi" w:hAnsiTheme="majorBidi" w:cstheme="majorBidi"/>
              </w:rPr>
            </w:pPr>
          </w:p>
        </w:tc>
        <w:tc>
          <w:tcPr>
            <w:tcW w:w="459" w:type="pct"/>
          </w:tcPr>
          <w:p w14:paraId="1E33044D" w14:textId="77777777" w:rsidR="005976AB" w:rsidRPr="005635E7" w:rsidRDefault="005976AB" w:rsidP="009E2F41">
            <w:pPr>
              <w:rPr>
                <w:rFonts w:asciiTheme="majorBidi" w:hAnsiTheme="majorBidi" w:cstheme="majorBidi"/>
              </w:rPr>
            </w:pPr>
          </w:p>
        </w:tc>
        <w:tc>
          <w:tcPr>
            <w:tcW w:w="457" w:type="pct"/>
          </w:tcPr>
          <w:p w14:paraId="2638B99E" w14:textId="77777777" w:rsidR="005976AB" w:rsidRPr="005635E7" w:rsidRDefault="005976AB" w:rsidP="009E2F41">
            <w:pPr>
              <w:rPr>
                <w:rFonts w:asciiTheme="majorBidi" w:hAnsiTheme="majorBidi" w:cstheme="majorBidi"/>
              </w:rPr>
            </w:pPr>
          </w:p>
        </w:tc>
      </w:tr>
      <w:tr w:rsidR="005976AB" w:rsidRPr="005635E7" w14:paraId="6E0DB18D" w14:textId="77777777" w:rsidTr="009E2F41">
        <w:trPr>
          <w:trHeight w:val="431"/>
        </w:trPr>
        <w:tc>
          <w:tcPr>
            <w:tcW w:w="263" w:type="pct"/>
            <w:vAlign w:val="center"/>
          </w:tcPr>
          <w:p w14:paraId="4B21DD40"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6D31B0F2" w14:textId="77777777" w:rsidR="005976AB" w:rsidRPr="005635E7" w:rsidRDefault="005976AB" w:rsidP="009E2F41">
            <w:pPr>
              <w:rPr>
                <w:rFonts w:asciiTheme="majorBidi" w:hAnsiTheme="majorBidi" w:cstheme="majorBidi"/>
              </w:rPr>
            </w:pPr>
            <w:r w:rsidRPr="005635E7">
              <w:rPr>
                <w:rFonts w:asciiTheme="majorBidi" w:hAnsiTheme="majorBidi" w:cstheme="majorBidi"/>
              </w:rPr>
              <w:t>Every employee is generally aware of the goals of this company.</w:t>
            </w:r>
          </w:p>
        </w:tc>
        <w:tc>
          <w:tcPr>
            <w:tcW w:w="460" w:type="pct"/>
          </w:tcPr>
          <w:p w14:paraId="265E25CF" w14:textId="77777777" w:rsidR="005976AB" w:rsidRPr="005635E7" w:rsidRDefault="005976AB" w:rsidP="009E2F41">
            <w:pPr>
              <w:rPr>
                <w:rFonts w:asciiTheme="majorBidi" w:hAnsiTheme="majorBidi" w:cstheme="majorBidi"/>
              </w:rPr>
            </w:pPr>
          </w:p>
        </w:tc>
        <w:tc>
          <w:tcPr>
            <w:tcW w:w="459" w:type="pct"/>
          </w:tcPr>
          <w:p w14:paraId="04DD2D47" w14:textId="77777777" w:rsidR="005976AB" w:rsidRPr="005635E7" w:rsidRDefault="005976AB" w:rsidP="009E2F41">
            <w:pPr>
              <w:rPr>
                <w:rFonts w:asciiTheme="majorBidi" w:hAnsiTheme="majorBidi" w:cstheme="majorBidi"/>
              </w:rPr>
            </w:pPr>
          </w:p>
        </w:tc>
        <w:tc>
          <w:tcPr>
            <w:tcW w:w="459" w:type="pct"/>
          </w:tcPr>
          <w:p w14:paraId="341E9D50" w14:textId="77777777" w:rsidR="005976AB" w:rsidRPr="005635E7" w:rsidRDefault="005976AB" w:rsidP="009E2F41">
            <w:pPr>
              <w:rPr>
                <w:rFonts w:asciiTheme="majorBidi" w:hAnsiTheme="majorBidi" w:cstheme="majorBidi"/>
              </w:rPr>
            </w:pPr>
          </w:p>
        </w:tc>
        <w:tc>
          <w:tcPr>
            <w:tcW w:w="459" w:type="pct"/>
          </w:tcPr>
          <w:p w14:paraId="1585D976" w14:textId="77777777" w:rsidR="005976AB" w:rsidRPr="005635E7" w:rsidRDefault="005976AB" w:rsidP="009E2F41">
            <w:pPr>
              <w:rPr>
                <w:rFonts w:asciiTheme="majorBidi" w:hAnsiTheme="majorBidi" w:cstheme="majorBidi"/>
              </w:rPr>
            </w:pPr>
          </w:p>
        </w:tc>
        <w:tc>
          <w:tcPr>
            <w:tcW w:w="459" w:type="pct"/>
          </w:tcPr>
          <w:p w14:paraId="4AF43DB6" w14:textId="77777777" w:rsidR="005976AB" w:rsidRPr="005635E7" w:rsidRDefault="005976AB" w:rsidP="009E2F41">
            <w:pPr>
              <w:rPr>
                <w:rFonts w:asciiTheme="majorBidi" w:hAnsiTheme="majorBidi" w:cstheme="majorBidi"/>
              </w:rPr>
            </w:pPr>
          </w:p>
        </w:tc>
        <w:tc>
          <w:tcPr>
            <w:tcW w:w="459" w:type="pct"/>
          </w:tcPr>
          <w:p w14:paraId="16F051A7" w14:textId="77777777" w:rsidR="005976AB" w:rsidRPr="005635E7" w:rsidRDefault="005976AB" w:rsidP="009E2F41">
            <w:pPr>
              <w:rPr>
                <w:rFonts w:asciiTheme="majorBidi" w:hAnsiTheme="majorBidi" w:cstheme="majorBidi"/>
              </w:rPr>
            </w:pPr>
          </w:p>
        </w:tc>
        <w:tc>
          <w:tcPr>
            <w:tcW w:w="457" w:type="pct"/>
          </w:tcPr>
          <w:p w14:paraId="1C7921AD" w14:textId="77777777" w:rsidR="005976AB" w:rsidRPr="005635E7" w:rsidRDefault="005976AB" w:rsidP="009E2F41">
            <w:pPr>
              <w:rPr>
                <w:rFonts w:asciiTheme="majorBidi" w:hAnsiTheme="majorBidi" w:cstheme="majorBidi"/>
              </w:rPr>
            </w:pPr>
          </w:p>
        </w:tc>
      </w:tr>
      <w:tr w:rsidR="005976AB" w:rsidRPr="005635E7" w14:paraId="02FE7A8B" w14:textId="77777777" w:rsidTr="009E2F41">
        <w:trPr>
          <w:trHeight w:val="406"/>
        </w:trPr>
        <w:tc>
          <w:tcPr>
            <w:tcW w:w="263" w:type="pct"/>
            <w:vAlign w:val="center"/>
          </w:tcPr>
          <w:p w14:paraId="1E6167E9"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19DC0886" w14:textId="77777777" w:rsidR="005976AB" w:rsidRPr="005635E7" w:rsidRDefault="005976AB" w:rsidP="009E2F41">
            <w:pPr>
              <w:rPr>
                <w:rFonts w:asciiTheme="majorBidi" w:hAnsiTheme="majorBidi" w:cstheme="majorBidi"/>
              </w:rPr>
            </w:pPr>
            <w:r w:rsidRPr="005635E7">
              <w:rPr>
                <w:rFonts w:asciiTheme="majorBidi" w:hAnsiTheme="majorBidi" w:cstheme="majorBidi"/>
              </w:rPr>
              <w:t>Each component of this company, including the departments, sections, work teams, and individuals, is well aware of their role in achieving the company's ultimate goals.</w:t>
            </w:r>
          </w:p>
        </w:tc>
        <w:tc>
          <w:tcPr>
            <w:tcW w:w="460" w:type="pct"/>
          </w:tcPr>
          <w:p w14:paraId="293FBCF8" w14:textId="77777777" w:rsidR="005976AB" w:rsidRPr="005635E7" w:rsidRDefault="005976AB" w:rsidP="009E2F41">
            <w:pPr>
              <w:rPr>
                <w:rFonts w:asciiTheme="majorBidi" w:hAnsiTheme="majorBidi" w:cstheme="majorBidi"/>
              </w:rPr>
            </w:pPr>
          </w:p>
        </w:tc>
        <w:tc>
          <w:tcPr>
            <w:tcW w:w="459" w:type="pct"/>
          </w:tcPr>
          <w:p w14:paraId="0D414A17" w14:textId="77777777" w:rsidR="005976AB" w:rsidRPr="005635E7" w:rsidRDefault="005976AB" w:rsidP="009E2F41">
            <w:pPr>
              <w:rPr>
                <w:rFonts w:asciiTheme="majorBidi" w:hAnsiTheme="majorBidi" w:cstheme="majorBidi"/>
              </w:rPr>
            </w:pPr>
          </w:p>
        </w:tc>
        <w:tc>
          <w:tcPr>
            <w:tcW w:w="459" w:type="pct"/>
          </w:tcPr>
          <w:p w14:paraId="1CC41F96" w14:textId="77777777" w:rsidR="005976AB" w:rsidRPr="005635E7" w:rsidRDefault="005976AB" w:rsidP="009E2F41">
            <w:pPr>
              <w:rPr>
                <w:rFonts w:asciiTheme="majorBidi" w:hAnsiTheme="majorBidi" w:cstheme="majorBidi"/>
              </w:rPr>
            </w:pPr>
          </w:p>
        </w:tc>
        <w:tc>
          <w:tcPr>
            <w:tcW w:w="459" w:type="pct"/>
          </w:tcPr>
          <w:p w14:paraId="2AFC7F0E" w14:textId="77777777" w:rsidR="005976AB" w:rsidRPr="005635E7" w:rsidRDefault="005976AB" w:rsidP="009E2F41">
            <w:pPr>
              <w:rPr>
                <w:rFonts w:asciiTheme="majorBidi" w:hAnsiTheme="majorBidi" w:cstheme="majorBidi"/>
              </w:rPr>
            </w:pPr>
          </w:p>
        </w:tc>
        <w:tc>
          <w:tcPr>
            <w:tcW w:w="459" w:type="pct"/>
          </w:tcPr>
          <w:p w14:paraId="33A31374" w14:textId="77777777" w:rsidR="005976AB" w:rsidRPr="005635E7" w:rsidRDefault="005976AB" w:rsidP="009E2F41">
            <w:pPr>
              <w:rPr>
                <w:rFonts w:asciiTheme="majorBidi" w:hAnsiTheme="majorBidi" w:cstheme="majorBidi"/>
              </w:rPr>
            </w:pPr>
          </w:p>
        </w:tc>
        <w:tc>
          <w:tcPr>
            <w:tcW w:w="459" w:type="pct"/>
          </w:tcPr>
          <w:p w14:paraId="122E1B0A" w14:textId="77777777" w:rsidR="005976AB" w:rsidRPr="005635E7" w:rsidRDefault="005976AB" w:rsidP="009E2F41">
            <w:pPr>
              <w:rPr>
                <w:rFonts w:asciiTheme="majorBidi" w:hAnsiTheme="majorBidi" w:cstheme="majorBidi"/>
              </w:rPr>
            </w:pPr>
          </w:p>
        </w:tc>
        <w:tc>
          <w:tcPr>
            <w:tcW w:w="457" w:type="pct"/>
          </w:tcPr>
          <w:p w14:paraId="0DD01691" w14:textId="77777777" w:rsidR="005976AB" w:rsidRPr="005635E7" w:rsidRDefault="005976AB" w:rsidP="009E2F41">
            <w:pPr>
              <w:rPr>
                <w:rFonts w:asciiTheme="majorBidi" w:hAnsiTheme="majorBidi" w:cstheme="majorBidi"/>
              </w:rPr>
            </w:pPr>
          </w:p>
        </w:tc>
      </w:tr>
      <w:tr w:rsidR="005976AB" w:rsidRPr="005635E7" w14:paraId="1A1DCC68" w14:textId="77777777" w:rsidTr="009E2F41">
        <w:trPr>
          <w:trHeight w:val="431"/>
        </w:trPr>
        <w:tc>
          <w:tcPr>
            <w:tcW w:w="263" w:type="pct"/>
            <w:vAlign w:val="center"/>
          </w:tcPr>
          <w:p w14:paraId="77AFCD02"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2E58AD82" w14:textId="77777777" w:rsidR="005976AB" w:rsidRPr="005635E7" w:rsidRDefault="005976AB" w:rsidP="009E2F41">
            <w:pPr>
              <w:rPr>
                <w:rFonts w:asciiTheme="majorBidi" w:hAnsiTheme="majorBidi" w:cstheme="majorBidi"/>
              </w:rPr>
            </w:pPr>
            <w:r w:rsidRPr="005635E7">
              <w:rPr>
                <w:rFonts w:asciiTheme="majorBidi" w:hAnsiTheme="majorBidi" w:cstheme="majorBidi"/>
              </w:rPr>
              <w:t>All of the components that make up this business are linked and function as a unit.</w:t>
            </w:r>
          </w:p>
        </w:tc>
        <w:tc>
          <w:tcPr>
            <w:tcW w:w="460" w:type="pct"/>
          </w:tcPr>
          <w:p w14:paraId="1B050E4C" w14:textId="77777777" w:rsidR="005976AB" w:rsidRPr="005635E7" w:rsidRDefault="005976AB" w:rsidP="009E2F41">
            <w:pPr>
              <w:rPr>
                <w:rFonts w:asciiTheme="majorBidi" w:hAnsiTheme="majorBidi" w:cstheme="majorBidi"/>
              </w:rPr>
            </w:pPr>
          </w:p>
        </w:tc>
        <w:tc>
          <w:tcPr>
            <w:tcW w:w="459" w:type="pct"/>
          </w:tcPr>
          <w:p w14:paraId="2C024AAF" w14:textId="77777777" w:rsidR="005976AB" w:rsidRPr="005635E7" w:rsidRDefault="005976AB" w:rsidP="009E2F41">
            <w:pPr>
              <w:rPr>
                <w:rFonts w:asciiTheme="majorBidi" w:hAnsiTheme="majorBidi" w:cstheme="majorBidi"/>
              </w:rPr>
            </w:pPr>
          </w:p>
        </w:tc>
        <w:tc>
          <w:tcPr>
            <w:tcW w:w="459" w:type="pct"/>
          </w:tcPr>
          <w:p w14:paraId="6EF7E394" w14:textId="77777777" w:rsidR="005976AB" w:rsidRPr="005635E7" w:rsidRDefault="005976AB" w:rsidP="009E2F41">
            <w:pPr>
              <w:rPr>
                <w:rFonts w:asciiTheme="majorBidi" w:hAnsiTheme="majorBidi" w:cstheme="majorBidi"/>
              </w:rPr>
            </w:pPr>
          </w:p>
        </w:tc>
        <w:tc>
          <w:tcPr>
            <w:tcW w:w="459" w:type="pct"/>
          </w:tcPr>
          <w:p w14:paraId="36E293F6" w14:textId="77777777" w:rsidR="005976AB" w:rsidRPr="005635E7" w:rsidRDefault="005976AB" w:rsidP="009E2F41">
            <w:pPr>
              <w:rPr>
                <w:rFonts w:asciiTheme="majorBidi" w:hAnsiTheme="majorBidi" w:cstheme="majorBidi"/>
              </w:rPr>
            </w:pPr>
          </w:p>
        </w:tc>
        <w:tc>
          <w:tcPr>
            <w:tcW w:w="459" w:type="pct"/>
          </w:tcPr>
          <w:p w14:paraId="2D530D20" w14:textId="77777777" w:rsidR="005976AB" w:rsidRPr="005635E7" w:rsidRDefault="005976AB" w:rsidP="009E2F41">
            <w:pPr>
              <w:rPr>
                <w:rFonts w:asciiTheme="majorBidi" w:hAnsiTheme="majorBidi" w:cstheme="majorBidi"/>
              </w:rPr>
            </w:pPr>
          </w:p>
        </w:tc>
        <w:tc>
          <w:tcPr>
            <w:tcW w:w="459" w:type="pct"/>
          </w:tcPr>
          <w:p w14:paraId="662B4669" w14:textId="77777777" w:rsidR="005976AB" w:rsidRPr="005635E7" w:rsidRDefault="005976AB" w:rsidP="009E2F41">
            <w:pPr>
              <w:rPr>
                <w:rFonts w:asciiTheme="majorBidi" w:hAnsiTheme="majorBidi" w:cstheme="majorBidi"/>
              </w:rPr>
            </w:pPr>
          </w:p>
        </w:tc>
        <w:tc>
          <w:tcPr>
            <w:tcW w:w="457" w:type="pct"/>
          </w:tcPr>
          <w:p w14:paraId="2539166B" w14:textId="77777777" w:rsidR="005976AB" w:rsidRPr="005635E7" w:rsidRDefault="005976AB" w:rsidP="009E2F41">
            <w:pPr>
              <w:rPr>
                <w:rFonts w:asciiTheme="majorBidi" w:hAnsiTheme="majorBidi" w:cstheme="majorBidi"/>
              </w:rPr>
            </w:pPr>
          </w:p>
        </w:tc>
      </w:tr>
      <w:tr w:rsidR="005976AB" w:rsidRPr="005635E7" w14:paraId="5913A9F8" w14:textId="77777777" w:rsidTr="009E2F41">
        <w:trPr>
          <w:trHeight w:val="431"/>
        </w:trPr>
        <w:tc>
          <w:tcPr>
            <w:tcW w:w="263" w:type="pct"/>
            <w:vAlign w:val="center"/>
          </w:tcPr>
          <w:p w14:paraId="04377AD7"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5F704167"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company encourages creativity and experimentation as a strategy to enhance the working environment.</w:t>
            </w:r>
          </w:p>
        </w:tc>
        <w:tc>
          <w:tcPr>
            <w:tcW w:w="460" w:type="pct"/>
          </w:tcPr>
          <w:p w14:paraId="7089E834" w14:textId="77777777" w:rsidR="005976AB" w:rsidRPr="005635E7" w:rsidRDefault="005976AB" w:rsidP="009E2F41">
            <w:pPr>
              <w:rPr>
                <w:rFonts w:asciiTheme="majorBidi" w:hAnsiTheme="majorBidi" w:cstheme="majorBidi"/>
              </w:rPr>
            </w:pPr>
          </w:p>
        </w:tc>
        <w:tc>
          <w:tcPr>
            <w:tcW w:w="459" w:type="pct"/>
          </w:tcPr>
          <w:p w14:paraId="759E0048" w14:textId="77777777" w:rsidR="005976AB" w:rsidRPr="005635E7" w:rsidRDefault="005976AB" w:rsidP="009E2F41">
            <w:pPr>
              <w:rPr>
                <w:rFonts w:asciiTheme="majorBidi" w:hAnsiTheme="majorBidi" w:cstheme="majorBidi"/>
              </w:rPr>
            </w:pPr>
          </w:p>
        </w:tc>
        <w:tc>
          <w:tcPr>
            <w:tcW w:w="459" w:type="pct"/>
          </w:tcPr>
          <w:p w14:paraId="497DD1DA" w14:textId="77777777" w:rsidR="005976AB" w:rsidRPr="005635E7" w:rsidRDefault="005976AB" w:rsidP="009E2F41">
            <w:pPr>
              <w:rPr>
                <w:rFonts w:asciiTheme="majorBidi" w:hAnsiTheme="majorBidi" w:cstheme="majorBidi"/>
              </w:rPr>
            </w:pPr>
          </w:p>
        </w:tc>
        <w:tc>
          <w:tcPr>
            <w:tcW w:w="459" w:type="pct"/>
          </w:tcPr>
          <w:p w14:paraId="7AE8703C" w14:textId="77777777" w:rsidR="005976AB" w:rsidRPr="005635E7" w:rsidRDefault="005976AB" w:rsidP="009E2F41">
            <w:pPr>
              <w:rPr>
                <w:rFonts w:asciiTheme="majorBidi" w:hAnsiTheme="majorBidi" w:cstheme="majorBidi"/>
              </w:rPr>
            </w:pPr>
          </w:p>
        </w:tc>
        <w:tc>
          <w:tcPr>
            <w:tcW w:w="459" w:type="pct"/>
          </w:tcPr>
          <w:p w14:paraId="4226980C" w14:textId="77777777" w:rsidR="005976AB" w:rsidRPr="005635E7" w:rsidRDefault="005976AB" w:rsidP="009E2F41">
            <w:pPr>
              <w:rPr>
                <w:rFonts w:asciiTheme="majorBidi" w:hAnsiTheme="majorBidi" w:cstheme="majorBidi"/>
              </w:rPr>
            </w:pPr>
          </w:p>
        </w:tc>
        <w:tc>
          <w:tcPr>
            <w:tcW w:w="459" w:type="pct"/>
          </w:tcPr>
          <w:p w14:paraId="5DA3CDB6" w14:textId="77777777" w:rsidR="005976AB" w:rsidRPr="005635E7" w:rsidRDefault="005976AB" w:rsidP="009E2F41">
            <w:pPr>
              <w:rPr>
                <w:rFonts w:asciiTheme="majorBidi" w:hAnsiTheme="majorBidi" w:cstheme="majorBidi"/>
              </w:rPr>
            </w:pPr>
          </w:p>
        </w:tc>
        <w:tc>
          <w:tcPr>
            <w:tcW w:w="457" w:type="pct"/>
          </w:tcPr>
          <w:p w14:paraId="7017B8A6" w14:textId="77777777" w:rsidR="005976AB" w:rsidRPr="005635E7" w:rsidRDefault="005976AB" w:rsidP="009E2F41">
            <w:pPr>
              <w:rPr>
                <w:rFonts w:asciiTheme="majorBidi" w:hAnsiTheme="majorBidi" w:cstheme="majorBidi"/>
              </w:rPr>
            </w:pPr>
          </w:p>
        </w:tc>
      </w:tr>
      <w:tr w:rsidR="005976AB" w:rsidRPr="005635E7" w14:paraId="03175778" w14:textId="77777777" w:rsidTr="009E2F41">
        <w:trPr>
          <w:trHeight w:val="406"/>
        </w:trPr>
        <w:tc>
          <w:tcPr>
            <w:tcW w:w="263" w:type="pct"/>
            <w:vAlign w:val="center"/>
          </w:tcPr>
          <w:p w14:paraId="626C7E10"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772D0606"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company adopts practices and techniques that it thinks are interesting and valuable by observing what other businesses in the area are doing.</w:t>
            </w:r>
          </w:p>
        </w:tc>
        <w:tc>
          <w:tcPr>
            <w:tcW w:w="460" w:type="pct"/>
          </w:tcPr>
          <w:p w14:paraId="154D08B2" w14:textId="77777777" w:rsidR="005976AB" w:rsidRPr="005635E7" w:rsidRDefault="005976AB" w:rsidP="009E2F41">
            <w:pPr>
              <w:rPr>
                <w:rFonts w:asciiTheme="majorBidi" w:hAnsiTheme="majorBidi" w:cstheme="majorBidi"/>
              </w:rPr>
            </w:pPr>
          </w:p>
        </w:tc>
        <w:tc>
          <w:tcPr>
            <w:tcW w:w="459" w:type="pct"/>
          </w:tcPr>
          <w:p w14:paraId="47535986" w14:textId="77777777" w:rsidR="005976AB" w:rsidRPr="005635E7" w:rsidRDefault="005976AB" w:rsidP="009E2F41">
            <w:pPr>
              <w:rPr>
                <w:rFonts w:asciiTheme="majorBidi" w:hAnsiTheme="majorBidi" w:cstheme="majorBidi"/>
              </w:rPr>
            </w:pPr>
          </w:p>
        </w:tc>
        <w:tc>
          <w:tcPr>
            <w:tcW w:w="459" w:type="pct"/>
          </w:tcPr>
          <w:p w14:paraId="639E40BF" w14:textId="77777777" w:rsidR="005976AB" w:rsidRPr="005635E7" w:rsidRDefault="005976AB" w:rsidP="009E2F41">
            <w:pPr>
              <w:rPr>
                <w:rFonts w:asciiTheme="majorBidi" w:hAnsiTheme="majorBidi" w:cstheme="majorBidi"/>
              </w:rPr>
            </w:pPr>
          </w:p>
        </w:tc>
        <w:tc>
          <w:tcPr>
            <w:tcW w:w="459" w:type="pct"/>
          </w:tcPr>
          <w:p w14:paraId="4926BBC6" w14:textId="77777777" w:rsidR="005976AB" w:rsidRPr="005635E7" w:rsidRDefault="005976AB" w:rsidP="009E2F41">
            <w:pPr>
              <w:rPr>
                <w:rFonts w:asciiTheme="majorBidi" w:hAnsiTheme="majorBidi" w:cstheme="majorBidi"/>
              </w:rPr>
            </w:pPr>
          </w:p>
        </w:tc>
        <w:tc>
          <w:tcPr>
            <w:tcW w:w="459" w:type="pct"/>
          </w:tcPr>
          <w:p w14:paraId="6DFE7358" w14:textId="77777777" w:rsidR="005976AB" w:rsidRPr="005635E7" w:rsidRDefault="005976AB" w:rsidP="009E2F41">
            <w:pPr>
              <w:rPr>
                <w:rFonts w:asciiTheme="majorBidi" w:hAnsiTheme="majorBidi" w:cstheme="majorBidi"/>
              </w:rPr>
            </w:pPr>
          </w:p>
        </w:tc>
        <w:tc>
          <w:tcPr>
            <w:tcW w:w="459" w:type="pct"/>
          </w:tcPr>
          <w:p w14:paraId="559BDDB2" w14:textId="77777777" w:rsidR="005976AB" w:rsidRPr="005635E7" w:rsidRDefault="005976AB" w:rsidP="009E2F41">
            <w:pPr>
              <w:rPr>
                <w:rFonts w:asciiTheme="majorBidi" w:hAnsiTheme="majorBidi" w:cstheme="majorBidi"/>
              </w:rPr>
            </w:pPr>
          </w:p>
        </w:tc>
        <w:tc>
          <w:tcPr>
            <w:tcW w:w="457" w:type="pct"/>
          </w:tcPr>
          <w:p w14:paraId="5794D0B3" w14:textId="77777777" w:rsidR="005976AB" w:rsidRPr="005635E7" w:rsidRDefault="005976AB" w:rsidP="009E2F41">
            <w:pPr>
              <w:rPr>
                <w:rFonts w:asciiTheme="majorBidi" w:hAnsiTheme="majorBidi" w:cstheme="majorBidi"/>
              </w:rPr>
            </w:pPr>
          </w:p>
        </w:tc>
      </w:tr>
      <w:tr w:rsidR="005976AB" w:rsidRPr="005635E7" w14:paraId="65C2C876" w14:textId="77777777" w:rsidTr="009E2F41">
        <w:trPr>
          <w:trHeight w:val="431"/>
        </w:trPr>
        <w:tc>
          <w:tcPr>
            <w:tcW w:w="263" w:type="pct"/>
            <w:vAlign w:val="center"/>
          </w:tcPr>
          <w:p w14:paraId="31835469"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164A145F" w14:textId="77777777" w:rsidR="005976AB" w:rsidRPr="005635E7" w:rsidRDefault="005976AB" w:rsidP="009E2F41">
            <w:pPr>
              <w:rPr>
                <w:rFonts w:asciiTheme="majorBidi" w:hAnsiTheme="majorBidi" w:cstheme="majorBidi"/>
              </w:rPr>
            </w:pPr>
            <w:r w:rsidRPr="005635E7">
              <w:rPr>
                <w:rFonts w:asciiTheme="majorBidi" w:hAnsiTheme="majorBidi" w:cstheme="majorBidi"/>
              </w:rPr>
              <w:t>This company views the experiences and concepts offered by outside sources (advisors, clients, training organizations, etc.) as a beneficial tool for learning.</w:t>
            </w:r>
          </w:p>
        </w:tc>
        <w:tc>
          <w:tcPr>
            <w:tcW w:w="460" w:type="pct"/>
          </w:tcPr>
          <w:p w14:paraId="32FC2AEC" w14:textId="77777777" w:rsidR="005976AB" w:rsidRPr="005635E7" w:rsidRDefault="005976AB" w:rsidP="009E2F41">
            <w:pPr>
              <w:rPr>
                <w:rFonts w:asciiTheme="majorBidi" w:hAnsiTheme="majorBidi" w:cstheme="majorBidi"/>
              </w:rPr>
            </w:pPr>
          </w:p>
        </w:tc>
        <w:tc>
          <w:tcPr>
            <w:tcW w:w="459" w:type="pct"/>
          </w:tcPr>
          <w:p w14:paraId="0F07723C" w14:textId="77777777" w:rsidR="005976AB" w:rsidRPr="005635E7" w:rsidRDefault="005976AB" w:rsidP="009E2F41">
            <w:pPr>
              <w:rPr>
                <w:rFonts w:asciiTheme="majorBidi" w:hAnsiTheme="majorBidi" w:cstheme="majorBidi"/>
              </w:rPr>
            </w:pPr>
          </w:p>
        </w:tc>
        <w:tc>
          <w:tcPr>
            <w:tcW w:w="459" w:type="pct"/>
          </w:tcPr>
          <w:p w14:paraId="2BB61AC0" w14:textId="77777777" w:rsidR="005976AB" w:rsidRPr="005635E7" w:rsidRDefault="005976AB" w:rsidP="009E2F41">
            <w:pPr>
              <w:rPr>
                <w:rFonts w:asciiTheme="majorBidi" w:hAnsiTheme="majorBidi" w:cstheme="majorBidi"/>
              </w:rPr>
            </w:pPr>
          </w:p>
        </w:tc>
        <w:tc>
          <w:tcPr>
            <w:tcW w:w="459" w:type="pct"/>
          </w:tcPr>
          <w:p w14:paraId="042CFF03" w14:textId="77777777" w:rsidR="005976AB" w:rsidRPr="005635E7" w:rsidRDefault="005976AB" w:rsidP="009E2F41">
            <w:pPr>
              <w:rPr>
                <w:rFonts w:asciiTheme="majorBidi" w:hAnsiTheme="majorBidi" w:cstheme="majorBidi"/>
              </w:rPr>
            </w:pPr>
          </w:p>
        </w:tc>
        <w:tc>
          <w:tcPr>
            <w:tcW w:w="459" w:type="pct"/>
          </w:tcPr>
          <w:p w14:paraId="4D3FBF9A" w14:textId="77777777" w:rsidR="005976AB" w:rsidRPr="005635E7" w:rsidRDefault="005976AB" w:rsidP="009E2F41">
            <w:pPr>
              <w:rPr>
                <w:rFonts w:asciiTheme="majorBidi" w:hAnsiTheme="majorBidi" w:cstheme="majorBidi"/>
              </w:rPr>
            </w:pPr>
          </w:p>
        </w:tc>
        <w:tc>
          <w:tcPr>
            <w:tcW w:w="459" w:type="pct"/>
          </w:tcPr>
          <w:p w14:paraId="21A6428D" w14:textId="77777777" w:rsidR="005976AB" w:rsidRPr="005635E7" w:rsidRDefault="005976AB" w:rsidP="009E2F41">
            <w:pPr>
              <w:rPr>
                <w:rFonts w:asciiTheme="majorBidi" w:hAnsiTheme="majorBidi" w:cstheme="majorBidi"/>
              </w:rPr>
            </w:pPr>
          </w:p>
        </w:tc>
        <w:tc>
          <w:tcPr>
            <w:tcW w:w="457" w:type="pct"/>
          </w:tcPr>
          <w:p w14:paraId="0253D944" w14:textId="77777777" w:rsidR="005976AB" w:rsidRPr="005635E7" w:rsidRDefault="005976AB" w:rsidP="009E2F41">
            <w:pPr>
              <w:rPr>
                <w:rFonts w:asciiTheme="majorBidi" w:hAnsiTheme="majorBidi" w:cstheme="majorBidi"/>
              </w:rPr>
            </w:pPr>
          </w:p>
        </w:tc>
      </w:tr>
      <w:tr w:rsidR="005976AB" w:rsidRPr="005635E7" w14:paraId="33FF2A0C" w14:textId="77777777" w:rsidTr="009E2F41">
        <w:trPr>
          <w:trHeight w:val="406"/>
        </w:trPr>
        <w:tc>
          <w:tcPr>
            <w:tcW w:w="263" w:type="pct"/>
            <w:vAlign w:val="center"/>
          </w:tcPr>
          <w:p w14:paraId="7C915100"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6DDD60B0" w14:textId="77777777" w:rsidR="005976AB" w:rsidRPr="005635E7" w:rsidRDefault="005976AB" w:rsidP="009E2F41">
            <w:pPr>
              <w:rPr>
                <w:rFonts w:asciiTheme="majorBidi" w:hAnsiTheme="majorBidi" w:cstheme="majorBidi"/>
              </w:rPr>
            </w:pPr>
            <w:r w:rsidRPr="005635E7">
              <w:rPr>
                <w:rFonts w:asciiTheme="majorBidi" w:hAnsiTheme="majorBidi" w:cstheme="majorBidi"/>
              </w:rPr>
              <w:t>Employees are encouraged to voice their thoughts and offer suggestions regarding the systems and practices used to complete jobs as part of the company culture.</w:t>
            </w:r>
          </w:p>
        </w:tc>
        <w:tc>
          <w:tcPr>
            <w:tcW w:w="460" w:type="pct"/>
          </w:tcPr>
          <w:p w14:paraId="60D32B29" w14:textId="77777777" w:rsidR="005976AB" w:rsidRPr="005635E7" w:rsidRDefault="005976AB" w:rsidP="009E2F41">
            <w:pPr>
              <w:rPr>
                <w:rFonts w:asciiTheme="majorBidi" w:hAnsiTheme="majorBidi" w:cstheme="majorBidi"/>
              </w:rPr>
            </w:pPr>
          </w:p>
        </w:tc>
        <w:tc>
          <w:tcPr>
            <w:tcW w:w="459" w:type="pct"/>
          </w:tcPr>
          <w:p w14:paraId="202B9B0A" w14:textId="77777777" w:rsidR="005976AB" w:rsidRPr="005635E7" w:rsidRDefault="005976AB" w:rsidP="009E2F41">
            <w:pPr>
              <w:rPr>
                <w:rFonts w:asciiTheme="majorBidi" w:hAnsiTheme="majorBidi" w:cstheme="majorBidi"/>
              </w:rPr>
            </w:pPr>
          </w:p>
        </w:tc>
        <w:tc>
          <w:tcPr>
            <w:tcW w:w="459" w:type="pct"/>
          </w:tcPr>
          <w:p w14:paraId="43E78BA0" w14:textId="77777777" w:rsidR="005976AB" w:rsidRPr="005635E7" w:rsidRDefault="005976AB" w:rsidP="009E2F41">
            <w:pPr>
              <w:rPr>
                <w:rFonts w:asciiTheme="majorBidi" w:hAnsiTheme="majorBidi" w:cstheme="majorBidi"/>
              </w:rPr>
            </w:pPr>
          </w:p>
        </w:tc>
        <w:tc>
          <w:tcPr>
            <w:tcW w:w="459" w:type="pct"/>
          </w:tcPr>
          <w:p w14:paraId="24E44D6C" w14:textId="77777777" w:rsidR="005976AB" w:rsidRPr="005635E7" w:rsidRDefault="005976AB" w:rsidP="009E2F41">
            <w:pPr>
              <w:rPr>
                <w:rFonts w:asciiTheme="majorBidi" w:hAnsiTheme="majorBidi" w:cstheme="majorBidi"/>
              </w:rPr>
            </w:pPr>
          </w:p>
        </w:tc>
        <w:tc>
          <w:tcPr>
            <w:tcW w:w="459" w:type="pct"/>
          </w:tcPr>
          <w:p w14:paraId="657AE8F8" w14:textId="77777777" w:rsidR="005976AB" w:rsidRPr="005635E7" w:rsidRDefault="005976AB" w:rsidP="009E2F41">
            <w:pPr>
              <w:rPr>
                <w:rFonts w:asciiTheme="majorBidi" w:hAnsiTheme="majorBidi" w:cstheme="majorBidi"/>
              </w:rPr>
            </w:pPr>
          </w:p>
        </w:tc>
        <w:tc>
          <w:tcPr>
            <w:tcW w:w="459" w:type="pct"/>
          </w:tcPr>
          <w:p w14:paraId="37486FE6" w14:textId="77777777" w:rsidR="005976AB" w:rsidRPr="005635E7" w:rsidRDefault="005976AB" w:rsidP="009E2F41">
            <w:pPr>
              <w:rPr>
                <w:rFonts w:asciiTheme="majorBidi" w:hAnsiTheme="majorBidi" w:cstheme="majorBidi"/>
              </w:rPr>
            </w:pPr>
          </w:p>
        </w:tc>
        <w:tc>
          <w:tcPr>
            <w:tcW w:w="457" w:type="pct"/>
          </w:tcPr>
          <w:p w14:paraId="70F9A36B" w14:textId="77777777" w:rsidR="005976AB" w:rsidRPr="005635E7" w:rsidRDefault="005976AB" w:rsidP="009E2F41">
            <w:pPr>
              <w:rPr>
                <w:rFonts w:asciiTheme="majorBidi" w:hAnsiTheme="majorBidi" w:cstheme="majorBidi"/>
              </w:rPr>
            </w:pPr>
          </w:p>
        </w:tc>
      </w:tr>
      <w:tr w:rsidR="005976AB" w:rsidRPr="005635E7" w14:paraId="75BABEA8" w14:textId="77777777" w:rsidTr="009E2F41">
        <w:trPr>
          <w:trHeight w:val="431"/>
        </w:trPr>
        <w:tc>
          <w:tcPr>
            <w:tcW w:w="263" w:type="pct"/>
            <w:vAlign w:val="center"/>
          </w:tcPr>
          <w:p w14:paraId="5EFCD0AB"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23DE26CF" w14:textId="77777777" w:rsidR="005976AB" w:rsidRPr="005635E7" w:rsidRDefault="005976AB" w:rsidP="009E2F41">
            <w:pPr>
              <w:rPr>
                <w:rFonts w:asciiTheme="majorBidi" w:hAnsiTheme="majorBidi" w:cstheme="majorBidi"/>
              </w:rPr>
            </w:pPr>
            <w:r w:rsidRPr="005635E7">
              <w:rPr>
                <w:rFonts w:asciiTheme="majorBidi" w:hAnsiTheme="majorBidi" w:cstheme="majorBidi"/>
              </w:rPr>
              <w:t>In this company, failures and errors are constantly discussed and analyzed at all levels.</w:t>
            </w:r>
          </w:p>
        </w:tc>
        <w:tc>
          <w:tcPr>
            <w:tcW w:w="460" w:type="pct"/>
          </w:tcPr>
          <w:p w14:paraId="1C83A240" w14:textId="77777777" w:rsidR="005976AB" w:rsidRPr="005635E7" w:rsidRDefault="005976AB" w:rsidP="009E2F41">
            <w:pPr>
              <w:rPr>
                <w:rFonts w:asciiTheme="majorBidi" w:hAnsiTheme="majorBidi" w:cstheme="majorBidi"/>
              </w:rPr>
            </w:pPr>
          </w:p>
        </w:tc>
        <w:tc>
          <w:tcPr>
            <w:tcW w:w="459" w:type="pct"/>
          </w:tcPr>
          <w:p w14:paraId="00F43CEF" w14:textId="77777777" w:rsidR="005976AB" w:rsidRPr="005635E7" w:rsidRDefault="005976AB" w:rsidP="009E2F41">
            <w:pPr>
              <w:rPr>
                <w:rFonts w:asciiTheme="majorBidi" w:hAnsiTheme="majorBidi" w:cstheme="majorBidi"/>
              </w:rPr>
            </w:pPr>
          </w:p>
        </w:tc>
        <w:tc>
          <w:tcPr>
            <w:tcW w:w="459" w:type="pct"/>
          </w:tcPr>
          <w:p w14:paraId="34D23B79" w14:textId="77777777" w:rsidR="005976AB" w:rsidRPr="005635E7" w:rsidRDefault="005976AB" w:rsidP="009E2F41">
            <w:pPr>
              <w:rPr>
                <w:rFonts w:asciiTheme="majorBidi" w:hAnsiTheme="majorBidi" w:cstheme="majorBidi"/>
              </w:rPr>
            </w:pPr>
          </w:p>
        </w:tc>
        <w:tc>
          <w:tcPr>
            <w:tcW w:w="459" w:type="pct"/>
          </w:tcPr>
          <w:p w14:paraId="00404F9A" w14:textId="77777777" w:rsidR="005976AB" w:rsidRPr="005635E7" w:rsidRDefault="005976AB" w:rsidP="009E2F41">
            <w:pPr>
              <w:rPr>
                <w:rFonts w:asciiTheme="majorBidi" w:hAnsiTheme="majorBidi" w:cstheme="majorBidi"/>
              </w:rPr>
            </w:pPr>
          </w:p>
        </w:tc>
        <w:tc>
          <w:tcPr>
            <w:tcW w:w="459" w:type="pct"/>
          </w:tcPr>
          <w:p w14:paraId="3E3A803A" w14:textId="77777777" w:rsidR="005976AB" w:rsidRPr="005635E7" w:rsidRDefault="005976AB" w:rsidP="009E2F41">
            <w:pPr>
              <w:rPr>
                <w:rFonts w:asciiTheme="majorBidi" w:hAnsiTheme="majorBidi" w:cstheme="majorBidi"/>
              </w:rPr>
            </w:pPr>
          </w:p>
        </w:tc>
        <w:tc>
          <w:tcPr>
            <w:tcW w:w="459" w:type="pct"/>
          </w:tcPr>
          <w:p w14:paraId="655618E2" w14:textId="77777777" w:rsidR="005976AB" w:rsidRPr="005635E7" w:rsidRDefault="005976AB" w:rsidP="009E2F41">
            <w:pPr>
              <w:rPr>
                <w:rFonts w:asciiTheme="majorBidi" w:hAnsiTheme="majorBidi" w:cstheme="majorBidi"/>
              </w:rPr>
            </w:pPr>
          </w:p>
        </w:tc>
        <w:tc>
          <w:tcPr>
            <w:tcW w:w="457" w:type="pct"/>
          </w:tcPr>
          <w:p w14:paraId="3305848C" w14:textId="77777777" w:rsidR="005976AB" w:rsidRPr="005635E7" w:rsidRDefault="005976AB" w:rsidP="009E2F41">
            <w:pPr>
              <w:rPr>
                <w:rFonts w:asciiTheme="majorBidi" w:hAnsiTheme="majorBidi" w:cstheme="majorBidi"/>
              </w:rPr>
            </w:pPr>
          </w:p>
        </w:tc>
      </w:tr>
      <w:tr w:rsidR="005976AB" w:rsidRPr="005635E7" w14:paraId="10753EA3" w14:textId="77777777" w:rsidTr="009E2F41">
        <w:trPr>
          <w:trHeight w:val="406"/>
        </w:trPr>
        <w:tc>
          <w:tcPr>
            <w:tcW w:w="263" w:type="pct"/>
            <w:vAlign w:val="center"/>
          </w:tcPr>
          <w:p w14:paraId="18311E08"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2F59DB12" w14:textId="77777777" w:rsidR="005976AB" w:rsidRPr="005635E7" w:rsidRDefault="005976AB" w:rsidP="009E2F41">
            <w:pPr>
              <w:rPr>
                <w:rFonts w:asciiTheme="majorBidi" w:hAnsiTheme="majorBidi" w:cstheme="majorBidi"/>
              </w:rPr>
            </w:pPr>
            <w:r w:rsidRPr="005635E7">
              <w:rPr>
                <w:rFonts w:asciiTheme="majorBidi" w:hAnsiTheme="majorBidi" w:cstheme="majorBidi"/>
              </w:rPr>
              <w:t>The opportunity exists for employees to discuss novel concepts, plans, and initiatives that might benefit the company among themselves.</w:t>
            </w:r>
          </w:p>
        </w:tc>
        <w:tc>
          <w:tcPr>
            <w:tcW w:w="460" w:type="pct"/>
          </w:tcPr>
          <w:p w14:paraId="253603ED" w14:textId="77777777" w:rsidR="005976AB" w:rsidRPr="005635E7" w:rsidRDefault="005976AB" w:rsidP="009E2F41">
            <w:pPr>
              <w:rPr>
                <w:rFonts w:asciiTheme="majorBidi" w:hAnsiTheme="majorBidi" w:cstheme="majorBidi"/>
              </w:rPr>
            </w:pPr>
          </w:p>
        </w:tc>
        <w:tc>
          <w:tcPr>
            <w:tcW w:w="459" w:type="pct"/>
          </w:tcPr>
          <w:p w14:paraId="24417264" w14:textId="77777777" w:rsidR="005976AB" w:rsidRPr="005635E7" w:rsidRDefault="005976AB" w:rsidP="009E2F41">
            <w:pPr>
              <w:rPr>
                <w:rFonts w:asciiTheme="majorBidi" w:hAnsiTheme="majorBidi" w:cstheme="majorBidi"/>
              </w:rPr>
            </w:pPr>
          </w:p>
        </w:tc>
        <w:tc>
          <w:tcPr>
            <w:tcW w:w="459" w:type="pct"/>
          </w:tcPr>
          <w:p w14:paraId="7DCE3141" w14:textId="77777777" w:rsidR="005976AB" w:rsidRPr="005635E7" w:rsidRDefault="005976AB" w:rsidP="009E2F41">
            <w:pPr>
              <w:rPr>
                <w:rFonts w:asciiTheme="majorBidi" w:hAnsiTheme="majorBidi" w:cstheme="majorBidi"/>
              </w:rPr>
            </w:pPr>
          </w:p>
        </w:tc>
        <w:tc>
          <w:tcPr>
            <w:tcW w:w="459" w:type="pct"/>
          </w:tcPr>
          <w:p w14:paraId="6A447D07" w14:textId="77777777" w:rsidR="005976AB" w:rsidRPr="005635E7" w:rsidRDefault="005976AB" w:rsidP="009E2F41">
            <w:pPr>
              <w:rPr>
                <w:rFonts w:asciiTheme="majorBidi" w:hAnsiTheme="majorBidi" w:cstheme="majorBidi"/>
              </w:rPr>
            </w:pPr>
          </w:p>
        </w:tc>
        <w:tc>
          <w:tcPr>
            <w:tcW w:w="459" w:type="pct"/>
          </w:tcPr>
          <w:p w14:paraId="607D5D78" w14:textId="77777777" w:rsidR="005976AB" w:rsidRPr="005635E7" w:rsidRDefault="005976AB" w:rsidP="009E2F41">
            <w:pPr>
              <w:rPr>
                <w:rFonts w:asciiTheme="majorBidi" w:hAnsiTheme="majorBidi" w:cstheme="majorBidi"/>
              </w:rPr>
            </w:pPr>
          </w:p>
        </w:tc>
        <w:tc>
          <w:tcPr>
            <w:tcW w:w="459" w:type="pct"/>
          </w:tcPr>
          <w:p w14:paraId="44779BF6" w14:textId="77777777" w:rsidR="005976AB" w:rsidRPr="005635E7" w:rsidRDefault="005976AB" w:rsidP="009E2F41">
            <w:pPr>
              <w:rPr>
                <w:rFonts w:asciiTheme="majorBidi" w:hAnsiTheme="majorBidi" w:cstheme="majorBidi"/>
              </w:rPr>
            </w:pPr>
          </w:p>
        </w:tc>
        <w:tc>
          <w:tcPr>
            <w:tcW w:w="457" w:type="pct"/>
          </w:tcPr>
          <w:p w14:paraId="3BA6FE44" w14:textId="77777777" w:rsidR="005976AB" w:rsidRPr="005635E7" w:rsidRDefault="005976AB" w:rsidP="009E2F41">
            <w:pPr>
              <w:rPr>
                <w:rFonts w:asciiTheme="majorBidi" w:hAnsiTheme="majorBidi" w:cstheme="majorBidi"/>
              </w:rPr>
            </w:pPr>
          </w:p>
        </w:tc>
      </w:tr>
      <w:tr w:rsidR="005976AB" w:rsidRPr="005635E7" w14:paraId="2B8D5D99" w14:textId="77777777" w:rsidTr="009E2F41">
        <w:trPr>
          <w:trHeight w:val="431"/>
        </w:trPr>
        <w:tc>
          <w:tcPr>
            <w:tcW w:w="263" w:type="pct"/>
            <w:vAlign w:val="center"/>
          </w:tcPr>
          <w:p w14:paraId="7CF0B513"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395F8D25" w14:textId="77777777" w:rsidR="005976AB" w:rsidRPr="005635E7" w:rsidRDefault="005976AB" w:rsidP="009E2F41">
            <w:pPr>
              <w:rPr>
                <w:rFonts w:asciiTheme="majorBidi" w:hAnsiTheme="majorBidi" w:cstheme="majorBidi"/>
              </w:rPr>
            </w:pPr>
            <w:r w:rsidRPr="005635E7">
              <w:rPr>
                <w:rFonts w:asciiTheme="majorBidi" w:hAnsiTheme="majorBidi" w:cstheme="majorBidi"/>
              </w:rPr>
              <w:t>Working as a team is not the norm at this company.</w:t>
            </w:r>
          </w:p>
        </w:tc>
        <w:tc>
          <w:tcPr>
            <w:tcW w:w="460" w:type="pct"/>
          </w:tcPr>
          <w:p w14:paraId="21B68601" w14:textId="77777777" w:rsidR="005976AB" w:rsidRPr="005635E7" w:rsidRDefault="005976AB" w:rsidP="009E2F41">
            <w:pPr>
              <w:rPr>
                <w:rFonts w:asciiTheme="majorBidi" w:hAnsiTheme="majorBidi" w:cstheme="majorBidi"/>
              </w:rPr>
            </w:pPr>
          </w:p>
        </w:tc>
        <w:tc>
          <w:tcPr>
            <w:tcW w:w="459" w:type="pct"/>
          </w:tcPr>
          <w:p w14:paraId="723FABBA" w14:textId="77777777" w:rsidR="005976AB" w:rsidRPr="005635E7" w:rsidRDefault="005976AB" w:rsidP="009E2F41">
            <w:pPr>
              <w:rPr>
                <w:rFonts w:asciiTheme="majorBidi" w:hAnsiTheme="majorBidi" w:cstheme="majorBidi"/>
              </w:rPr>
            </w:pPr>
          </w:p>
        </w:tc>
        <w:tc>
          <w:tcPr>
            <w:tcW w:w="459" w:type="pct"/>
          </w:tcPr>
          <w:p w14:paraId="0FABF6D5" w14:textId="77777777" w:rsidR="005976AB" w:rsidRPr="005635E7" w:rsidRDefault="005976AB" w:rsidP="009E2F41">
            <w:pPr>
              <w:rPr>
                <w:rFonts w:asciiTheme="majorBidi" w:hAnsiTheme="majorBidi" w:cstheme="majorBidi"/>
              </w:rPr>
            </w:pPr>
          </w:p>
        </w:tc>
        <w:tc>
          <w:tcPr>
            <w:tcW w:w="459" w:type="pct"/>
          </w:tcPr>
          <w:p w14:paraId="53291162" w14:textId="77777777" w:rsidR="005976AB" w:rsidRPr="005635E7" w:rsidRDefault="005976AB" w:rsidP="009E2F41">
            <w:pPr>
              <w:rPr>
                <w:rFonts w:asciiTheme="majorBidi" w:hAnsiTheme="majorBidi" w:cstheme="majorBidi"/>
              </w:rPr>
            </w:pPr>
          </w:p>
        </w:tc>
        <w:tc>
          <w:tcPr>
            <w:tcW w:w="459" w:type="pct"/>
          </w:tcPr>
          <w:p w14:paraId="698CCBCB" w14:textId="77777777" w:rsidR="005976AB" w:rsidRPr="005635E7" w:rsidRDefault="005976AB" w:rsidP="009E2F41">
            <w:pPr>
              <w:rPr>
                <w:rFonts w:asciiTheme="majorBidi" w:hAnsiTheme="majorBidi" w:cstheme="majorBidi"/>
              </w:rPr>
            </w:pPr>
          </w:p>
        </w:tc>
        <w:tc>
          <w:tcPr>
            <w:tcW w:w="459" w:type="pct"/>
          </w:tcPr>
          <w:p w14:paraId="597319DD" w14:textId="77777777" w:rsidR="005976AB" w:rsidRPr="005635E7" w:rsidRDefault="005976AB" w:rsidP="009E2F41">
            <w:pPr>
              <w:rPr>
                <w:rFonts w:asciiTheme="majorBidi" w:hAnsiTheme="majorBidi" w:cstheme="majorBidi"/>
              </w:rPr>
            </w:pPr>
          </w:p>
        </w:tc>
        <w:tc>
          <w:tcPr>
            <w:tcW w:w="457" w:type="pct"/>
          </w:tcPr>
          <w:p w14:paraId="2FB41B70" w14:textId="77777777" w:rsidR="005976AB" w:rsidRPr="005635E7" w:rsidRDefault="005976AB" w:rsidP="009E2F41">
            <w:pPr>
              <w:rPr>
                <w:rFonts w:asciiTheme="majorBidi" w:hAnsiTheme="majorBidi" w:cstheme="majorBidi"/>
              </w:rPr>
            </w:pPr>
          </w:p>
        </w:tc>
      </w:tr>
      <w:tr w:rsidR="005976AB" w:rsidRPr="005635E7" w14:paraId="2A3A6472" w14:textId="77777777" w:rsidTr="009E2F41">
        <w:trPr>
          <w:trHeight w:val="406"/>
        </w:trPr>
        <w:tc>
          <w:tcPr>
            <w:tcW w:w="263" w:type="pct"/>
            <w:vAlign w:val="center"/>
          </w:tcPr>
          <w:p w14:paraId="694C7C1D"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364253F4" w14:textId="77777777" w:rsidR="005976AB" w:rsidRPr="005635E7" w:rsidRDefault="005976AB" w:rsidP="009E2F41">
            <w:pPr>
              <w:rPr>
                <w:rFonts w:asciiTheme="majorBidi" w:hAnsiTheme="majorBidi" w:cstheme="majorBidi"/>
              </w:rPr>
            </w:pPr>
            <w:r w:rsidRPr="005635E7">
              <w:rPr>
                <w:rFonts w:asciiTheme="majorBidi" w:hAnsiTheme="majorBidi" w:cstheme="majorBidi"/>
              </w:rPr>
              <w:t>The company contains tools (manuals, databases, files, organizational routines, etc.) that allow lessons learned in previous scenarios to stay applicable even when the employees have changed.</w:t>
            </w:r>
          </w:p>
        </w:tc>
        <w:tc>
          <w:tcPr>
            <w:tcW w:w="460" w:type="pct"/>
          </w:tcPr>
          <w:p w14:paraId="299B954D" w14:textId="77777777" w:rsidR="005976AB" w:rsidRPr="005635E7" w:rsidRDefault="005976AB" w:rsidP="009E2F41">
            <w:pPr>
              <w:rPr>
                <w:rFonts w:asciiTheme="majorBidi" w:hAnsiTheme="majorBidi" w:cstheme="majorBidi"/>
              </w:rPr>
            </w:pPr>
          </w:p>
        </w:tc>
        <w:tc>
          <w:tcPr>
            <w:tcW w:w="459" w:type="pct"/>
          </w:tcPr>
          <w:p w14:paraId="50BB86C2" w14:textId="77777777" w:rsidR="005976AB" w:rsidRPr="005635E7" w:rsidRDefault="005976AB" w:rsidP="009E2F41">
            <w:pPr>
              <w:rPr>
                <w:rFonts w:asciiTheme="majorBidi" w:hAnsiTheme="majorBidi" w:cstheme="majorBidi"/>
              </w:rPr>
            </w:pPr>
          </w:p>
        </w:tc>
        <w:tc>
          <w:tcPr>
            <w:tcW w:w="459" w:type="pct"/>
          </w:tcPr>
          <w:p w14:paraId="452DADDF" w14:textId="77777777" w:rsidR="005976AB" w:rsidRPr="005635E7" w:rsidRDefault="005976AB" w:rsidP="009E2F41">
            <w:pPr>
              <w:rPr>
                <w:rFonts w:asciiTheme="majorBidi" w:hAnsiTheme="majorBidi" w:cstheme="majorBidi"/>
              </w:rPr>
            </w:pPr>
          </w:p>
        </w:tc>
        <w:tc>
          <w:tcPr>
            <w:tcW w:w="459" w:type="pct"/>
          </w:tcPr>
          <w:p w14:paraId="04742559" w14:textId="77777777" w:rsidR="005976AB" w:rsidRPr="005635E7" w:rsidRDefault="005976AB" w:rsidP="009E2F41">
            <w:pPr>
              <w:rPr>
                <w:rFonts w:asciiTheme="majorBidi" w:hAnsiTheme="majorBidi" w:cstheme="majorBidi"/>
              </w:rPr>
            </w:pPr>
          </w:p>
        </w:tc>
        <w:tc>
          <w:tcPr>
            <w:tcW w:w="459" w:type="pct"/>
          </w:tcPr>
          <w:p w14:paraId="76C978EE" w14:textId="77777777" w:rsidR="005976AB" w:rsidRPr="005635E7" w:rsidRDefault="005976AB" w:rsidP="009E2F41">
            <w:pPr>
              <w:rPr>
                <w:rFonts w:asciiTheme="majorBidi" w:hAnsiTheme="majorBidi" w:cstheme="majorBidi"/>
              </w:rPr>
            </w:pPr>
          </w:p>
        </w:tc>
        <w:tc>
          <w:tcPr>
            <w:tcW w:w="459" w:type="pct"/>
          </w:tcPr>
          <w:p w14:paraId="2A314C1B" w14:textId="77777777" w:rsidR="005976AB" w:rsidRPr="005635E7" w:rsidRDefault="005976AB" w:rsidP="009E2F41">
            <w:pPr>
              <w:rPr>
                <w:rFonts w:asciiTheme="majorBidi" w:hAnsiTheme="majorBidi" w:cstheme="majorBidi"/>
              </w:rPr>
            </w:pPr>
          </w:p>
        </w:tc>
        <w:tc>
          <w:tcPr>
            <w:tcW w:w="457" w:type="pct"/>
          </w:tcPr>
          <w:p w14:paraId="40417536" w14:textId="77777777" w:rsidR="005976AB" w:rsidRPr="005635E7" w:rsidRDefault="005976AB" w:rsidP="009E2F41">
            <w:pPr>
              <w:rPr>
                <w:rFonts w:asciiTheme="majorBidi" w:hAnsiTheme="majorBidi" w:cstheme="majorBidi"/>
              </w:rPr>
            </w:pPr>
          </w:p>
        </w:tc>
      </w:tr>
    </w:tbl>
    <w:p w14:paraId="1D2C3C5D" w14:textId="77777777" w:rsidR="005976AB" w:rsidRPr="005635E7" w:rsidRDefault="005976AB" w:rsidP="005976AB">
      <w:pPr>
        <w:rPr>
          <w:rFonts w:asciiTheme="majorBidi" w:hAnsiTheme="majorBidi" w:cstheme="majorBidi"/>
        </w:rPr>
      </w:pPr>
    </w:p>
    <w:p w14:paraId="4514722F" w14:textId="77777777" w:rsidR="005976AB" w:rsidRPr="005635E7" w:rsidRDefault="005976AB" w:rsidP="005976AB">
      <w:pPr>
        <w:rPr>
          <w:rFonts w:asciiTheme="majorBidi" w:hAnsiTheme="majorBidi" w:cstheme="majorBidi"/>
        </w:rPr>
      </w:pPr>
      <w:r w:rsidRPr="005635E7">
        <w:rPr>
          <w:rFonts w:asciiTheme="majorBidi" w:eastAsia="Calibri" w:hAnsiTheme="majorBidi" w:cstheme="majorBidi"/>
          <w:noProof/>
        </w:rPr>
        <mc:AlternateContent>
          <mc:Choice Requires="wps">
            <w:drawing>
              <wp:anchor distT="0" distB="0" distL="114300" distR="114300" simplePos="0" relativeHeight="251681792" behindDoc="0" locked="0" layoutInCell="1" allowOverlap="1" wp14:anchorId="588028B0" wp14:editId="47A5C466">
                <wp:simplePos x="0" y="0"/>
                <wp:positionH relativeFrom="margin">
                  <wp:align>center</wp:align>
                </wp:positionH>
                <wp:positionV relativeFrom="paragraph">
                  <wp:posOffset>-66675</wp:posOffset>
                </wp:positionV>
                <wp:extent cx="6276975" cy="333375"/>
                <wp:effectExtent l="0" t="0" r="28575" b="28575"/>
                <wp:wrapNone/>
                <wp:docPr id="15" name="Rounded Rectangle 1"/>
                <wp:cNvGraphicFramePr/>
                <a:graphic xmlns:a="http://schemas.openxmlformats.org/drawingml/2006/main">
                  <a:graphicData uri="http://schemas.microsoft.com/office/word/2010/wordprocessingShape">
                    <wps:wsp>
                      <wps:cNvSpPr/>
                      <wps:spPr>
                        <a:xfrm>
                          <a:off x="0" y="0"/>
                          <a:ext cx="6276975" cy="333375"/>
                        </a:xfrm>
                        <a:prstGeom prst="roundRect">
                          <a:avLst/>
                        </a:prstGeom>
                        <a:solidFill>
                          <a:sysClr val="window" lastClr="FFFFFF">
                            <a:lumMod val="95000"/>
                          </a:sysClr>
                        </a:solidFill>
                        <a:ln w="6350">
                          <a:solidFill>
                            <a:srgbClr val="4F81BD">
                              <a:shade val="50000"/>
                            </a:srgbClr>
                          </a:solidFill>
                          <a:prstDash val="solid"/>
                        </a:ln>
                        <a:effectLst/>
                      </wps:spPr>
                      <wps:txbx>
                        <w:txbxContent>
                          <w:p w14:paraId="223AE3B4" w14:textId="77777777" w:rsidR="005976AB" w:rsidRPr="001F7A14" w:rsidRDefault="005976AB" w:rsidP="005976AB">
                            <w:pPr>
                              <w:jc w:val="center"/>
                              <w:rPr>
                                <w:rFonts w:cstheme="minorHAnsi"/>
                                <w:b/>
                                <w:color w:val="000000"/>
                                <w:sz w:val="32"/>
                                <w:szCs w:val="32"/>
                              </w:rPr>
                            </w:pPr>
                            <w:r w:rsidRPr="001F7A14">
                              <w:rPr>
                                <w:rFonts w:cstheme="minorHAnsi"/>
                                <w:b/>
                                <w:color w:val="000000"/>
                                <w:sz w:val="28"/>
                                <w:szCs w:val="28"/>
                              </w:rPr>
                              <w:t>PART</w:t>
                            </w:r>
                            <w:r>
                              <w:rPr>
                                <w:rFonts w:cstheme="minorHAnsi"/>
                                <w:b/>
                                <w:color w:val="000000"/>
                                <w:sz w:val="28"/>
                                <w:szCs w:val="28"/>
                              </w:rPr>
                              <w:t xml:space="preserve"> -</w:t>
                            </w:r>
                            <w:r w:rsidRPr="001F7A14">
                              <w:rPr>
                                <w:rFonts w:cstheme="minorHAnsi"/>
                                <w:b/>
                                <w:color w:val="000000"/>
                                <w:sz w:val="28"/>
                                <w:szCs w:val="28"/>
                              </w:rPr>
                              <w:t xml:space="preserve"> </w:t>
                            </w:r>
                            <w:r>
                              <w:rPr>
                                <w:rFonts w:cstheme="minorHAnsi"/>
                                <w:b/>
                                <w:color w:val="000000"/>
                                <w:sz w:val="28"/>
                                <w:szCs w:val="2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88028B0" id="_x0000_s1069" style="position:absolute;margin-left:0;margin-top:-5.25pt;width:494.25pt;height:26.25pt;z-index:2516817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" fillcolor="#f2f2f2" strokecolor="#385d8a" strokeweight=".5pt">
                <v:textbox>
                  <w:txbxContent>
                    <w:p w14:paraId="223AE3B4" w14:textId="77777777" w:rsidR="005976AB" w:rsidRPr="001F7A14" w:rsidRDefault="005976AB" w:rsidP="005976AB">
                      <w:pPr>
                        <w:jc w:val="center"/>
                        <w:rPr>
                          <w:rFonts w:cstheme="minorHAnsi"/>
                          <w:b/>
                          <w:color w:val="000000"/>
                          <w:sz w:val="32"/>
                          <w:szCs w:val="32"/>
                        </w:rPr>
                      </w:pPr>
                      <w:r w:rsidRPr="001F7A14">
                        <w:rPr>
                          <w:rFonts w:cstheme="minorHAnsi"/>
                          <w:b/>
                          <w:color w:val="000000"/>
                          <w:sz w:val="28"/>
                          <w:szCs w:val="28"/>
                        </w:rPr>
                        <w:t>PART</w:t>
                      </w:r>
                      <w:r>
                        <w:rPr>
                          <w:rFonts w:cstheme="minorHAnsi"/>
                          <w:b/>
                          <w:color w:val="000000"/>
                          <w:sz w:val="28"/>
                          <w:szCs w:val="28"/>
                        </w:rPr>
                        <w:t xml:space="preserve"> -</w:t>
                      </w:r>
                      <w:r w:rsidRPr="001F7A14">
                        <w:rPr>
                          <w:rFonts w:cstheme="minorHAnsi"/>
                          <w:b/>
                          <w:color w:val="000000"/>
                          <w:sz w:val="28"/>
                          <w:szCs w:val="28"/>
                        </w:rPr>
                        <w:t xml:space="preserve"> </w:t>
                      </w:r>
                      <w:r>
                        <w:rPr>
                          <w:rFonts w:cstheme="minorHAnsi"/>
                          <w:b/>
                          <w:color w:val="000000"/>
                          <w:sz w:val="28"/>
                          <w:szCs w:val="28"/>
                        </w:rPr>
                        <w:t>B</w:t>
                      </w:r>
                    </w:p>
                  </w:txbxContent>
                </v:textbox>
                <w10:wrap anchorx="margin"/>
              </v:roundrect>
            </w:pict>
          </mc:Fallback>
        </mc:AlternateContent>
      </w:r>
    </w:p>
    <w:p w14:paraId="3C6D49F8" w14:textId="77777777" w:rsidR="005976AB" w:rsidRPr="005635E7" w:rsidRDefault="005976AB" w:rsidP="005976AB">
      <w:pPr>
        <w:rPr>
          <w:rFonts w:asciiTheme="majorBidi" w:hAnsiTheme="majorBidi" w:cstheme="majorBidi"/>
        </w:rPr>
      </w:pPr>
    </w:p>
    <w:p w14:paraId="47BB8137" w14:textId="77777777" w:rsidR="005976AB" w:rsidRPr="005635E7" w:rsidRDefault="005976AB" w:rsidP="005976AB">
      <w:pPr>
        <w:jc w:val="both"/>
        <w:rPr>
          <w:rFonts w:asciiTheme="majorBidi" w:hAnsiTheme="majorBidi" w:cstheme="majorBidi"/>
        </w:rPr>
      </w:pPr>
      <w:r w:rsidRPr="005635E7">
        <w:rPr>
          <w:rFonts w:asciiTheme="majorBidi" w:hAnsiTheme="majorBidi" w:cstheme="majorBidi"/>
        </w:rPr>
        <w:t xml:space="preserve">This section includes various statements related to open innovation (OI). It is described as a strategy that implies </w:t>
      </w:r>
      <w:r w:rsidRPr="005635E7">
        <w:rPr>
          <w:rFonts w:ascii="Times New Roman" w:eastAsia="Calibri" w:hAnsi="Times New Roman" w:cs="Times New Roman"/>
        </w:rPr>
        <w:t xml:space="preserve">that businesses can and should use both internal and external ideas, as well as </w:t>
      </w:r>
      <w:r w:rsidRPr="005635E7">
        <w:rPr>
          <w:rFonts w:asciiTheme="majorBidi" w:hAnsiTheme="majorBidi" w:cstheme="majorBidi"/>
        </w:rPr>
        <w:t>internal and external channels, to progress their technology. Please check the following statements referring to your opinion</w:t>
      </w:r>
      <w:r w:rsidRPr="005635E7">
        <w:rPr>
          <w:rFonts w:ascii="Times New Roman" w:eastAsia="Calibri" w:hAnsi="Times New Roman" w:cs="Times New Roman"/>
        </w:rPr>
        <w:t>s about OI at your company</w:t>
      </w:r>
      <w:r w:rsidRPr="005635E7">
        <w:rPr>
          <w:rFonts w:asciiTheme="majorBidi" w:hAnsiTheme="majorBidi" w:cstheme="majorBidi"/>
        </w:rPr>
        <w:t>:</w:t>
      </w:r>
    </w:p>
    <w:p w14:paraId="7F58F7D0" w14:textId="77777777" w:rsidR="005976AB" w:rsidRPr="005635E7" w:rsidRDefault="005976AB" w:rsidP="005976AB">
      <w:pPr>
        <w:rPr>
          <w:rFonts w:asciiTheme="majorBidi" w:hAnsiTheme="majorBidi" w:cstheme="majorBidi"/>
        </w:rPr>
      </w:pPr>
    </w:p>
    <w:tbl>
      <w:tblPr>
        <w:tblStyle w:val="TableGrid"/>
        <w:tblW w:w="5000" w:type="pct"/>
        <w:tblLayout w:type="fixed"/>
        <w:tblLook w:val="04A0" w:firstRow="1" w:lastRow="0" w:firstColumn="1" w:lastColumn="0" w:noHBand="0" w:noVBand="1"/>
      </w:tblPr>
      <w:tblGrid>
        <w:gridCol w:w="473"/>
        <w:gridCol w:w="2750"/>
        <w:gridCol w:w="829"/>
        <w:gridCol w:w="828"/>
        <w:gridCol w:w="828"/>
        <w:gridCol w:w="828"/>
        <w:gridCol w:w="828"/>
        <w:gridCol w:w="828"/>
        <w:gridCol w:w="824"/>
      </w:tblGrid>
      <w:tr w:rsidR="005976AB" w:rsidRPr="005635E7" w14:paraId="58DEB7EE" w14:textId="77777777" w:rsidTr="009E2F41">
        <w:trPr>
          <w:trHeight w:val="820"/>
        </w:trPr>
        <w:tc>
          <w:tcPr>
            <w:tcW w:w="263" w:type="pct"/>
            <w:shd w:val="clear" w:color="auto" w:fill="ACB9CA" w:themeFill="text2" w:themeFillTint="66"/>
            <w:vAlign w:val="center"/>
          </w:tcPr>
          <w:p w14:paraId="1327E8CA"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SNo</w:t>
            </w:r>
          </w:p>
        </w:tc>
        <w:tc>
          <w:tcPr>
            <w:tcW w:w="1525" w:type="pct"/>
            <w:shd w:val="clear" w:color="auto" w:fill="ACB9CA" w:themeFill="text2" w:themeFillTint="66"/>
            <w:vAlign w:val="center"/>
          </w:tcPr>
          <w:p w14:paraId="7D1A5B88"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Questions</w:t>
            </w:r>
          </w:p>
        </w:tc>
        <w:tc>
          <w:tcPr>
            <w:tcW w:w="460" w:type="pct"/>
            <w:shd w:val="clear" w:color="auto" w:fill="ACB9CA" w:themeFill="text2" w:themeFillTint="66"/>
          </w:tcPr>
          <w:p w14:paraId="77365B8D"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Strongly Disagree</w:t>
            </w:r>
          </w:p>
        </w:tc>
        <w:tc>
          <w:tcPr>
            <w:tcW w:w="459" w:type="pct"/>
            <w:shd w:val="clear" w:color="auto" w:fill="ACB9CA" w:themeFill="text2" w:themeFillTint="66"/>
          </w:tcPr>
          <w:p w14:paraId="7B6326D5"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Disagree</w:t>
            </w:r>
          </w:p>
        </w:tc>
        <w:tc>
          <w:tcPr>
            <w:tcW w:w="459" w:type="pct"/>
            <w:shd w:val="clear" w:color="auto" w:fill="ACB9CA" w:themeFill="text2" w:themeFillTint="66"/>
          </w:tcPr>
          <w:p w14:paraId="25D5A7E6"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Somewhat Disagree</w:t>
            </w:r>
          </w:p>
        </w:tc>
        <w:tc>
          <w:tcPr>
            <w:tcW w:w="459" w:type="pct"/>
            <w:shd w:val="clear" w:color="auto" w:fill="ACB9CA" w:themeFill="text2" w:themeFillTint="66"/>
          </w:tcPr>
          <w:p w14:paraId="1096F966" w14:textId="77777777" w:rsidR="005976AB" w:rsidRPr="005635E7" w:rsidRDefault="005976AB" w:rsidP="009E2F41">
            <w:pPr>
              <w:jc w:val="center"/>
              <w:rPr>
                <w:rFonts w:asciiTheme="majorBidi" w:hAnsiTheme="majorBidi" w:cstheme="majorBidi"/>
                <w:rtl/>
              </w:rPr>
            </w:pPr>
            <w:r w:rsidRPr="005635E7">
              <w:rPr>
                <w:rFonts w:asciiTheme="majorBidi" w:hAnsiTheme="majorBidi" w:cstheme="majorBidi"/>
              </w:rPr>
              <w:t>Neutral</w:t>
            </w:r>
          </w:p>
          <w:p w14:paraId="0AEA858A" w14:textId="77777777" w:rsidR="005976AB" w:rsidRPr="005635E7" w:rsidRDefault="005976AB" w:rsidP="009E2F41">
            <w:pPr>
              <w:rPr>
                <w:rFonts w:asciiTheme="majorBidi" w:hAnsiTheme="majorBidi" w:cstheme="majorBidi"/>
              </w:rPr>
            </w:pPr>
          </w:p>
        </w:tc>
        <w:tc>
          <w:tcPr>
            <w:tcW w:w="459" w:type="pct"/>
            <w:shd w:val="clear" w:color="auto" w:fill="ACB9CA" w:themeFill="text2" w:themeFillTint="66"/>
          </w:tcPr>
          <w:p w14:paraId="6211BD8C"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Somewhat Agree</w:t>
            </w:r>
          </w:p>
        </w:tc>
        <w:tc>
          <w:tcPr>
            <w:tcW w:w="459" w:type="pct"/>
            <w:shd w:val="clear" w:color="auto" w:fill="ACB9CA" w:themeFill="text2" w:themeFillTint="66"/>
          </w:tcPr>
          <w:p w14:paraId="5DA18976" w14:textId="77777777" w:rsidR="005976AB" w:rsidRPr="005635E7" w:rsidRDefault="005976AB" w:rsidP="009E2F41">
            <w:pPr>
              <w:jc w:val="center"/>
              <w:rPr>
                <w:rFonts w:asciiTheme="majorBidi" w:hAnsiTheme="majorBidi" w:cstheme="majorBidi"/>
                <w:rtl/>
              </w:rPr>
            </w:pPr>
            <w:r w:rsidRPr="005635E7">
              <w:rPr>
                <w:rFonts w:asciiTheme="majorBidi" w:hAnsiTheme="majorBidi" w:cstheme="majorBidi"/>
              </w:rPr>
              <w:t>Agree</w:t>
            </w:r>
          </w:p>
          <w:p w14:paraId="19235966" w14:textId="77777777" w:rsidR="005976AB" w:rsidRPr="005635E7" w:rsidRDefault="005976AB" w:rsidP="009E2F41">
            <w:pPr>
              <w:rPr>
                <w:rFonts w:asciiTheme="majorBidi" w:hAnsiTheme="majorBidi" w:cstheme="majorBidi"/>
              </w:rPr>
            </w:pPr>
          </w:p>
        </w:tc>
        <w:tc>
          <w:tcPr>
            <w:tcW w:w="457" w:type="pct"/>
            <w:shd w:val="clear" w:color="auto" w:fill="ACB9CA" w:themeFill="text2" w:themeFillTint="66"/>
          </w:tcPr>
          <w:p w14:paraId="7C29563F"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Strongly agree</w:t>
            </w:r>
          </w:p>
        </w:tc>
      </w:tr>
      <w:tr w:rsidR="005976AB" w:rsidRPr="005635E7" w14:paraId="54B1325D" w14:textId="77777777" w:rsidTr="009E2F41">
        <w:trPr>
          <w:trHeight w:val="431"/>
        </w:trPr>
        <w:tc>
          <w:tcPr>
            <w:tcW w:w="263" w:type="pct"/>
            <w:vAlign w:val="center"/>
          </w:tcPr>
          <w:p w14:paraId="734307D7"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6D90AFE6" w14:textId="77777777" w:rsidR="005976AB" w:rsidRPr="005635E7" w:rsidRDefault="005976AB" w:rsidP="009E2F41">
            <w:pPr>
              <w:rPr>
                <w:rFonts w:asciiTheme="majorBidi" w:hAnsiTheme="majorBidi" w:cstheme="majorBidi"/>
              </w:rPr>
            </w:pPr>
            <w:r w:rsidRPr="005635E7">
              <w:rPr>
                <w:rFonts w:asciiTheme="majorBidi" w:hAnsiTheme="majorBidi" w:cstheme="majorBidi"/>
              </w:rPr>
              <w:t>All of our innovation projects involve direct external partners, such as clients, rivals, research institutions, consultants, suppliers, the government, or universities.</w:t>
            </w:r>
          </w:p>
        </w:tc>
        <w:tc>
          <w:tcPr>
            <w:tcW w:w="460" w:type="pct"/>
          </w:tcPr>
          <w:p w14:paraId="62B900DD" w14:textId="77777777" w:rsidR="005976AB" w:rsidRPr="005635E7" w:rsidRDefault="005976AB" w:rsidP="009E2F41">
            <w:pPr>
              <w:rPr>
                <w:rFonts w:asciiTheme="majorBidi" w:hAnsiTheme="majorBidi" w:cstheme="majorBidi"/>
              </w:rPr>
            </w:pPr>
          </w:p>
        </w:tc>
        <w:tc>
          <w:tcPr>
            <w:tcW w:w="459" w:type="pct"/>
          </w:tcPr>
          <w:p w14:paraId="6E63174B" w14:textId="77777777" w:rsidR="005976AB" w:rsidRPr="005635E7" w:rsidRDefault="005976AB" w:rsidP="009E2F41">
            <w:pPr>
              <w:rPr>
                <w:rFonts w:asciiTheme="majorBidi" w:hAnsiTheme="majorBidi" w:cstheme="majorBidi"/>
              </w:rPr>
            </w:pPr>
          </w:p>
        </w:tc>
        <w:tc>
          <w:tcPr>
            <w:tcW w:w="459" w:type="pct"/>
          </w:tcPr>
          <w:p w14:paraId="6A817F7F" w14:textId="77777777" w:rsidR="005976AB" w:rsidRPr="005635E7" w:rsidRDefault="005976AB" w:rsidP="009E2F41">
            <w:pPr>
              <w:rPr>
                <w:rFonts w:asciiTheme="majorBidi" w:hAnsiTheme="majorBidi" w:cstheme="majorBidi"/>
              </w:rPr>
            </w:pPr>
          </w:p>
        </w:tc>
        <w:tc>
          <w:tcPr>
            <w:tcW w:w="459" w:type="pct"/>
          </w:tcPr>
          <w:p w14:paraId="050510AB" w14:textId="77777777" w:rsidR="005976AB" w:rsidRPr="005635E7" w:rsidRDefault="005976AB" w:rsidP="009E2F41">
            <w:pPr>
              <w:rPr>
                <w:rFonts w:asciiTheme="majorBidi" w:hAnsiTheme="majorBidi" w:cstheme="majorBidi"/>
              </w:rPr>
            </w:pPr>
          </w:p>
        </w:tc>
        <w:tc>
          <w:tcPr>
            <w:tcW w:w="459" w:type="pct"/>
          </w:tcPr>
          <w:p w14:paraId="2E5D2852" w14:textId="77777777" w:rsidR="005976AB" w:rsidRPr="005635E7" w:rsidRDefault="005976AB" w:rsidP="009E2F41">
            <w:pPr>
              <w:rPr>
                <w:rFonts w:asciiTheme="majorBidi" w:hAnsiTheme="majorBidi" w:cstheme="majorBidi"/>
              </w:rPr>
            </w:pPr>
          </w:p>
        </w:tc>
        <w:tc>
          <w:tcPr>
            <w:tcW w:w="459" w:type="pct"/>
          </w:tcPr>
          <w:p w14:paraId="46E08E1B" w14:textId="77777777" w:rsidR="005976AB" w:rsidRPr="005635E7" w:rsidRDefault="005976AB" w:rsidP="009E2F41">
            <w:pPr>
              <w:rPr>
                <w:rFonts w:asciiTheme="majorBidi" w:hAnsiTheme="majorBidi" w:cstheme="majorBidi"/>
              </w:rPr>
            </w:pPr>
          </w:p>
        </w:tc>
        <w:tc>
          <w:tcPr>
            <w:tcW w:w="457" w:type="pct"/>
          </w:tcPr>
          <w:p w14:paraId="2FB8841E" w14:textId="77777777" w:rsidR="005976AB" w:rsidRPr="005635E7" w:rsidRDefault="005976AB" w:rsidP="009E2F41">
            <w:pPr>
              <w:rPr>
                <w:rFonts w:asciiTheme="majorBidi" w:hAnsiTheme="majorBidi" w:cstheme="majorBidi"/>
              </w:rPr>
            </w:pPr>
          </w:p>
        </w:tc>
      </w:tr>
      <w:tr w:rsidR="005976AB" w:rsidRPr="005635E7" w14:paraId="29D3A911" w14:textId="77777777" w:rsidTr="009E2F41">
        <w:trPr>
          <w:trHeight w:val="406"/>
        </w:trPr>
        <w:tc>
          <w:tcPr>
            <w:tcW w:w="263" w:type="pct"/>
            <w:vAlign w:val="center"/>
          </w:tcPr>
          <w:p w14:paraId="2CE5EDDB"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0BE2BCC2" w14:textId="77777777" w:rsidR="005976AB" w:rsidRPr="005635E7" w:rsidRDefault="005976AB" w:rsidP="009E2F41">
            <w:pPr>
              <w:rPr>
                <w:rFonts w:asciiTheme="majorBidi" w:hAnsiTheme="majorBidi" w:cstheme="majorBidi"/>
              </w:rPr>
            </w:pPr>
            <w:r w:rsidRPr="005635E7">
              <w:rPr>
                <w:rFonts w:asciiTheme="majorBidi" w:hAnsiTheme="majorBidi" w:cstheme="majorBidi"/>
              </w:rPr>
              <w:t>All of our innovation efforts rely heavily on the assistance of outside partners, whether clients, rivals, research institutions, consultants, suppliers, the government, or universities.</w:t>
            </w:r>
          </w:p>
        </w:tc>
        <w:tc>
          <w:tcPr>
            <w:tcW w:w="460" w:type="pct"/>
          </w:tcPr>
          <w:p w14:paraId="14701BEC" w14:textId="77777777" w:rsidR="005976AB" w:rsidRPr="005635E7" w:rsidRDefault="005976AB" w:rsidP="009E2F41">
            <w:pPr>
              <w:rPr>
                <w:rFonts w:asciiTheme="majorBidi" w:hAnsiTheme="majorBidi" w:cstheme="majorBidi"/>
              </w:rPr>
            </w:pPr>
          </w:p>
        </w:tc>
        <w:tc>
          <w:tcPr>
            <w:tcW w:w="459" w:type="pct"/>
          </w:tcPr>
          <w:p w14:paraId="2BEBDE1D" w14:textId="77777777" w:rsidR="005976AB" w:rsidRPr="005635E7" w:rsidRDefault="005976AB" w:rsidP="009E2F41">
            <w:pPr>
              <w:rPr>
                <w:rFonts w:asciiTheme="majorBidi" w:hAnsiTheme="majorBidi" w:cstheme="majorBidi"/>
              </w:rPr>
            </w:pPr>
          </w:p>
        </w:tc>
        <w:tc>
          <w:tcPr>
            <w:tcW w:w="459" w:type="pct"/>
          </w:tcPr>
          <w:p w14:paraId="12B4CCEA" w14:textId="77777777" w:rsidR="005976AB" w:rsidRPr="005635E7" w:rsidRDefault="005976AB" w:rsidP="009E2F41">
            <w:pPr>
              <w:rPr>
                <w:rFonts w:asciiTheme="majorBidi" w:hAnsiTheme="majorBidi" w:cstheme="majorBidi"/>
              </w:rPr>
            </w:pPr>
          </w:p>
        </w:tc>
        <w:tc>
          <w:tcPr>
            <w:tcW w:w="459" w:type="pct"/>
          </w:tcPr>
          <w:p w14:paraId="3D25E056" w14:textId="77777777" w:rsidR="005976AB" w:rsidRPr="005635E7" w:rsidRDefault="005976AB" w:rsidP="009E2F41">
            <w:pPr>
              <w:rPr>
                <w:rFonts w:asciiTheme="majorBidi" w:hAnsiTheme="majorBidi" w:cstheme="majorBidi"/>
              </w:rPr>
            </w:pPr>
          </w:p>
        </w:tc>
        <w:tc>
          <w:tcPr>
            <w:tcW w:w="459" w:type="pct"/>
          </w:tcPr>
          <w:p w14:paraId="711C06FA" w14:textId="77777777" w:rsidR="005976AB" w:rsidRPr="005635E7" w:rsidRDefault="005976AB" w:rsidP="009E2F41">
            <w:pPr>
              <w:rPr>
                <w:rFonts w:asciiTheme="majorBidi" w:hAnsiTheme="majorBidi" w:cstheme="majorBidi"/>
              </w:rPr>
            </w:pPr>
          </w:p>
        </w:tc>
        <w:tc>
          <w:tcPr>
            <w:tcW w:w="459" w:type="pct"/>
          </w:tcPr>
          <w:p w14:paraId="5B448673" w14:textId="77777777" w:rsidR="005976AB" w:rsidRPr="005635E7" w:rsidRDefault="005976AB" w:rsidP="009E2F41">
            <w:pPr>
              <w:rPr>
                <w:rFonts w:asciiTheme="majorBidi" w:hAnsiTheme="majorBidi" w:cstheme="majorBidi"/>
              </w:rPr>
            </w:pPr>
          </w:p>
        </w:tc>
        <w:tc>
          <w:tcPr>
            <w:tcW w:w="457" w:type="pct"/>
          </w:tcPr>
          <w:p w14:paraId="6EE6DDB0" w14:textId="77777777" w:rsidR="005976AB" w:rsidRPr="005635E7" w:rsidRDefault="005976AB" w:rsidP="009E2F41">
            <w:pPr>
              <w:rPr>
                <w:rFonts w:asciiTheme="majorBidi" w:hAnsiTheme="majorBidi" w:cstheme="majorBidi"/>
              </w:rPr>
            </w:pPr>
          </w:p>
        </w:tc>
      </w:tr>
      <w:tr w:rsidR="005976AB" w:rsidRPr="005635E7" w14:paraId="37E5169F" w14:textId="77777777" w:rsidTr="009E2F41">
        <w:trPr>
          <w:trHeight w:val="431"/>
        </w:trPr>
        <w:tc>
          <w:tcPr>
            <w:tcW w:w="263" w:type="pct"/>
            <w:vAlign w:val="center"/>
          </w:tcPr>
          <w:p w14:paraId="3809BC08"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687F43FD" w14:textId="77777777" w:rsidR="005976AB" w:rsidRPr="005635E7" w:rsidRDefault="005976AB" w:rsidP="009E2F41">
            <w:pPr>
              <w:rPr>
                <w:rFonts w:asciiTheme="majorBidi" w:hAnsiTheme="majorBidi" w:cstheme="majorBidi"/>
              </w:rPr>
            </w:pPr>
            <w:r w:rsidRPr="005635E7">
              <w:rPr>
                <w:rFonts w:asciiTheme="majorBidi" w:hAnsiTheme="majorBidi" w:cstheme="majorBidi"/>
              </w:rPr>
              <w:t>Our company frequently purchases R&amp;D-related goods from outside partners.</w:t>
            </w:r>
          </w:p>
        </w:tc>
        <w:tc>
          <w:tcPr>
            <w:tcW w:w="460" w:type="pct"/>
          </w:tcPr>
          <w:p w14:paraId="75602CE1" w14:textId="77777777" w:rsidR="005976AB" w:rsidRPr="005635E7" w:rsidRDefault="005976AB" w:rsidP="009E2F41">
            <w:pPr>
              <w:rPr>
                <w:rFonts w:asciiTheme="majorBidi" w:hAnsiTheme="majorBidi" w:cstheme="majorBidi"/>
              </w:rPr>
            </w:pPr>
          </w:p>
        </w:tc>
        <w:tc>
          <w:tcPr>
            <w:tcW w:w="459" w:type="pct"/>
          </w:tcPr>
          <w:p w14:paraId="05A6AA21" w14:textId="77777777" w:rsidR="005976AB" w:rsidRPr="005635E7" w:rsidRDefault="005976AB" w:rsidP="009E2F41">
            <w:pPr>
              <w:rPr>
                <w:rFonts w:asciiTheme="majorBidi" w:hAnsiTheme="majorBidi" w:cstheme="majorBidi"/>
              </w:rPr>
            </w:pPr>
          </w:p>
        </w:tc>
        <w:tc>
          <w:tcPr>
            <w:tcW w:w="459" w:type="pct"/>
          </w:tcPr>
          <w:p w14:paraId="65D9672A" w14:textId="77777777" w:rsidR="005976AB" w:rsidRPr="005635E7" w:rsidRDefault="005976AB" w:rsidP="009E2F41">
            <w:pPr>
              <w:rPr>
                <w:rFonts w:asciiTheme="majorBidi" w:hAnsiTheme="majorBidi" w:cstheme="majorBidi"/>
              </w:rPr>
            </w:pPr>
          </w:p>
        </w:tc>
        <w:tc>
          <w:tcPr>
            <w:tcW w:w="459" w:type="pct"/>
          </w:tcPr>
          <w:p w14:paraId="6057926B" w14:textId="77777777" w:rsidR="005976AB" w:rsidRPr="005635E7" w:rsidRDefault="005976AB" w:rsidP="009E2F41">
            <w:pPr>
              <w:rPr>
                <w:rFonts w:asciiTheme="majorBidi" w:hAnsiTheme="majorBidi" w:cstheme="majorBidi"/>
              </w:rPr>
            </w:pPr>
          </w:p>
        </w:tc>
        <w:tc>
          <w:tcPr>
            <w:tcW w:w="459" w:type="pct"/>
          </w:tcPr>
          <w:p w14:paraId="1A98FCBF" w14:textId="77777777" w:rsidR="005976AB" w:rsidRPr="005635E7" w:rsidRDefault="005976AB" w:rsidP="009E2F41">
            <w:pPr>
              <w:rPr>
                <w:rFonts w:asciiTheme="majorBidi" w:hAnsiTheme="majorBidi" w:cstheme="majorBidi"/>
              </w:rPr>
            </w:pPr>
          </w:p>
        </w:tc>
        <w:tc>
          <w:tcPr>
            <w:tcW w:w="459" w:type="pct"/>
          </w:tcPr>
          <w:p w14:paraId="7A24F81C" w14:textId="77777777" w:rsidR="005976AB" w:rsidRPr="005635E7" w:rsidRDefault="005976AB" w:rsidP="009E2F41">
            <w:pPr>
              <w:rPr>
                <w:rFonts w:asciiTheme="majorBidi" w:hAnsiTheme="majorBidi" w:cstheme="majorBidi"/>
              </w:rPr>
            </w:pPr>
          </w:p>
        </w:tc>
        <w:tc>
          <w:tcPr>
            <w:tcW w:w="457" w:type="pct"/>
          </w:tcPr>
          <w:p w14:paraId="774F4A5F" w14:textId="77777777" w:rsidR="005976AB" w:rsidRPr="005635E7" w:rsidRDefault="005976AB" w:rsidP="009E2F41">
            <w:pPr>
              <w:rPr>
                <w:rFonts w:asciiTheme="majorBidi" w:hAnsiTheme="majorBidi" w:cstheme="majorBidi"/>
              </w:rPr>
            </w:pPr>
          </w:p>
        </w:tc>
      </w:tr>
      <w:tr w:rsidR="005976AB" w:rsidRPr="005635E7" w14:paraId="5BE54299" w14:textId="77777777" w:rsidTr="009E2F41">
        <w:trPr>
          <w:trHeight w:val="406"/>
        </w:trPr>
        <w:tc>
          <w:tcPr>
            <w:tcW w:w="263" w:type="pct"/>
            <w:vAlign w:val="center"/>
          </w:tcPr>
          <w:p w14:paraId="6AA1B231"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583DF93C" w14:textId="77777777" w:rsidR="005976AB" w:rsidRPr="005635E7" w:rsidRDefault="005976AB" w:rsidP="009E2F41">
            <w:pPr>
              <w:rPr>
                <w:rFonts w:asciiTheme="majorBidi" w:hAnsiTheme="majorBidi" w:cstheme="majorBidi"/>
              </w:rPr>
            </w:pPr>
            <w:r w:rsidRPr="005635E7">
              <w:rPr>
                <w:rFonts w:asciiTheme="majorBidi" w:hAnsiTheme="majorBidi" w:cstheme="majorBidi"/>
              </w:rPr>
              <w:t>Our company frequently purchases intellectual property from outside partners, such as patents, copyrights, or trademarks, to use in our innovative projects.</w:t>
            </w:r>
          </w:p>
        </w:tc>
        <w:tc>
          <w:tcPr>
            <w:tcW w:w="460" w:type="pct"/>
          </w:tcPr>
          <w:p w14:paraId="5C8F612A" w14:textId="77777777" w:rsidR="005976AB" w:rsidRPr="005635E7" w:rsidRDefault="005976AB" w:rsidP="009E2F41">
            <w:pPr>
              <w:rPr>
                <w:rFonts w:asciiTheme="majorBidi" w:hAnsiTheme="majorBidi" w:cstheme="majorBidi"/>
              </w:rPr>
            </w:pPr>
          </w:p>
        </w:tc>
        <w:tc>
          <w:tcPr>
            <w:tcW w:w="459" w:type="pct"/>
          </w:tcPr>
          <w:p w14:paraId="038F7775" w14:textId="77777777" w:rsidR="005976AB" w:rsidRPr="005635E7" w:rsidRDefault="005976AB" w:rsidP="009E2F41">
            <w:pPr>
              <w:rPr>
                <w:rFonts w:asciiTheme="majorBidi" w:hAnsiTheme="majorBidi" w:cstheme="majorBidi"/>
              </w:rPr>
            </w:pPr>
          </w:p>
        </w:tc>
        <w:tc>
          <w:tcPr>
            <w:tcW w:w="459" w:type="pct"/>
          </w:tcPr>
          <w:p w14:paraId="31E665E6" w14:textId="77777777" w:rsidR="005976AB" w:rsidRPr="005635E7" w:rsidRDefault="005976AB" w:rsidP="009E2F41">
            <w:pPr>
              <w:rPr>
                <w:rFonts w:asciiTheme="majorBidi" w:hAnsiTheme="majorBidi" w:cstheme="majorBidi"/>
              </w:rPr>
            </w:pPr>
          </w:p>
        </w:tc>
        <w:tc>
          <w:tcPr>
            <w:tcW w:w="459" w:type="pct"/>
          </w:tcPr>
          <w:p w14:paraId="6EDFEA57" w14:textId="77777777" w:rsidR="005976AB" w:rsidRPr="005635E7" w:rsidRDefault="005976AB" w:rsidP="009E2F41">
            <w:pPr>
              <w:rPr>
                <w:rFonts w:asciiTheme="majorBidi" w:hAnsiTheme="majorBidi" w:cstheme="majorBidi"/>
              </w:rPr>
            </w:pPr>
          </w:p>
        </w:tc>
        <w:tc>
          <w:tcPr>
            <w:tcW w:w="459" w:type="pct"/>
          </w:tcPr>
          <w:p w14:paraId="1F2DF7E1" w14:textId="77777777" w:rsidR="005976AB" w:rsidRPr="005635E7" w:rsidRDefault="005976AB" w:rsidP="009E2F41">
            <w:pPr>
              <w:rPr>
                <w:rFonts w:asciiTheme="majorBidi" w:hAnsiTheme="majorBidi" w:cstheme="majorBidi"/>
              </w:rPr>
            </w:pPr>
          </w:p>
        </w:tc>
        <w:tc>
          <w:tcPr>
            <w:tcW w:w="459" w:type="pct"/>
          </w:tcPr>
          <w:p w14:paraId="418B3859" w14:textId="77777777" w:rsidR="005976AB" w:rsidRPr="005635E7" w:rsidRDefault="005976AB" w:rsidP="009E2F41">
            <w:pPr>
              <w:rPr>
                <w:rFonts w:asciiTheme="majorBidi" w:hAnsiTheme="majorBidi" w:cstheme="majorBidi"/>
              </w:rPr>
            </w:pPr>
          </w:p>
        </w:tc>
        <w:tc>
          <w:tcPr>
            <w:tcW w:w="457" w:type="pct"/>
          </w:tcPr>
          <w:p w14:paraId="14FD7E5C" w14:textId="77777777" w:rsidR="005976AB" w:rsidRPr="005635E7" w:rsidRDefault="005976AB" w:rsidP="009E2F41">
            <w:pPr>
              <w:rPr>
                <w:rFonts w:asciiTheme="majorBidi" w:hAnsiTheme="majorBidi" w:cstheme="majorBidi"/>
              </w:rPr>
            </w:pPr>
          </w:p>
        </w:tc>
      </w:tr>
      <w:tr w:rsidR="005976AB" w:rsidRPr="005635E7" w14:paraId="31EEA926" w14:textId="77777777" w:rsidTr="009E2F41">
        <w:trPr>
          <w:trHeight w:val="431"/>
        </w:trPr>
        <w:tc>
          <w:tcPr>
            <w:tcW w:w="263" w:type="pct"/>
            <w:vAlign w:val="center"/>
          </w:tcPr>
          <w:p w14:paraId="0538C3BF"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6DBA39E5" w14:textId="77777777" w:rsidR="005976AB" w:rsidRPr="005635E7" w:rsidRDefault="005976AB" w:rsidP="009E2F41">
            <w:pPr>
              <w:rPr>
                <w:rFonts w:asciiTheme="majorBidi" w:hAnsiTheme="majorBidi" w:cstheme="majorBidi"/>
              </w:rPr>
            </w:pPr>
            <w:r w:rsidRPr="005635E7">
              <w:rPr>
                <w:rFonts w:asciiTheme="majorBidi" w:hAnsiTheme="majorBidi" w:cstheme="majorBidi"/>
              </w:rPr>
              <w:t>To maximize the value of our creative efforts, our company frequently sells licenses, such as patents, copyrights, or trademarks, to other businesses.</w:t>
            </w:r>
          </w:p>
        </w:tc>
        <w:tc>
          <w:tcPr>
            <w:tcW w:w="460" w:type="pct"/>
          </w:tcPr>
          <w:p w14:paraId="1C4BF949" w14:textId="77777777" w:rsidR="005976AB" w:rsidRPr="005635E7" w:rsidRDefault="005976AB" w:rsidP="009E2F41">
            <w:pPr>
              <w:rPr>
                <w:rFonts w:asciiTheme="majorBidi" w:hAnsiTheme="majorBidi" w:cstheme="majorBidi"/>
              </w:rPr>
            </w:pPr>
          </w:p>
        </w:tc>
        <w:tc>
          <w:tcPr>
            <w:tcW w:w="459" w:type="pct"/>
          </w:tcPr>
          <w:p w14:paraId="29A718FF" w14:textId="77777777" w:rsidR="005976AB" w:rsidRPr="005635E7" w:rsidRDefault="005976AB" w:rsidP="009E2F41">
            <w:pPr>
              <w:rPr>
                <w:rFonts w:asciiTheme="majorBidi" w:hAnsiTheme="majorBidi" w:cstheme="majorBidi"/>
              </w:rPr>
            </w:pPr>
          </w:p>
        </w:tc>
        <w:tc>
          <w:tcPr>
            <w:tcW w:w="459" w:type="pct"/>
          </w:tcPr>
          <w:p w14:paraId="0A76C050" w14:textId="77777777" w:rsidR="005976AB" w:rsidRPr="005635E7" w:rsidRDefault="005976AB" w:rsidP="009E2F41">
            <w:pPr>
              <w:rPr>
                <w:rFonts w:asciiTheme="majorBidi" w:hAnsiTheme="majorBidi" w:cstheme="majorBidi"/>
              </w:rPr>
            </w:pPr>
          </w:p>
        </w:tc>
        <w:tc>
          <w:tcPr>
            <w:tcW w:w="459" w:type="pct"/>
          </w:tcPr>
          <w:p w14:paraId="08BC7018" w14:textId="77777777" w:rsidR="005976AB" w:rsidRPr="005635E7" w:rsidRDefault="005976AB" w:rsidP="009E2F41">
            <w:pPr>
              <w:rPr>
                <w:rFonts w:asciiTheme="majorBidi" w:hAnsiTheme="majorBidi" w:cstheme="majorBidi"/>
              </w:rPr>
            </w:pPr>
          </w:p>
        </w:tc>
        <w:tc>
          <w:tcPr>
            <w:tcW w:w="459" w:type="pct"/>
          </w:tcPr>
          <w:p w14:paraId="4024F095" w14:textId="77777777" w:rsidR="005976AB" w:rsidRPr="005635E7" w:rsidRDefault="005976AB" w:rsidP="009E2F41">
            <w:pPr>
              <w:rPr>
                <w:rFonts w:asciiTheme="majorBidi" w:hAnsiTheme="majorBidi" w:cstheme="majorBidi"/>
              </w:rPr>
            </w:pPr>
          </w:p>
        </w:tc>
        <w:tc>
          <w:tcPr>
            <w:tcW w:w="459" w:type="pct"/>
          </w:tcPr>
          <w:p w14:paraId="642E4FE1" w14:textId="77777777" w:rsidR="005976AB" w:rsidRPr="005635E7" w:rsidRDefault="005976AB" w:rsidP="009E2F41">
            <w:pPr>
              <w:rPr>
                <w:rFonts w:asciiTheme="majorBidi" w:hAnsiTheme="majorBidi" w:cstheme="majorBidi"/>
              </w:rPr>
            </w:pPr>
          </w:p>
        </w:tc>
        <w:tc>
          <w:tcPr>
            <w:tcW w:w="457" w:type="pct"/>
          </w:tcPr>
          <w:p w14:paraId="5FBB5D14" w14:textId="77777777" w:rsidR="005976AB" w:rsidRPr="005635E7" w:rsidRDefault="005976AB" w:rsidP="009E2F41">
            <w:pPr>
              <w:rPr>
                <w:rFonts w:asciiTheme="majorBidi" w:hAnsiTheme="majorBidi" w:cstheme="majorBidi"/>
              </w:rPr>
            </w:pPr>
          </w:p>
        </w:tc>
      </w:tr>
      <w:tr w:rsidR="005976AB" w:rsidRPr="005635E7" w14:paraId="509267B1" w14:textId="77777777" w:rsidTr="009E2F41">
        <w:trPr>
          <w:trHeight w:val="406"/>
        </w:trPr>
        <w:tc>
          <w:tcPr>
            <w:tcW w:w="263" w:type="pct"/>
            <w:vAlign w:val="center"/>
          </w:tcPr>
          <w:p w14:paraId="2BDBEB53"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2EDFA4CC" w14:textId="77777777" w:rsidR="005976AB" w:rsidRPr="005635E7" w:rsidRDefault="005976AB" w:rsidP="009E2F41">
            <w:pPr>
              <w:rPr>
                <w:rFonts w:asciiTheme="majorBidi" w:hAnsiTheme="majorBidi" w:cstheme="majorBidi"/>
              </w:rPr>
            </w:pPr>
            <w:r w:rsidRPr="005635E7">
              <w:rPr>
                <w:rFonts w:asciiTheme="majorBidi" w:hAnsiTheme="majorBidi" w:cstheme="majorBidi"/>
              </w:rPr>
              <w:t>In order for us to better profit from our innovative efforts, we frequently offer royalty agreements to other businesses.</w:t>
            </w:r>
          </w:p>
        </w:tc>
        <w:tc>
          <w:tcPr>
            <w:tcW w:w="460" w:type="pct"/>
          </w:tcPr>
          <w:p w14:paraId="54C1F130" w14:textId="77777777" w:rsidR="005976AB" w:rsidRPr="005635E7" w:rsidRDefault="005976AB" w:rsidP="009E2F41">
            <w:pPr>
              <w:rPr>
                <w:rFonts w:asciiTheme="majorBidi" w:hAnsiTheme="majorBidi" w:cstheme="majorBidi"/>
              </w:rPr>
            </w:pPr>
          </w:p>
        </w:tc>
        <w:tc>
          <w:tcPr>
            <w:tcW w:w="459" w:type="pct"/>
          </w:tcPr>
          <w:p w14:paraId="2F4E986D" w14:textId="77777777" w:rsidR="005976AB" w:rsidRPr="005635E7" w:rsidRDefault="005976AB" w:rsidP="009E2F41">
            <w:pPr>
              <w:rPr>
                <w:rFonts w:asciiTheme="majorBidi" w:hAnsiTheme="majorBidi" w:cstheme="majorBidi"/>
              </w:rPr>
            </w:pPr>
          </w:p>
        </w:tc>
        <w:tc>
          <w:tcPr>
            <w:tcW w:w="459" w:type="pct"/>
          </w:tcPr>
          <w:p w14:paraId="753A6D34" w14:textId="77777777" w:rsidR="005976AB" w:rsidRPr="005635E7" w:rsidRDefault="005976AB" w:rsidP="009E2F41">
            <w:pPr>
              <w:rPr>
                <w:rFonts w:asciiTheme="majorBidi" w:hAnsiTheme="majorBidi" w:cstheme="majorBidi"/>
              </w:rPr>
            </w:pPr>
          </w:p>
        </w:tc>
        <w:tc>
          <w:tcPr>
            <w:tcW w:w="459" w:type="pct"/>
          </w:tcPr>
          <w:p w14:paraId="5D7C5B66" w14:textId="77777777" w:rsidR="005976AB" w:rsidRPr="005635E7" w:rsidRDefault="005976AB" w:rsidP="009E2F41">
            <w:pPr>
              <w:rPr>
                <w:rFonts w:asciiTheme="majorBidi" w:hAnsiTheme="majorBidi" w:cstheme="majorBidi"/>
              </w:rPr>
            </w:pPr>
          </w:p>
        </w:tc>
        <w:tc>
          <w:tcPr>
            <w:tcW w:w="459" w:type="pct"/>
          </w:tcPr>
          <w:p w14:paraId="06CB4D79" w14:textId="77777777" w:rsidR="005976AB" w:rsidRPr="005635E7" w:rsidRDefault="005976AB" w:rsidP="009E2F41">
            <w:pPr>
              <w:rPr>
                <w:rFonts w:asciiTheme="majorBidi" w:hAnsiTheme="majorBidi" w:cstheme="majorBidi"/>
              </w:rPr>
            </w:pPr>
          </w:p>
        </w:tc>
        <w:tc>
          <w:tcPr>
            <w:tcW w:w="459" w:type="pct"/>
          </w:tcPr>
          <w:p w14:paraId="4067C046" w14:textId="77777777" w:rsidR="005976AB" w:rsidRPr="005635E7" w:rsidRDefault="005976AB" w:rsidP="009E2F41">
            <w:pPr>
              <w:rPr>
                <w:rFonts w:asciiTheme="majorBidi" w:hAnsiTheme="majorBidi" w:cstheme="majorBidi"/>
              </w:rPr>
            </w:pPr>
          </w:p>
        </w:tc>
        <w:tc>
          <w:tcPr>
            <w:tcW w:w="457" w:type="pct"/>
          </w:tcPr>
          <w:p w14:paraId="67480270" w14:textId="77777777" w:rsidR="005976AB" w:rsidRPr="005635E7" w:rsidRDefault="005976AB" w:rsidP="009E2F41">
            <w:pPr>
              <w:rPr>
                <w:rFonts w:asciiTheme="majorBidi" w:hAnsiTheme="majorBidi" w:cstheme="majorBidi"/>
              </w:rPr>
            </w:pPr>
          </w:p>
        </w:tc>
      </w:tr>
      <w:tr w:rsidR="005976AB" w:rsidRPr="005635E7" w14:paraId="6B2F4D45" w14:textId="77777777" w:rsidTr="009E2F41">
        <w:trPr>
          <w:trHeight w:val="431"/>
        </w:trPr>
        <w:tc>
          <w:tcPr>
            <w:tcW w:w="263" w:type="pct"/>
            <w:vAlign w:val="center"/>
          </w:tcPr>
          <w:p w14:paraId="1BA0C573"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01C37F95" w14:textId="77777777" w:rsidR="005976AB" w:rsidRPr="005635E7" w:rsidRDefault="005976AB" w:rsidP="009E2F41">
            <w:pPr>
              <w:rPr>
                <w:rFonts w:asciiTheme="majorBidi" w:hAnsiTheme="majorBidi" w:cstheme="majorBidi"/>
              </w:rPr>
            </w:pPr>
            <w:r w:rsidRPr="005635E7">
              <w:rPr>
                <w:rFonts w:asciiTheme="majorBidi" w:hAnsiTheme="majorBidi" w:cstheme="majorBidi"/>
              </w:rPr>
              <w:t>To maximize the value of our intellectual property, our company makes every effort.</w:t>
            </w:r>
          </w:p>
        </w:tc>
        <w:tc>
          <w:tcPr>
            <w:tcW w:w="460" w:type="pct"/>
          </w:tcPr>
          <w:p w14:paraId="44023073" w14:textId="77777777" w:rsidR="005976AB" w:rsidRPr="005635E7" w:rsidRDefault="005976AB" w:rsidP="009E2F41">
            <w:pPr>
              <w:rPr>
                <w:rFonts w:asciiTheme="majorBidi" w:hAnsiTheme="majorBidi" w:cstheme="majorBidi"/>
              </w:rPr>
            </w:pPr>
          </w:p>
        </w:tc>
        <w:tc>
          <w:tcPr>
            <w:tcW w:w="459" w:type="pct"/>
          </w:tcPr>
          <w:p w14:paraId="230983E6" w14:textId="77777777" w:rsidR="005976AB" w:rsidRPr="005635E7" w:rsidRDefault="005976AB" w:rsidP="009E2F41">
            <w:pPr>
              <w:rPr>
                <w:rFonts w:asciiTheme="majorBidi" w:hAnsiTheme="majorBidi" w:cstheme="majorBidi"/>
              </w:rPr>
            </w:pPr>
          </w:p>
        </w:tc>
        <w:tc>
          <w:tcPr>
            <w:tcW w:w="459" w:type="pct"/>
          </w:tcPr>
          <w:p w14:paraId="3F15CA0C" w14:textId="77777777" w:rsidR="005976AB" w:rsidRPr="005635E7" w:rsidRDefault="005976AB" w:rsidP="009E2F41">
            <w:pPr>
              <w:rPr>
                <w:rFonts w:asciiTheme="majorBidi" w:hAnsiTheme="majorBidi" w:cstheme="majorBidi"/>
              </w:rPr>
            </w:pPr>
          </w:p>
        </w:tc>
        <w:tc>
          <w:tcPr>
            <w:tcW w:w="459" w:type="pct"/>
          </w:tcPr>
          <w:p w14:paraId="41F510BE" w14:textId="77777777" w:rsidR="005976AB" w:rsidRPr="005635E7" w:rsidRDefault="005976AB" w:rsidP="009E2F41">
            <w:pPr>
              <w:rPr>
                <w:rFonts w:asciiTheme="majorBidi" w:hAnsiTheme="majorBidi" w:cstheme="majorBidi"/>
              </w:rPr>
            </w:pPr>
          </w:p>
        </w:tc>
        <w:tc>
          <w:tcPr>
            <w:tcW w:w="459" w:type="pct"/>
          </w:tcPr>
          <w:p w14:paraId="71900F74" w14:textId="77777777" w:rsidR="005976AB" w:rsidRPr="005635E7" w:rsidRDefault="005976AB" w:rsidP="009E2F41">
            <w:pPr>
              <w:rPr>
                <w:rFonts w:asciiTheme="majorBidi" w:hAnsiTheme="majorBidi" w:cstheme="majorBidi"/>
              </w:rPr>
            </w:pPr>
          </w:p>
        </w:tc>
        <w:tc>
          <w:tcPr>
            <w:tcW w:w="459" w:type="pct"/>
          </w:tcPr>
          <w:p w14:paraId="3EADCB74" w14:textId="77777777" w:rsidR="005976AB" w:rsidRPr="005635E7" w:rsidRDefault="005976AB" w:rsidP="009E2F41">
            <w:pPr>
              <w:rPr>
                <w:rFonts w:asciiTheme="majorBidi" w:hAnsiTheme="majorBidi" w:cstheme="majorBidi"/>
              </w:rPr>
            </w:pPr>
          </w:p>
        </w:tc>
        <w:tc>
          <w:tcPr>
            <w:tcW w:w="457" w:type="pct"/>
          </w:tcPr>
          <w:p w14:paraId="2C62F3CA" w14:textId="77777777" w:rsidR="005976AB" w:rsidRPr="005635E7" w:rsidRDefault="005976AB" w:rsidP="009E2F41">
            <w:pPr>
              <w:rPr>
                <w:rFonts w:asciiTheme="majorBidi" w:hAnsiTheme="majorBidi" w:cstheme="majorBidi"/>
              </w:rPr>
            </w:pPr>
          </w:p>
        </w:tc>
      </w:tr>
      <w:tr w:rsidR="005976AB" w:rsidRPr="005635E7" w14:paraId="5C8671F7" w14:textId="77777777" w:rsidTr="009E2F41">
        <w:trPr>
          <w:trHeight w:val="406"/>
        </w:trPr>
        <w:tc>
          <w:tcPr>
            <w:tcW w:w="263" w:type="pct"/>
            <w:vAlign w:val="center"/>
          </w:tcPr>
          <w:p w14:paraId="10B43573"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6C73271C" w14:textId="77777777" w:rsidR="005976AB" w:rsidRPr="005635E7" w:rsidRDefault="005976AB" w:rsidP="009E2F41">
            <w:pPr>
              <w:rPr>
                <w:rFonts w:asciiTheme="majorBidi" w:hAnsiTheme="majorBidi" w:cstheme="majorBidi"/>
              </w:rPr>
            </w:pPr>
            <w:r w:rsidRPr="005635E7">
              <w:rPr>
                <w:rFonts w:asciiTheme="majorBidi" w:hAnsiTheme="majorBidi" w:cstheme="majorBidi"/>
              </w:rPr>
              <w:t>Spin-offs, according to our company, are the best beneficiaries of our innovation efforts company performance.</w:t>
            </w:r>
          </w:p>
        </w:tc>
        <w:tc>
          <w:tcPr>
            <w:tcW w:w="460" w:type="pct"/>
          </w:tcPr>
          <w:p w14:paraId="18B04F11" w14:textId="77777777" w:rsidR="005976AB" w:rsidRPr="005635E7" w:rsidRDefault="005976AB" w:rsidP="009E2F41">
            <w:pPr>
              <w:rPr>
                <w:rFonts w:asciiTheme="majorBidi" w:hAnsiTheme="majorBidi" w:cstheme="majorBidi"/>
              </w:rPr>
            </w:pPr>
          </w:p>
        </w:tc>
        <w:tc>
          <w:tcPr>
            <w:tcW w:w="459" w:type="pct"/>
          </w:tcPr>
          <w:p w14:paraId="3ED5F640" w14:textId="77777777" w:rsidR="005976AB" w:rsidRPr="005635E7" w:rsidRDefault="005976AB" w:rsidP="009E2F41">
            <w:pPr>
              <w:rPr>
                <w:rFonts w:asciiTheme="majorBidi" w:hAnsiTheme="majorBidi" w:cstheme="majorBidi"/>
              </w:rPr>
            </w:pPr>
          </w:p>
        </w:tc>
        <w:tc>
          <w:tcPr>
            <w:tcW w:w="459" w:type="pct"/>
          </w:tcPr>
          <w:p w14:paraId="3154BC22" w14:textId="77777777" w:rsidR="005976AB" w:rsidRPr="005635E7" w:rsidRDefault="005976AB" w:rsidP="009E2F41">
            <w:pPr>
              <w:rPr>
                <w:rFonts w:asciiTheme="majorBidi" w:hAnsiTheme="majorBidi" w:cstheme="majorBidi"/>
              </w:rPr>
            </w:pPr>
          </w:p>
        </w:tc>
        <w:tc>
          <w:tcPr>
            <w:tcW w:w="459" w:type="pct"/>
          </w:tcPr>
          <w:p w14:paraId="1AC237C0" w14:textId="77777777" w:rsidR="005976AB" w:rsidRPr="005635E7" w:rsidRDefault="005976AB" w:rsidP="009E2F41">
            <w:pPr>
              <w:rPr>
                <w:rFonts w:asciiTheme="majorBidi" w:hAnsiTheme="majorBidi" w:cstheme="majorBidi"/>
              </w:rPr>
            </w:pPr>
          </w:p>
        </w:tc>
        <w:tc>
          <w:tcPr>
            <w:tcW w:w="459" w:type="pct"/>
          </w:tcPr>
          <w:p w14:paraId="27E17A99" w14:textId="77777777" w:rsidR="005976AB" w:rsidRPr="005635E7" w:rsidRDefault="005976AB" w:rsidP="009E2F41">
            <w:pPr>
              <w:rPr>
                <w:rFonts w:asciiTheme="majorBidi" w:hAnsiTheme="majorBidi" w:cstheme="majorBidi"/>
              </w:rPr>
            </w:pPr>
          </w:p>
        </w:tc>
        <w:tc>
          <w:tcPr>
            <w:tcW w:w="459" w:type="pct"/>
          </w:tcPr>
          <w:p w14:paraId="1028FBC1" w14:textId="77777777" w:rsidR="005976AB" w:rsidRPr="005635E7" w:rsidRDefault="005976AB" w:rsidP="009E2F41">
            <w:pPr>
              <w:rPr>
                <w:rFonts w:asciiTheme="majorBidi" w:hAnsiTheme="majorBidi" w:cstheme="majorBidi"/>
              </w:rPr>
            </w:pPr>
          </w:p>
        </w:tc>
        <w:tc>
          <w:tcPr>
            <w:tcW w:w="457" w:type="pct"/>
          </w:tcPr>
          <w:p w14:paraId="0F4EC91F" w14:textId="77777777" w:rsidR="005976AB" w:rsidRPr="005635E7" w:rsidRDefault="005976AB" w:rsidP="009E2F41">
            <w:pPr>
              <w:rPr>
                <w:rFonts w:asciiTheme="majorBidi" w:hAnsiTheme="majorBidi" w:cstheme="majorBidi"/>
              </w:rPr>
            </w:pPr>
          </w:p>
        </w:tc>
      </w:tr>
    </w:tbl>
    <w:p w14:paraId="2CCF0A6A" w14:textId="77777777" w:rsidR="005976AB" w:rsidRPr="005635E7" w:rsidRDefault="005976AB" w:rsidP="005976AB">
      <w:pPr>
        <w:rPr>
          <w:rFonts w:asciiTheme="majorBidi" w:hAnsiTheme="majorBidi" w:cstheme="majorBidi"/>
        </w:rPr>
      </w:pPr>
    </w:p>
    <w:p w14:paraId="1DCF5DC0" w14:textId="77777777" w:rsidR="005976AB" w:rsidRPr="005635E7" w:rsidRDefault="005976AB" w:rsidP="005976AB">
      <w:pPr>
        <w:rPr>
          <w:rFonts w:asciiTheme="majorBidi" w:hAnsiTheme="majorBidi" w:cstheme="majorBidi"/>
        </w:rPr>
      </w:pPr>
      <w:r w:rsidRPr="005635E7">
        <w:rPr>
          <w:rFonts w:asciiTheme="majorBidi" w:eastAsia="Calibri" w:hAnsiTheme="majorBidi" w:cstheme="majorBidi"/>
          <w:noProof/>
        </w:rPr>
        <mc:AlternateContent>
          <mc:Choice Requires="wps">
            <w:drawing>
              <wp:anchor distT="0" distB="0" distL="114300" distR="114300" simplePos="0" relativeHeight="251682816" behindDoc="0" locked="0" layoutInCell="1" allowOverlap="1" wp14:anchorId="3D6C5C70" wp14:editId="0123174C">
                <wp:simplePos x="0" y="0"/>
                <wp:positionH relativeFrom="margin">
                  <wp:align>center</wp:align>
                </wp:positionH>
                <wp:positionV relativeFrom="paragraph">
                  <wp:posOffset>-66675</wp:posOffset>
                </wp:positionV>
                <wp:extent cx="6276975" cy="333375"/>
                <wp:effectExtent l="0" t="0" r="28575" b="28575"/>
                <wp:wrapNone/>
                <wp:docPr id="17" name="Rounded Rectangle 1"/>
                <wp:cNvGraphicFramePr/>
                <a:graphic xmlns:a="http://schemas.openxmlformats.org/drawingml/2006/main">
                  <a:graphicData uri="http://schemas.microsoft.com/office/word/2010/wordprocessingShape">
                    <wps:wsp>
                      <wps:cNvSpPr/>
                      <wps:spPr>
                        <a:xfrm>
                          <a:off x="0" y="0"/>
                          <a:ext cx="6276975" cy="333375"/>
                        </a:xfrm>
                        <a:prstGeom prst="roundRect">
                          <a:avLst/>
                        </a:prstGeom>
                        <a:solidFill>
                          <a:sysClr val="window" lastClr="FFFFFF">
                            <a:lumMod val="95000"/>
                          </a:sysClr>
                        </a:solidFill>
                        <a:ln w="6350">
                          <a:solidFill>
                            <a:srgbClr val="4F81BD">
                              <a:shade val="50000"/>
                            </a:srgbClr>
                          </a:solidFill>
                          <a:prstDash val="solid"/>
                        </a:ln>
                        <a:effectLst/>
                      </wps:spPr>
                      <wps:txbx>
                        <w:txbxContent>
                          <w:p w14:paraId="1628E856" w14:textId="77777777" w:rsidR="005976AB" w:rsidRPr="001F7A14" w:rsidRDefault="005976AB" w:rsidP="005976AB">
                            <w:pPr>
                              <w:jc w:val="center"/>
                              <w:rPr>
                                <w:rFonts w:cstheme="minorHAnsi"/>
                                <w:b/>
                                <w:color w:val="000000"/>
                                <w:sz w:val="32"/>
                                <w:szCs w:val="32"/>
                              </w:rPr>
                            </w:pPr>
                            <w:r w:rsidRPr="001F7A14">
                              <w:rPr>
                                <w:rFonts w:cstheme="minorHAnsi"/>
                                <w:b/>
                                <w:color w:val="000000"/>
                                <w:sz w:val="28"/>
                                <w:szCs w:val="28"/>
                              </w:rPr>
                              <w:t>PART</w:t>
                            </w:r>
                            <w:r>
                              <w:rPr>
                                <w:rFonts w:cstheme="minorHAnsi"/>
                                <w:b/>
                                <w:color w:val="000000"/>
                                <w:sz w:val="28"/>
                                <w:szCs w:val="28"/>
                              </w:rPr>
                              <w:t xml:space="preserve"> -</w:t>
                            </w:r>
                            <w:r w:rsidRPr="001F7A14">
                              <w:rPr>
                                <w:rFonts w:cstheme="minorHAnsi"/>
                                <w:b/>
                                <w:color w:val="000000"/>
                                <w:sz w:val="28"/>
                                <w:szCs w:val="28"/>
                              </w:rPr>
                              <w:t xml:space="preserve"> </w:t>
                            </w:r>
                            <w:r>
                              <w:rPr>
                                <w:rFonts w:cstheme="minorHAnsi"/>
                                <w:b/>
                                <w:color w:val="000000"/>
                                <w:sz w:val="28"/>
                                <w:szCs w:val="2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3D6C5C70" id="_x0000_s1070" style="position:absolute;margin-left:0;margin-top:-5.25pt;width:494.25pt;height:26.25pt;z-index:251682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" fillcolor="#f2f2f2" strokecolor="#385d8a" strokeweight=".5pt">
                <v:textbox>
                  <w:txbxContent>
                    <w:p w14:paraId="1628E856" w14:textId="77777777" w:rsidR="005976AB" w:rsidRPr="001F7A14" w:rsidRDefault="005976AB" w:rsidP="005976AB">
                      <w:pPr>
                        <w:jc w:val="center"/>
                        <w:rPr>
                          <w:rFonts w:cstheme="minorHAnsi"/>
                          <w:b/>
                          <w:color w:val="000000"/>
                          <w:sz w:val="32"/>
                          <w:szCs w:val="32"/>
                        </w:rPr>
                      </w:pPr>
                      <w:r w:rsidRPr="001F7A14">
                        <w:rPr>
                          <w:rFonts w:cstheme="minorHAnsi"/>
                          <w:b/>
                          <w:color w:val="000000"/>
                          <w:sz w:val="28"/>
                          <w:szCs w:val="28"/>
                        </w:rPr>
                        <w:t>PART</w:t>
                      </w:r>
                      <w:r>
                        <w:rPr>
                          <w:rFonts w:cstheme="minorHAnsi"/>
                          <w:b/>
                          <w:color w:val="000000"/>
                          <w:sz w:val="28"/>
                          <w:szCs w:val="28"/>
                        </w:rPr>
                        <w:t xml:space="preserve"> -</w:t>
                      </w:r>
                      <w:r w:rsidRPr="001F7A14">
                        <w:rPr>
                          <w:rFonts w:cstheme="minorHAnsi"/>
                          <w:b/>
                          <w:color w:val="000000"/>
                          <w:sz w:val="28"/>
                          <w:szCs w:val="28"/>
                        </w:rPr>
                        <w:t xml:space="preserve"> </w:t>
                      </w:r>
                      <w:r>
                        <w:rPr>
                          <w:rFonts w:cstheme="minorHAnsi"/>
                          <w:b/>
                          <w:color w:val="000000"/>
                          <w:sz w:val="28"/>
                          <w:szCs w:val="28"/>
                        </w:rPr>
                        <w:t>C</w:t>
                      </w:r>
                    </w:p>
                  </w:txbxContent>
                </v:textbox>
                <w10:wrap anchorx="margin"/>
              </v:roundrect>
            </w:pict>
          </mc:Fallback>
        </mc:AlternateContent>
      </w:r>
    </w:p>
    <w:p w14:paraId="374C4F0A" w14:textId="77777777" w:rsidR="005976AB" w:rsidRPr="005635E7" w:rsidRDefault="005976AB" w:rsidP="005976AB">
      <w:pPr>
        <w:rPr>
          <w:rFonts w:asciiTheme="majorBidi" w:hAnsiTheme="majorBidi" w:cstheme="majorBidi"/>
        </w:rPr>
      </w:pPr>
    </w:p>
    <w:p w14:paraId="058106A2" w14:textId="77777777" w:rsidR="005976AB" w:rsidRPr="005635E7" w:rsidRDefault="005976AB" w:rsidP="005976AB">
      <w:pPr>
        <w:rPr>
          <w:rFonts w:asciiTheme="majorBidi" w:hAnsiTheme="majorBidi" w:cstheme="majorBidi"/>
        </w:rPr>
      </w:pPr>
      <w:r w:rsidRPr="005635E7">
        <w:rPr>
          <w:rFonts w:asciiTheme="majorBidi" w:hAnsiTheme="majorBidi" w:cstheme="majorBidi"/>
        </w:rPr>
        <w:t xml:space="preserve">This section includes various statements related to Firm Performance, defined as a firm’s functioning by referring to the specific outcomes of its operations. Please check the following statements referring to your opinion on the </w:t>
      </w:r>
      <w:r w:rsidRPr="005635E7">
        <w:rPr>
          <w:rFonts w:ascii="Times New Roman" w:eastAsia="Calibri" w:hAnsi="Times New Roman" w:cs="Times New Roman"/>
        </w:rPr>
        <w:t>company’s performance</w:t>
      </w:r>
      <w:r w:rsidRPr="005635E7">
        <w:rPr>
          <w:rFonts w:asciiTheme="majorBidi" w:hAnsiTheme="majorBidi" w:cstheme="majorBidi"/>
        </w:rPr>
        <w:t>.</w:t>
      </w:r>
    </w:p>
    <w:p w14:paraId="41E819B7" w14:textId="77777777" w:rsidR="005976AB" w:rsidRPr="005635E7" w:rsidRDefault="005976AB" w:rsidP="005976AB">
      <w:pPr>
        <w:rPr>
          <w:rFonts w:asciiTheme="majorBidi" w:hAnsiTheme="majorBidi" w:cstheme="majorBidi"/>
        </w:rPr>
      </w:pPr>
    </w:p>
    <w:tbl>
      <w:tblPr>
        <w:tblStyle w:val="TableGrid"/>
        <w:tblW w:w="5000" w:type="pct"/>
        <w:tblLayout w:type="fixed"/>
        <w:tblLook w:val="04A0" w:firstRow="1" w:lastRow="0" w:firstColumn="1" w:lastColumn="0" w:noHBand="0" w:noVBand="1"/>
      </w:tblPr>
      <w:tblGrid>
        <w:gridCol w:w="473"/>
        <w:gridCol w:w="2750"/>
        <w:gridCol w:w="829"/>
        <w:gridCol w:w="828"/>
        <w:gridCol w:w="828"/>
        <w:gridCol w:w="828"/>
        <w:gridCol w:w="828"/>
        <w:gridCol w:w="828"/>
        <w:gridCol w:w="824"/>
      </w:tblGrid>
      <w:tr w:rsidR="005976AB" w:rsidRPr="005635E7" w14:paraId="489892D8" w14:textId="77777777" w:rsidTr="009E2F41">
        <w:trPr>
          <w:trHeight w:val="820"/>
        </w:trPr>
        <w:tc>
          <w:tcPr>
            <w:tcW w:w="263" w:type="pct"/>
            <w:shd w:val="clear" w:color="auto" w:fill="ACB9CA" w:themeFill="text2" w:themeFillTint="66"/>
            <w:vAlign w:val="center"/>
          </w:tcPr>
          <w:p w14:paraId="002F6969"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SNo</w:t>
            </w:r>
          </w:p>
        </w:tc>
        <w:tc>
          <w:tcPr>
            <w:tcW w:w="1525" w:type="pct"/>
            <w:shd w:val="clear" w:color="auto" w:fill="ACB9CA" w:themeFill="text2" w:themeFillTint="66"/>
            <w:vAlign w:val="center"/>
          </w:tcPr>
          <w:p w14:paraId="35EB9226"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Questions</w:t>
            </w:r>
          </w:p>
        </w:tc>
        <w:tc>
          <w:tcPr>
            <w:tcW w:w="460" w:type="pct"/>
            <w:shd w:val="clear" w:color="auto" w:fill="ACB9CA" w:themeFill="text2" w:themeFillTint="66"/>
          </w:tcPr>
          <w:p w14:paraId="29528DB4"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Strongly Disagree</w:t>
            </w:r>
          </w:p>
        </w:tc>
        <w:tc>
          <w:tcPr>
            <w:tcW w:w="459" w:type="pct"/>
            <w:shd w:val="clear" w:color="auto" w:fill="ACB9CA" w:themeFill="text2" w:themeFillTint="66"/>
          </w:tcPr>
          <w:p w14:paraId="5F1308B5"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Disagree</w:t>
            </w:r>
          </w:p>
        </w:tc>
        <w:tc>
          <w:tcPr>
            <w:tcW w:w="459" w:type="pct"/>
            <w:shd w:val="clear" w:color="auto" w:fill="ACB9CA" w:themeFill="text2" w:themeFillTint="66"/>
          </w:tcPr>
          <w:p w14:paraId="7841EB2E"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Somewhat Disagree</w:t>
            </w:r>
          </w:p>
        </w:tc>
        <w:tc>
          <w:tcPr>
            <w:tcW w:w="459" w:type="pct"/>
            <w:shd w:val="clear" w:color="auto" w:fill="ACB9CA" w:themeFill="text2" w:themeFillTint="66"/>
          </w:tcPr>
          <w:p w14:paraId="13E84557" w14:textId="77777777" w:rsidR="005976AB" w:rsidRPr="005635E7" w:rsidRDefault="005976AB" w:rsidP="009E2F41">
            <w:pPr>
              <w:jc w:val="center"/>
              <w:rPr>
                <w:rFonts w:asciiTheme="majorBidi" w:hAnsiTheme="majorBidi" w:cstheme="majorBidi"/>
                <w:rtl/>
              </w:rPr>
            </w:pPr>
            <w:r w:rsidRPr="005635E7">
              <w:rPr>
                <w:rFonts w:asciiTheme="majorBidi" w:hAnsiTheme="majorBidi" w:cstheme="majorBidi"/>
              </w:rPr>
              <w:t>Neutral</w:t>
            </w:r>
          </w:p>
          <w:p w14:paraId="50B8D75F" w14:textId="77777777" w:rsidR="005976AB" w:rsidRPr="005635E7" w:rsidRDefault="005976AB" w:rsidP="009E2F41">
            <w:pPr>
              <w:rPr>
                <w:rFonts w:asciiTheme="majorBidi" w:hAnsiTheme="majorBidi" w:cstheme="majorBidi"/>
              </w:rPr>
            </w:pPr>
          </w:p>
        </w:tc>
        <w:tc>
          <w:tcPr>
            <w:tcW w:w="459" w:type="pct"/>
            <w:shd w:val="clear" w:color="auto" w:fill="ACB9CA" w:themeFill="text2" w:themeFillTint="66"/>
          </w:tcPr>
          <w:p w14:paraId="5E2B3D43"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Somewhat Agree</w:t>
            </w:r>
          </w:p>
        </w:tc>
        <w:tc>
          <w:tcPr>
            <w:tcW w:w="459" w:type="pct"/>
            <w:shd w:val="clear" w:color="auto" w:fill="ACB9CA" w:themeFill="text2" w:themeFillTint="66"/>
          </w:tcPr>
          <w:p w14:paraId="3BDA26CE" w14:textId="77777777" w:rsidR="005976AB" w:rsidRPr="005635E7" w:rsidRDefault="005976AB" w:rsidP="009E2F41">
            <w:pPr>
              <w:jc w:val="center"/>
              <w:rPr>
                <w:rFonts w:asciiTheme="majorBidi" w:hAnsiTheme="majorBidi" w:cstheme="majorBidi"/>
                <w:rtl/>
              </w:rPr>
            </w:pPr>
            <w:r w:rsidRPr="005635E7">
              <w:rPr>
                <w:rFonts w:asciiTheme="majorBidi" w:hAnsiTheme="majorBidi" w:cstheme="majorBidi"/>
              </w:rPr>
              <w:t>Agree</w:t>
            </w:r>
          </w:p>
          <w:p w14:paraId="3B0F8327" w14:textId="77777777" w:rsidR="005976AB" w:rsidRPr="005635E7" w:rsidRDefault="005976AB" w:rsidP="009E2F41">
            <w:pPr>
              <w:rPr>
                <w:rFonts w:asciiTheme="majorBidi" w:hAnsiTheme="majorBidi" w:cstheme="majorBidi"/>
              </w:rPr>
            </w:pPr>
          </w:p>
        </w:tc>
        <w:tc>
          <w:tcPr>
            <w:tcW w:w="457" w:type="pct"/>
            <w:shd w:val="clear" w:color="auto" w:fill="ACB9CA" w:themeFill="text2" w:themeFillTint="66"/>
          </w:tcPr>
          <w:p w14:paraId="5D275299" w14:textId="77777777" w:rsidR="005976AB" w:rsidRPr="005635E7" w:rsidRDefault="005976AB" w:rsidP="009E2F41">
            <w:pPr>
              <w:jc w:val="center"/>
              <w:rPr>
                <w:rFonts w:asciiTheme="majorBidi" w:hAnsiTheme="majorBidi" w:cstheme="majorBidi"/>
              </w:rPr>
            </w:pPr>
            <w:r w:rsidRPr="005635E7">
              <w:rPr>
                <w:rFonts w:asciiTheme="majorBidi" w:hAnsiTheme="majorBidi" w:cstheme="majorBidi"/>
              </w:rPr>
              <w:t>Strongly agree</w:t>
            </w:r>
          </w:p>
        </w:tc>
      </w:tr>
      <w:tr w:rsidR="005976AB" w:rsidRPr="005635E7" w14:paraId="58795903" w14:textId="77777777" w:rsidTr="009E2F41">
        <w:trPr>
          <w:trHeight w:val="431"/>
        </w:trPr>
        <w:tc>
          <w:tcPr>
            <w:tcW w:w="263" w:type="pct"/>
            <w:vAlign w:val="center"/>
          </w:tcPr>
          <w:p w14:paraId="20464B74"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43C95298" w14:textId="77777777" w:rsidR="005976AB" w:rsidRPr="005635E7" w:rsidRDefault="005976AB" w:rsidP="009E2F41">
            <w:pPr>
              <w:rPr>
                <w:rFonts w:asciiTheme="majorBidi" w:hAnsiTheme="majorBidi" w:cstheme="majorBidi"/>
              </w:rPr>
            </w:pPr>
            <w:r w:rsidRPr="005635E7">
              <w:rPr>
                <w:rFonts w:asciiTheme="majorBidi" w:hAnsiTheme="majorBidi" w:cstheme="majorBidi"/>
              </w:rPr>
              <w:t>Market share expansion in comparison to rivals.</w:t>
            </w:r>
          </w:p>
        </w:tc>
        <w:tc>
          <w:tcPr>
            <w:tcW w:w="460" w:type="pct"/>
          </w:tcPr>
          <w:p w14:paraId="1D726691" w14:textId="77777777" w:rsidR="005976AB" w:rsidRPr="005635E7" w:rsidRDefault="005976AB" w:rsidP="009E2F41">
            <w:pPr>
              <w:rPr>
                <w:rFonts w:asciiTheme="majorBidi" w:hAnsiTheme="majorBidi" w:cstheme="majorBidi"/>
              </w:rPr>
            </w:pPr>
          </w:p>
        </w:tc>
        <w:tc>
          <w:tcPr>
            <w:tcW w:w="459" w:type="pct"/>
          </w:tcPr>
          <w:p w14:paraId="48D577E1" w14:textId="77777777" w:rsidR="005976AB" w:rsidRPr="005635E7" w:rsidRDefault="005976AB" w:rsidP="009E2F41">
            <w:pPr>
              <w:rPr>
                <w:rFonts w:asciiTheme="majorBidi" w:hAnsiTheme="majorBidi" w:cstheme="majorBidi"/>
              </w:rPr>
            </w:pPr>
          </w:p>
        </w:tc>
        <w:tc>
          <w:tcPr>
            <w:tcW w:w="459" w:type="pct"/>
          </w:tcPr>
          <w:p w14:paraId="4064DD36" w14:textId="77777777" w:rsidR="005976AB" w:rsidRPr="005635E7" w:rsidRDefault="005976AB" w:rsidP="009E2F41">
            <w:pPr>
              <w:rPr>
                <w:rFonts w:asciiTheme="majorBidi" w:hAnsiTheme="majorBidi" w:cstheme="majorBidi"/>
              </w:rPr>
            </w:pPr>
          </w:p>
        </w:tc>
        <w:tc>
          <w:tcPr>
            <w:tcW w:w="459" w:type="pct"/>
          </w:tcPr>
          <w:p w14:paraId="78873EB9" w14:textId="77777777" w:rsidR="005976AB" w:rsidRPr="005635E7" w:rsidRDefault="005976AB" w:rsidP="009E2F41">
            <w:pPr>
              <w:rPr>
                <w:rFonts w:asciiTheme="majorBidi" w:hAnsiTheme="majorBidi" w:cstheme="majorBidi"/>
              </w:rPr>
            </w:pPr>
          </w:p>
        </w:tc>
        <w:tc>
          <w:tcPr>
            <w:tcW w:w="459" w:type="pct"/>
          </w:tcPr>
          <w:p w14:paraId="777E44CD" w14:textId="77777777" w:rsidR="005976AB" w:rsidRPr="005635E7" w:rsidRDefault="005976AB" w:rsidP="009E2F41">
            <w:pPr>
              <w:rPr>
                <w:rFonts w:asciiTheme="majorBidi" w:hAnsiTheme="majorBidi" w:cstheme="majorBidi"/>
              </w:rPr>
            </w:pPr>
          </w:p>
        </w:tc>
        <w:tc>
          <w:tcPr>
            <w:tcW w:w="459" w:type="pct"/>
          </w:tcPr>
          <w:p w14:paraId="42226794" w14:textId="77777777" w:rsidR="005976AB" w:rsidRPr="005635E7" w:rsidRDefault="005976AB" w:rsidP="009E2F41">
            <w:pPr>
              <w:rPr>
                <w:rFonts w:asciiTheme="majorBidi" w:hAnsiTheme="majorBidi" w:cstheme="majorBidi"/>
              </w:rPr>
            </w:pPr>
          </w:p>
        </w:tc>
        <w:tc>
          <w:tcPr>
            <w:tcW w:w="457" w:type="pct"/>
          </w:tcPr>
          <w:p w14:paraId="3CEC8364" w14:textId="77777777" w:rsidR="005976AB" w:rsidRPr="005635E7" w:rsidRDefault="005976AB" w:rsidP="009E2F41">
            <w:pPr>
              <w:rPr>
                <w:rFonts w:asciiTheme="majorBidi" w:hAnsiTheme="majorBidi" w:cstheme="majorBidi"/>
              </w:rPr>
            </w:pPr>
          </w:p>
        </w:tc>
      </w:tr>
      <w:tr w:rsidR="005976AB" w:rsidRPr="005635E7" w14:paraId="4F416016" w14:textId="77777777" w:rsidTr="009E2F41">
        <w:trPr>
          <w:trHeight w:val="406"/>
        </w:trPr>
        <w:tc>
          <w:tcPr>
            <w:tcW w:w="263" w:type="pct"/>
            <w:vAlign w:val="center"/>
          </w:tcPr>
          <w:p w14:paraId="42589F15"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5CDBBE0C" w14:textId="77777777" w:rsidR="005976AB" w:rsidRPr="005635E7" w:rsidRDefault="005976AB" w:rsidP="009E2F41">
            <w:pPr>
              <w:rPr>
                <w:rFonts w:asciiTheme="majorBidi" w:hAnsiTheme="majorBidi" w:cstheme="majorBidi"/>
              </w:rPr>
            </w:pPr>
            <w:r w:rsidRPr="005635E7">
              <w:rPr>
                <w:rFonts w:asciiTheme="majorBidi" w:hAnsiTheme="majorBidi" w:cstheme="majorBidi"/>
              </w:rPr>
              <w:t xml:space="preserve"> Attracting new clients.</w:t>
            </w:r>
          </w:p>
        </w:tc>
        <w:tc>
          <w:tcPr>
            <w:tcW w:w="460" w:type="pct"/>
          </w:tcPr>
          <w:p w14:paraId="7516AEE5" w14:textId="77777777" w:rsidR="005976AB" w:rsidRPr="005635E7" w:rsidRDefault="005976AB" w:rsidP="009E2F41">
            <w:pPr>
              <w:rPr>
                <w:rFonts w:asciiTheme="majorBidi" w:hAnsiTheme="majorBidi" w:cstheme="majorBidi"/>
              </w:rPr>
            </w:pPr>
          </w:p>
        </w:tc>
        <w:tc>
          <w:tcPr>
            <w:tcW w:w="459" w:type="pct"/>
          </w:tcPr>
          <w:p w14:paraId="02406D8C" w14:textId="77777777" w:rsidR="005976AB" w:rsidRPr="005635E7" w:rsidRDefault="005976AB" w:rsidP="009E2F41">
            <w:pPr>
              <w:rPr>
                <w:rFonts w:asciiTheme="majorBidi" w:hAnsiTheme="majorBidi" w:cstheme="majorBidi"/>
              </w:rPr>
            </w:pPr>
          </w:p>
        </w:tc>
        <w:tc>
          <w:tcPr>
            <w:tcW w:w="459" w:type="pct"/>
          </w:tcPr>
          <w:p w14:paraId="7CB74C21" w14:textId="77777777" w:rsidR="005976AB" w:rsidRPr="005635E7" w:rsidRDefault="005976AB" w:rsidP="009E2F41">
            <w:pPr>
              <w:rPr>
                <w:rFonts w:asciiTheme="majorBidi" w:hAnsiTheme="majorBidi" w:cstheme="majorBidi"/>
              </w:rPr>
            </w:pPr>
          </w:p>
        </w:tc>
        <w:tc>
          <w:tcPr>
            <w:tcW w:w="459" w:type="pct"/>
          </w:tcPr>
          <w:p w14:paraId="1EF077A4" w14:textId="77777777" w:rsidR="005976AB" w:rsidRPr="005635E7" w:rsidRDefault="005976AB" w:rsidP="009E2F41">
            <w:pPr>
              <w:rPr>
                <w:rFonts w:asciiTheme="majorBidi" w:hAnsiTheme="majorBidi" w:cstheme="majorBidi"/>
              </w:rPr>
            </w:pPr>
          </w:p>
        </w:tc>
        <w:tc>
          <w:tcPr>
            <w:tcW w:w="459" w:type="pct"/>
          </w:tcPr>
          <w:p w14:paraId="0A2A9D7B" w14:textId="77777777" w:rsidR="005976AB" w:rsidRPr="005635E7" w:rsidRDefault="005976AB" w:rsidP="009E2F41">
            <w:pPr>
              <w:rPr>
                <w:rFonts w:asciiTheme="majorBidi" w:hAnsiTheme="majorBidi" w:cstheme="majorBidi"/>
              </w:rPr>
            </w:pPr>
          </w:p>
        </w:tc>
        <w:tc>
          <w:tcPr>
            <w:tcW w:w="459" w:type="pct"/>
          </w:tcPr>
          <w:p w14:paraId="1FE8356D" w14:textId="77777777" w:rsidR="005976AB" w:rsidRPr="005635E7" w:rsidRDefault="005976AB" w:rsidP="009E2F41">
            <w:pPr>
              <w:rPr>
                <w:rFonts w:asciiTheme="majorBidi" w:hAnsiTheme="majorBidi" w:cstheme="majorBidi"/>
              </w:rPr>
            </w:pPr>
          </w:p>
        </w:tc>
        <w:tc>
          <w:tcPr>
            <w:tcW w:w="457" w:type="pct"/>
          </w:tcPr>
          <w:p w14:paraId="2A5663DA" w14:textId="77777777" w:rsidR="005976AB" w:rsidRPr="005635E7" w:rsidRDefault="005976AB" w:rsidP="009E2F41">
            <w:pPr>
              <w:rPr>
                <w:rFonts w:asciiTheme="majorBidi" w:hAnsiTheme="majorBidi" w:cstheme="majorBidi"/>
              </w:rPr>
            </w:pPr>
          </w:p>
        </w:tc>
      </w:tr>
      <w:tr w:rsidR="005976AB" w:rsidRPr="005635E7" w14:paraId="7C241697" w14:textId="77777777" w:rsidTr="009E2F41">
        <w:trPr>
          <w:trHeight w:val="431"/>
        </w:trPr>
        <w:tc>
          <w:tcPr>
            <w:tcW w:w="263" w:type="pct"/>
            <w:vAlign w:val="center"/>
          </w:tcPr>
          <w:p w14:paraId="1A10072F"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73F04BB8" w14:textId="77777777" w:rsidR="005976AB" w:rsidRPr="005635E7" w:rsidRDefault="005976AB" w:rsidP="009E2F41">
            <w:pPr>
              <w:rPr>
                <w:rFonts w:asciiTheme="majorBidi" w:hAnsiTheme="majorBidi" w:cstheme="majorBidi"/>
              </w:rPr>
            </w:pPr>
            <w:r w:rsidRPr="005635E7">
              <w:rPr>
                <w:rFonts w:asciiTheme="majorBidi" w:hAnsiTheme="majorBidi" w:cstheme="majorBidi"/>
              </w:rPr>
              <w:t>increasing sales to existing clients.</w:t>
            </w:r>
          </w:p>
        </w:tc>
        <w:tc>
          <w:tcPr>
            <w:tcW w:w="460" w:type="pct"/>
          </w:tcPr>
          <w:p w14:paraId="6495D424" w14:textId="77777777" w:rsidR="005976AB" w:rsidRPr="005635E7" w:rsidRDefault="005976AB" w:rsidP="009E2F41">
            <w:pPr>
              <w:rPr>
                <w:rFonts w:asciiTheme="majorBidi" w:hAnsiTheme="majorBidi" w:cstheme="majorBidi"/>
              </w:rPr>
            </w:pPr>
          </w:p>
        </w:tc>
        <w:tc>
          <w:tcPr>
            <w:tcW w:w="459" w:type="pct"/>
          </w:tcPr>
          <w:p w14:paraId="62F8647C" w14:textId="77777777" w:rsidR="005976AB" w:rsidRPr="005635E7" w:rsidRDefault="005976AB" w:rsidP="009E2F41">
            <w:pPr>
              <w:rPr>
                <w:rFonts w:asciiTheme="majorBidi" w:hAnsiTheme="majorBidi" w:cstheme="majorBidi"/>
              </w:rPr>
            </w:pPr>
          </w:p>
        </w:tc>
        <w:tc>
          <w:tcPr>
            <w:tcW w:w="459" w:type="pct"/>
          </w:tcPr>
          <w:p w14:paraId="6E33C91A" w14:textId="77777777" w:rsidR="005976AB" w:rsidRPr="005635E7" w:rsidRDefault="005976AB" w:rsidP="009E2F41">
            <w:pPr>
              <w:rPr>
                <w:rFonts w:asciiTheme="majorBidi" w:hAnsiTheme="majorBidi" w:cstheme="majorBidi"/>
              </w:rPr>
            </w:pPr>
          </w:p>
        </w:tc>
        <w:tc>
          <w:tcPr>
            <w:tcW w:w="459" w:type="pct"/>
          </w:tcPr>
          <w:p w14:paraId="53B6E567" w14:textId="77777777" w:rsidR="005976AB" w:rsidRPr="005635E7" w:rsidRDefault="005976AB" w:rsidP="009E2F41">
            <w:pPr>
              <w:rPr>
                <w:rFonts w:asciiTheme="majorBidi" w:hAnsiTheme="majorBidi" w:cstheme="majorBidi"/>
              </w:rPr>
            </w:pPr>
          </w:p>
        </w:tc>
        <w:tc>
          <w:tcPr>
            <w:tcW w:w="459" w:type="pct"/>
          </w:tcPr>
          <w:p w14:paraId="2A8B7D1B" w14:textId="77777777" w:rsidR="005976AB" w:rsidRPr="005635E7" w:rsidRDefault="005976AB" w:rsidP="009E2F41">
            <w:pPr>
              <w:rPr>
                <w:rFonts w:asciiTheme="majorBidi" w:hAnsiTheme="majorBidi" w:cstheme="majorBidi"/>
              </w:rPr>
            </w:pPr>
          </w:p>
        </w:tc>
        <w:tc>
          <w:tcPr>
            <w:tcW w:w="459" w:type="pct"/>
          </w:tcPr>
          <w:p w14:paraId="444B42BC" w14:textId="77777777" w:rsidR="005976AB" w:rsidRPr="005635E7" w:rsidRDefault="005976AB" w:rsidP="009E2F41">
            <w:pPr>
              <w:rPr>
                <w:rFonts w:asciiTheme="majorBidi" w:hAnsiTheme="majorBidi" w:cstheme="majorBidi"/>
              </w:rPr>
            </w:pPr>
          </w:p>
        </w:tc>
        <w:tc>
          <w:tcPr>
            <w:tcW w:w="457" w:type="pct"/>
          </w:tcPr>
          <w:p w14:paraId="164BFC8B" w14:textId="77777777" w:rsidR="005976AB" w:rsidRPr="005635E7" w:rsidRDefault="005976AB" w:rsidP="009E2F41">
            <w:pPr>
              <w:rPr>
                <w:rFonts w:asciiTheme="majorBidi" w:hAnsiTheme="majorBidi" w:cstheme="majorBidi"/>
              </w:rPr>
            </w:pPr>
          </w:p>
        </w:tc>
      </w:tr>
      <w:tr w:rsidR="005976AB" w:rsidRPr="005635E7" w14:paraId="58EB382E" w14:textId="77777777" w:rsidTr="009E2F41">
        <w:trPr>
          <w:trHeight w:val="406"/>
        </w:trPr>
        <w:tc>
          <w:tcPr>
            <w:tcW w:w="263" w:type="pct"/>
            <w:vAlign w:val="center"/>
          </w:tcPr>
          <w:p w14:paraId="0F83A49B"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484E8AA0" w14:textId="77777777" w:rsidR="005976AB" w:rsidRPr="005635E7" w:rsidRDefault="005976AB" w:rsidP="009E2F41">
            <w:pPr>
              <w:rPr>
                <w:rFonts w:asciiTheme="majorBidi" w:hAnsiTheme="majorBidi" w:cstheme="majorBidi"/>
              </w:rPr>
            </w:pPr>
            <w:r w:rsidRPr="005635E7">
              <w:rPr>
                <w:rFonts w:asciiTheme="majorBidi" w:hAnsiTheme="majorBidi" w:cstheme="majorBidi"/>
              </w:rPr>
              <w:t>An increase in sales revenue.</w:t>
            </w:r>
          </w:p>
        </w:tc>
        <w:tc>
          <w:tcPr>
            <w:tcW w:w="460" w:type="pct"/>
          </w:tcPr>
          <w:p w14:paraId="0828FE6F" w14:textId="77777777" w:rsidR="005976AB" w:rsidRPr="005635E7" w:rsidRDefault="005976AB" w:rsidP="009E2F41">
            <w:pPr>
              <w:rPr>
                <w:rFonts w:asciiTheme="majorBidi" w:hAnsiTheme="majorBidi" w:cstheme="majorBidi"/>
              </w:rPr>
            </w:pPr>
          </w:p>
        </w:tc>
        <w:tc>
          <w:tcPr>
            <w:tcW w:w="459" w:type="pct"/>
          </w:tcPr>
          <w:p w14:paraId="27B5A7CA" w14:textId="77777777" w:rsidR="005976AB" w:rsidRPr="005635E7" w:rsidRDefault="005976AB" w:rsidP="009E2F41">
            <w:pPr>
              <w:rPr>
                <w:rFonts w:asciiTheme="majorBidi" w:hAnsiTheme="majorBidi" w:cstheme="majorBidi"/>
              </w:rPr>
            </w:pPr>
          </w:p>
        </w:tc>
        <w:tc>
          <w:tcPr>
            <w:tcW w:w="459" w:type="pct"/>
          </w:tcPr>
          <w:p w14:paraId="7EF2C473" w14:textId="77777777" w:rsidR="005976AB" w:rsidRPr="005635E7" w:rsidRDefault="005976AB" w:rsidP="009E2F41">
            <w:pPr>
              <w:rPr>
                <w:rFonts w:asciiTheme="majorBidi" w:hAnsiTheme="majorBidi" w:cstheme="majorBidi"/>
              </w:rPr>
            </w:pPr>
          </w:p>
        </w:tc>
        <w:tc>
          <w:tcPr>
            <w:tcW w:w="459" w:type="pct"/>
          </w:tcPr>
          <w:p w14:paraId="42676856" w14:textId="77777777" w:rsidR="005976AB" w:rsidRPr="005635E7" w:rsidRDefault="005976AB" w:rsidP="009E2F41">
            <w:pPr>
              <w:rPr>
                <w:rFonts w:asciiTheme="majorBidi" w:hAnsiTheme="majorBidi" w:cstheme="majorBidi"/>
              </w:rPr>
            </w:pPr>
          </w:p>
        </w:tc>
        <w:tc>
          <w:tcPr>
            <w:tcW w:w="459" w:type="pct"/>
          </w:tcPr>
          <w:p w14:paraId="141A8F20" w14:textId="77777777" w:rsidR="005976AB" w:rsidRPr="005635E7" w:rsidRDefault="005976AB" w:rsidP="009E2F41">
            <w:pPr>
              <w:rPr>
                <w:rFonts w:asciiTheme="majorBidi" w:hAnsiTheme="majorBidi" w:cstheme="majorBidi"/>
              </w:rPr>
            </w:pPr>
          </w:p>
        </w:tc>
        <w:tc>
          <w:tcPr>
            <w:tcW w:w="459" w:type="pct"/>
          </w:tcPr>
          <w:p w14:paraId="59F176F8" w14:textId="77777777" w:rsidR="005976AB" w:rsidRPr="005635E7" w:rsidRDefault="005976AB" w:rsidP="009E2F41">
            <w:pPr>
              <w:rPr>
                <w:rFonts w:asciiTheme="majorBidi" w:hAnsiTheme="majorBidi" w:cstheme="majorBidi"/>
              </w:rPr>
            </w:pPr>
          </w:p>
        </w:tc>
        <w:tc>
          <w:tcPr>
            <w:tcW w:w="457" w:type="pct"/>
          </w:tcPr>
          <w:p w14:paraId="1F6DF8B7" w14:textId="77777777" w:rsidR="005976AB" w:rsidRPr="005635E7" w:rsidRDefault="005976AB" w:rsidP="009E2F41">
            <w:pPr>
              <w:rPr>
                <w:rFonts w:asciiTheme="majorBidi" w:hAnsiTheme="majorBidi" w:cstheme="majorBidi"/>
              </w:rPr>
            </w:pPr>
          </w:p>
        </w:tc>
      </w:tr>
      <w:tr w:rsidR="005976AB" w:rsidRPr="005635E7" w14:paraId="3C8A5A97" w14:textId="77777777" w:rsidTr="009E2F41">
        <w:trPr>
          <w:trHeight w:val="431"/>
        </w:trPr>
        <w:tc>
          <w:tcPr>
            <w:tcW w:w="263" w:type="pct"/>
            <w:vAlign w:val="center"/>
          </w:tcPr>
          <w:p w14:paraId="52D72349"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22719AE9" w14:textId="77777777" w:rsidR="005976AB" w:rsidRPr="005635E7" w:rsidRDefault="005976AB" w:rsidP="009E2F41">
            <w:pPr>
              <w:rPr>
                <w:rFonts w:asciiTheme="majorBidi" w:hAnsiTheme="majorBidi" w:cstheme="majorBidi"/>
              </w:rPr>
            </w:pPr>
            <w:r w:rsidRPr="005635E7">
              <w:rPr>
                <w:rFonts w:asciiTheme="majorBidi" w:hAnsiTheme="majorBidi" w:cstheme="majorBidi"/>
              </w:rPr>
              <w:t>Profitability across business units.</w:t>
            </w:r>
          </w:p>
        </w:tc>
        <w:tc>
          <w:tcPr>
            <w:tcW w:w="460" w:type="pct"/>
          </w:tcPr>
          <w:p w14:paraId="7B50ABFE" w14:textId="77777777" w:rsidR="005976AB" w:rsidRPr="005635E7" w:rsidRDefault="005976AB" w:rsidP="009E2F41">
            <w:pPr>
              <w:rPr>
                <w:rFonts w:asciiTheme="majorBidi" w:hAnsiTheme="majorBidi" w:cstheme="majorBidi"/>
              </w:rPr>
            </w:pPr>
          </w:p>
        </w:tc>
        <w:tc>
          <w:tcPr>
            <w:tcW w:w="459" w:type="pct"/>
          </w:tcPr>
          <w:p w14:paraId="60E316D3" w14:textId="77777777" w:rsidR="005976AB" w:rsidRPr="005635E7" w:rsidRDefault="005976AB" w:rsidP="009E2F41">
            <w:pPr>
              <w:rPr>
                <w:rFonts w:asciiTheme="majorBidi" w:hAnsiTheme="majorBidi" w:cstheme="majorBidi"/>
              </w:rPr>
            </w:pPr>
          </w:p>
        </w:tc>
        <w:tc>
          <w:tcPr>
            <w:tcW w:w="459" w:type="pct"/>
          </w:tcPr>
          <w:p w14:paraId="02EF77B2" w14:textId="77777777" w:rsidR="005976AB" w:rsidRPr="005635E7" w:rsidRDefault="005976AB" w:rsidP="009E2F41">
            <w:pPr>
              <w:rPr>
                <w:rFonts w:asciiTheme="majorBidi" w:hAnsiTheme="majorBidi" w:cstheme="majorBidi"/>
              </w:rPr>
            </w:pPr>
          </w:p>
        </w:tc>
        <w:tc>
          <w:tcPr>
            <w:tcW w:w="459" w:type="pct"/>
          </w:tcPr>
          <w:p w14:paraId="37CF8F60" w14:textId="77777777" w:rsidR="005976AB" w:rsidRPr="005635E7" w:rsidRDefault="005976AB" w:rsidP="009E2F41">
            <w:pPr>
              <w:rPr>
                <w:rFonts w:asciiTheme="majorBidi" w:hAnsiTheme="majorBidi" w:cstheme="majorBidi"/>
              </w:rPr>
            </w:pPr>
          </w:p>
        </w:tc>
        <w:tc>
          <w:tcPr>
            <w:tcW w:w="459" w:type="pct"/>
          </w:tcPr>
          <w:p w14:paraId="30BC3A0F" w14:textId="77777777" w:rsidR="005976AB" w:rsidRPr="005635E7" w:rsidRDefault="005976AB" w:rsidP="009E2F41">
            <w:pPr>
              <w:rPr>
                <w:rFonts w:asciiTheme="majorBidi" w:hAnsiTheme="majorBidi" w:cstheme="majorBidi"/>
              </w:rPr>
            </w:pPr>
          </w:p>
        </w:tc>
        <w:tc>
          <w:tcPr>
            <w:tcW w:w="459" w:type="pct"/>
          </w:tcPr>
          <w:p w14:paraId="400C164F" w14:textId="77777777" w:rsidR="005976AB" w:rsidRPr="005635E7" w:rsidRDefault="005976AB" w:rsidP="009E2F41">
            <w:pPr>
              <w:rPr>
                <w:rFonts w:asciiTheme="majorBidi" w:hAnsiTheme="majorBidi" w:cstheme="majorBidi"/>
              </w:rPr>
            </w:pPr>
          </w:p>
        </w:tc>
        <w:tc>
          <w:tcPr>
            <w:tcW w:w="457" w:type="pct"/>
          </w:tcPr>
          <w:p w14:paraId="2AC0ABC4" w14:textId="77777777" w:rsidR="005976AB" w:rsidRPr="005635E7" w:rsidRDefault="005976AB" w:rsidP="009E2F41">
            <w:pPr>
              <w:rPr>
                <w:rFonts w:asciiTheme="majorBidi" w:hAnsiTheme="majorBidi" w:cstheme="majorBidi"/>
              </w:rPr>
            </w:pPr>
          </w:p>
        </w:tc>
      </w:tr>
      <w:tr w:rsidR="005976AB" w:rsidRPr="005635E7" w14:paraId="5B4DAA8E" w14:textId="77777777" w:rsidTr="009E2F41">
        <w:trPr>
          <w:trHeight w:val="406"/>
        </w:trPr>
        <w:tc>
          <w:tcPr>
            <w:tcW w:w="263" w:type="pct"/>
            <w:vAlign w:val="center"/>
          </w:tcPr>
          <w:p w14:paraId="22C22B46"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0E02DCCC" w14:textId="77777777" w:rsidR="005976AB" w:rsidRPr="005635E7" w:rsidRDefault="005976AB" w:rsidP="009E2F41">
            <w:pPr>
              <w:rPr>
                <w:rFonts w:asciiTheme="majorBidi" w:hAnsiTheme="majorBidi" w:cstheme="majorBidi"/>
              </w:rPr>
            </w:pPr>
            <w:r w:rsidRPr="005635E7">
              <w:rPr>
                <w:rFonts w:asciiTheme="majorBidi" w:hAnsiTheme="majorBidi" w:cstheme="majorBidi"/>
              </w:rPr>
              <w:t>Return on investment (ROI)</w:t>
            </w:r>
          </w:p>
        </w:tc>
        <w:tc>
          <w:tcPr>
            <w:tcW w:w="460" w:type="pct"/>
          </w:tcPr>
          <w:p w14:paraId="1EDD32B6" w14:textId="77777777" w:rsidR="005976AB" w:rsidRPr="005635E7" w:rsidRDefault="005976AB" w:rsidP="009E2F41">
            <w:pPr>
              <w:rPr>
                <w:rFonts w:asciiTheme="majorBidi" w:hAnsiTheme="majorBidi" w:cstheme="majorBidi"/>
              </w:rPr>
            </w:pPr>
          </w:p>
        </w:tc>
        <w:tc>
          <w:tcPr>
            <w:tcW w:w="459" w:type="pct"/>
          </w:tcPr>
          <w:p w14:paraId="26EF373A" w14:textId="77777777" w:rsidR="005976AB" w:rsidRPr="005635E7" w:rsidRDefault="005976AB" w:rsidP="009E2F41">
            <w:pPr>
              <w:rPr>
                <w:rFonts w:asciiTheme="majorBidi" w:hAnsiTheme="majorBidi" w:cstheme="majorBidi"/>
              </w:rPr>
            </w:pPr>
          </w:p>
        </w:tc>
        <w:tc>
          <w:tcPr>
            <w:tcW w:w="459" w:type="pct"/>
          </w:tcPr>
          <w:p w14:paraId="42266E02" w14:textId="77777777" w:rsidR="005976AB" w:rsidRPr="005635E7" w:rsidRDefault="005976AB" w:rsidP="009E2F41">
            <w:pPr>
              <w:rPr>
                <w:rFonts w:asciiTheme="majorBidi" w:hAnsiTheme="majorBidi" w:cstheme="majorBidi"/>
              </w:rPr>
            </w:pPr>
          </w:p>
        </w:tc>
        <w:tc>
          <w:tcPr>
            <w:tcW w:w="459" w:type="pct"/>
          </w:tcPr>
          <w:p w14:paraId="57571692" w14:textId="77777777" w:rsidR="005976AB" w:rsidRPr="005635E7" w:rsidRDefault="005976AB" w:rsidP="009E2F41">
            <w:pPr>
              <w:rPr>
                <w:rFonts w:asciiTheme="majorBidi" w:hAnsiTheme="majorBidi" w:cstheme="majorBidi"/>
              </w:rPr>
            </w:pPr>
          </w:p>
        </w:tc>
        <w:tc>
          <w:tcPr>
            <w:tcW w:w="459" w:type="pct"/>
          </w:tcPr>
          <w:p w14:paraId="4309C2B2" w14:textId="77777777" w:rsidR="005976AB" w:rsidRPr="005635E7" w:rsidRDefault="005976AB" w:rsidP="009E2F41">
            <w:pPr>
              <w:rPr>
                <w:rFonts w:asciiTheme="majorBidi" w:hAnsiTheme="majorBidi" w:cstheme="majorBidi"/>
              </w:rPr>
            </w:pPr>
          </w:p>
        </w:tc>
        <w:tc>
          <w:tcPr>
            <w:tcW w:w="459" w:type="pct"/>
          </w:tcPr>
          <w:p w14:paraId="687EF077" w14:textId="77777777" w:rsidR="005976AB" w:rsidRPr="005635E7" w:rsidRDefault="005976AB" w:rsidP="009E2F41">
            <w:pPr>
              <w:rPr>
                <w:rFonts w:asciiTheme="majorBidi" w:hAnsiTheme="majorBidi" w:cstheme="majorBidi"/>
              </w:rPr>
            </w:pPr>
          </w:p>
        </w:tc>
        <w:tc>
          <w:tcPr>
            <w:tcW w:w="457" w:type="pct"/>
          </w:tcPr>
          <w:p w14:paraId="68DC0235" w14:textId="77777777" w:rsidR="005976AB" w:rsidRPr="005635E7" w:rsidRDefault="005976AB" w:rsidP="009E2F41">
            <w:pPr>
              <w:rPr>
                <w:rFonts w:asciiTheme="majorBidi" w:hAnsiTheme="majorBidi" w:cstheme="majorBidi"/>
              </w:rPr>
            </w:pPr>
          </w:p>
        </w:tc>
      </w:tr>
      <w:tr w:rsidR="005976AB" w:rsidRPr="005635E7" w14:paraId="6BB4C3A8" w14:textId="77777777" w:rsidTr="009E2F41">
        <w:trPr>
          <w:trHeight w:val="431"/>
        </w:trPr>
        <w:tc>
          <w:tcPr>
            <w:tcW w:w="263" w:type="pct"/>
            <w:vAlign w:val="center"/>
          </w:tcPr>
          <w:p w14:paraId="4D94FABA"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6763960C" w14:textId="77777777" w:rsidR="005976AB" w:rsidRPr="005635E7" w:rsidRDefault="005976AB" w:rsidP="009E2F41">
            <w:pPr>
              <w:rPr>
                <w:rFonts w:asciiTheme="majorBidi" w:hAnsiTheme="majorBidi" w:cstheme="majorBidi"/>
              </w:rPr>
            </w:pPr>
            <w:r w:rsidRPr="005635E7">
              <w:rPr>
                <w:rFonts w:asciiTheme="majorBidi" w:hAnsiTheme="majorBidi" w:cstheme="majorBidi"/>
              </w:rPr>
              <w:t>Return on sales (ROS)</w:t>
            </w:r>
          </w:p>
        </w:tc>
        <w:tc>
          <w:tcPr>
            <w:tcW w:w="460" w:type="pct"/>
          </w:tcPr>
          <w:p w14:paraId="72803A73" w14:textId="77777777" w:rsidR="005976AB" w:rsidRPr="005635E7" w:rsidRDefault="005976AB" w:rsidP="009E2F41">
            <w:pPr>
              <w:rPr>
                <w:rFonts w:asciiTheme="majorBidi" w:hAnsiTheme="majorBidi" w:cstheme="majorBidi"/>
              </w:rPr>
            </w:pPr>
          </w:p>
        </w:tc>
        <w:tc>
          <w:tcPr>
            <w:tcW w:w="459" w:type="pct"/>
          </w:tcPr>
          <w:p w14:paraId="3C4F43CA" w14:textId="77777777" w:rsidR="005976AB" w:rsidRPr="005635E7" w:rsidRDefault="005976AB" w:rsidP="009E2F41">
            <w:pPr>
              <w:rPr>
                <w:rFonts w:asciiTheme="majorBidi" w:hAnsiTheme="majorBidi" w:cstheme="majorBidi"/>
              </w:rPr>
            </w:pPr>
          </w:p>
        </w:tc>
        <w:tc>
          <w:tcPr>
            <w:tcW w:w="459" w:type="pct"/>
          </w:tcPr>
          <w:p w14:paraId="47E87985" w14:textId="77777777" w:rsidR="005976AB" w:rsidRPr="005635E7" w:rsidRDefault="005976AB" w:rsidP="009E2F41">
            <w:pPr>
              <w:rPr>
                <w:rFonts w:asciiTheme="majorBidi" w:hAnsiTheme="majorBidi" w:cstheme="majorBidi"/>
              </w:rPr>
            </w:pPr>
          </w:p>
        </w:tc>
        <w:tc>
          <w:tcPr>
            <w:tcW w:w="459" w:type="pct"/>
          </w:tcPr>
          <w:p w14:paraId="3C8AB4B0" w14:textId="77777777" w:rsidR="005976AB" w:rsidRPr="005635E7" w:rsidRDefault="005976AB" w:rsidP="009E2F41">
            <w:pPr>
              <w:rPr>
                <w:rFonts w:asciiTheme="majorBidi" w:hAnsiTheme="majorBidi" w:cstheme="majorBidi"/>
              </w:rPr>
            </w:pPr>
          </w:p>
        </w:tc>
        <w:tc>
          <w:tcPr>
            <w:tcW w:w="459" w:type="pct"/>
          </w:tcPr>
          <w:p w14:paraId="3042A7D1" w14:textId="77777777" w:rsidR="005976AB" w:rsidRPr="005635E7" w:rsidRDefault="005976AB" w:rsidP="009E2F41">
            <w:pPr>
              <w:rPr>
                <w:rFonts w:asciiTheme="majorBidi" w:hAnsiTheme="majorBidi" w:cstheme="majorBidi"/>
              </w:rPr>
            </w:pPr>
          </w:p>
        </w:tc>
        <w:tc>
          <w:tcPr>
            <w:tcW w:w="459" w:type="pct"/>
          </w:tcPr>
          <w:p w14:paraId="082CDBA4" w14:textId="77777777" w:rsidR="005976AB" w:rsidRPr="005635E7" w:rsidRDefault="005976AB" w:rsidP="009E2F41">
            <w:pPr>
              <w:rPr>
                <w:rFonts w:asciiTheme="majorBidi" w:hAnsiTheme="majorBidi" w:cstheme="majorBidi"/>
              </w:rPr>
            </w:pPr>
          </w:p>
        </w:tc>
        <w:tc>
          <w:tcPr>
            <w:tcW w:w="457" w:type="pct"/>
          </w:tcPr>
          <w:p w14:paraId="3BF2C678" w14:textId="77777777" w:rsidR="005976AB" w:rsidRPr="005635E7" w:rsidRDefault="005976AB" w:rsidP="009E2F41">
            <w:pPr>
              <w:rPr>
                <w:rFonts w:asciiTheme="majorBidi" w:hAnsiTheme="majorBidi" w:cstheme="majorBidi"/>
              </w:rPr>
            </w:pPr>
          </w:p>
        </w:tc>
      </w:tr>
      <w:tr w:rsidR="005976AB" w:rsidRPr="005635E7" w14:paraId="588F0416" w14:textId="77777777" w:rsidTr="009E2F41">
        <w:trPr>
          <w:trHeight w:val="406"/>
        </w:trPr>
        <w:tc>
          <w:tcPr>
            <w:tcW w:w="263" w:type="pct"/>
            <w:vAlign w:val="center"/>
          </w:tcPr>
          <w:p w14:paraId="10C2EA9C" w14:textId="77777777" w:rsidR="005976AB" w:rsidRPr="005635E7" w:rsidRDefault="005976AB" w:rsidP="009E2F41">
            <w:pPr>
              <w:pStyle w:val="ListParagraph"/>
              <w:numPr>
                <w:ilvl w:val="0"/>
                <w:numId w:val="18"/>
              </w:numPr>
              <w:ind w:left="0" w:firstLine="0"/>
              <w:rPr>
                <w:rFonts w:asciiTheme="majorBidi" w:hAnsiTheme="majorBidi" w:cstheme="majorBidi"/>
              </w:rPr>
            </w:pPr>
          </w:p>
        </w:tc>
        <w:tc>
          <w:tcPr>
            <w:tcW w:w="1525" w:type="pct"/>
            <w:vAlign w:val="bottom"/>
          </w:tcPr>
          <w:p w14:paraId="20AF2FC6" w14:textId="77777777" w:rsidR="005976AB" w:rsidRPr="005635E7" w:rsidRDefault="005976AB" w:rsidP="009E2F41">
            <w:pPr>
              <w:rPr>
                <w:rFonts w:asciiTheme="majorBidi" w:hAnsiTheme="majorBidi" w:cstheme="majorBidi"/>
              </w:rPr>
            </w:pPr>
            <w:r w:rsidRPr="005635E7">
              <w:rPr>
                <w:rFonts w:asciiTheme="majorBidi" w:hAnsiTheme="majorBidi" w:cstheme="majorBidi"/>
              </w:rPr>
              <w:t>Achieving financial objectives.</w:t>
            </w:r>
          </w:p>
        </w:tc>
        <w:tc>
          <w:tcPr>
            <w:tcW w:w="460" w:type="pct"/>
          </w:tcPr>
          <w:p w14:paraId="7BC8953E" w14:textId="77777777" w:rsidR="005976AB" w:rsidRPr="005635E7" w:rsidRDefault="005976AB" w:rsidP="009E2F41">
            <w:pPr>
              <w:rPr>
                <w:rFonts w:asciiTheme="majorBidi" w:hAnsiTheme="majorBidi" w:cstheme="majorBidi"/>
              </w:rPr>
            </w:pPr>
          </w:p>
        </w:tc>
        <w:tc>
          <w:tcPr>
            <w:tcW w:w="459" w:type="pct"/>
          </w:tcPr>
          <w:p w14:paraId="59127551" w14:textId="77777777" w:rsidR="005976AB" w:rsidRPr="005635E7" w:rsidRDefault="005976AB" w:rsidP="009E2F41">
            <w:pPr>
              <w:rPr>
                <w:rFonts w:asciiTheme="majorBidi" w:hAnsiTheme="majorBidi" w:cstheme="majorBidi"/>
              </w:rPr>
            </w:pPr>
          </w:p>
        </w:tc>
        <w:tc>
          <w:tcPr>
            <w:tcW w:w="459" w:type="pct"/>
          </w:tcPr>
          <w:p w14:paraId="342B7FC4" w14:textId="77777777" w:rsidR="005976AB" w:rsidRPr="005635E7" w:rsidRDefault="005976AB" w:rsidP="009E2F41">
            <w:pPr>
              <w:rPr>
                <w:rFonts w:asciiTheme="majorBidi" w:hAnsiTheme="majorBidi" w:cstheme="majorBidi"/>
              </w:rPr>
            </w:pPr>
          </w:p>
        </w:tc>
        <w:tc>
          <w:tcPr>
            <w:tcW w:w="459" w:type="pct"/>
          </w:tcPr>
          <w:p w14:paraId="03D145CB" w14:textId="77777777" w:rsidR="005976AB" w:rsidRPr="005635E7" w:rsidRDefault="005976AB" w:rsidP="009E2F41">
            <w:pPr>
              <w:rPr>
                <w:rFonts w:asciiTheme="majorBidi" w:hAnsiTheme="majorBidi" w:cstheme="majorBidi"/>
              </w:rPr>
            </w:pPr>
          </w:p>
        </w:tc>
        <w:tc>
          <w:tcPr>
            <w:tcW w:w="459" w:type="pct"/>
          </w:tcPr>
          <w:p w14:paraId="0E6F2A15" w14:textId="77777777" w:rsidR="005976AB" w:rsidRPr="005635E7" w:rsidRDefault="005976AB" w:rsidP="009E2F41">
            <w:pPr>
              <w:rPr>
                <w:rFonts w:asciiTheme="majorBidi" w:hAnsiTheme="majorBidi" w:cstheme="majorBidi"/>
              </w:rPr>
            </w:pPr>
          </w:p>
        </w:tc>
        <w:tc>
          <w:tcPr>
            <w:tcW w:w="459" w:type="pct"/>
          </w:tcPr>
          <w:p w14:paraId="59AE16FB" w14:textId="77777777" w:rsidR="005976AB" w:rsidRPr="005635E7" w:rsidRDefault="005976AB" w:rsidP="009E2F41">
            <w:pPr>
              <w:rPr>
                <w:rFonts w:asciiTheme="majorBidi" w:hAnsiTheme="majorBidi" w:cstheme="majorBidi"/>
              </w:rPr>
            </w:pPr>
          </w:p>
        </w:tc>
        <w:tc>
          <w:tcPr>
            <w:tcW w:w="457" w:type="pct"/>
          </w:tcPr>
          <w:p w14:paraId="06B49399" w14:textId="77777777" w:rsidR="005976AB" w:rsidRPr="005635E7" w:rsidRDefault="005976AB" w:rsidP="009E2F41">
            <w:pPr>
              <w:rPr>
                <w:rFonts w:asciiTheme="majorBidi" w:hAnsiTheme="majorBidi" w:cstheme="majorBidi"/>
              </w:rPr>
            </w:pPr>
          </w:p>
        </w:tc>
      </w:tr>
    </w:tbl>
    <w:p w14:paraId="019C9FFB" w14:textId="77777777" w:rsidR="005976AB" w:rsidRPr="005635E7" w:rsidRDefault="005976AB" w:rsidP="005976AB">
      <w:pPr>
        <w:rPr>
          <w:rFonts w:asciiTheme="majorBidi" w:hAnsiTheme="majorBidi" w:cstheme="majorBidi"/>
        </w:rPr>
        <w:sectPr w:rsidR="005976AB" w:rsidRPr="005635E7" w:rsidSect="00C76B21">
          <w:footerReference w:type="default" r:id="rId45"/>
          <w:pgSz w:w="11906" w:h="16838" w:code="9"/>
          <w:pgMar w:top="1440" w:right="1440" w:bottom="1440" w:left="1440" w:header="708" w:footer="708" w:gutter="0"/>
          <w:cols w:space="708"/>
          <w:docGrid w:linePitch="360"/>
        </w:sectPr>
      </w:pPr>
    </w:p>
    <w:p w14:paraId="70B20772" w14:textId="77777777" w:rsidR="005976AB" w:rsidRPr="005635E7" w:rsidRDefault="005976AB" w:rsidP="005976AB">
      <w:pPr>
        <w:pStyle w:val="Heading2"/>
        <w:rPr>
          <w:rFonts w:asciiTheme="majorBidi" w:hAnsiTheme="majorBidi"/>
          <w:b/>
          <w:bCs/>
          <w:color w:val="auto"/>
        </w:rPr>
      </w:pPr>
      <w:bookmarkStart w:id="149" w:name="_Toc115310427"/>
      <w:r w:rsidRPr="005635E7">
        <w:rPr>
          <w:rFonts w:asciiTheme="majorBidi" w:hAnsiTheme="majorBidi"/>
          <w:b/>
          <w:bCs/>
          <w:color w:val="auto"/>
        </w:rPr>
        <w:t>Appendix C: Questionnaire (Arabic Version)</w:t>
      </w:r>
      <w:bookmarkEnd w:id="149"/>
    </w:p>
    <w:tbl>
      <w:tblPr>
        <w:tblStyle w:val="TableGrid1"/>
        <w:bidiVisual/>
        <w:tblW w:w="5000" w:type="pct"/>
        <w:tblLook w:val="04A0" w:firstRow="1" w:lastRow="0" w:firstColumn="1" w:lastColumn="0" w:noHBand="0" w:noVBand="1"/>
      </w:tblPr>
      <w:tblGrid>
        <w:gridCol w:w="9016"/>
      </w:tblGrid>
      <w:tr w:rsidR="005976AB" w:rsidRPr="005635E7" w14:paraId="0B6B6101" w14:textId="77777777" w:rsidTr="009E2F41">
        <w:trPr>
          <w:trHeight w:val="1278"/>
        </w:trPr>
        <w:tc>
          <w:tcPr>
            <w:tcW w:w="5000" w:type="pct"/>
          </w:tcPr>
          <w:p w14:paraId="78D48125" w14:textId="77777777" w:rsidR="005976AB" w:rsidRPr="005635E7" w:rsidRDefault="005976AB" w:rsidP="009E2F41">
            <w:pPr>
              <w:pStyle w:val="P68B1DB1-Heading11"/>
              <w:spacing w:before="0"/>
              <w:jc w:val="center"/>
              <w:rPr>
                <w:rFonts w:asciiTheme="majorBidi" w:hAnsiTheme="majorBidi" w:cstheme="majorBidi"/>
                <w:color w:val="auto"/>
                <w:sz w:val="22"/>
                <w:szCs w:val="22"/>
              </w:rPr>
            </w:pPr>
            <w:bookmarkStart w:id="150" w:name="_Toc109964804"/>
            <w:bookmarkStart w:id="151" w:name="_Toc115310428"/>
            <w:r w:rsidRPr="005635E7">
              <w:rPr>
                <w:rFonts w:asciiTheme="majorBidi" w:hAnsiTheme="majorBidi" w:cstheme="majorBidi"/>
                <w:color w:val="auto"/>
                <w:sz w:val="22"/>
                <w:szCs w:val="22"/>
              </w:rPr>
              <w:t>ممارسات إدارة الموارد البشرية وقدرات التعلم التنظيمية والابتكار المفتوح وأداء الشركة في الشركات الصغيرة والمتوسطة في دولة الإمارات العربية المتحدة</w:t>
            </w:r>
            <w:bookmarkEnd w:id="150"/>
            <w:bookmarkEnd w:id="151"/>
          </w:p>
        </w:tc>
      </w:tr>
      <w:tr w:rsidR="005976AB" w:rsidRPr="005635E7" w14:paraId="73ACEA33" w14:textId="77777777" w:rsidTr="009E2F41">
        <w:tc>
          <w:tcPr>
            <w:tcW w:w="5000" w:type="pct"/>
          </w:tcPr>
          <w:p w14:paraId="317520E1" w14:textId="77777777" w:rsidR="005976AB" w:rsidRPr="005635E7" w:rsidRDefault="005976AB" w:rsidP="009E2F41">
            <w:pPr>
              <w:pStyle w:val="P68B1DB1-Normal2"/>
              <w:rPr>
                <w:rFonts w:asciiTheme="majorBidi" w:hAnsiTheme="majorBidi" w:cstheme="majorBidi"/>
                <w:color w:val="auto"/>
                <w:szCs w:val="22"/>
              </w:rPr>
            </w:pPr>
            <w:r w:rsidRPr="005635E7">
              <w:rPr>
                <w:rFonts w:asciiTheme="majorBidi" w:hAnsiTheme="majorBidi" w:cstheme="majorBidi"/>
                <w:color w:val="auto"/>
                <w:szCs w:val="22"/>
              </w:rPr>
              <w:t>سيدي الفاضل/ سيدتي الفاضلة</w:t>
            </w:r>
          </w:p>
          <w:p w14:paraId="757B3672" w14:textId="77777777" w:rsidR="005976AB" w:rsidRPr="005635E7" w:rsidRDefault="005976AB" w:rsidP="009E2F41">
            <w:pPr>
              <w:pStyle w:val="P68B1DB1-Normal3"/>
              <w:rPr>
                <w:rFonts w:asciiTheme="majorBidi" w:hAnsiTheme="majorBidi" w:cstheme="majorBidi"/>
                <w:b/>
                <w:szCs w:val="22"/>
              </w:rPr>
            </w:pPr>
            <w:r w:rsidRPr="005635E7">
              <w:rPr>
                <w:rFonts w:asciiTheme="majorBidi" w:hAnsiTheme="majorBidi" w:cstheme="majorBidi"/>
                <w:szCs w:val="22"/>
              </w:rPr>
              <w:t>يهدف هذا الاستطلاع إلى دراسة العلاقات بين ممارسات إدارة الموارد البشرية وقدرات التعلم التنظيمية والابتكار المفتوح وأداء الشركات في سياق المؤسسات الصغيرة والمتوسطة (SME) في الإمارات العربية المتحدة. وستُستخدم المساهمة المتوقعة من هذا الاستطلاع لسد الفجوة في نتائج البحوث فيما يتعلق بكيفية الترابط بين إدارة الموارد البشرية وقدرات التعلم التنظيمية والابتكار المفتوح وأداء الشركات في سياق المؤسسات الصغيرة والمتوسطة العاملة في البلدان الناشئة، مثل الإمارات العربية المتحدة...</w:t>
            </w:r>
          </w:p>
          <w:p w14:paraId="12E4A409"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سيتم توزيع الاستبيان في شركات صغيرة ومتوسطة وقع الاختيار عليها عشوائيا في الإمارات العربية المتحدة، بما في ذلك شركتكم. إن مشاركتكم في هذه الدراسة تطوعية وستكون محل تقدير كبير. كل ما عليكم فعله هو الإجابة على الأسئلة ووضع علامة تحقق أو وضع دائرة حول المربع المعني الذي يصف رأيكم على أفضل وجه. لن يتطلب إكمال الاستطلاع أكثر من 5-10 دقائق من وقتكم. وسنحتفظ بردودكم في سرية تامة وستُستخدم للأغراض الأكاديمية فقط. سيكون تعاونكم محل تقدير كبير وسيشكّل مساهمة قيمة في نجاح هذا المشروع البحثي. شكرًا جزيلاً لك على الوقت الذي قضيته في إكمال الاستطلاع.</w:t>
            </w:r>
          </w:p>
          <w:p w14:paraId="6875A10B" w14:textId="77777777" w:rsidR="005976AB" w:rsidRPr="005635E7" w:rsidRDefault="005976AB" w:rsidP="009E2F41">
            <w:pPr>
              <w:pStyle w:val="P68B1DB1-Normal3"/>
              <w:autoSpaceDE w:val="0"/>
              <w:autoSpaceDN w:val="0"/>
              <w:adjustRightInd w:val="0"/>
              <w:rPr>
                <w:rFonts w:asciiTheme="majorBidi" w:hAnsiTheme="majorBidi" w:cstheme="majorBidi"/>
                <w:szCs w:val="22"/>
              </w:rPr>
            </w:pPr>
            <w:r w:rsidRPr="005635E7">
              <w:rPr>
                <w:rFonts w:asciiTheme="majorBidi" w:hAnsiTheme="majorBidi" w:cstheme="majorBidi"/>
                <w:szCs w:val="22"/>
              </w:rPr>
              <w:t>إذا كان لديك أي استفسار بخصوص هذا البحث، يُرجى عدم التردد في الاتصال بي.</w:t>
            </w:r>
          </w:p>
          <w:p w14:paraId="03B0108C" w14:textId="77777777" w:rsidR="005976AB" w:rsidRPr="005635E7" w:rsidRDefault="005976AB" w:rsidP="009E2F41">
            <w:pPr>
              <w:pStyle w:val="P68B1DB1-Normal4"/>
              <w:rPr>
                <w:rFonts w:asciiTheme="majorBidi" w:hAnsiTheme="majorBidi" w:cstheme="majorBidi"/>
                <w:i w:val="0"/>
                <w:szCs w:val="22"/>
              </w:rPr>
            </w:pPr>
            <w:r w:rsidRPr="005635E7">
              <w:rPr>
                <w:rFonts w:asciiTheme="majorBidi" w:hAnsiTheme="majorBidi" w:cstheme="majorBidi"/>
                <w:i w:val="0"/>
                <w:szCs w:val="22"/>
              </w:rPr>
              <w:t>الباحث/طالب دكتوراه في إدارة الأعمال (DBA):</w:t>
            </w:r>
          </w:p>
          <w:p w14:paraId="14776D68" w14:textId="77777777" w:rsidR="005976AB" w:rsidRPr="005635E7" w:rsidRDefault="005976AB" w:rsidP="009E2F41">
            <w:pPr>
              <w:pStyle w:val="P68B1DB1-Normal5"/>
              <w:rPr>
                <w:rFonts w:asciiTheme="majorBidi" w:hAnsiTheme="majorBidi" w:cstheme="majorBidi"/>
                <w:szCs w:val="22"/>
              </w:rPr>
            </w:pPr>
            <w:r w:rsidRPr="005635E7">
              <w:rPr>
                <w:rFonts w:asciiTheme="majorBidi" w:hAnsiTheme="majorBidi" w:cstheme="majorBidi"/>
                <w:szCs w:val="22"/>
              </w:rPr>
              <w:t>الاسم:</w:t>
            </w:r>
          </w:p>
          <w:p w14:paraId="44ACD824" w14:textId="77777777" w:rsidR="005976AB" w:rsidRPr="005635E7" w:rsidRDefault="005976AB" w:rsidP="009E2F41">
            <w:pPr>
              <w:pStyle w:val="P68B1DB1-Normal5"/>
              <w:rPr>
                <w:rFonts w:asciiTheme="majorBidi" w:hAnsiTheme="majorBidi" w:cstheme="majorBidi"/>
                <w:szCs w:val="22"/>
              </w:rPr>
            </w:pPr>
            <w:r w:rsidRPr="005635E7">
              <w:rPr>
                <w:rFonts w:asciiTheme="majorBidi" w:hAnsiTheme="majorBidi" w:cstheme="majorBidi"/>
                <w:szCs w:val="22"/>
              </w:rPr>
              <w:t>البريد الإلكتروني:</w:t>
            </w:r>
          </w:p>
          <w:p w14:paraId="35ECC11C" w14:textId="77777777" w:rsidR="005976AB" w:rsidRPr="005635E7" w:rsidRDefault="005976AB" w:rsidP="009E2F41">
            <w:pPr>
              <w:pStyle w:val="P68B1DB1-Normal4"/>
              <w:rPr>
                <w:rFonts w:asciiTheme="majorBidi" w:hAnsiTheme="majorBidi" w:cstheme="majorBidi"/>
                <w:i w:val="0"/>
                <w:szCs w:val="22"/>
              </w:rPr>
            </w:pPr>
            <w:r w:rsidRPr="005635E7">
              <w:rPr>
                <w:rFonts w:asciiTheme="majorBidi" w:hAnsiTheme="majorBidi" w:cstheme="majorBidi"/>
                <w:i w:val="0"/>
                <w:szCs w:val="22"/>
              </w:rPr>
              <w:t>المشرف على البحث:</w:t>
            </w:r>
          </w:p>
          <w:p w14:paraId="56B91574" w14:textId="77777777" w:rsidR="005976AB" w:rsidRPr="005635E7" w:rsidRDefault="005976AB" w:rsidP="009E2F41">
            <w:pPr>
              <w:pStyle w:val="P68B1DB1-Normal5"/>
              <w:rPr>
                <w:rFonts w:asciiTheme="majorBidi" w:hAnsiTheme="majorBidi" w:cstheme="majorBidi"/>
                <w:szCs w:val="22"/>
              </w:rPr>
            </w:pPr>
            <w:r w:rsidRPr="005635E7">
              <w:rPr>
                <w:rFonts w:asciiTheme="majorBidi" w:hAnsiTheme="majorBidi" w:cstheme="majorBidi"/>
                <w:szCs w:val="22"/>
              </w:rPr>
              <w:t>الاسم:</w:t>
            </w:r>
          </w:p>
          <w:p w14:paraId="1578EB85" w14:textId="77777777" w:rsidR="005976AB" w:rsidRPr="005635E7" w:rsidRDefault="005976AB" w:rsidP="009E2F41">
            <w:pPr>
              <w:pStyle w:val="P68B1DB1-Normal5"/>
              <w:rPr>
                <w:rFonts w:asciiTheme="majorBidi" w:hAnsiTheme="majorBidi" w:cstheme="majorBidi"/>
                <w:szCs w:val="22"/>
              </w:rPr>
            </w:pPr>
            <w:r w:rsidRPr="005635E7">
              <w:rPr>
                <w:rFonts w:asciiTheme="majorBidi" w:hAnsiTheme="majorBidi" w:cstheme="majorBidi"/>
                <w:szCs w:val="22"/>
              </w:rPr>
              <w:t>البريد الإلكتروني:</w:t>
            </w:r>
          </w:p>
          <w:p w14:paraId="5AF001C4" w14:textId="77777777" w:rsidR="005976AB" w:rsidRPr="005635E7" w:rsidRDefault="005976AB" w:rsidP="009E2F41">
            <w:pPr>
              <w:pStyle w:val="P68B1DB1-Normal3"/>
              <w:autoSpaceDE w:val="0"/>
              <w:autoSpaceDN w:val="0"/>
              <w:adjustRightInd w:val="0"/>
              <w:rPr>
                <w:rFonts w:asciiTheme="majorBidi" w:hAnsiTheme="majorBidi" w:cstheme="majorBidi"/>
                <w:szCs w:val="22"/>
              </w:rPr>
            </w:pPr>
            <w:r w:rsidRPr="005635E7">
              <w:rPr>
                <w:rFonts w:asciiTheme="majorBidi" w:hAnsiTheme="majorBidi" w:cstheme="majorBidi"/>
                <w:szCs w:val="22"/>
              </w:rPr>
              <w:t>كلية إدارة الأعمال</w:t>
            </w:r>
          </w:p>
          <w:p w14:paraId="44809BBD" w14:textId="77777777" w:rsidR="005976AB" w:rsidRPr="005635E7" w:rsidRDefault="005976AB" w:rsidP="009E2F41">
            <w:pPr>
              <w:pStyle w:val="P68B1DB1-Normal3"/>
              <w:autoSpaceDE w:val="0"/>
              <w:autoSpaceDN w:val="0"/>
              <w:adjustRightInd w:val="0"/>
              <w:rPr>
                <w:rFonts w:asciiTheme="majorBidi" w:hAnsiTheme="majorBidi" w:cstheme="majorBidi"/>
                <w:szCs w:val="22"/>
              </w:rPr>
            </w:pPr>
            <w:r w:rsidRPr="005635E7">
              <w:rPr>
                <w:rFonts w:asciiTheme="majorBidi" w:hAnsiTheme="majorBidi" w:cstheme="majorBidi"/>
                <w:szCs w:val="22"/>
              </w:rPr>
              <w:t>جامعة أبوظبي، أبوظبي</w:t>
            </w:r>
          </w:p>
          <w:p w14:paraId="14E36BD8"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الإمارات العربية المتحدة</w:t>
            </w:r>
          </w:p>
        </w:tc>
      </w:tr>
    </w:tbl>
    <w:p w14:paraId="4BA1913A" w14:textId="77777777" w:rsidR="005976AB" w:rsidRPr="005635E7" w:rsidRDefault="005976AB" w:rsidP="005976AB">
      <w:pPr>
        <w:rPr>
          <w:rFonts w:asciiTheme="majorBidi" w:hAnsiTheme="majorBidi" w:cstheme="majorBidi"/>
        </w:rPr>
      </w:pPr>
    </w:p>
    <w:p w14:paraId="104D2ABA" w14:textId="77777777" w:rsidR="005976AB" w:rsidRPr="005635E7" w:rsidRDefault="005976AB" w:rsidP="005976AB">
      <w:pPr>
        <w:pStyle w:val="P68B1DB1-Normal7"/>
        <w:rPr>
          <w:rFonts w:asciiTheme="majorBidi" w:hAnsiTheme="majorBidi" w:cstheme="majorBidi"/>
          <w:szCs w:val="22"/>
        </w:rPr>
      </w:pPr>
      <w:r w:rsidRPr="005635E7">
        <w:rPr>
          <w:rFonts w:asciiTheme="majorBidi" w:hAnsiTheme="majorBidi" w:cstheme="majorBidi"/>
          <w:noProof/>
          <w:szCs w:val="22"/>
        </w:rPr>
        <mc:AlternateContent>
          <mc:Choice Requires="wps">
            <w:drawing>
              <wp:anchor distT="0" distB="0" distL="114300" distR="114300" simplePos="0" relativeHeight="251687936" behindDoc="0" locked="0" layoutInCell="1" allowOverlap="1" wp14:anchorId="3A417396" wp14:editId="7BFC0513">
                <wp:simplePos x="0" y="0"/>
                <wp:positionH relativeFrom="margin">
                  <wp:align>center</wp:align>
                </wp:positionH>
                <wp:positionV relativeFrom="paragraph">
                  <wp:posOffset>9525</wp:posOffset>
                </wp:positionV>
                <wp:extent cx="6276975" cy="333375"/>
                <wp:effectExtent l="0" t="0" r="28575" b="28575"/>
                <wp:wrapNone/>
                <wp:docPr id="9" name="Rectangle: Rounded Corners 9"/>
                <wp:cNvGraphicFramePr/>
                <a:graphic xmlns:a="http://schemas.openxmlformats.org/drawingml/2006/main">
                  <a:graphicData uri="http://schemas.microsoft.com/office/word/2010/wordprocessingShape">
                    <wps:wsp>
                      <wps:cNvSpPr/>
                      <wps:spPr>
                        <a:xfrm>
                          <a:off x="0" y="0"/>
                          <a:ext cx="6276975" cy="333375"/>
                        </a:xfrm>
                        <a:prstGeom prst="roundRect">
                          <a:avLst/>
                        </a:prstGeom>
                        <a:solidFill>
                          <a:sysClr val="window" lastClr="FFFFFF">
                            <a:lumMod val="95000"/>
                          </a:sysClr>
                        </a:solidFill>
                        <a:ln w="6350">
                          <a:solidFill>
                            <a:srgbClr val="4F81BD">
                              <a:shade val="50000"/>
                            </a:srgbClr>
                          </a:solidFill>
                          <a:prstDash val="solid"/>
                        </a:ln>
                        <a:effectLst/>
                      </wps:spPr>
                      <wps:txbx>
                        <w:txbxContent>
                          <w:p w14:paraId="72A4F8ED" w14:textId="77777777" w:rsidR="005976AB" w:rsidRDefault="005976AB" w:rsidP="005976AB">
                            <w:pPr>
                              <w:pStyle w:val="P68B1DB1-Normal6"/>
                              <w:spacing w:after="160" w:line="256" w:lineRule="auto"/>
                              <w:jc w:val="center"/>
                              <w:rPr>
                                <w:sz w:val="32"/>
                              </w:rPr>
                            </w:pPr>
                            <w:r>
                              <w:t>معلومات عامة عن المؤسسة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3A417396" id="Rectangle: Rounded Corners 9" o:spid="_x0000_s1071" style="position:absolute;left:0;text-align:left;margin-left:0;margin-top:.75pt;width:494.25pt;height:26.25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" fillcolor="#f2f2f2" strokecolor="#385d8a" strokeweight=".5pt">
                <v:textbox>
                  <w:txbxContent>
                    <w:p w14:paraId="72A4F8ED" w14:textId="77777777" w:rsidR="005976AB" w:rsidRDefault="005976AB" w:rsidP="005976AB">
                      <w:pPr>
                        <w:pStyle w:val="P68B1DB1-Normal6"/>
                        <w:spacing w:after="160" w:line="256" w:lineRule="auto"/>
                        <w:jc w:val="center"/>
                        <w:rPr>
                          <w:sz w:val="32"/>
                        </w:rPr>
                      </w:pPr>
                      <w:r>
                        <w:t>معلومات عامة عن المؤسسة</w:t>
                      </w:r>
                    </w:p>
                  </w:txbxContent>
                </v:textbox>
                <w10:wrap anchorx="margin"/>
              </v:roundrect>
            </w:pict>
          </mc:Fallback>
        </mc:AlternateContent>
      </w:r>
    </w:p>
    <w:p w14:paraId="7B6CCE13" w14:textId="77777777" w:rsidR="005976AB" w:rsidRPr="005635E7" w:rsidRDefault="005976AB" w:rsidP="005976AB">
      <w:pPr>
        <w:rPr>
          <w:rFonts w:asciiTheme="majorBidi" w:hAnsiTheme="majorBidi" w:cstheme="majorBidi"/>
        </w:rPr>
      </w:pPr>
    </w:p>
    <w:p w14:paraId="182AAB10" w14:textId="77777777" w:rsidR="005976AB" w:rsidRPr="005635E7" w:rsidRDefault="005976AB" w:rsidP="005976AB">
      <w:pPr>
        <w:rPr>
          <w:rFonts w:asciiTheme="majorBidi" w:hAnsiTheme="majorBidi" w:cstheme="majorBidi"/>
        </w:rPr>
      </w:pPr>
    </w:p>
    <w:p w14:paraId="37F1378A" w14:textId="77777777" w:rsidR="005976AB" w:rsidRPr="005635E7" w:rsidRDefault="005976AB" w:rsidP="005976AB">
      <w:pPr>
        <w:pStyle w:val="P68B1DB1-ListParagraph8"/>
        <w:numPr>
          <w:ilvl w:val="0"/>
          <w:numId w:val="19"/>
        </w:numPr>
        <w:contextualSpacing w:val="0"/>
        <w:rPr>
          <w:rFonts w:asciiTheme="majorBidi" w:hAnsiTheme="majorBidi" w:cstheme="majorBidi"/>
          <w:szCs w:val="22"/>
        </w:rPr>
      </w:pPr>
      <w:r w:rsidRPr="005635E7">
        <w:rPr>
          <w:rFonts w:asciiTheme="majorBidi" w:hAnsiTheme="majorBidi" w:cstheme="majorBidi"/>
          <w:szCs w:val="22"/>
        </w:rPr>
        <w:t>متى تأسست هذه المؤسسة (العام): …………………………….</w:t>
      </w:r>
    </w:p>
    <w:p w14:paraId="3BEC81D9" w14:textId="77777777" w:rsidR="005976AB" w:rsidRPr="005635E7" w:rsidRDefault="005976AB" w:rsidP="005976AB">
      <w:pPr>
        <w:pStyle w:val="P68B1DB1-ListParagraph8"/>
        <w:numPr>
          <w:ilvl w:val="0"/>
          <w:numId w:val="19"/>
        </w:numPr>
        <w:ind w:left="425"/>
        <w:contextualSpacing w:val="0"/>
        <w:rPr>
          <w:rFonts w:asciiTheme="majorBidi" w:hAnsiTheme="majorBidi" w:cstheme="majorBidi"/>
          <w:szCs w:val="22"/>
        </w:rPr>
      </w:pPr>
      <w:r w:rsidRPr="005635E7">
        <w:rPr>
          <w:rFonts w:asciiTheme="majorBidi" w:hAnsiTheme="majorBidi" w:cstheme="majorBidi"/>
          <w:szCs w:val="22"/>
        </w:rPr>
        <w:t>عدد الموظفين الإجمالي (حتى تاريخه): ……………………………….</w:t>
      </w:r>
    </w:p>
    <w:p w14:paraId="7B3E3E11" w14:textId="77777777" w:rsidR="005976AB" w:rsidRPr="005635E7" w:rsidRDefault="005976AB" w:rsidP="005976AB">
      <w:pPr>
        <w:pStyle w:val="P68B1DB1-ListParagraph8"/>
        <w:numPr>
          <w:ilvl w:val="0"/>
          <w:numId w:val="19"/>
        </w:numPr>
        <w:ind w:left="425"/>
        <w:contextualSpacing w:val="0"/>
        <w:rPr>
          <w:rFonts w:asciiTheme="majorBidi" w:hAnsiTheme="majorBidi" w:cstheme="majorBidi"/>
          <w:szCs w:val="22"/>
        </w:rPr>
      </w:pPr>
      <w:r w:rsidRPr="005635E7">
        <w:rPr>
          <w:rFonts w:asciiTheme="majorBidi" w:hAnsiTheme="majorBidi" w:cstheme="majorBidi"/>
          <w:szCs w:val="22"/>
        </w:rPr>
        <w:t>ما المنتج/الخدمة التي تبيعها هذه المؤسسة في السوق؟ …………………………………………</w:t>
      </w:r>
    </w:p>
    <w:p w14:paraId="1DE00305" w14:textId="77777777" w:rsidR="005976AB" w:rsidRPr="005635E7" w:rsidRDefault="005976AB" w:rsidP="005976AB">
      <w:pPr>
        <w:pStyle w:val="P68B1DB1-ListParagraph8"/>
        <w:numPr>
          <w:ilvl w:val="0"/>
          <w:numId w:val="19"/>
        </w:numPr>
        <w:ind w:left="425"/>
        <w:contextualSpacing w:val="0"/>
        <w:rPr>
          <w:rFonts w:asciiTheme="majorBidi" w:hAnsiTheme="majorBidi" w:cstheme="majorBidi"/>
          <w:szCs w:val="22"/>
        </w:rPr>
      </w:pPr>
      <w:r w:rsidRPr="005635E7">
        <w:rPr>
          <w:rFonts w:asciiTheme="majorBidi" w:hAnsiTheme="majorBidi" w:cstheme="majorBidi"/>
          <w:szCs w:val="22"/>
        </w:rPr>
        <w:t>ما هي الصناعة التي تنتمي إليها هذه المؤسسة؟ ……………………………………………………</w:t>
      </w:r>
    </w:p>
    <w:p w14:paraId="35E09F93" w14:textId="77777777" w:rsidR="005976AB" w:rsidRPr="005635E7" w:rsidRDefault="005976AB" w:rsidP="005976AB">
      <w:pPr>
        <w:pStyle w:val="P68B1DB1-ListParagraph8"/>
        <w:numPr>
          <w:ilvl w:val="0"/>
          <w:numId w:val="19"/>
        </w:numPr>
        <w:ind w:left="425"/>
        <w:contextualSpacing w:val="0"/>
        <w:rPr>
          <w:rFonts w:asciiTheme="majorBidi" w:hAnsiTheme="majorBidi" w:cstheme="majorBidi"/>
          <w:szCs w:val="22"/>
        </w:rPr>
      </w:pPr>
      <w:r w:rsidRPr="005635E7">
        <w:rPr>
          <w:rFonts w:asciiTheme="majorBidi" w:hAnsiTheme="majorBidi" w:cstheme="majorBidi"/>
          <w:szCs w:val="22"/>
        </w:rPr>
        <w:t>في أية إمارات تقع هذه المؤسسة؟</w:t>
      </w:r>
    </w:p>
    <w:p w14:paraId="05568C31" w14:textId="77777777" w:rsidR="005976AB" w:rsidRPr="005635E7" w:rsidRDefault="005976AB" w:rsidP="005976AB">
      <w:pPr>
        <w:pStyle w:val="P68B1DB1-ListParagraph8"/>
        <w:ind w:left="425"/>
        <w:contextualSpacing w:val="0"/>
        <w:rPr>
          <w:rFonts w:asciiTheme="majorBidi" w:hAnsiTheme="majorBidi" w:cstheme="majorBidi"/>
          <w:szCs w:val="22"/>
        </w:rPr>
      </w:pPr>
      <w:r w:rsidRPr="005635E7">
        <w:rPr>
          <w:rFonts w:ascii="Symbol" w:hAnsi="Symbol" w:cstheme="majorBidi"/>
          <w:szCs w:val="22"/>
        </w:rPr>
        <w:sym w:font="Symbol" w:char="F0F0"/>
      </w:r>
      <w:r w:rsidRPr="005635E7">
        <w:rPr>
          <w:rFonts w:asciiTheme="majorBidi" w:hAnsiTheme="majorBidi" w:cstheme="majorBidi"/>
          <w:szCs w:val="22"/>
        </w:rPr>
        <w:t xml:space="preserve"> أبو ظبي</w:t>
      </w:r>
      <w:r w:rsidRPr="005635E7">
        <w:rPr>
          <w:rFonts w:asciiTheme="majorBidi" w:hAnsiTheme="majorBidi" w:cstheme="majorBidi"/>
          <w:szCs w:val="22"/>
        </w:rPr>
        <w:tab/>
      </w:r>
      <w:r w:rsidRPr="005635E7">
        <w:rPr>
          <w:rFonts w:asciiTheme="majorBidi" w:hAnsiTheme="majorBidi" w:cstheme="majorBidi"/>
          <w:szCs w:val="22"/>
        </w:rPr>
        <w:tab/>
      </w:r>
      <w:r w:rsidRPr="005635E7">
        <w:rPr>
          <w:rFonts w:ascii="Symbol" w:hAnsi="Symbol" w:cstheme="majorBidi"/>
          <w:szCs w:val="22"/>
        </w:rPr>
        <w:sym w:font="Symbol" w:char="F0F0"/>
      </w:r>
      <w:r w:rsidRPr="005635E7">
        <w:rPr>
          <w:rFonts w:asciiTheme="majorBidi" w:hAnsiTheme="majorBidi" w:cstheme="majorBidi"/>
          <w:szCs w:val="22"/>
        </w:rPr>
        <w:t xml:space="preserve"> دبي</w:t>
      </w:r>
      <w:r w:rsidRPr="005635E7">
        <w:rPr>
          <w:rFonts w:asciiTheme="majorBidi" w:hAnsiTheme="majorBidi" w:cstheme="majorBidi"/>
          <w:szCs w:val="22"/>
        </w:rPr>
        <w:tab/>
      </w:r>
      <w:r w:rsidRPr="005635E7">
        <w:rPr>
          <w:rFonts w:asciiTheme="majorBidi" w:hAnsiTheme="majorBidi" w:cstheme="majorBidi"/>
          <w:szCs w:val="22"/>
        </w:rPr>
        <w:tab/>
      </w:r>
      <w:r w:rsidRPr="005635E7">
        <w:rPr>
          <w:rFonts w:asciiTheme="majorBidi" w:hAnsiTheme="majorBidi" w:cstheme="majorBidi"/>
          <w:szCs w:val="22"/>
        </w:rPr>
        <w:tab/>
      </w:r>
      <w:r w:rsidRPr="005635E7">
        <w:rPr>
          <w:rFonts w:ascii="Symbol" w:hAnsi="Symbol" w:cstheme="majorBidi"/>
          <w:szCs w:val="22"/>
        </w:rPr>
        <w:sym w:font="Symbol" w:char="F0F0"/>
      </w:r>
      <w:r w:rsidRPr="005635E7">
        <w:rPr>
          <w:rFonts w:asciiTheme="majorBidi" w:hAnsiTheme="majorBidi" w:cstheme="majorBidi"/>
          <w:szCs w:val="22"/>
        </w:rPr>
        <w:t xml:space="preserve"> الشارقة</w:t>
      </w:r>
      <w:r w:rsidRPr="005635E7">
        <w:rPr>
          <w:rFonts w:asciiTheme="majorBidi" w:hAnsiTheme="majorBidi" w:cstheme="majorBidi"/>
          <w:szCs w:val="22"/>
        </w:rPr>
        <w:tab/>
      </w:r>
      <w:r w:rsidRPr="005635E7">
        <w:rPr>
          <w:rFonts w:asciiTheme="majorBidi" w:hAnsiTheme="majorBidi" w:cstheme="majorBidi"/>
          <w:szCs w:val="22"/>
        </w:rPr>
        <w:tab/>
      </w:r>
      <w:r w:rsidRPr="005635E7">
        <w:rPr>
          <w:rFonts w:ascii="Symbol" w:hAnsi="Symbol" w:cstheme="majorBidi"/>
          <w:szCs w:val="22"/>
        </w:rPr>
        <w:sym w:font="Symbol" w:char="F0F0"/>
      </w:r>
      <w:r w:rsidRPr="005635E7">
        <w:rPr>
          <w:rFonts w:asciiTheme="majorBidi" w:hAnsiTheme="majorBidi" w:cstheme="majorBidi"/>
          <w:szCs w:val="22"/>
        </w:rPr>
        <w:t xml:space="preserve"> الفجيرة</w:t>
      </w:r>
      <w:r w:rsidRPr="005635E7">
        <w:rPr>
          <w:rFonts w:asciiTheme="majorBidi" w:hAnsiTheme="majorBidi" w:cstheme="majorBidi"/>
          <w:szCs w:val="22"/>
        </w:rPr>
        <w:tab/>
      </w:r>
    </w:p>
    <w:p w14:paraId="644CF9B5" w14:textId="77777777" w:rsidR="005976AB" w:rsidRPr="005635E7" w:rsidRDefault="005976AB" w:rsidP="005976AB">
      <w:pPr>
        <w:pStyle w:val="P68B1DB1-ListParagraph8"/>
        <w:ind w:left="425"/>
        <w:contextualSpacing w:val="0"/>
        <w:rPr>
          <w:rFonts w:asciiTheme="majorBidi" w:hAnsiTheme="majorBidi" w:cstheme="majorBidi"/>
          <w:szCs w:val="22"/>
        </w:rPr>
      </w:pPr>
      <w:r w:rsidRPr="005635E7">
        <w:rPr>
          <w:rFonts w:ascii="Symbol" w:hAnsi="Symbol" w:cstheme="majorBidi"/>
          <w:szCs w:val="22"/>
        </w:rPr>
        <w:sym w:font="Symbol" w:char="F0F0"/>
      </w:r>
      <w:r w:rsidRPr="005635E7">
        <w:rPr>
          <w:rFonts w:asciiTheme="majorBidi" w:hAnsiTheme="majorBidi" w:cstheme="majorBidi"/>
          <w:szCs w:val="22"/>
        </w:rPr>
        <w:t xml:space="preserve"> عجمان</w:t>
      </w:r>
      <w:r w:rsidRPr="005635E7">
        <w:rPr>
          <w:rFonts w:asciiTheme="majorBidi" w:hAnsiTheme="majorBidi" w:cstheme="majorBidi"/>
          <w:szCs w:val="22"/>
        </w:rPr>
        <w:tab/>
      </w:r>
      <w:r w:rsidRPr="005635E7">
        <w:rPr>
          <w:rFonts w:asciiTheme="majorBidi" w:hAnsiTheme="majorBidi" w:cstheme="majorBidi"/>
          <w:szCs w:val="22"/>
        </w:rPr>
        <w:tab/>
      </w:r>
      <w:r w:rsidRPr="005635E7">
        <w:rPr>
          <w:rFonts w:asciiTheme="majorBidi" w:hAnsiTheme="majorBidi" w:cstheme="majorBidi"/>
          <w:szCs w:val="22"/>
        </w:rPr>
        <w:tab/>
      </w:r>
      <w:r w:rsidRPr="005635E7">
        <w:rPr>
          <w:rFonts w:ascii="Symbol" w:hAnsi="Symbol" w:cstheme="majorBidi"/>
          <w:szCs w:val="22"/>
        </w:rPr>
        <w:sym w:font="Symbol" w:char="F0F0"/>
      </w:r>
      <w:r w:rsidRPr="005635E7">
        <w:rPr>
          <w:rFonts w:asciiTheme="majorBidi" w:hAnsiTheme="majorBidi" w:cstheme="majorBidi"/>
          <w:szCs w:val="22"/>
        </w:rPr>
        <w:t xml:space="preserve"> رأس الخيمة</w:t>
      </w:r>
      <w:r w:rsidRPr="005635E7">
        <w:rPr>
          <w:rFonts w:asciiTheme="majorBidi" w:hAnsiTheme="majorBidi" w:cstheme="majorBidi"/>
          <w:szCs w:val="22"/>
        </w:rPr>
        <w:tab/>
      </w:r>
      <w:r w:rsidRPr="005635E7">
        <w:rPr>
          <w:rFonts w:ascii="Symbol" w:hAnsi="Symbol" w:cstheme="majorBidi"/>
          <w:szCs w:val="22"/>
        </w:rPr>
        <w:sym w:font="Symbol" w:char="F0F0"/>
      </w:r>
      <w:r w:rsidRPr="005635E7">
        <w:rPr>
          <w:rFonts w:asciiTheme="majorBidi" w:hAnsiTheme="majorBidi" w:cstheme="majorBidi"/>
          <w:szCs w:val="22"/>
        </w:rPr>
        <w:t xml:space="preserve"> أم القيوين</w:t>
      </w:r>
    </w:p>
    <w:p w14:paraId="781480A6" w14:textId="77777777" w:rsidR="005976AB" w:rsidRPr="005635E7" w:rsidRDefault="005976AB" w:rsidP="005976AB">
      <w:pPr>
        <w:pStyle w:val="ListParagraph"/>
        <w:ind w:left="425"/>
        <w:contextualSpacing w:val="0"/>
        <w:rPr>
          <w:rFonts w:asciiTheme="majorBidi" w:hAnsiTheme="majorBidi" w:cstheme="majorBidi"/>
        </w:rPr>
      </w:pPr>
    </w:p>
    <w:p w14:paraId="45984FB9" w14:textId="77777777" w:rsidR="005976AB" w:rsidRPr="005635E7" w:rsidRDefault="005976AB" w:rsidP="005976AB">
      <w:pPr>
        <w:rPr>
          <w:rFonts w:asciiTheme="majorBidi" w:hAnsiTheme="majorBidi" w:cstheme="majorBidi"/>
        </w:rPr>
      </w:pPr>
    </w:p>
    <w:p w14:paraId="7F3749F0" w14:textId="77777777" w:rsidR="005976AB" w:rsidRPr="005635E7" w:rsidRDefault="005976AB" w:rsidP="005976AB">
      <w:pPr>
        <w:pStyle w:val="P68B1DB1-Normal9"/>
        <w:rPr>
          <w:rFonts w:asciiTheme="majorBidi" w:hAnsiTheme="majorBidi" w:cstheme="majorBidi"/>
          <w:szCs w:val="22"/>
        </w:rPr>
      </w:pPr>
      <w:r w:rsidRPr="005635E7">
        <w:rPr>
          <w:rFonts w:asciiTheme="majorBidi" w:hAnsiTheme="majorBidi" w:cstheme="majorBidi"/>
          <w:noProof/>
          <w:szCs w:val="22"/>
        </w:rPr>
        <mc:AlternateContent>
          <mc:Choice Requires="wps">
            <w:drawing>
              <wp:anchor distT="0" distB="0" distL="114300" distR="114300" simplePos="0" relativeHeight="251684864" behindDoc="0" locked="0" layoutInCell="1" allowOverlap="1" wp14:anchorId="0E5BAF6E" wp14:editId="6E65B672">
                <wp:simplePos x="0" y="0"/>
                <wp:positionH relativeFrom="margin">
                  <wp:align>center</wp:align>
                </wp:positionH>
                <wp:positionV relativeFrom="paragraph">
                  <wp:posOffset>-66675</wp:posOffset>
                </wp:positionV>
                <wp:extent cx="6276975" cy="333375"/>
                <wp:effectExtent l="0" t="0" r="28575" b="28575"/>
                <wp:wrapNone/>
                <wp:docPr id="11" name="Rounded Rectangle 1"/>
                <wp:cNvGraphicFramePr/>
                <a:graphic xmlns:a="http://schemas.openxmlformats.org/drawingml/2006/main">
                  <a:graphicData uri="http://schemas.microsoft.com/office/word/2010/wordprocessingShape">
                    <wps:wsp>
                      <wps:cNvSpPr/>
                      <wps:spPr>
                        <a:xfrm>
                          <a:off x="0" y="0"/>
                          <a:ext cx="6276975" cy="333375"/>
                        </a:xfrm>
                        <a:prstGeom prst="roundRect">
                          <a:avLst/>
                        </a:prstGeom>
                        <a:solidFill>
                          <a:sysClr val="window" lastClr="FFFFFF">
                            <a:lumMod val="95000"/>
                          </a:sysClr>
                        </a:solidFill>
                        <a:ln w="6350">
                          <a:solidFill>
                            <a:srgbClr val="4F81BD">
                              <a:shade val="50000"/>
                            </a:srgbClr>
                          </a:solidFill>
                          <a:prstDash val="solid"/>
                        </a:ln>
                        <a:effectLst/>
                      </wps:spPr>
                      <wps:txbx>
                        <w:txbxContent>
                          <w:p w14:paraId="025CF0D9" w14:textId="77777777" w:rsidR="005976AB" w:rsidRPr="003B10D7" w:rsidRDefault="005976AB" w:rsidP="005976AB">
                            <w:pPr>
                              <w:pStyle w:val="P68B1DB1-Normal6"/>
                              <w:spacing w:after="160" w:line="259" w:lineRule="auto"/>
                              <w:jc w:val="center"/>
                              <w:rPr>
                                <w:rFonts w:asciiTheme="majorBidi" w:hAnsiTheme="majorBidi" w:cstheme="majorBidi"/>
                                <w:sz w:val="24"/>
                                <w:szCs w:val="24"/>
                              </w:rPr>
                            </w:pPr>
                            <w:r w:rsidRPr="003B10D7">
                              <w:rPr>
                                <w:rFonts w:asciiTheme="majorBidi" w:hAnsiTheme="majorBidi" w:cstheme="majorBidi"/>
                                <w:sz w:val="24"/>
                                <w:szCs w:val="24"/>
                              </w:rPr>
                              <w:t xml:space="preserve">القسم </w:t>
                            </w:r>
                            <w:r w:rsidRPr="003B10D7">
                              <w:rPr>
                                <w:rFonts w:asciiTheme="majorBidi" w:hAnsiTheme="majorBidi" w:cstheme="majorBidi"/>
                                <w:sz w:val="24"/>
                                <w:szCs w:val="24"/>
                                <w:rtl w:val="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0E5BAF6E" id="_x0000_s1072" style="position:absolute;left:0;text-align:left;margin-left:0;margin-top:-5.25pt;width:494.25pt;height:26.25pt;z-index:251684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" fillcolor="#f2f2f2" strokecolor="#385d8a" strokeweight=".5pt">
                <v:textbox>
                  <w:txbxContent>
                    <w:p w14:paraId="025CF0D9" w14:textId="77777777" w:rsidR="005976AB" w:rsidRPr="003B10D7" w:rsidRDefault="005976AB" w:rsidP="005976AB">
                      <w:pPr>
                        <w:pStyle w:val="P68B1DB1-Normal6"/>
                        <w:spacing w:after="160" w:line="259" w:lineRule="auto"/>
                        <w:jc w:val="center"/>
                        <w:rPr>
                          <w:rFonts w:asciiTheme="majorBidi" w:hAnsiTheme="majorBidi" w:cstheme="majorBidi"/>
                          <w:sz w:val="24"/>
                          <w:szCs w:val="24"/>
                        </w:rPr>
                      </w:pPr>
                      <w:r w:rsidRPr="003B10D7">
                        <w:rPr>
                          <w:rFonts w:asciiTheme="majorBidi" w:hAnsiTheme="majorBidi" w:cstheme="majorBidi"/>
                          <w:sz w:val="24"/>
                          <w:szCs w:val="24"/>
                        </w:rPr>
                        <w:t xml:space="preserve">القسم </w:t>
                      </w:r>
                      <w:r w:rsidRPr="003B10D7">
                        <w:rPr>
                          <w:rFonts w:asciiTheme="majorBidi" w:hAnsiTheme="majorBidi" w:cstheme="majorBidi"/>
                          <w:sz w:val="24"/>
                          <w:szCs w:val="24"/>
                          <w:rtl w:val="0"/>
                        </w:rPr>
                        <w:t>A</w:t>
                      </w:r>
                    </w:p>
                  </w:txbxContent>
                </v:textbox>
                <w10:wrap anchorx="margin"/>
              </v:roundrect>
            </w:pict>
          </mc:Fallback>
        </mc:AlternateContent>
      </w:r>
    </w:p>
    <w:p w14:paraId="071C854F" w14:textId="77777777" w:rsidR="005976AB" w:rsidRPr="005635E7" w:rsidRDefault="005976AB" w:rsidP="005976AB">
      <w:pPr>
        <w:rPr>
          <w:rFonts w:asciiTheme="majorBidi" w:hAnsiTheme="majorBidi" w:cstheme="majorBidi"/>
        </w:rPr>
      </w:pPr>
    </w:p>
    <w:p w14:paraId="6C32EAC2" w14:textId="77777777" w:rsidR="005976AB" w:rsidRPr="005635E7" w:rsidRDefault="005976AB" w:rsidP="005976AB">
      <w:pPr>
        <w:pStyle w:val="P68B1DB1-Normal10"/>
        <w:rPr>
          <w:rFonts w:asciiTheme="majorBidi" w:hAnsiTheme="majorBidi" w:cstheme="majorBidi"/>
          <w:i w:val="0"/>
          <w:szCs w:val="22"/>
        </w:rPr>
      </w:pPr>
      <w:r w:rsidRPr="005635E7">
        <w:rPr>
          <w:rFonts w:asciiTheme="majorBidi" w:hAnsiTheme="majorBidi" w:cstheme="majorBidi"/>
          <w:i w:val="0"/>
          <w:szCs w:val="22"/>
        </w:rPr>
        <w:t>يتضمن هذا القسم بيانات مختلفة فيما يتعلق بقدرات التعلم التنظيمية (OLC). يُشار إليها بأنها القدرة على التكيف مع التغيّرات والتعامل مع المتغيرات الخارجية. من فضلك، ضع علامة تحقق على العبارات التالية، مع الإشارة إلى رأيك حول قدرات التعلم التنظيمية في شركتك.</w:t>
      </w:r>
    </w:p>
    <w:p w14:paraId="7865041E" w14:textId="77777777" w:rsidR="005976AB" w:rsidRPr="005635E7" w:rsidRDefault="005976AB" w:rsidP="005976AB">
      <w:pPr>
        <w:rPr>
          <w:rFonts w:asciiTheme="majorBidi" w:hAnsiTheme="majorBidi" w:cstheme="majorBidi"/>
        </w:rPr>
      </w:pPr>
    </w:p>
    <w:tbl>
      <w:tblPr>
        <w:tblStyle w:val="TableGrid"/>
        <w:bidiVisual/>
        <w:tblW w:w="5000" w:type="pct"/>
        <w:tblInd w:w="-113" w:type="dxa"/>
        <w:tblLayout w:type="fixed"/>
        <w:tblLook w:val="04A0" w:firstRow="1" w:lastRow="0" w:firstColumn="1" w:lastColumn="0" w:noHBand="0" w:noVBand="1"/>
      </w:tblPr>
      <w:tblGrid>
        <w:gridCol w:w="473"/>
        <w:gridCol w:w="2750"/>
        <w:gridCol w:w="829"/>
        <w:gridCol w:w="828"/>
        <w:gridCol w:w="828"/>
        <w:gridCol w:w="828"/>
        <w:gridCol w:w="828"/>
        <w:gridCol w:w="828"/>
        <w:gridCol w:w="824"/>
      </w:tblGrid>
      <w:tr w:rsidR="005976AB" w:rsidRPr="005635E7" w14:paraId="4E1B7001" w14:textId="77777777" w:rsidTr="009E2F41">
        <w:trPr>
          <w:trHeight w:val="820"/>
        </w:trPr>
        <w:tc>
          <w:tcPr>
            <w:tcW w:w="263" w:type="pct"/>
            <w:shd w:val="clear" w:color="auto" w:fill="ACB9CA" w:themeFill="text2" w:themeFillTint="66"/>
            <w:vAlign w:val="center"/>
          </w:tcPr>
          <w:p w14:paraId="565BE59D"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الرقم المسلسل</w:t>
            </w:r>
          </w:p>
        </w:tc>
        <w:tc>
          <w:tcPr>
            <w:tcW w:w="1525" w:type="pct"/>
            <w:shd w:val="clear" w:color="auto" w:fill="ACB9CA" w:themeFill="text2" w:themeFillTint="66"/>
            <w:vAlign w:val="center"/>
          </w:tcPr>
          <w:p w14:paraId="1E849579"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الأسئلة</w:t>
            </w:r>
          </w:p>
        </w:tc>
        <w:tc>
          <w:tcPr>
            <w:tcW w:w="460" w:type="pct"/>
            <w:shd w:val="clear" w:color="auto" w:fill="ACB9CA" w:themeFill="text2" w:themeFillTint="66"/>
          </w:tcPr>
          <w:p w14:paraId="5F6709D6"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غير موافق بشدّة</w:t>
            </w:r>
          </w:p>
        </w:tc>
        <w:tc>
          <w:tcPr>
            <w:tcW w:w="459" w:type="pct"/>
            <w:shd w:val="clear" w:color="auto" w:fill="ACB9CA" w:themeFill="text2" w:themeFillTint="66"/>
          </w:tcPr>
          <w:p w14:paraId="0EF15081"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لا أوافق</w:t>
            </w:r>
          </w:p>
        </w:tc>
        <w:tc>
          <w:tcPr>
            <w:tcW w:w="459" w:type="pct"/>
            <w:shd w:val="clear" w:color="auto" w:fill="ACB9CA" w:themeFill="text2" w:themeFillTint="66"/>
          </w:tcPr>
          <w:p w14:paraId="5AAA1EB5"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لا أوافق إلى حد ما</w:t>
            </w:r>
          </w:p>
        </w:tc>
        <w:tc>
          <w:tcPr>
            <w:tcW w:w="459" w:type="pct"/>
            <w:shd w:val="clear" w:color="auto" w:fill="ACB9CA" w:themeFill="text2" w:themeFillTint="66"/>
          </w:tcPr>
          <w:p w14:paraId="4B68E849"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محايد</w:t>
            </w:r>
          </w:p>
          <w:p w14:paraId="12A40CE4" w14:textId="77777777" w:rsidR="005976AB" w:rsidRPr="005635E7" w:rsidRDefault="005976AB" w:rsidP="009E2F41">
            <w:pPr>
              <w:rPr>
                <w:rFonts w:asciiTheme="majorBidi" w:hAnsiTheme="majorBidi" w:cstheme="majorBidi"/>
              </w:rPr>
            </w:pPr>
          </w:p>
        </w:tc>
        <w:tc>
          <w:tcPr>
            <w:tcW w:w="459" w:type="pct"/>
            <w:shd w:val="clear" w:color="auto" w:fill="ACB9CA" w:themeFill="text2" w:themeFillTint="66"/>
          </w:tcPr>
          <w:p w14:paraId="3A8F4E89"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أوافق إلى حد ما</w:t>
            </w:r>
          </w:p>
        </w:tc>
        <w:tc>
          <w:tcPr>
            <w:tcW w:w="459" w:type="pct"/>
            <w:shd w:val="clear" w:color="auto" w:fill="ACB9CA" w:themeFill="text2" w:themeFillTint="66"/>
          </w:tcPr>
          <w:p w14:paraId="26C4B117"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أوافق</w:t>
            </w:r>
          </w:p>
          <w:p w14:paraId="62CA9898" w14:textId="77777777" w:rsidR="005976AB" w:rsidRPr="005635E7" w:rsidRDefault="005976AB" w:rsidP="009E2F41">
            <w:pPr>
              <w:rPr>
                <w:rFonts w:asciiTheme="majorBidi" w:hAnsiTheme="majorBidi" w:cstheme="majorBidi"/>
              </w:rPr>
            </w:pPr>
          </w:p>
        </w:tc>
        <w:tc>
          <w:tcPr>
            <w:tcW w:w="457" w:type="pct"/>
            <w:shd w:val="clear" w:color="auto" w:fill="ACB9CA" w:themeFill="text2" w:themeFillTint="66"/>
          </w:tcPr>
          <w:p w14:paraId="114CE5E0"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موافق بشدة</w:t>
            </w:r>
          </w:p>
        </w:tc>
      </w:tr>
      <w:tr w:rsidR="005976AB" w:rsidRPr="005635E7" w14:paraId="548F70C5" w14:textId="77777777" w:rsidTr="009E2F41">
        <w:trPr>
          <w:trHeight w:val="431"/>
        </w:trPr>
        <w:tc>
          <w:tcPr>
            <w:tcW w:w="263" w:type="pct"/>
            <w:vAlign w:val="center"/>
          </w:tcPr>
          <w:p w14:paraId="0DA4C7F5"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0597C392"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كثيرًا ما يُشرك المديرون موظفيهم في عملية صنع القرارات الهامة</w:t>
            </w:r>
          </w:p>
        </w:tc>
        <w:tc>
          <w:tcPr>
            <w:tcW w:w="460" w:type="pct"/>
          </w:tcPr>
          <w:p w14:paraId="2A36690B" w14:textId="77777777" w:rsidR="005976AB" w:rsidRPr="005635E7" w:rsidRDefault="005976AB" w:rsidP="009E2F41">
            <w:pPr>
              <w:rPr>
                <w:rFonts w:asciiTheme="majorBidi" w:hAnsiTheme="majorBidi" w:cstheme="majorBidi"/>
              </w:rPr>
            </w:pPr>
          </w:p>
        </w:tc>
        <w:tc>
          <w:tcPr>
            <w:tcW w:w="459" w:type="pct"/>
          </w:tcPr>
          <w:p w14:paraId="04689CE6" w14:textId="77777777" w:rsidR="005976AB" w:rsidRPr="005635E7" w:rsidRDefault="005976AB" w:rsidP="009E2F41">
            <w:pPr>
              <w:rPr>
                <w:rFonts w:asciiTheme="majorBidi" w:hAnsiTheme="majorBidi" w:cstheme="majorBidi"/>
              </w:rPr>
            </w:pPr>
          </w:p>
        </w:tc>
        <w:tc>
          <w:tcPr>
            <w:tcW w:w="459" w:type="pct"/>
          </w:tcPr>
          <w:p w14:paraId="3C57C520" w14:textId="77777777" w:rsidR="005976AB" w:rsidRPr="005635E7" w:rsidRDefault="005976AB" w:rsidP="009E2F41">
            <w:pPr>
              <w:rPr>
                <w:rFonts w:asciiTheme="majorBidi" w:hAnsiTheme="majorBidi" w:cstheme="majorBidi"/>
              </w:rPr>
            </w:pPr>
          </w:p>
        </w:tc>
        <w:tc>
          <w:tcPr>
            <w:tcW w:w="459" w:type="pct"/>
          </w:tcPr>
          <w:p w14:paraId="0E321E7E" w14:textId="77777777" w:rsidR="005976AB" w:rsidRPr="005635E7" w:rsidRDefault="005976AB" w:rsidP="009E2F41">
            <w:pPr>
              <w:rPr>
                <w:rFonts w:asciiTheme="majorBidi" w:hAnsiTheme="majorBidi" w:cstheme="majorBidi"/>
              </w:rPr>
            </w:pPr>
          </w:p>
        </w:tc>
        <w:tc>
          <w:tcPr>
            <w:tcW w:w="459" w:type="pct"/>
          </w:tcPr>
          <w:p w14:paraId="33C86E4A" w14:textId="77777777" w:rsidR="005976AB" w:rsidRPr="005635E7" w:rsidRDefault="005976AB" w:rsidP="009E2F41">
            <w:pPr>
              <w:rPr>
                <w:rFonts w:asciiTheme="majorBidi" w:hAnsiTheme="majorBidi" w:cstheme="majorBidi"/>
              </w:rPr>
            </w:pPr>
          </w:p>
        </w:tc>
        <w:tc>
          <w:tcPr>
            <w:tcW w:w="459" w:type="pct"/>
          </w:tcPr>
          <w:p w14:paraId="2B3BCE4C" w14:textId="77777777" w:rsidR="005976AB" w:rsidRPr="005635E7" w:rsidRDefault="005976AB" w:rsidP="009E2F41">
            <w:pPr>
              <w:rPr>
                <w:rFonts w:asciiTheme="majorBidi" w:hAnsiTheme="majorBidi" w:cstheme="majorBidi"/>
              </w:rPr>
            </w:pPr>
          </w:p>
        </w:tc>
        <w:tc>
          <w:tcPr>
            <w:tcW w:w="457" w:type="pct"/>
          </w:tcPr>
          <w:p w14:paraId="3066030A" w14:textId="77777777" w:rsidR="005976AB" w:rsidRPr="005635E7" w:rsidRDefault="005976AB" w:rsidP="009E2F41">
            <w:pPr>
              <w:rPr>
                <w:rFonts w:asciiTheme="majorBidi" w:hAnsiTheme="majorBidi" w:cstheme="majorBidi"/>
              </w:rPr>
            </w:pPr>
          </w:p>
        </w:tc>
      </w:tr>
      <w:tr w:rsidR="005976AB" w:rsidRPr="005635E7" w14:paraId="5F46EE65" w14:textId="77777777" w:rsidTr="009E2F41">
        <w:trPr>
          <w:trHeight w:val="406"/>
        </w:trPr>
        <w:tc>
          <w:tcPr>
            <w:tcW w:w="263" w:type="pct"/>
            <w:vAlign w:val="center"/>
          </w:tcPr>
          <w:p w14:paraId="1DE6231D"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20DDD871"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يُنظر إلى تعلّم الموظف على أنه نفقات أكثر من اعتباره استثمارًا</w:t>
            </w:r>
          </w:p>
        </w:tc>
        <w:tc>
          <w:tcPr>
            <w:tcW w:w="460" w:type="pct"/>
          </w:tcPr>
          <w:p w14:paraId="79C536C5" w14:textId="77777777" w:rsidR="005976AB" w:rsidRPr="005635E7" w:rsidRDefault="005976AB" w:rsidP="009E2F41">
            <w:pPr>
              <w:rPr>
                <w:rFonts w:asciiTheme="majorBidi" w:hAnsiTheme="majorBidi" w:cstheme="majorBidi"/>
              </w:rPr>
            </w:pPr>
          </w:p>
        </w:tc>
        <w:tc>
          <w:tcPr>
            <w:tcW w:w="459" w:type="pct"/>
          </w:tcPr>
          <w:p w14:paraId="1DD32DF6" w14:textId="77777777" w:rsidR="005976AB" w:rsidRPr="005635E7" w:rsidRDefault="005976AB" w:rsidP="009E2F41">
            <w:pPr>
              <w:rPr>
                <w:rFonts w:asciiTheme="majorBidi" w:hAnsiTheme="majorBidi" w:cstheme="majorBidi"/>
              </w:rPr>
            </w:pPr>
          </w:p>
        </w:tc>
        <w:tc>
          <w:tcPr>
            <w:tcW w:w="459" w:type="pct"/>
          </w:tcPr>
          <w:p w14:paraId="4996FCB9" w14:textId="77777777" w:rsidR="005976AB" w:rsidRPr="005635E7" w:rsidRDefault="005976AB" w:rsidP="009E2F41">
            <w:pPr>
              <w:rPr>
                <w:rFonts w:asciiTheme="majorBidi" w:hAnsiTheme="majorBidi" w:cstheme="majorBidi"/>
              </w:rPr>
            </w:pPr>
          </w:p>
        </w:tc>
        <w:tc>
          <w:tcPr>
            <w:tcW w:w="459" w:type="pct"/>
          </w:tcPr>
          <w:p w14:paraId="406A348D" w14:textId="77777777" w:rsidR="005976AB" w:rsidRPr="005635E7" w:rsidRDefault="005976AB" w:rsidP="009E2F41">
            <w:pPr>
              <w:rPr>
                <w:rFonts w:asciiTheme="majorBidi" w:hAnsiTheme="majorBidi" w:cstheme="majorBidi"/>
              </w:rPr>
            </w:pPr>
          </w:p>
        </w:tc>
        <w:tc>
          <w:tcPr>
            <w:tcW w:w="459" w:type="pct"/>
          </w:tcPr>
          <w:p w14:paraId="456EDBEA" w14:textId="77777777" w:rsidR="005976AB" w:rsidRPr="005635E7" w:rsidRDefault="005976AB" w:rsidP="009E2F41">
            <w:pPr>
              <w:rPr>
                <w:rFonts w:asciiTheme="majorBidi" w:hAnsiTheme="majorBidi" w:cstheme="majorBidi"/>
              </w:rPr>
            </w:pPr>
          </w:p>
        </w:tc>
        <w:tc>
          <w:tcPr>
            <w:tcW w:w="459" w:type="pct"/>
          </w:tcPr>
          <w:p w14:paraId="48F77FEA" w14:textId="77777777" w:rsidR="005976AB" w:rsidRPr="005635E7" w:rsidRDefault="005976AB" w:rsidP="009E2F41">
            <w:pPr>
              <w:rPr>
                <w:rFonts w:asciiTheme="majorBidi" w:hAnsiTheme="majorBidi" w:cstheme="majorBidi"/>
              </w:rPr>
            </w:pPr>
          </w:p>
        </w:tc>
        <w:tc>
          <w:tcPr>
            <w:tcW w:w="457" w:type="pct"/>
          </w:tcPr>
          <w:p w14:paraId="59F32107" w14:textId="77777777" w:rsidR="005976AB" w:rsidRPr="005635E7" w:rsidRDefault="005976AB" w:rsidP="009E2F41">
            <w:pPr>
              <w:rPr>
                <w:rFonts w:asciiTheme="majorBidi" w:hAnsiTheme="majorBidi" w:cstheme="majorBidi"/>
              </w:rPr>
            </w:pPr>
          </w:p>
        </w:tc>
      </w:tr>
      <w:tr w:rsidR="005976AB" w:rsidRPr="005635E7" w14:paraId="4C4B9FA3" w14:textId="77777777" w:rsidTr="009E2F41">
        <w:trPr>
          <w:trHeight w:val="431"/>
        </w:trPr>
        <w:tc>
          <w:tcPr>
            <w:tcW w:w="263" w:type="pct"/>
            <w:vAlign w:val="center"/>
          </w:tcPr>
          <w:p w14:paraId="3F348543"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5CE93CBF"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تنظر إدارة الشركة بشكل إيجابي في إجراء التغييرات في أي مجال للتكيف و/أو مواكبة المواقف البيئية الجديدة.</w:t>
            </w:r>
          </w:p>
        </w:tc>
        <w:tc>
          <w:tcPr>
            <w:tcW w:w="460" w:type="pct"/>
          </w:tcPr>
          <w:p w14:paraId="7ACC4A51" w14:textId="77777777" w:rsidR="005976AB" w:rsidRPr="005635E7" w:rsidRDefault="005976AB" w:rsidP="009E2F41">
            <w:pPr>
              <w:rPr>
                <w:rFonts w:asciiTheme="majorBidi" w:hAnsiTheme="majorBidi" w:cstheme="majorBidi"/>
              </w:rPr>
            </w:pPr>
          </w:p>
        </w:tc>
        <w:tc>
          <w:tcPr>
            <w:tcW w:w="459" w:type="pct"/>
          </w:tcPr>
          <w:p w14:paraId="0A4C0AF4" w14:textId="77777777" w:rsidR="005976AB" w:rsidRPr="005635E7" w:rsidRDefault="005976AB" w:rsidP="009E2F41">
            <w:pPr>
              <w:rPr>
                <w:rFonts w:asciiTheme="majorBidi" w:hAnsiTheme="majorBidi" w:cstheme="majorBidi"/>
              </w:rPr>
            </w:pPr>
          </w:p>
        </w:tc>
        <w:tc>
          <w:tcPr>
            <w:tcW w:w="459" w:type="pct"/>
          </w:tcPr>
          <w:p w14:paraId="224CDA21" w14:textId="77777777" w:rsidR="005976AB" w:rsidRPr="005635E7" w:rsidRDefault="005976AB" w:rsidP="009E2F41">
            <w:pPr>
              <w:rPr>
                <w:rFonts w:asciiTheme="majorBidi" w:hAnsiTheme="majorBidi" w:cstheme="majorBidi"/>
              </w:rPr>
            </w:pPr>
          </w:p>
        </w:tc>
        <w:tc>
          <w:tcPr>
            <w:tcW w:w="459" w:type="pct"/>
          </w:tcPr>
          <w:p w14:paraId="7958F342" w14:textId="77777777" w:rsidR="005976AB" w:rsidRPr="005635E7" w:rsidRDefault="005976AB" w:rsidP="009E2F41">
            <w:pPr>
              <w:rPr>
                <w:rFonts w:asciiTheme="majorBidi" w:hAnsiTheme="majorBidi" w:cstheme="majorBidi"/>
              </w:rPr>
            </w:pPr>
          </w:p>
        </w:tc>
        <w:tc>
          <w:tcPr>
            <w:tcW w:w="459" w:type="pct"/>
          </w:tcPr>
          <w:p w14:paraId="647931EC" w14:textId="77777777" w:rsidR="005976AB" w:rsidRPr="005635E7" w:rsidRDefault="005976AB" w:rsidP="009E2F41">
            <w:pPr>
              <w:rPr>
                <w:rFonts w:asciiTheme="majorBidi" w:hAnsiTheme="majorBidi" w:cstheme="majorBidi"/>
              </w:rPr>
            </w:pPr>
          </w:p>
        </w:tc>
        <w:tc>
          <w:tcPr>
            <w:tcW w:w="459" w:type="pct"/>
          </w:tcPr>
          <w:p w14:paraId="187D09D2" w14:textId="77777777" w:rsidR="005976AB" w:rsidRPr="005635E7" w:rsidRDefault="005976AB" w:rsidP="009E2F41">
            <w:pPr>
              <w:rPr>
                <w:rFonts w:asciiTheme="majorBidi" w:hAnsiTheme="majorBidi" w:cstheme="majorBidi"/>
              </w:rPr>
            </w:pPr>
          </w:p>
        </w:tc>
        <w:tc>
          <w:tcPr>
            <w:tcW w:w="457" w:type="pct"/>
          </w:tcPr>
          <w:p w14:paraId="0FEE8406" w14:textId="77777777" w:rsidR="005976AB" w:rsidRPr="005635E7" w:rsidRDefault="005976AB" w:rsidP="009E2F41">
            <w:pPr>
              <w:rPr>
                <w:rFonts w:asciiTheme="majorBidi" w:hAnsiTheme="majorBidi" w:cstheme="majorBidi"/>
              </w:rPr>
            </w:pPr>
          </w:p>
        </w:tc>
      </w:tr>
      <w:tr w:rsidR="005976AB" w:rsidRPr="005635E7" w14:paraId="52FA4E37" w14:textId="77777777" w:rsidTr="009E2F41">
        <w:trPr>
          <w:trHeight w:val="406"/>
        </w:trPr>
        <w:tc>
          <w:tcPr>
            <w:tcW w:w="263" w:type="pct"/>
            <w:vAlign w:val="center"/>
          </w:tcPr>
          <w:p w14:paraId="0C3818AB"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5F17138A"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تُعتبر قدرة تعلم الموظف عاملاً رئيسياً في هذه الشركة.</w:t>
            </w:r>
          </w:p>
        </w:tc>
        <w:tc>
          <w:tcPr>
            <w:tcW w:w="460" w:type="pct"/>
          </w:tcPr>
          <w:p w14:paraId="1355708C" w14:textId="77777777" w:rsidR="005976AB" w:rsidRPr="005635E7" w:rsidRDefault="005976AB" w:rsidP="009E2F41">
            <w:pPr>
              <w:rPr>
                <w:rFonts w:asciiTheme="majorBidi" w:hAnsiTheme="majorBidi" w:cstheme="majorBidi"/>
              </w:rPr>
            </w:pPr>
          </w:p>
        </w:tc>
        <w:tc>
          <w:tcPr>
            <w:tcW w:w="459" w:type="pct"/>
          </w:tcPr>
          <w:p w14:paraId="4FCB756A" w14:textId="77777777" w:rsidR="005976AB" w:rsidRPr="005635E7" w:rsidRDefault="005976AB" w:rsidP="009E2F41">
            <w:pPr>
              <w:rPr>
                <w:rFonts w:asciiTheme="majorBidi" w:hAnsiTheme="majorBidi" w:cstheme="majorBidi"/>
              </w:rPr>
            </w:pPr>
          </w:p>
        </w:tc>
        <w:tc>
          <w:tcPr>
            <w:tcW w:w="459" w:type="pct"/>
          </w:tcPr>
          <w:p w14:paraId="4B643315" w14:textId="77777777" w:rsidR="005976AB" w:rsidRPr="005635E7" w:rsidRDefault="005976AB" w:rsidP="009E2F41">
            <w:pPr>
              <w:rPr>
                <w:rFonts w:asciiTheme="majorBidi" w:hAnsiTheme="majorBidi" w:cstheme="majorBidi"/>
              </w:rPr>
            </w:pPr>
          </w:p>
        </w:tc>
        <w:tc>
          <w:tcPr>
            <w:tcW w:w="459" w:type="pct"/>
          </w:tcPr>
          <w:p w14:paraId="5E0882B8" w14:textId="77777777" w:rsidR="005976AB" w:rsidRPr="005635E7" w:rsidRDefault="005976AB" w:rsidP="009E2F41">
            <w:pPr>
              <w:rPr>
                <w:rFonts w:asciiTheme="majorBidi" w:hAnsiTheme="majorBidi" w:cstheme="majorBidi"/>
              </w:rPr>
            </w:pPr>
          </w:p>
        </w:tc>
        <w:tc>
          <w:tcPr>
            <w:tcW w:w="459" w:type="pct"/>
          </w:tcPr>
          <w:p w14:paraId="078BC1BC" w14:textId="77777777" w:rsidR="005976AB" w:rsidRPr="005635E7" w:rsidRDefault="005976AB" w:rsidP="009E2F41">
            <w:pPr>
              <w:rPr>
                <w:rFonts w:asciiTheme="majorBidi" w:hAnsiTheme="majorBidi" w:cstheme="majorBidi"/>
              </w:rPr>
            </w:pPr>
          </w:p>
        </w:tc>
        <w:tc>
          <w:tcPr>
            <w:tcW w:w="459" w:type="pct"/>
          </w:tcPr>
          <w:p w14:paraId="17940A90" w14:textId="77777777" w:rsidR="005976AB" w:rsidRPr="005635E7" w:rsidRDefault="005976AB" w:rsidP="009E2F41">
            <w:pPr>
              <w:rPr>
                <w:rFonts w:asciiTheme="majorBidi" w:hAnsiTheme="majorBidi" w:cstheme="majorBidi"/>
              </w:rPr>
            </w:pPr>
          </w:p>
        </w:tc>
        <w:tc>
          <w:tcPr>
            <w:tcW w:w="457" w:type="pct"/>
          </w:tcPr>
          <w:p w14:paraId="2565F1CF" w14:textId="77777777" w:rsidR="005976AB" w:rsidRPr="005635E7" w:rsidRDefault="005976AB" w:rsidP="009E2F41">
            <w:pPr>
              <w:rPr>
                <w:rFonts w:asciiTheme="majorBidi" w:hAnsiTheme="majorBidi" w:cstheme="majorBidi"/>
              </w:rPr>
            </w:pPr>
          </w:p>
        </w:tc>
      </w:tr>
      <w:tr w:rsidR="005976AB" w:rsidRPr="005635E7" w14:paraId="5F7ED04C" w14:textId="77777777" w:rsidTr="009E2F41">
        <w:trPr>
          <w:trHeight w:val="406"/>
        </w:trPr>
        <w:tc>
          <w:tcPr>
            <w:tcW w:w="263" w:type="pct"/>
            <w:vAlign w:val="center"/>
          </w:tcPr>
          <w:p w14:paraId="679780C6"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3A34223E"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في هذه الشركة، تُكرّم الأفكار المبتكرة الناجحة بالمكافأة.</w:t>
            </w:r>
          </w:p>
        </w:tc>
        <w:tc>
          <w:tcPr>
            <w:tcW w:w="460" w:type="pct"/>
          </w:tcPr>
          <w:p w14:paraId="7D127717" w14:textId="77777777" w:rsidR="005976AB" w:rsidRPr="005635E7" w:rsidRDefault="005976AB" w:rsidP="009E2F41">
            <w:pPr>
              <w:rPr>
                <w:rFonts w:asciiTheme="majorBidi" w:hAnsiTheme="majorBidi" w:cstheme="majorBidi"/>
              </w:rPr>
            </w:pPr>
          </w:p>
        </w:tc>
        <w:tc>
          <w:tcPr>
            <w:tcW w:w="459" w:type="pct"/>
          </w:tcPr>
          <w:p w14:paraId="486FB400" w14:textId="77777777" w:rsidR="005976AB" w:rsidRPr="005635E7" w:rsidRDefault="005976AB" w:rsidP="009E2F41">
            <w:pPr>
              <w:rPr>
                <w:rFonts w:asciiTheme="majorBidi" w:hAnsiTheme="majorBidi" w:cstheme="majorBidi"/>
              </w:rPr>
            </w:pPr>
          </w:p>
        </w:tc>
        <w:tc>
          <w:tcPr>
            <w:tcW w:w="459" w:type="pct"/>
          </w:tcPr>
          <w:p w14:paraId="00594D94" w14:textId="77777777" w:rsidR="005976AB" w:rsidRPr="005635E7" w:rsidRDefault="005976AB" w:rsidP="009E2F41">
            <w:pPr>
              <w:rPr>
                <w:rFonts w:asciiTheme="majorBidi" w:hAnsiTheme="majorBidi" w:cstheme="majorBidi"/>
              </w:rPr>
            </w:pPr>
          </w:p>
        </w:tc>
        <w:tc>
          <w:tcPr>
            <w:tcW w:w="459" w:type="pct"/>
          </w:tcPr>
          <w:p w14:paraId="7D01D79E" w14:textId="77777777" w:rsidR="005976AB" w:rsidRPr="005635E7" w:rsidRDefault="005976AB" w:rsidP="009E2F41">
            <w:pPr>
              <w:rPr>
                <w:rFonts w:asciiTheme="majorBidi" w:hAnsiTheme="majorBidi" w:cstheme="majorBidi"/>
              </w:rPr>
            </w:pPr>
          </w:p>
        </w:tc>
        <w:tc>
          <w:tcPr>
            <w:tcW w:w="459" w:type="pct"/>
          </w:tcPr>
          <w:p w14:paraId="4AB9B2B9" w14:textId="77777777" w:rsidR="005976AB" w:rsidRPr="005635E7" w:rsidRDefault="005976AB" w:rsidP="009E2F41">
            <w:pPr>
              <w:rPr>
                <w:rFonts w:asciiTheme="majorBidi" w:hAnsiTheme="majorBidi" w:cstheme="majorBidi"/>
              </w:rPr>
            </w:pPr>
          </w:p>
        </w:tc>
        <w:tc>
          <w:tcPr>
            <w:tcW w:w="459" w:type="pct"/>
          </w:tcPr>
          <w:p w14:paraId="510A41D7" w14:textId="77777777" w:rsidR="005976AB" w:rsidRPr="005635E7" w:rsidRDefault="005976AB" w:rsidP="009E2F41">
            <w:pPr>
              <w:rPr>
                <w:rFonts w:asciiTheme="majorBidi" w:hAnsiTheme="majorBidi" w:cstheme="majorBidi"/>
              </w:rPr>
            </w:pPr>
          </w:p>
        </w:tc>
        <w:tc>
          <w:tcPr>
            <w:tcW w:w="457" w:type="pct"/>
          </w:tcPr>
          <w:p w14:paraId="118CBEC2" w14:textId="77777777" w:rsidR="005976AB" w:rsidRPr="005635E7" w:rsidRDefault="005976AB" w:rsidP="009E2F41">
            <w:pPr>
              <w:rPr>
                <w:rFonts w:asciiTheme="majorBidi" w:hAnsiTheme="majorBidi" w:cstheme="majorBidi"/>
              </w:rPr>
            </w:pPr>
          </w:p>
        </w:tc>
      </w:tr>
      <w:tr w:rsidR="005976AB" w:rsidRPr="005635E7" w14:paraId="49BFB845" w14:textId="77777777" w:rsidTr="009E2F41">
        <w:trPr>
          <w:trHeight w:val="431"/>
        </w:trPr>
        <w:tc>
          <w:tcPr>
            <w:tcW w:w="263" w:type="pct"/>
            <w:vAlign w:val="center"/>
          </w:tcPr>
          <w:p w14:paraId="1F09D9D0"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57F5D11C"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يتمتّع جميع الموظفين بمعرفة عامة بشأن أهداف هذه الشركة.</w:t>
            </w:r>
          </w:p>
        </w:tc>
        <w:tc>
          <w:tcPr>
            <w:tcW w:w="460" w:type="pct"/>
          </w:tcPr>
          <w:p w14:paraId="0C640321" w14:textId="77777777" w:rsidR="005976AB" w:rsidRPr="005635E7" w:rsidRDefault="005976AB" w:rsidP="009E2F41">
            <w:pPr>
              <w:rPr>
                <w:rFonts w:asciiTheme="majorBidi" w:hAnsiTheme="majorBidi" w:cstheme="majorBidi"/>
              </w:rPr>
            </w:pPr>
          </w:p>
        </w:tc>
        <w:tc>
          <w:tcPr>
            <w:tcW w:w="459" w:type="pct"/>
          </w:tcPr>
          <w:p w14:paraId="73D8C84D" w14:textId="77777777" w:rsidR="005976AB" w:rsidRPr="005635E7" w:rsidRDefault="005976AB" w:rsidP="009E2F41">
            <w:pPr>
              <w:rPr>
                <w:rFonts w:asciiTheme="majorBidi" w:hAnsiTheme="majorBidi" w:cstheme="majorBidi"/>
              </w:rPr>
            </w:pPr>
          </w:p>
        </w:tc>
        <w:tc>
          <w:tcPr>
            <w:tcW w:w="459" w:type="pct"/>
          </w:tcPr>
          <w:p w14:paraId="5E891E78" w14:textId="77777777" w:rsidR="005976AB" w:rsidRPr="005635E7" w:rsidRDefault="005976AB" w:rsidP="009E2F41">
            <w:pPr>
              <w:rPr>
                <w:rFonts w:asciiTheme="majorBidi" w:hAnsiTheme="majorBidi" w:cstheme="majorBidi"/>
              </w:rPr>
            </w:pPr>
          </w:p>
        </w:tc>
        <w:tc>
          <w:tcPr>
            <w:tcW w:w="459" w:type="pct"/>
          </w:tcPr>
          <w:p w14:paraId="4D62BC08" w14:textId="77777777" w:rsidR="005976AB" w:rsidRPr="005635E7" w:rsidRDefault="005976AB" w:rsidP="009E2F41">
            <w:pPr>
              <w:rPr>
                <w:rFonts w:asciiTheme="majorBidi" w:hAnsiTheme="majorBidi" w:cstheme="majorBidi"/>
              </w:rPr>
            </w:pPr>
          </w:p>
        </w:tc>
        <w:tc>
          <w:tcPr>
            <w:tcW w:w="459" w:type="pct"/>
          </w:tcPr>
          <w:p w14:paraId="5FD461F6" w14:textId="77777777" w:rsidR="005976AB" w:rsidRPr="005635E7" w:rsidRDefault="005976AB" w:rsidP="009E2F41">
            <w:pPr>
              <w:rPr>
                <w:rFonts w:asciiTheme="majorBidi" w:hAnsiTheme="majorBidi" w:cstheme="majorBidi"/>
              </w:rPr>
            </w:pPr>
          </w:p>
        </w:tc>
        <w:tc>
          <w:tcPr>
            <w:tcW w:w="459" w:type="pct"/>
          </w:tcPr>
          <w:p w14:paraId="71BEF926" w14:textId="77777777" w:rsidR="005976AB" w:rsidRPr="005635E7" w:rsidRDefault="005976AB" w:rsidP="009E2F41">
            <w:pPr>
              <w:rPr>
                <w:rFonts w:asciiTheme="majorBidi" w:hAnsiTheme="majorBidi" w:cstheme="majorBidi"/>
              </w:rPr>
            </w:pPr>
          </w:p>
        </w:tc>
        <w:tc>
          <w:tcPr>
            <w:tcW w:w="457" w:type="pct"/>
          </w:tcPr>
          <w:p w14:paraId="46691E64" w14:textId="77777777" w:rsidR="005976AB" w:rsidRPr="005635E7" w:rsidRDefault="005976AB" w:rsidP="009E2F41">
            <w:pPr>
              <w:rPr>
                <w:rFonts w:asciiTheme="majorBidi" w:hAnsiTheme="majorBidi" w:cstheme="majorBidi"/>
              </w:rPr>
            </w:pPr>
          </w:p>
        </w:tc>
      </w:tr>
      <w:tr w:rsidR="005976AB" w:rsidRPr="005635E7" w14:paraId="0EE07B71" w14:textId="77777777" w:rsidTr="009E2F41">
        <w:trPr>
          <w:trHeight w:val="406"/>
        </w:trPr>
        <w:tc>
          <w:tcPr>
            <w:tcW w:w="263" w:type="pct"/>
            <w:vAlign w:val="center"/>
          </w:tcPr>
          <w:p w14:paraId="5B0D1604"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20128753"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تُدرك جميع الأجزاء التي تشكل هذه الشركة (الإدارات والأقسام وفرق العمل والأفراد) جيدًا كيفية مساهمتها في تحقيق الأهداف العامة.</w:t>
            </w:r>
          </w:p>
        </w:tc>
        <w:tc>
          <w:tcPr>
            <w:tcW w:w="460" w:type="pct"/>
          </w:tcPr>
          <w:p w14:paraId="01DE35E6" w14:textId="77777777" w:rsidR="005976AB" w:rsidRPr="005635E7" w:rsidRDefault="005976AB" w:rsidP="009E2F41">
            <w:pPr>
              <w:rPr>
                <w:rFonts w:asciiTheme="majorBidi" w:hAnsiTheme="majorBidi" w:cstheme="majorBidi"/>
              </w:rPr>
            </w:pPr>
          </w:p>
        </w:tc>
        <w:tc>
          <w:tcPr>
            <w:tcW w:w="459" w:type="pct"/>
          </w:tcPr>
          <w:p w14:paraId="44C67B9E" w14:textId="77777777" w:rsidR="005976AB" w:rsidRPr="005635E7" w:rsidRDefault="005976AB" w:rsidP="009E2F41">
            <w:pPr>
              <w:rPr>
                <w:rFonts w:asciiTheme="majorBidi" w:hAnsiTheme="majorBidi" w:cstheme="majorBidi"/>
              </w:rPr>
            </w:pPr>
          </w:p>
        </w:tc>
        <w:tc>
          <w:tcPr>
            <w:tcW w:w="459" w:type="pct"/>
          </w:tcPr>
          <w:p w14:paraId="0D8125AF" w14:textId="77777777" w:rsidR="005976AB" w:rsidRPr="005635E7" w:rsidRDefault="005976AB" w:rsidP="009E2F41">
            <w:pPr>
              <w:rPr>
                <w:rFonts w:asciiTheme="majorBidi" w:hAnsiTheme="majorBidi" w:cstheme="majorBidi"/>
              </w:rPr>
            </w:pPr>
          </w:p>
        </w:tc>
        <w:tc>
          <w:tcPr>
            <w:tcW w:w="459" w:type="pct"/>
          </w:tcPr>
          <w:p w14:paraId="2E8F676B" w14:textId="77777777" w:rsidR="005976AB" w:rsidRPr="005635E7" w:rsidRDefault="005976AB" w:rsidP="009E2F41">
            <w:pPr>
              <w:rPr>
                <w:rFonts w:asciiTheme="majorBidi" w:hAnsiTheme="majorBidi" w:cstheme="majorBidi"/>
              </w:rPr>
            </w:pPr>
          </w:p>
        </w:tc>
        <w:tc>
          <w:tcPr>
            <w:tcW w:w="459" w:type="pct"/>
          </w:tcPr>
          <w:p w14:paraId="4E7F3A3A" w14:textId="77777777" w:rsidR="005976AB" w:rsidRPr="005635E7" w:rsidRDefault="005976AB" w:rsidP="009E2F41">
            <w:pPr>
              <w:rPr>
                <w:rFonts w:asciiTheme="majorBidi" w:hAnsiTheme="majorBidi" w:cstheme="majorBidi"/>
              </w:rPr>
            </w:pPr>
          </w:p>
        </w:tc>
        <w:tc>
          <w:tcPr>
            <w:tcW w:w="459" w:type="pct"/>
          </w:tcPr>
          <w:p w14:paraId="01E9B26B" w14:textId="77777777" w:rsidR="005976AB" w:rsidRPr="005635E7" w:rsidRDefault="005976AB" w:rsidP="009E2F41">
            <w:pPr>
              <w:rPr>
                <w:rFonts w:asciiTheme="majorBidi" w:hAnsiTheme="majorBidi" w:cstheme="majorBidi"/>
              </w:rPr>
            </w:pPr>
          </w:p>
        </w:tc>
        <w:tc>
          <w:tcPr>
            <w:tcW w:w="457" w:type="pct"/>
          </w:tcPr>
          <w:p w14:paraId="7D6E6332" w14:textId="77777777" w:rsidR="005976AB" w:rsidRPr="005635E7" w:rsidRDefault="005976AB" w:rsidP="009E2F41">
            <w:pPr>
              <w:rPr>
                <w:rFonts w:asciiTheme="majorBidi" w:hAnsiTheme="majorBidi" w:cstheme="majorBidi"/>
              </w:rPr>
            </w:pPr>
          </w:p>
        </w:tc>
      </w:tr>
      <w:tr w:rsidR="005976AB" w:rsidRPr="005635E7" w14:paraId="687BDE9C" w14:textId="77777777" w:rsidTr="009E2F41">
        <w:trPr>
          <w:trHeight w:val="431"/>
        </w:trPr>
        <w:tc>
          <w:tcPr>
            <w:tcW w:w="263" w:type="pct"/>
            <w:vAlign w:val="center"/>
          </w:tcPr>
          <w:p w14:paraId="54EC556C"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0995F2FE"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إن جميع الأجزاء التي تشكّل هذه الشركة مترابطة، وتعمل معًا بطريقة منسقة.</w:t>
            </w:r>
          </w:p>
        </w:tc>
        <w:tc>
          <w:tcPr>
            <w:tcW w:w="460" w:type="pct"/>
          </w:tcPr>
          <w:p w14:paraId="5897BD2F" w14:textId="77777777" w:rsidR="005976AB" w:rsidRPr="005635E7" w:rsidRDefault="005976AB" w:rsidP="009E2F41">
            <w:pPr>
              <w:rPr>
                <w:rFonts w:asciiTheme="majorBidi" w:hAnsiTheme="majorBidi" w:cstheme="majorBidi"/>
              </w:rPr>
            </w:pPr>
          </w:p>
        </w:tc>
        <w:tc>
          <w:tcPr>
            <w:tcW w:w="459" w:type="pct"/>
          </w:tcPr>
          <w:p w14:paraId="504195C8" w14:textId="77777777" w:rsidR="005976AB" w:rsidRPr="005635E7" w:rsidRDefault="005976AB" w:rsidP="009E2F41">
            <w:pPr>
              <w:rPr>
                <w:rFonts w:asciiTheme="majorBidi" w:hAnsiTheme="majorBidi" w:cstheme="majorBidi"/>
              </w:rPr>
            </w:pPr>
          </w:p>
        </w:tc>
        <w:tc>
          <w:tcPr>
            <w:tcW w:w="459" w:type="pct"/>
          </w:tcPr>
          <w:p w14:paraId="7F1BEE19" w14:textId="77777777" w:rsidR="005976AB" w:rsidRPr="005635E7" w:rsidRDefault="005976AB" w:rsidP="009E2F41">
            <w:pPr>
              <w:rPr>
                <w:rFonts w:asciiTheme="majorBidi" w:hAnsiTheme="majorBidi" w:cstheme="majorBidi"/>
              </w:rPr>
            </w:pPr>
          </w:p>
        </w:tc>
        <w:tc>
          <w:tcPr>
            <w:tcW w:w="459" w:type="pct"/>
          </w:tcPr>
          <w:p w14:paraId="6D8A2A1E" w14:textId="77777777" w:rsidR="005976AB" w:rsidRPr="005635E7" w:rsidRDefault="005976AB" w:rsidP="009E2F41">
            <w:pPr>
              <w:rPr>
                <w:rFonts w:asciiTheme="majorBidi" w:hAnsiTheme="majorBidi" w:cstheme="majorBidi"/>
              </w:rPr>
            </w:pPr>
          </w:p>
        </w:tc>
        <w:tc>
          <w:tcPr>
            <w:tcW w:w="459" w:type="pct"/>
          </w:tcPr>
          <w:p w14:paraId="687EB69C" w14:textId="77777777" w:rsidR="005976AB" w:rsidRPr="005635E7" w:rsidRDefault="005976AB" w:rsidP="009E2F41">
            <w:pPr>
              <w:rPr>
                <w:rFonts w:asciiTheme="majorBidi" w:hAnsiTheme="majorBidi" w:cstheme="majorBidi"/>
              </w:rPr>
            </w:pPr>
          </w:p>
        </w:tc>
        <w:tc>
          <w:tcPr>
            <w:tcW w:w="459" w:type="pct"/>
          </w:tcPr>
          <w:p w14:paraId="6030664C" w14:textId="77777777" w:rsidR="005976AB" w:rsidRPr="005635E7" w:rsidRDefault="005976AB" w:rsidP="009E2F41">
            <w:pPr>
              <w:rPr>
                <w:rFonts w:asciiTheme="majorBidi" w:hAnsiTheme="majorBidi" w:cstheme="majorBidi"/>
              </w:rPr>
            </w:pPr>
          </w:p>
        </w:tc>
        <w:tc>
          <w:tcPr>
            <w:tcW w:w="457" w:type="pct"/>
          </w:tcPr>
          <w:p w14:paraId="3BD15377" w14:textId="77777777" w:rsidR="005976AB" w:rsidRPr="005635E7" w:rsidRDefault="005976AB" w:rsidP="009E2F41">
            <w:pPr>
              <w:rPr>
                <w:rFonts w:asciiTheme="majorBidi" w:hAnsiTheme="majorBidi" w:cstheme="majorBidi"/>
              </w:rPr>
            </w:pPr>
          </w:p>
        </w:tc>
      </w:tr>
      <w:tr w:rsidR="005976AB" w:rsidRPr="005635E7" w14:paraId="77533DFE" w14:textId="77777777" w:rsidTr="009E2F41">
        <w:trPr>
          <w:trHeight w:val="431"/>
        </w:trPr>
        <w:tc>
          <w:tcPr>
            <w:tcW w:w="263" w:type="pct"/>
            <w:vAlign w:val="center"/>
          </w:tcPr>
          <w:p w14:paraId="7317F377"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78E4128A"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تشجع هذه الشركة التجريب والابتكار كوسيلة لتحسين إجراءات العمل.</w:t>
            </w:r>
          </w:p>
        </w:tc>
        <w:tc>
          <w:tcPr>
            <w:tcW w:w="460" w:type="pct"/>
          </w:tcPr>
          <w:p w14:paraId="60A83124" w14:textId="77777777" w:rsidR="005976AB" w:rsidRPr="005635E7" w:rsidRDefault="005976AB" w:rsidP="009E2F41">
            <w:pPr>
              <w:rPr>
                <w:rFonts w:asciiTheme="majorBidi" w:hAnsiTheme="majorBidi" w:cstheme="majorBidi"/>
              </w:rPr>
            </w:pPr>
          </w:p>
        </w:tc>
        <w:tc>
          <w:tcPr>
            <w:tcW w:w="459" w:type="pct"/>
          </w:tcPr>
          <w:p w14:paraId="2F721968" w14:textId="77777777" w:rsidR="005976AB" w:rsidRPr="005635E7" w:rsidRDefault="005976AB" w:rsidP="009E2F41">
            <w:pPr>
              <w:rPr>
                <w:rFonts w:asciiTheme="majorBidi" w:hAnsiTheme="majorBidi" w:cstheme="majorBidi"/>
              </w:rPr>
            </w:pPr>
          </w:p>
        </w:tc>
        <w:tc>
          <w:tcPr>
            <w:tcW w:w="459" w:type="pct"/>
          </w:tcPr>
          <w:p w14:paraId="474570C4" w14:textId="77777777" w:rsidR="005976AB" w:rsidRPr="005635E7" w:rsidRDefault="005976AB" w:rsidP="009E2F41">
            <w:pPr>
              <w:rPr>
                <w:rFonts w:asciiTheme="majorBidi" w:hAnsiTheme="majorBidi" w:cstheme="majorBidi"/>
              </w:rPr>
            </w:pPr>
          </w:p>
        </w:tc>
        <w:tc>
          <w:tcPr>
            <w:tcW w:w="459" w:type="pct"/>
          </w:tcPr>
          <w:p w14:paraId="4E03DBB4" w14:textId="77777777" w:rsidR="005976AB" w:rsidRPr="005635E7" w:rsidRDefault="005976AB" w:rsidP="009E2F41">
            <w:pPr>
              <w:rPr>
                <w:rFonts w:asciiTheme="majorBidi" w:hAnsiTheme="majorBidi" w:cstheme="majorBidi"/>
              </w:rPr>
            </w:pPr>
          </w:p>
        </w:tc>
        <w:tc>
          <w:tcPr>
            <w:tcW w:w="459" w:type="pct"/>
          </w:tcPr>
          <w:p w14:paraId="051073B1" w14:textId="77777777" w:rsidR="005976AB" w:rsidRPr="005635E7" w:rsidRDefault="005976AB" w:rsidP="009E2F41">
            <w:pPr>
              <w:rPr>
                <w:rFonts w:asciiTheme="majorBidi" w:hAnsiTheme="majorBidi" w:cstheme="majorBidi"/>
              </w:rPr>
            </w:pPr>
          </w:p>
        </w:tc>
        <w:tc>
          <w:tcPr>
            <w:tcW w:w="459" w:type="pct"/>
          </w:tcPr>
          <w:p w14:paraId="633304F8" w14:textId="77777777" w:rsidR="005976AB" w:rsidRPr="005635E7" w:rsidRDefault="005976AB" w:rsidP="009E2F41">
            <w:pPr>
              <w:rPr>
                <w:rFonts w:asciiTheme="majorBidi" w:hAnsiTheme="majorBidi" w:cstheme="majorBidi"/>
              </w:rPr>
            </w:pPr>
          </w:p>
        </w:tc>
        <w:tc>
          <w:tcPr>
            <w:tcW w:w="457" w:type="pct"/>
          </w:tcPr>
          <w:p w14:paraId="37529CB9" w14:textId="77777777" w:rsidR="005976AB" w:rsidRPr="005635E7" w:rsidRDefault="005976AB" w:rsidP="009E2F41">
            <w:pPr>
              <w:rPr>
                <w:rFonts w:asciiTheme="majorBidi" w:hAnsiTheme="majorBidi" w:cstheme="majorBidi"/>
              </w:rPr>
            </w:pPr>
          </w:p>
        </w:tc>
      </w:tr>
      <w:tr w:rsidR="005976AB" w:rsidRPr="005635E7" w14:paraId="30F1ACAC" w14:textId="77777777" w:rsidTr="009E2F41">
        <w:trPr>
          <w:trHeight w:val="406"/>
        </w:trPr>
        <w:tc>
          <w:tcPr>
            <w:tcW w:w="263" w:type="pct"/>
            <w:vAlign w:val="center"/>
          </w:tcPr>
          <w:p w14:paraId="4F7E42D7"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39D71ED4"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تتابع هذه الشركة ما تقوم به شركات أخرى في القطاع، فتعتمد الممارسات والتقنيات التي ترى أنها مفيدة ومثيرة للاهتمام.</w:t>
            </w:r>
          </w:p>
        </w:tc>
        <w:tc>
          <w:tcPr>
            <w:tcW w:w="460" w:type="pct"/>
          </w:tcPr>
          <w:p w14:paraId="0CC67400" w14:textId="77777777" w:rsidR="005976AB" w:rsidRPr="005635E7" w:rsidRDefault="005976AB" w:rsidP="009E2F41">
            <w:pPr>
              <w:rPr>
                <w:rFonts w:asciiTheme="majorBidi" w:hAnsiTheme="majorBidi" w:cstheme="majorBidi"/>
              </w:rPr>
            </w:pPr>
          </w:p>
        </w:tc>
        <w:tc>
          <w:tcPr>
            <w:tcW w:w="459" w:type="pct"/>
          </w:tcPr>
          <w:p w14:paraId="345CD454" w14:textId="77777777" w:rsidR="005976AB" w:rsidRPr="005635E7" w:rsidRDefault="005976AB" w:rsidP="009E2F41">
            <w:pPr>
              <w:rPr>
                <w:rFonts w:asciiTheme="majorBidi" w:hAnsiTheme="majorBidi" w:cstheme="majorBidi"/>
              </w:rPr>
            </w:pPr>
          </w:p>
        </w:tc>
        <w:tc>
          <w:tcPr>
            <w:tcW w:w="459" w:type="pct"/>
          </w:tcPr>
          <w:p w14:paraId="684A7A6C" w14:textId="77777777" w:rsidR="005976AB" w:rsidRPr="005635E7" w:rsidRDefault="005976AB" w:rsidP="009E2F41">
            <w:pPr>
              <w:rPr>
                <w:rFonts w:asciiTheme="majorBidi" w:hAnsiTheme="majorBidi" w:cstheme="majorBidi"/>
              </w:rPr>
            </w:pPr>
          </w:p>
        </w:tc>
        <w:tc>
          <w:tcPr>
            <w:tcW w:w="459" w:type="pct"/>
          </w:tcPr>
          <w:p w14:paraId="0C476E42" w14:textId="77777777" w:rsidR="005976AB" w:rsidRPr="005635E7" w:rsidRDefault="005976AB" w:rsidP="009E2F41">
            <w:pPr>
              <w:rPr>
                <w:rFonts w:asciiTheme="majorBidi" w:hAnsiTheme="majorBidi" w:cstheme="majorBidi"/>
              </w:rPr>
            </w:pPr>
          </w:p>
        </w:tc>
        <w:tc>
          <w:tcPr>
            <w:tcW w:w="459" w:type="pct"/>
          </w:tcPr>
          <w:p w14:paraId="2B5D9878" w14:textId="77777777" w:rsidR="005976AB" w:rsidRPr="005635E7" w:rsidRDefault="005976AB" w:rsidP="009E2F41">
            <w:pPr>
              <w:rPr>
                <w:rFonts w:asciiTheme="majorBidi" w:hAnsiTheme="majorBidi" w:cstheme="majorBidi"/>
              </w:rPr>
            </w:pPr>
          </w:p>
        </w:tc>
        <w:tc>
          <w:tcPr>
            <w:tcW w:w="459" w:type="pct"/>
          </w:tcPr>
          <w:p w14:paraId="40AEF9CD" w14:textId="77777777" w:rsidR="005976AB" w:rsidRPr="005635E7" w:rsidRDefault="005976AB" w:rsidP="009E2F41">
            <w:pPr>
              <w:rPr>
                <w:rFonts w:asciiTheme="majorBidi" w:hAnsiTheme="majorBidi" w:cstheme="majorBidi"/>
              </w:rPr>
            </w:pPr>
          </w:p>
        </w:tc>
        <w:tc>
          <w:tcPr>
            <w:tcW w:w="457" w:type="pct"/>
          </w:tcPr>
          <w:p w14:paraId="13B20EE2" w14:textId="77777777" w:rsidR="005976AB" w:rsidRPr="005635E7" w:rsidRDefault="005976AB" w:rsidP="009E2F41">
            <w:pPr>
              <w:rPr>
                <w:rFonts w:asciiTheme="majorBidi" w:hAnsiTheme="majorBidi" w:cstheme="majorBidi"/>
              </w:rPr>
            </w:pPr>
          </w:p>
        </w:tc>
      </w:tr>
      <w:tr w:rsidR="005976AB" w:rsidRPr="005635E7" w14:paraId="075626F6" w14:textId="77777777" w:rsidTr="009E2F41">
        <w:trPr>
          <w:trHeight w:val="431"/>
        </w:trPr>
        <w:tc>
          <w:tcPr>
            <w:tcW w:w="263" w:type="pct"/>
            <w:vAlign w:val="center"/>
          </w:tcPr>
          <w:p w14:paraId="427A21A5"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626984A4"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تعتبر الخبرات والأفكار التي تقدمها مصادر خارجية (المستشارون والعملاء وشركات التدريب، وما إلى ذلك) أداة مفيدة لتعلم هذه الشركة.</w:t>
            </w:r>
          </w:p>
        </w:tc>
        <w:tc>
          <w:tcPr>
            <w:tcW w:w="460" w:type="pct"/>
          </w:tcPr>
          <w:p w14:paraId="05126F48" w14:textId="77777777" w:rsidR="005976AB" w:rsidRPr="005635E7" w:rsidRDefault="005976AB" w:rsidP="009E2F41">
            <w:pPr>
              <w:rPr>
                <w:rFonts w:asciiTheme="majorBidi" w:hAnsiTheme="majorBidi" w:cstheme="majorBidi"/>
              </w:rPr>
            </w:pPr>
          </w:p>
        </w:tc>
        <w:tc>
          <w:tcPr>
            <w:tcW w:w="459" w:type="pct"/>
          </w:tcPr>
          <w:p w14:paraId="2F43DF9E" w14:textId="77777777" w:rsidR="005976AB" w:rsidRPr="005635E7" w:rsidRDefault="005976AB" w:rsidP="009E2F41">
            <w:pPr>
              <w:rPr>
                <w:rFonts w:asciiTheme="majorBidi" w:hAnsiTheme="majorBidi" w:cstheme="majorBidi"/>
              </w:rPr>
            </w:pPr>
          </w:p>
        </w:tc>
        <w:tc>
          <w:tcPr>
            <w:tcW w:w="459" w:type="pct"/>
          </w:tcPr>
          <w:p w14:paraId="59E68EA8" w14:textId="77777777" w:rsidR="005976AB" w:rsidRPr="005635E7" w:rsidRDefault="005976AB" w:rsidP="009E2F41">
            <w:pPr>
              <w:rPr>
                <w:rFonts w:asciiTheme="majorBidi" w:hAnsiTheme="majorBidi" w:cstheme="majorBidi"/>
              </w:rPr>
            </w:pPr>
          </w:p>
        </w:tc>
        <w:tc>
          <w:tcPr>
            <w:tcW w:w="459" w:type="pct"/>
          </w:tcPr>
          <w:p w14:paraId="7CFBB033" w14:textId="77777777" w:rsidR="005976AB" w:rsidRPr="005635E7" w:rsidRDefault="005976AB" w:rsidP="009E2F41">
            <w:pPr>
              <w:rPr>
                <w:rFonts w:asciiTheme="majorBidi" w:hAnsiTheme="majorBidi" w:cstheme="majorBidi"/>
              </w:rPr>
            </w:pPr>
          </w:p>
        </w:tc>
        <w:tc>
          <w:tcPr>
            <w:tcW w:w="459" w:type="pct"/>
          </w:tcPr>
          <w:p w14:paraId="5EA38751" w14:textId="77777777" w:rsidR="005976AB" w:rsidRPr="005635E7" w:rsidRDefault="005976AB" w:rsidP="009E2F41">
            <w:pPr>
              <w:rPr>
                <w:rFonts w:asciiTheme="majorBidi" w:hAnsiTheme="majorBidi" w:cstheme="majorBidi"/>
              </w:rPr>
            </w:pPr>
          </w:p>
        </w:tc>
        <w:tc>
          <w:tcPr>
            <w:tcW w:w="459" w:type="pct"/>
          </w:tcPr>
          <w:p w14:paraId="428B12C1" w14:textId="77777777" w:rsidR="005976AB" w:rsidRPr="005635E7" w:rsidRDefault="005976AB" w:rsidP="009E2F41">
            <w:pPr>
              <w:rPr>
                <w:rFonts w:asciiTheme="majorBidi" w:hAnsiTheme="majorBidi" w:cstheme="majorBidi"/>
              </w:rPr>
            </w:pPr>
          </w:p>
        </w:tc>
        <w:tc>
          <w:tcPr>
            <w:tcW w:w="457" w:type="pct"/>
          </w:tcPr>
          <w:p w14:paraId="6C5B5844" w14:textId="77777777" w:rsidR="005976AB" w:rsidRPr="005635E7" w:rsidRDefault="005976AB" w:rsidP="009E2F41">
            <w:pPr>
              <w:rPr>
                <w:rFonts w:asciiTheme="majorBidi" w:hAnsiTheme="majorBidi" w:cstheme="majorBidi"/>
              </w:rPr>
            </w:pPr>
          </w:p>
        </w:tc>
      </w:tr>
      <w:tr w:rsidR="005976AB" w:rsidRPr="005635E7" w14:paraId="09A0697E" w14:textId="77777777" w:rsidTr="009E2F41">
        <w:trPr>
          <w:trHeight w:val="406"/>
        </w:trPr>
        <w:tc>
          <w:tcPr>
            <w:tcW w:w="263" w:type="pct"/>
            <w:vAlign w:val="center"/>
          </w:tcPr>
          <w:p w14:paraId="0F216165"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0EA211BF"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يتمثل جزء من ثقافة هذه الشركة في تمكّن الموظفين من التعبير عن آرائهم وتقديم اقتراحات بشأن الإجراءات والأساليب المعمول بها لتنفيذ المهام.</w:t>
            </w:r>
          </w:p>
        </w:tc>
        <w:tc>
          <w:tcPr>
            <w:tcW w:w="460" w:type="pct"/>
          </w:tcPr>
          <w:p w14:paraId="7A8F8CBF" w14:textId="77777777" w:rsidR="005976AB" w:rsidRPr="005635E7" w:rsidRDefault="005976AB" w:rsidP="009E2F41">
            <w:pPr>
              <w:rPr>
                <w:rFonts w:asciiTheme="majorBidi" w:hAnsiTheme="majorBidi" w:cstheme="majorBidi"/>
              </w:rPr>
            </w:pPr>
          </w:p>
        </w:tc>
        <w:tc>
          <w:tcPr>
            <w:tcW w:w="459" w:type="pct"/>
          </w:tcPr>
          <w:p w14:paraId="70177CB6" w14:textId="77777777" w:rsidR="005976AB" w:rsidRPr="005635E7" w:rsidRDefault="005976AB" w:rsidP="009E2F41">
            <w:pPr>
              <w:rPr>
                <w:rFonts w:asciiTheme="majorBidi" w:hAnsiTheme="majorBidi" w:cstheme="majorBidi"/>
              </w:rPr>
            </w:pPr>
          </w:p>
        </w:tc>
        <w:tc>
          <w:tcPr>
            <w:tcW w:w="459" w:type="pct"/>
          </w:tcPr>
          <w:p w14:paraId="50183FBD" w14:textId="77777777" w:rsidR="005976AB" w:rsidRPr="005635E7" w:rsidRDefault="005976AB" w:rsidP="009E2F41">
            <w:pPr>
              <w:rPr>
                <w:rFonts w:asciiTheme="majorBidi" w:hAnsiTheme="majorBidi" w:cstheme="majorBidi"/>
              </w:rPr>
            </w:pPr>
          </w:p>
        </w:tc>
        <w:tc>
          <w:tcPr>
            <w:tcW w:w="459" w:type="pct"/>
          </w:tcPr>
          <w:p w14:paraId="4D52059C" w14:textId="77777777" w:rsidR="005976AB" w:rsidRPr="005635E7" w:rsidRDefault="005976AB" w:rsidP="009E2F41">
            <w:pPr>
              <w:rPr>
                <w:rFonts w:asciiTheme="majorBidi" w:hAnsiTheme="majorBidi" w:cstheme="majorBidi"/>
              </w:rPr>
            </w:pPr>
          </w:p>
        </w:tc>
        <w:tc>
          <w:tcPr>
            <w:tcW w:w="459" w:type="pct"/>
          </w:tcPr>
          <w:p w14:paraId="5EAE043E" w14:textId="77777777" w:rsidR="005976AB" w:rsidRPr="005635E7" w:rsidRDefault="005976AB" w:rsidP="009E2F41">
            <w:pPr>
              <w:rPr>
                <w:rFonts w:asciiTheme="majorBidi" w:hAnsiTheme="majorBidi" w:cstheme="majorBidi"/>
              </w:rPr>
            </w:pPr>
          </w:p>
        </w:tc>
        <w:tc>
          <w:tcPr>
            <w:tcW w:w="459" w:type="pct"/>
          </w:tcPr>
          <w:p w14:paraId="54E59ECE" w14:textId="77777777" w:rsidR="005976AB" w:rsidRPr="005635E7" w:rsidRDefault="005976AB" w:rsidP="009E2F41">
            <w:pPr>
              <w:rPr>
                <w:rFonts w:asciiTheme="majorBidi" w:hAnsiTheme="majorBidi" w:cstheme="majorBidi"/>
              </w:rPr>
            </w:pPr>
          </w:p>
        </w:tc>
        <w:tc>
          <w:tcPr>
            <w:tcW w:w="457" w:type="pct"/>
          </w:tcPr>
          <w:p w14:paraId="080A2E57" w14:textId="77777777" w:rsidR="005976AB" w:rsidRPr="005635E7" w:rsidRDefault="005976AB" w:rsidP="009E2F41">
            <w:pPr>
              <w:rPr>
                <w:rFonts w:asciiTheme="majorBidi" w:hAnsiTheme="majorBidi" w:cstheme="majorBidi"/>
              </w:rPr>
            </w:pPr>
          </w:p>
        </w:tc>
      </w:tr>
      <w:tr w:rsidR="005976AB" w:rsidRPr="005635E7" w14:paraId="4C0DA6C2" w14:textId="77777777" w:rsidTr="009E2F41">
        <w:trPr>
          <w:trHeight w:val="431"/>
        </w:trPr>
        <w:tc>
          <w:tcPr>
            <w:tcW w:w="263" w:type="pct"/>
            <w:vAlign w:val="center"/>
          </w:tcPr>
          <w:p w14:paraId="69FBCEDA"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7C3B775B"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تتم دائمًا مناقشة الأخطاء والإخفاقات وتحليلها في هذه الشركة على جميع المستويات.</w:t>
            </w:r>
          </w:p>
        </w:tc>
        <w:tc>
          <w:tcPr>
            <w:tcW w:w="460" w:type="pct"/>
          </w:tcPr>
          <w:p w14:paraId="105EC90F" w14:textId="77777777" w:rsidR="005976AB" w:rsidRPr="005635E7" w:rsidRDefault="005976AB" w:rsidP="009E2F41">
            <w:pPr>
              <w:rPr>
                <w:rFonts w:asciiTheme="majorBidi" w:hAnsiTheme="majorBidi" w:cstheme="majorBidi"/>
              </w:rPr>
            </w:pPr>
          </w:p>
        </w:tc>
        <w:tc>
          <w:tcPr>
            <w:tcW w:w="459" w:type="pct"/>
          </w:tcPr>
          <w:p w14:paraId="1F54069D" w14:textId="77777777" w:rsidR="005976AB" w:rsidRPr="005635E7" w:rsidRDefault="005976AB" w:rsidP="009E2F41">
            <w:pPr>
              <w:rPr>
                <w:rFonts w:asciiTheme="majorBidi" w:hAnsiTheme="majorBidi" w:cstheme="majorBidi"/>
              </w:rPr>
            </w:pPr>
          </w:p>
        </w:tc>
        <w:tc>
          <w:tcPr>
            <w:tcW w:w="459" w:type="pct"/>
          </w:tcPr>
          <w:p w14:paraId="758E776B" w14:textId="77777777" w:rsidR="005976AB" w:rsidRPr="005635E7" w:rsidRDefault="005976AB" w:rsidP="009E2F41">
            <w:pPr>
              <w:rPr>
                <w:rFonts w:asciiTheme="majorBidi" w:hAnsiTheme="majorBidi" w:cstheme="majorBidi"/>
              </w:rPr>
            </w:pPr>
          </w:p>
        </w:tc>
        <w:tc>
          <w:tcPr>
            <w:tcW w:w="459" w:type="pct"/>
          </w:tcPr>
          <w:p w14:paraId="75884186" w14:textId="77777777" w:rsidR="005976AB" w:rsidRPr="005635E7" w:rsidRDefault="005976AB" w:rsidP="009E2F41">
            <w:pPr>
              <w:rPr>
                <w:rFonts w:asciiTheme="majorBidi" w:hAnsiTheme="majorBidi" w:cstheme="majorBidi"/>
              </w:rPr>
            </w:pPr>
          </w:p>
        </w:tc>
        <w:tc>
          <w:tcPr>
            <w:tcW w:w="459" w:type="pct"/>
          </w:tcPr>
          <w:p w14:paraId="0746A30D" w14:textId="77777777" w:rsidR="005976AB" w:rsidRPr="005635E7" w:rsidRDefault="005976AB" w:rsidP="009E2F41">
            <w:pPr>
              <w:rPr>
                <w:rFonts w:asciiTheme="majorBidi" w:hAnsiTheme="majorBidi" w:cstheme="majorBidi"/>
              </w:rPr>
            </w:pPr>
          </w:p>
        </w:tc>
        <w:tc>
          <w:tcPr>
            <w:tcW w:w="459" w:type="pct"/>
          </w:tcPr>
          <w:p w14:paraId="3BE9D675" w14:textId="77777777" w:rsidR="005976AB" w:rsidRPr="005635E7" w:rsidRDefault="005976AB" w:rsidP="009E2F41">
            <w:pPr>
              <w:rPr>
                <w:rFonts w:asciiTheme="majorBidi" w:hAnsiTheme="majorBidi" w:cstheme="majorBidi"/>
              </w:rPr>
            </w:pPr>
          </w:p>
        </w:tc>
        <w:tc>
          <w:tcPr>
            <w:tcW w:w="457" w:type="pct"/>
          </w:tcPr>
          <w:p w14:paraId="14D50AD7" w14:textId="77777777" w:rsidR="005976AB" w:rsidRPr="005635E7" w:rsidRDefault="005976AB" w:rsidP="009E2F41">
            <w:pPr>
              <w:rPr>
                <w:rFonts w:asciiTheme="majorBidi" w:hAnsiTheme="majorBidi" w:cstheme="majorBidi"/>
              </w:rPr>
            </w:pPr>
          </w:p>
        </w:tc>
      </w:tr>
      <w:tr w:rsidR="005976AB" w:rsidRPr="005635E7" w14:paraId="29204AD0" w14:textId="77777777" w:rsidTr="009E2F41">
        <w:trPr>
          <w:trHeight w:val="406"/>
        </w:trPr>
        <w:tc>
          <w:tcPr>
            <w:tcW w:w="263" w:type="pct"/>
            <w:vAlign w:val="center"/>
          </w:tcPr>
          <w:p w14:paraId="42C33359"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5595B320"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يتمتع الموظفون بفرصة التحدث فيما بينهم حول الأفكار والبرامج والأنشطة الجديدة التي قد تكون مفيدة للشركة.</w:t>
            </w:r>
          </w:p>
        </w:tc>
        <w:tc>
          <w:tcPr>
            <w:tcW w:w="460" w:type="pct"/>
          </w:tcPr>
          <w:p w14:paraId="6B05ABA3" w14:textId="77777777" w:rsidR="005976AB" w:rsidRPr="005635E7" w:rsidRDefault="005976AB" w:rsidP="009E2F41">
            <w:pPr>
              <w:rPr>
                <w:rFonts w:asciiTheme="majorBidi" w:hAnsiTheme="majorBidi" w:cstheme="majorBidi"/>
              </w:rPr>
            </w:pPr>
          </w:p>
        </w:tc>
        <w:tc>
          <w:tcPr>
            <w:tcW w:w="459" w:type="pct"/>
          </w:tcPr>
          <w:p w14:paraId="53968453" w14:textId="77777777" w:rsidR="005976AB" w:rsidRPr="005635E7" w:rsidRDefault="005976AB" w:rsidP="009E2F41">
            <w:pPr>
              <w:rPr>
                <w:rFonts w:asciiTheme="majorBidi" w:hAnsiTheme="majorBidi" w:cstheme="majorBidi"/>
              </w:rPr>
            </w:pPr>
          </w:p>
        </w:tc>
        <w:tc>
          <w:tcPr>
            <w:tcW w:w="459" w:type="pct"/>
          </w:tcPr>
          <w:p w14:paraId="505F4496" w14:textId="77777777" w:rsidR="005976AB" w:rsidRPr="005635E7" w:rsidRDefault="005976AB" w:rsidP="009E2F41">
            <w:pPr>
              <w:rPr>
                <w:rFonts w:asciiTheme="majorBidi" w:hAnsiTheme="majorBidi" w:cstheme="majorBidi"/>
              </w:rPr>
            </w:pPr>
          </w:p>
        </w:tc>
        <w:tc>
          <w:tcPr>
            <w:tcW w:w="459" w:type="pct"/>
          </w:tcPr>
          <w:p w14:paraId="71D6FF90" w14:textId="77777777" w:rsidR="005976AB" w:rsidRPr="005635E7" w:rsidRDefault="005976AB" w:rsidP="009E2F41">
            <w:pPr>
              <w:rPr>
                <w:rFonts w:asciiTheme="majorBidi" w:hAnsiTheme="majorBidi" w:cstheme="majorBidi"/>
              </w:rPr>
            </w:pPr>
          </w:p>
        </w:tc>
        <w:tc>
          <w:tcPr>
            <w:tcW w:w="459" w:type="pct"/>
          </w:tcPr>
          <w:p w14:paraId="601725AE" w14:textId="77777777" w:rsidR="005976AB" w:rsidRPr="005635E7" w:rsidRDefault="005976AB" w:rsidP="009E2F41">
            <w:pPr>
              <w:rPr>
                <w:rFonts w:asciiTheme="majorBidi" w:hAnsiTheme="majorBidi" w:cstheme="majorBidi"/>
              </w:rPr>
            </w:pPr>
          </w:p>
        </w:tc>
        <w:tc>
          <w:tcPr>
            <w:tcW w:w="459" w:type="pct"/>
          </w:tcPr>
          <w:p w14:paraId="730D737A" w14:textId="77777777" w:rsidR="005976AB" w:rsidRPr="005635E7" w:rsidRDefault="005976AB" w:rsidP="009E2F41">
            <w:pPr>
              <w:rPr>
                <w:rFonts w:asciiTheme="majorBidi" w:hAnsiTheme="majorBidi" w:cstheme="majorBidi"/>
              </w:rPr>
            </w:pPr>
          </w:p>
        </w:tc>
        <w:tc>
          <w:tcPr>
            <w:tcW w:w="457" w:type="pct"/>
          </w:tcPr>
          <w:p w14:paraId="66140568" w14:textId="77777777" w:rsidR="005976AB" w:rsidRPr="005635E7" w:rsidRDefault="005976AB" w:rsidP="009E2F41">
            <w:pPr>
              <w:rPr>
                <w:rFonts w:asciiTheme="majorBidi" w:hAnsiTheme="majorBidi" w:cstheme="majorBidi"/>
              </w:rPr>
            </w:pPr>
          </w:p>
        </w:tc>
      </w:tr>
      <w:tr w:rsidR="005976AB" w:rsidRPr="005635E7" w14:paraId="4025B0A0" w14:textId="77777777" w:rsidTr="009E2F41">
        <w:trPr>
          <w:trHeight w:val="431"/>
        </w:trPr>
        <w:tc>
          <w:tcPr>
            <w:tcW w:w="263" w:type="pct"/>
            <w:vAlign w:val="center"/>
          </w:tcPr>
          <w:p w14:paraId="56E2D3D8"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56E5EDD8"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في هذه الشركة، لا يعتبر العمل الجماعي هو الطريقة المعتادة للعمل.</w:t>
            </w:r>
          </w:p>
        </w:tc>
        <w:tc>
          <w:tcPr>
            <w:tcW w:w="460" w:type="pct"/>
          </w:tcPr>
          <w:p w14:paraId="4DE25248" w14:textId="77777777" w:rsidR="005976AB" w:rsidRPr="005635E7" w:rsidRDefault="005976AB" w:rsidP="009E2F41">
            <w:pPr>
              <w:rPr>
                <w:rFonts w:asciiTheme="majorBidi" w:hAnsiTheme="majorBidi" w:cstheme="majorBidi"/>
              </w:rPr>
            </w:pPr>
          </w:p>
        </w:tc>
        <w:tc>
          <w:tcPr>
            <w:tcW w:w="459" w:type="pct"/>
          </w:tcPr>
          <w:p w14:paraId="7E7B73B0" w14:textId="77777777" w:rsidR="005976AB" w:rsidRPr="005635E7" w:rsidRDefault="005976AB" w:rsidP="009E2F41">
            <w:pPr>
              <w:rPr>
                <w:rFonts w:asciiTheme="majorBidi" w:hAnsiTheme="majorBidi" w:cstheme="majorBidi"/>
              </w:rPr>
            </w:pPr>
          </w:p>
        </w:tc>
        <w:tc>
          <w:tcPr>
            <w:tcW w:w="459" w:type="pct"/>
          </w:tcPr>
          <w:p w14:paraId="6112177A" w14:textId="77777777" w:rsidR="005976AB" w:rsidRPr="005635E7" w:rsidRDefault="005976AB" w:rsidP="009E2F41">
            <w:pPr>
              <w:rPr>
                <w:rFonts w:asciiTheme="majorBidi" w:hAnsiTheme="majorBidi" w:cstheme="majorBidi"/>
              </w:rPr>
            </w:pPr>
          </w:p>
        </w:tc>
        <w:tc>
          <w:tcPr>
            <w:tcW w:w="459" w:type="pct"/>
          </w:tcPr>
          <w:p w14:paraId="0E1B9CEF" w14:textId="77777777" w:rsidR="005976AB" w:rsidRPr="005635E7" w:rsidRDefault="005976AB" w:rsidP="009E2F41">
            <w:pPr>
              <w:rPr>
                <w:rFonts w:asciiTheme="majorBidi" w:hAnsiTheme="majorBidi" w:cstheme="majorBidi"/>
              </w:rPr>
            </w:pPr>
          </w:p>
        </w:tc>
        <w:tc>
          <w:tcPr>
            <w:tcW w:w="459" w:type="pct"/>
          </w:tcPr>
          <w:p w14:paraId="546028BB" w14:textId="77777777" w:rsidR="005976AB" w:rsidRPr="005635E7" w:rsidRDefault="005976AB" w:rsidP="009E2F41">
            <w:pPr>
              <w:rPr>
                <w:rFonts w:asciiTheme="majorBidi" w:hAnsiTheme="majorBidi" w:cstheme="majorBidi"/>
              </w:rPr>
            </w:pPr>
          </w:p>
        </w:tc>
        <w:tc>
          <w:tcPr>
            <w:tcW w:w="459" w:type="pct"/>
          </w:tcPr>
          <w:p w14:paraId="080778B6" w14:textId="77777777" w:rsidR="005976AB" w:rsidRPr="005635E7" w:rsidRDefault="005976AB" w:rsidP="009E2F41">
            <w:pPr>
              <w:rPr>
                <w:rFonts w:asciiTheme="majorBidi" w:hAnsiTheme="majorBidi" w:cstheme="majorBidi"/>
              </w:rPr>
            </w:pPr>
          </w:p>
        </w:tc>
        <w:tc>
          <w:tcPr>
            <w:tcW w:w="457" w:type="pct"/>
          </w:tcPr>
          <w:p w14:paraId="21AE8B60" w14:textId="77777777" w:rsidR="005976AB" w:rsidRPr="005635E7" w:rsidRDefault="005976AB" w:rsidP="009E2F41">
            <w:pPr>
              <w:rPr>
                <w:rFonts w:asciiTheme="majorBidi" w:hAnsiTheme="majorBidi" w:cstheme="majorBidi"/>
              </w:rPr>
            </w:pPr>
          </w:p>
        </w:tc>
      </w:tr>
      <w:tr w:rsidR="005976AB" w:rsidRPr="005635E7" w14:paraId="6C2C237E" w14:textId="77777777" w:rsidTr="009E2F41">
        <w:trPr>
          <w:trHeight w:val="406"/>
        </w:trPr>
        <w:tc>
          <w:tcPr>
            <w:tcW w:w="263" w:type="pct"/>
            <w:vAlign w:val="center"/>
          </w:tcPr>
          <w:p w14:paraId="00F5C04C"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6EDED2BD"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لدى الشركة أدوات (كتيبات وقواعد بيانات وملفات وإجراءات تنظيمية، وما إلى ذلك) تتيح بقاء ما تم تعلمه في المواقف السابقة صالحًا، على الرغم من أن الموظفين لم يعودوا كما كانوا</w:t>
            </w:r>
          </w:p>
        </w:tc>
        <w:tc>
          <w:tcPr>
            <w:tcW w:w="460" w:type="pct"/>
          </w:tcPr>
          <w:p w14:paraId="7547802A" w14:textId="77777777" w:rsidR="005976AB" w:rsidRPr="005635E7" w:rsidRDefault="005976AB" w:rsidP="009E2F41">
            <w:pPr>
              <w:rPr>
                <w:rFonts w:asciiTheme="majorBidi" w:hAnsiTheme="majorBidi" w:cstheme="majorBidi"/>
              </w:rPr>
            </w:pPr>
          </w:p>
        </w:tc>
        <w:tc>
          <w:tcPr>
            <w:tcW w:w="459" w:type="pct"/>
          </w:tcPr>
          <w:p w14:paraId="530CB907" w14:textId="77777777" w:rsidR="005976AB" w:rsidRPr="005635E7" w:rsidRDefault="005976AB" w:rsidP="009E2F41">
            <w:pPr>
              <w:rPr>
                <w:rFonts w:asciiTheme="majorBidi" w:hAnsiTheme="majorBidi" w:cstheme="majorBidi"/>
              </w:rPr>
            </w:pPr>
          </w:p>
        </w:tc>
        <w:tc>
          <w:tcPr>
            <w:tcW w:w="459" w:type="pct"/>
          </w:tcPr>
          <w:p w14:paraId="2A231F6E" w14:textId="77777777" w:rsidR="005976AB" w:rsidRPr="005635E7" w:rsidRDefault="005976AB" w:rsidP="009E2F41">
            <w:pPr>
              <w:rPr>
                <w:rFonts w:asciiTheme="majorBidi" w:hAnsiTheme="majorBidi" w:cstheme="majorBidi"/>
              </w:rPr>
            </w:pPr>
          </w:p>
        </w:tc>
        <w:tc>
          <w:tcPr>
            <w:tcW w:w="459" w:type="pct"/>
          </w:tcPr>
          <w:p w14:paraId="2079894B" w14:textId="77777777" w:rsidR="005976AB" w:rsidRPr="005635E7" w:rsidRDefault="005976AB" w:rsidP="009E2F41">
            <w:pPr>
              <w:rPr>
                <w:rFonts w:asciiTheme="majorBidi" w:hAnsiTheme="majorBidi" w:cstheme="majorBidi"/>
              </w:rPr>
            </w:pPr>
          </w:p>
        </w:tc>
        <w:tc>
          <w:tcPr>
            <w:tcW w:w="459" w:type="pct"/>
          </w:tcPr>
          <w:p w14:paraId="7194BCEA" w14:textId="77777777" w:rsidR="005976AB" w:rsidRPr="005635E7" w:rsidRDefault="005976AB" w:rsidP="009E2F41">
            <w:pPr>
              <w:rPr>
                <w:rFonts w:asciiTheme="majorBidi" w:hAnsiTheme="majorBidi" w:cstheme="majorBidi"/>
              </w:rPr>
            </w:pPr>
          </w:p>
        </w:tc>
        <w:tc>
          <w:tcPr>
            <w:tcW w:w="459" w:type="pct"/>
          </w:tcPr>
          <w:p w14:paraId="72203F76" w14:textId="77777777" w:rsidR="005976AB" w:rsidRPr="005635E7" w:rsidRDefault="005976AB" w:rsidP="009E2F41">
            <w:pPr>
              <w:rPr>
                <w:rFonts w:asciiTheme="majorBidi" w:hAnsiTheme="majorBidi" w:cstheme="majorBidi"/>
              </w:rPr>
            </w:pPr>
          </w:p>
        </w:tc>
        <w:tc>
          <w:tcPr>
            <w:tcW w:w="457" w:type="pct"/>
          </w:tcPr>
          <w:p w14:paraId="5A2F85C8" w14:textId="77777777" w:rsidR="005976AB" w:rsidRPr="005635E7" w:rsidRDefault="005976AB" w:rsidP="009E2F41">
            <w:pPr>
              <w:rPr>
                <w:rFonts w:asciiTheme="majorBidi" w:hAnsiTheme="majorBidi" w:cstheme="majorBidi"/>
              </w:rPr>
            </w:pPr>
          </w:p>
        </w:tc>
      </w:tr>
    </w:tbl>
    <w:p w14:paraId="745A90CE" w14:textId="77777777" w:rsidR="005976AB" w:rsidRPr="005635E7" w:rsidRDefault="005976AB" w:rsidP="005976AB">
      <w:pPr>
        <w:rPr>
          <w:rFonts w:asciiTheme="majorBidi" w:hAnsiTheme="majorBidi" w:cstheme="majorBidi"/>
        </w:rPr>
      </w:pPr>
    </w:p>
    <w:p w14:paraId="51722EBD" w14:textId="77777777" w:rsidR="005976AB" w:rsidRPr="005635E7" w:rsidRDefault="005976AB" w:rsidP="005976AB">
      <w:pPr>
        <w:pStyle w:val="P68B1DB1-Normal9"/>
        <w:rPr>
          <w:rFonts w:asciiTheme="majorBidi" w:hAnsiTheme="majorBidi" w:cstheme="majorBidi"/>
          <w:szCs w:val="22"/>
        </w:rPr>
      </w:pPr>
      <w:r w:rsidRPr="005635E7">
        <w:rPr>
          <w:rFonts w:asciiTheme="majorBidi" w:hAnsiTheme="majorBidi" w:cstheme="majorBidi"/>
          <w:noProof/>
          <w:szCs w:val="22"/>
        </w:rPr>
        <mc:AlternateContent>
          <mc:Choice Requires="wps">
            <w:drawing>
              <wp:anchor distT="0" distB="0" distL="114300" distR="114300" simplePos="0" relativeHeight="251685888" behindDoc="0" locked="0" layoutInCell="1" allowOverlap="1" wp14:anchorId="4F15290D" wp14:editId="79D4B874">
                <wp:simplePos x="0" y="0"/>
                <wp:positionH relativeFrom="margin">
                  <wp:align>center</wp:align>
                </wp:positionH>
                <wp:positionV relativeFrom="paragraph">
                  <wp:posOffset>-66675</wp:posOffset>
                </wp:positionV>
                <wp:extent cx="6276975" cy="333375"/>
                <wp:effectExtent l="0" t="0" r="28575" b="28575"/>
                <wp:wrapNone/>
                <wp:docPr id="12" name="Rounded Rectangle 1"/>
                <wp:cNvGraphicFramePr/>
                <a:graphic xmlns:a="http://schemas.openxmlformats.org/drawingml/2006/main">
                  <a:graphicData uri="http://schemas.microsoft.com/office/word/2010/wordprocessingShape">
                    <wps:wsp>
                      <wps:cNvSpPr/>
                      <wps:spPr>
                        <a:xfrm>
                          <a:off x="0" y="0"/>
                          <a:ext cx="6276975" cy="333375"/>
                        </a:xfrm>
                        <a:prstGeom prst="roundRect">
                          <a:avLst/>
                        </a:prstGeom>
                        <a:solidFill>
                          <a:sysClr val="window" lastClr="FFFFFF">
                            <a:lumMod val="95000"/>
                          </a:sysClr>
                        </a:solidFill>
                        <a:ln w="6350">
                          <a:solidFill>
                            <a:srgbClr val="4F81BD">
                              <a:shade val="50000"/>
                            </a:srgbClr>
                          </a:solidFill>
                          <a:prstDash val="solid"/>
                        </a:ln>
                        <a:effectLst/>
                      </wps:spPr>
                      <wps:txbx>
                        <w:txbxContent>
                          <w:p w14:paraId="3AE43A85" w14:textId="77777777" w:rsidR="005976AB" w:rsidRDefault="005976AB" w:rsidP="005976AB">
                            <w:pPr>
                              <w:pStyle w:val="P68B1DB1-Normal6"/>
                              <w:spacing w:after="160" w:line="259" w:lineRule="auto"/>
                              <w:jc w:val="center"/>
                              <w:rPr>
                                <w:sz w:val="32"/>
                              </w:rPr>
                            </w:pPr>
                            <w:r>
                              <w:t xml:space="preserve">القسم </w:t>
                            </w:r>
                            <w:r>
                              <w:rPr>
                                <w:rtl w:val="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4F15290D" id="_x0000_s1073" style="position:absolute;left:0;text-align:left;margin-left:0;margin-top:-5.25pt;width:494.25pt;height:26.25pt;z-index:251685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" fillcolor="#f2f2f2" strokecolor="#385d8a" strokeweight=".5pt">
                <v:textbox>
                  <w:txbxContent>
                    <w:p w14:paraId="3AE43A85" w14:textId="77777777" w:rsidR="005976AB" w:rsidRDefault="005976AB" w:rsidP="005976AB">
                      <w:pPr>
                        <w:pStyle w:val="P68B1DB1-Normal6"/>
                        <w:spacing w:after="160" w:line="259" w:lineRule="auto"/>
                        <w:jc w:val="center"/>
                        <w:rPr>
                          <w:sz w:val="32"/>
                        </w:rPr>
                      </w:pPr>
                      <w:r>
                        <w:t xml:space="preserve">القسم </w:t>
                      </w:r>
                      <w:r>
                        <w:rPr>
                          <w:rtl w:val="0"/>
                        </w:rPr>
                        <w:t>B</w:t>
                      </w:r>
                    </w:p>
                  </w:txbxContent>
                </v:textbox>
                <w10:wrap anchorx="margin"/>
              </v:roundrect>
            </w:pict>
          </mc:Fallback>
        </mc:AlternateContent>
      </w:r>
    </w:p>
    <w:p w14:paraId="2477E4E6" w14:textId="77777777" w:rsidR="005976AB" w:rsidRPr="005635E7" w:rsidRDefault="005976AB" w:rsidP="005976AB">
      <w:pPr>
        <w:rPr>
          <w:rFonts w:asciiTheme="majorBidi" w:hAnsiTheme="majorBidi" w:cstheme="majorBidi"/>
        </w:rPr>
      </w:pPr>
    </w:p>
    <w:p w14:paraId="26951609" w14:textId="77777777" w:rsidR="005976AB" w:rsidRPr="005635E7" w:rsidRDefault="005976AB" w:rsidP="005976AB">
      <w:pPr>
        <w:pStyle w:val="P68B1DB1-Normal13"/>
        <w:jc w:val="both"/>
        <w:rPr>
          <w:rFonts w:asciiTheme="majorBidi" w:hAnsiTheme="majorBidi" w:cstheme="majorBidi"/>
          <w:i w:val="0"/>
          <w:sz w:val="22"/>
          <w:szCs w:val="22"/>
        </w:rPr>
      </w:pPr>
      <w:r w:rsidRPr="005635E7">
        <w:rPr>
          <w:rFonts w:asciiTheme="majorBidi" w:hAnsiTheme="majorBidi" w:cstheme="majorBidi"/>
          <w:i w:val="0"/>
          <w:sz w:val="22"/>
          <w:szCs w:val="22"/>
        </w:rPr>
        <w:t>يتضمّن هذا القسم بيانات مختلفة فيما يتعلق بالابتكار المفتوح (OI). ويُعرّف بأنه نهج يفترض أن الشركات يمكنها وينبغي لها استخدام الأفكار الخارجية والأفكار الداخلية، والمسارات الداخلية والخارجية للسوق، بينما تتطلع الشركات إلى النهوض بتكنولوجياتها. من فضلك، ضع علامة تحقق على العبارات التالية، مع الإشارة إلى رأيك حول الابتكار المفتوح في شركتك.</w:t>
      </w:r>
    </w:p>
    <w:p w14:paraId="407B1FE0" w14:textId="77777777" w:rsidR="005976AB" w:rsidRPr="005635E7" w:rsidRDefault="005976AB" w:rsidP="005976AB">
      <w:pPr>
        <w:rPr>
          <w:rFonts w:asciiTheme="majorBidi" w:hAnsiTheme="majorBidi" w:cstheme="majorBidi"/>
        </w:rPr>
      </w:pPr>
    </w:p>
    <w:tbl>
      <w:tblPr>
        <w:tblStyle w:val="TableGrid"/>
        <w:bidiVisual/>
        <w:tblW w:w="5000" w:type="pct"/>
        <w:tblInd w:w="-113" w:type="dxa"/>
        <w:tblLayout w:type="fixed"/>
        <w:tblLook w:val="04A0" w:firstRow="1" w:lastRow="0" w:firstColumn="1" w:lastColumn="0" w:noHBand="0" w:noVBand="1"/>
      </w:tblPr>
      <w:tblGrid>
        <w:gridCol w:w="473"/>
        <w:gridCol w:w="2750"/>
        <w:gridCol w:w="829"/>
        <w:gridCol w:w="828"/>
        <w:gridCol w:w="828"/>
        <w:gridCol w:w="828"/>
        <w:gridCol w:w="828"/>
        <w:gridCol w:w="828"/>
        <w:gridCol w:w="824"/>
      </w:tblGrid>
      <w:tr w:rsidR="005976AB" w:rsidRPr="005635E7" w14:paraId="0788A6F7" w14:textId="77777777" w:rsidTr="009E2F41">
        <w:trPr>
          <w:trHeight w:val="820"/>
        </w:trPr>
        <w:tc>
          <w:tcPr>
            <w:tcW w:w="263" w:type="pct"/>
            <w:shd w:val="clear" w:color="auto" w:fill="ACB9CA" w:themeFill="text2" w:themeFillTint="66"/>
            <w:vAlign w:val="center"/>
          </w:tcPr>
          <w:p w14:paraId="4E82AE97"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الرقم المسلسل</w:t>
            </w:r>
          </w:p>
        </w:tc>
        <w:tc>
          <w:tcPr>
            <w:tcW w:w="1525" w:type="pct"/>
            <w:shd w:val="clear" w:color="auto" w:fill="ACB9CA" w:themeFill="text2" w:themeFillTint="66"/>
            <w:vAlign w:val="center"/>
          </w:tcPr>
          <w:p w14:paraId="0670A502"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الأسئلة</w:t>
            </w:r>
          </w:p>
        </w:tc>
        <w:tc>
          <w:tcPr>
            <w:tcW w:w="460" w:type="pct"/>
            <w:shd w:val="clear" w:color="auto" w:fill="ACB9CA" w:themeFill="text2" w:themeFillTint="66"/>
          </w:tcPr>
          <w:p w14:paraId="2A770283"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غير موافق بشدّة</w:t>
            </w:r>
          </w:p>
        </w:tc>
        <w:tc>
          <w:tcPr>
            <w:tcW w:w="459" w:type="pct"/>
            <w:shd w:val="clear" w:color="auto" w:fill="ACB9CA" w:themeFill="text2" w:themeFillTint="66"/>
          </w:tcPr>
          <w:p w14:paraId="32A82BB0"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لا أوافق</w:t>
            </w:r>
          </w:p>
        </w:tc>
        <w:tc>
          <w:tcPr>
            <w:tcW w:w="459" w:type="pct"/>
            <w:shd w:val="clear" w:color="auto" w:fill="ACB9CA" w:themeFill="text2" w:themeFillTint="66"/>
          </w:tcPr>
          <w:p w14:paraId="78A0DF71"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لا أوافق إلى حد ما</w:t>
            </w:r>
          </w:p>
        </w:tc>
        <w:tc>
          <w:tcPr>
            <w:tcW w:w="459" w:type="pct"/>
            <w:shd w:val="clear" w:color="auto" w:fill="ACB9CA" w:themeFill="text2" w:themeFillTint="66"/>
          </w:tcPr>
          <w:p w14:paraId="4EA8F074"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محايد</w:t>
            </w:r>
          </w:p>
          <w:p w14:paraId="421D7C77" w14:textId="77777777" w:rsidR="005976AB" w:rsidRPr="005635E7" w:rsidRDefault="005976AB" w:rsidP="009E2F41">
            <w:pPr>
              <w:rPr>
                <w:rFonts w:asciiTheme="majorBidi" w:hAnsiTheme="majorBidi" w:cstheme="majorBidi"/>
              </w:rPr>
            </w:pPr>
          </w:p>
        </w:tc>
        <w:tc>
          <w:tcPr>
            <w:tcW w:w="459" w:type="pct"/>
            <w:shd w:val="clear" w:color="auto" w:fill="ACB9CA" w:themeFill="text2" w:themeFillTint="66"/>
          </w:tcPr>
          <w:p w14:paraId="003CB168"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أوافق إلى حد ما</w:t>
            </w:r>
          </w:p>
        </w:tc>
        <w:tc>
          <w:tcPr>
            <w:tcW w:w="459" w:type="pct"/>
            <w:shd w:val="clear" w:color="auto" w:fill="ACB9CA" w:themeFill="text2" w:themeFillTint="66"/>
          </w:tcPr>
          <w:p w14:paraId="336EA3E5"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أوافق</w:t>
            </w:r>
          </w:p>
          <w:p w14:paraId="36925C1D" w14:textId="77777777" w:rsidR="005976AB" w:rsidRPr="005635E7" w:rsidRDefault="005976AB" w:rsidP="009E2F41">
            <w:pPr>
              <w:rPr>
                <w:rFonts w:asciiTheme="majorBidi" w:hAnsiTheme="majorBidi" w:cstheme="majorBidi"/>
              </w:rPr>
            </w:pPr>
          </w:p>
        </w:tc>
        <w:tc>
          <w:tcPr>
            <w:tcW w:w="457" w:type="pct"/>
            <w:shd w:val="clear" w:color="auto" w:fill="ACB9CA" w:themeFill="text2" w:themeFillTint="66"/>
          </w:tcPr>
          <w:p w14:paraId="27E4972F"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موافق بشدة</w:t>
            </w:r>
          </w:p>
        </w:tc>
      </w:tr>
      <w:tr w:rsidR="005976AB" w:rsidRPr="005635E7" w14:paraId="7D101882" w14:textId="77777777" w:rsidTr="009E2F41">
        <w:trPr>
          <w:trHeight w:val="431"/>
        </w:trPr>
        <w:tc>
          <w:tcPr>
            <w:tcW w:w="263" w:type="pct"/>
            <w:vAlign w:val="center"/>
          </w:tcPr>
          <w:p w14:paraId="207A10BF"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05E14003"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يشارك الشركاء الخارجيون، مثل العملاء أو المنافسين أو معاهد البحوث أو الاستشاريين أو الموردين أو الحكومة أو الجامعات، مشاركة مباشرة في جميع مشاريعنا الابتكارية</w:t>
            </w:r>
          </w:p>
        </w:tc>
        <w:tc>
          <w:tcPr>
            <w:tcW w:w="460" w:type="pct"/>
          </w:tcPr>
          <w:p w14:paraId="2D6177A7" w14:textId="77777777" w:rsidR="005976AB" w:rsidRPr="005635E7" w:rsidRDefault="005976AB" w:rsidP="009E2F41">
            <w:pPr>
              <w:rPr>
                <w:rFonts w:asciiTheme="majorBidi" w:hAnsiTheme="majorBidi" w:cstheme="majorBidi"/>
              </w:rPr>
            </w:pPr>
          </w:p>
        </w:tc>
        <w:tc>
          <w:tcPr>
            <w:tcW w:w="459" w:type="pct"/>
          </w:tcPr>
          <w:p w14:paraId="0F37FCDD" w14:textId="77777777" w:rsidR="005976AB" w:rsidRPr="005635E7" w:rsidRDefault="005976AB" w:rsidP="009E2F41">
            <w:pPr>
              <w:rPr>
                <w:rFonts w:asciiTheme="majorBidi" w:hAnsiTheme="majorBidi" w:cstheme="majorBidi"/>
              </w:rPr>
            </w:pPr>
          </w:p>
        </w:tc>
        <w:tc>
          <w:tcPr>
            <w:tcW w:w="459" w:type="pct"/>
          </w:tcPr>
          <w:p w14:paraId="71EC70CA" w14:textId="77777777" w:rsidR="005976AB" w:rsidRPr="005635E7" w:rsidRDefault="005976AB" w:rsidP="009E2F41">
            <w:pPr>
              <w:rPr>
                <w:rFonts w:asciiTheme="majorBidi" w:hAnsiTheme="majorBidi" w:cstheme="majorBidi"/>
              </w:rPr>
            </w:pPr>
          </w:p>
        </w:tc>
        <w:tc>
          <w:tcPr>
            <w:tcW w:w="459" w:type="pct"/>
          </w:tcPr>
          <w:p w14:paraId="16AFF2AA" w14:textId="77777777" w:rsidR="005976AB" w:rsidRPr="005635E7" w:rsidRDefault="005976AB" w:rsidP="009E2F41">
            <w:pPr>
              <w:rPr>
                <w:rFonts w:asciiTheme="majorBidi" w:hAnsiTheme="majorBidi" w:cstheme="majorBidi"/>
              </w:rPr>
            </w:pPr>
          </w:p>
        </w:tc>
        <w:tc>
          <w:tcPr>
            <w:tcW w:w="459" w:type="pct"/>
          </w:tcPr>
          <w:p w14:paraId="76FD3234" w14:textId="77777777" w:rsidR="005976AB" w:rsidRPr="005635E7" w:rsidRDefault="005976AB" w:rsidP="009E2F41">
            <w:pPr>
              <w:rPr>
                <w:rFonts w:asciiTheme="majorBidi" w:hAnsiTheme="majorBidi" w:cstheme="majorBidi"/>
              </w:rPr>
            </w:pPr>
          </w:p>
        </w:tc>
        <w:tc>
          <w:tcPr>
            <w:tcW w:w="459" w:type="pct"/>
          </w:tcPr>
          <w:p w14:paraId="6A7BFBE9" w14:textId="77777777" w:rsidR="005976AB" w:rsidRPr="005635E7" w:rsidRDefault="005976AB" w:rsidP="009E2F41">
            <w:pPr>
              <w:rPr>
                <w:rFonts w:asciiTheme="majorBidi" w:hAnsiTheme="majorBidi" w:cstheme="majorBidi"/>
              </w:rPr>
            </w:pPr>
          </w:p>
        </w:tc>
        <w:tc>
          <w:tcPr>
            <w:tcW w:w="457" w:type="pct"/>
          </w:tcPr>
          <w:p w14:paraId="317BFFC6" w14:textId="77777777" w:rsidR="005976AB" w:rsidRPr="005635E7" w:rsidRDefault="005976AB" w:rsidP="009E2F41">
            <w:pPr>
              <w:rPr>
                <w:rFonts w:asciiTheme="majorBidi" w:hAnsiTheme="majorBidi" w:cstheme="majorBidi"/>
              </w:rPr>
            </w:pPr>
          </w:p>
        </w:tc>
      </w:tr>
      <w:tr w:rsidR="005976AB" w:rsidRPr="005635E7" w14:paraId="3675FA65" w14:textId="77777777" w:rsidTr="009E2F41">
        <w:trPr>
          <w:trHeight w:val="406"/>
        </w:trPr>
        <w:tc>
          <w:tcPr>
            <w:tcW w:w="263" w:type="pct"/>
            <w:vAlign w:val="center"/>
          </w:tcPr>
          <w:p w14:paraId="6D891B4D"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3FE93E5A"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تعتمد جميع مشاريعنا الابتكارية اعتمادًا كبيرا على مساهمة الشركاء الخارجيين، مثل العملاء أو المنافسين أو معاهد البحوث أو الاستشاريين أو الموردين أو الحكومات أو الجامعات</w:t>
            </w:r>
          </w:p>
        </w:tc>
        <w:tc>
          <w:tcPr>
            <w:tcW w:w="460" w:type="pct"/>
          </w:tcPr>
          <w:p w14:paraId="7209D364" w14:textId="77777777" w:rsidR="005976AB" w:rsidRPr="005635E7" w:rsidRDefault="005976AB" w:rsidP="009E2F41">
            <w:pPr>
              <w:rPr>
                <w:rFonts w:asciiTheme="majorBidi" w:hAnsiTheme="majorBidi" w:cstheme="majorBidi"/>
              </w:rPr>
            </w:pPr>
          </w:p>
        </w:tc>
        <w:tc>
          <w:tcPr>
            <w:tcW w:w="459" w:type="pct"/>
          </w:tcPr>
          <w:p w14:paraId="7DFF9537" w14:textId="77777777" w:rsidR="005976AB" w:rsidRPr="005635E7" w:rsidRDefault="005976AB" w:rsidP="009E2F41">
            <w:pPr>
              <w:rPr>
                <w:rFonts w:asciiTheme="majorBidi" w:hAnsiTheme="majorBidi" w:cstheme="majorBidi"/>
              </w:rPr>
            </w:pPr>
          </w:p>
        </w:tc>
        <w:tc>
          <w:tcPr>
            <w:tcW w:w="459" w:type="pct"/>
          </w:tcPr>
          <w:p w14:paraId="510C62C7" w14:textId="77777777" w:rsidR="005976AB" w:rsidRPr="005635E7" w:rsidRDefault="005976AB" w:rsidP="009E2F41">
            <w:pPr>
              <w:rPr>
                <w:rFonts w:asciiTheme="majorBidi" w:hAnsiTheme="majorBidi" w:cstheme="majorBidi"/>
              </w:rPr>
            </w:pPr>
          </w:p>
        </w:tc>
        <w:tc>
          <w:tcPr>
            <w:tcW w:w="459" w:type="pct"/>
          </w:tcPr>
          <w:p w14:paraId="6336599D" w14:textId="77777777" w:rsidR="005976AB" w:rsidRPr="005635E7" w:rsidRDefault="005976AB" w:rsidP="009E2F41">
            <w:pPr>
              <w:rPr>
                <w:rFonts w:asciiTheme="majorBidi" w:hAnsiTheme="majorBidi" w:cstheme="majorBidi"/>
              </w:rPr>
            </w:pPr>
          </w:p>
        </w:tc>
        <w:tc>
          <w:tcPr>
            <w:tcW w:w="459" w:type="pct"/>
          </w:tcPr>
          <w:p w14:paraId="3718B666" w14:textId="77777777" w:rsidR="005976AB" w:rsidRPr="005635E7" w:rsidRDefault="005976AB" w:rsidP="009E2F41">
            <w:pPr>
              <w:rPr>
                <w:rFonts w:asciiTheme="majorBidi" w:hAnsiTheme="majorBidi" w:cstheme="majorBidi"/>
              </w:rPr>
            </w:pPr>
          </w:p>
        </w:tc>
        <w:tc>
          <w:tcPr>
            <w:tcW w:w="459" w:type="pct"/>
          </w:tcPr>
          <w:p w14:paraId="4A1A4324" w14:textId="77777777" w:rsidR="005976AB" w:rsidRPr="005635E7" w:rsidRDefault="005976AB" w:rsidP="009E2F41">
            <w:pPr>
              <w:rPr>
                <w:rFonts w:asciiTheme="majorBidi" w:hAnsiTheme="majorBidi" w:cstheme="majorBidi"/>
              </w:rPr>
            </w:pPr>
          </w:p>
        </w:tc>
        <w:tc>
          <w:tcPr>
            <w:tcW w:w="457" w:type="pct"/>
          </w:tcPr>
          <w:p w14:paraId="6C8E9EFB" w14:textId="77777777" w:rsidR="005976AB" w:rsidRPr="005635E7" w:rsidRDefault="005976AB" w:rsidP="009E2F41">
            <w:pPr>
              <w:rPr>
                <w:rFonts w:asciiTheme="majorBidi" w:hAnsiTheme="majorBidi" w:cstheme="majorBidi"/>
              </w:rPr>
            </w:pPr>
          </w:p>
        </w:tc>
      </w:tr>
      <w:tr w:rsidR="005976AB" w:rsidRPr="005635E7" w14:paraId="4234CB8A" w14:textId="77777777" w:rsidTr="009E2F41">
        <w:trPr>
          <w:trHeight w:val="431"/>
        </w:trPr>
        <w:tc>
          <w:tcPr>
            <w:tcW w:w="263" w:type="pct"/>
            <w:vAlign w:val="center"/>
          </w:tcPr>
          <w:p w14:paraId="6713CE3B"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7DDB8998"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غالبًا ما تشتري شركتنا المنتجات ذات الصلة بالبحث والتطوير من شركاء خارجيين</w:t>
            </w:r>
          </w:p>
        </w:tc>
        <w:tc>
          <w:tcPr>
            <w:tcW w:w="460" w:type="pct"/>
          </w:tcPr>
          <w:p w14:paraId="6A3A7617" w14:textId="77777777" w:rsidR="005976AB" w:rsidRPr="005635E7" w:rsidRDefault="005976AB" w:rsidP="009E2F41">
            <w:pPr>
              <w:rPr>
                <w:rFonts w:asciiTheme="majorBidi" w:hAnsiTheme="majorBidi" w:cstheme="majorBidi"/>
              </w:rPr>
            </w:pPr>
          </w:p>
        </w:tc>
        <w:tc>
          <w:tcPr>
            <w:tcW w:w="459" w:type="pct"/>
          </w:tcPr>
          <w:p w14:paraId="5FD14385" w14:textId="77777777" w:rsidR="005976AB" w:rsidRPr="005635E7" w:rsidRDefault="005976AB" w:rsidP="009E2F41">
            <w:pPr>
              <w:rPr>
                <w:rFonts w:asciiTheme="majorBidi" w:hAnsiTheme="majorBidi" w:cstheme="majorBidi"/>
              </w:rPr>
            </w:pPr>
          </w:p>
        </w:tc>
        <w:tc>
          <w:tcPr>
            <w:tcW w:w="459" w:type="pct"/>
          </w:tcPr>
          <w:p w14:paraId="7A18261F" w14:textId="77777777" w:rsidR="005976AB" w:rsidRPr="005635E7" w:rsidRDefault="005976AB" w:rsidP="009E2F41">
            <w:pPr>
              <w:rPr>
                <w:rFonts w:asciiTheme="majorBidi" w:hAnsiTheme="majorBidi" w:cstheme="majorBidi"/>
              </w:rPr>
            </w:pPr>
          </w:p>
        </w:tc>
        <w:tc>
          <w:tcPr>
            <w:tcW w:w="459" w:type="pct"/>
          </w:tcPr>
          <w:p w14:paraId="0B7B672E" w14:textId="77777777" w:rsidR="005976AB" w:rsidRPr="005635E7" w:rsidRDefault="005976AB" w:rsidP="009E2F41">
            <w:pPr>
              <w:rPr>
                <w:rFonts w:asciiTheme="majorBidi" w:hAnsiTheme="majorBidi" w:cstheme="majorBidi"/>
              </w:rPr>
            </w:pPr>
          </w:p>
        </w:tc>
        <w:tc>
          <w:tcPr>
            <w:tcW w:w="459" w:type="pct"/>
          </w:tcPr>
          <w:p w14:paraId="18320330" w14:textId="77777777" w:rsidR="005976AB" w:rsidRPr="005635E7" w:rsidRDefault="005976AB" w:rsidP="009E2F41">
            <w:pPr>
              <w:rPr>
                <w:rFonts w:asciiTheme="majorBidi" w:hAnsiTheme="majorBidi" w:cstheme="majorBidi"/>
              </w:rPr>
            </w:pPr>
          </w:p>
        </w:tc>
        <w:tc>
          <w:tcPr>
            <w:tcW w:w="459" w:type="pct"/>
          </w:tcPr>
          <w:p w14:paraId="51B11A1C" w14:textId="77777777" w:rsidR="005976AB" w:rsidRPr="005635E7" w:rsidRDefault="005976AB" w:rsidP="009E2F41">
            <w:pPr>
              <w:rPr>
                <w:rFonts w:asciiTheme="majorBidi" w:hAnsiTheme="majorBidi" w:cstheme="majorBidi"/>
              </w:rPr>
            </w:pPr>
          </w:p>
        </w:tc>
        <w:tc>
          <w:tcPr>
            <w:tcW w:w="457" w:type="pct"/>
          </w:tcPr>
          <w:p w14:paraId="12437D90" w14:textId="77777777" w:rsidR="005976AB" w:rsidRPr="005635E7" w:rsidRDefault="005976AB" w:rsidP="009E2F41">
            <w:pPr>
              <w:rPr>
                <w:rFonts w:asciiTheme="majorBidi" w:hAnsiTheme="majorBidi" w:cstheme="majorBidi"/>
              </w:rPr>
            </w:pPr>
          </w:p>
        </w:tc>
      </w:tr>
      <w:tr w:rsidR="005976AB" w:rsidRPr="005635E7" w14:paraId="15006EC5" w14:textId="77777777" w:rsidTr="009E2F41">
        <w:trPr>
          <w:trHeight w:val="406"/>
        </w:trPr>
        <w:tc>
          <w:tcPr>
            <w:tcW w:w="263" w:type="pct"/>
            <w:vAlign w:val="center"/>
          </w:tcPr>
          <w:p w14:paraId="7E7138E2"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58A02871"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غالبًا ما تشتري شركتنا حقوق الملكية الفكرية، مثل براءات الاختراع أو حقوق النشر أو العلامات التجارية، التي تنتمي إلى شركاء خارجيين لاستخدامها في مشاريعنا الابتكارية</w:t>
            </w:r>
          </w:p>
        </w:tc>
        <w:tc>
          <w:tcPr>
            <w:tcW w:w="460" w:type="pct"/>
          </w:tcPr>
          <w:p w14:paraId="133C5816" w14:textId="77777777" w:rsidR="005976AB" w:rsidRPr="005635E7" w:rsidRDefault="005976AB" w:rsidP="009E2F41">
            <w:pPr>
              <w:rPr>
                <w:rFonts w:asciiTheme="majorBidi" w:hAnsiTheme="majorBidi" w:cstheme="majorBidi"/>
              </w:rPr>
            </w:pPr>
          </w:p>
        </w:tc>
        <w:tc>
          <w:tcPr>
            <w:tcW w:w="459" w:type="pct"/>
          </w:tcPr>
          <w:p w14:paraId="0D0C0017" w14:textId="77777777" w:rsidR="005976AB" w:rsidRPr="005635E7" w:rsidRDefault="005976AB" w:rsidP="009E2F41">
            <w:pPr>
              <w:rPr>
                <w:rFonts w:asciiTheme="majorBidi" w:hAnsiTheme="majorBidi" w:cstheme="majorBidi"/>
              </w:rPr>
            </w:pPr>
          </w:p>
        </w:tc>
        <w:tc>
          <w:tcPr>
            <w:tcW w:w="459" w:type="pct"/>
          </w:tcPr>
          <w:p w14:paraId="206C1965" w14:textId="77777777" w:rsidR="005976AB" w:rsidRPr="005635E7" w:rsidRDefault="005976AB" w:rsidP="009E2F41">
            <w:pPr>
              <w:rPr>
                <w:rFonts w:asciiTheme="majorBidi" w:hAnsiTheme="majorBidi" w:cstheme="majorBidi"/>
              </w:rPr>
            </w:pPr>
          </w:p>
        </w:tc>
        <w:tc>
          <w:tcPr>
            <w:tcW w:w="459" w:type="pct"/>
          </w:tcPr>
          <w:p w14:paraId="6E170384" w14:textId="77777777" w:rsidR="005976AB" w:rsidRPr="005635E7" w:rsidRDefault="005976AB" w:rsidP="009E2F41">
            <w:pPr>
              <w:rPr>
                <w:rFonts w:asciiTheme="majorBidi" w:hAnsiTheme="majorBidi" w:cstheme="majorBidi"/>
              </w:rPr>
            </w:pPr>
          </w:p>
        </w:tc>
        <w:tc>
          <w:tcPr>
            <w:tcW w:w="459" w:type="pct"/>
          </w:tcPr>
          <w:p w14:paraId="03EED844" w14:textId="77777777" w:rsidR="005976AB" w:rsidRPr="005635E7" w:rsidRDefault="005976AB" w:rsidP="009E2F41">
            <w:pPr>
              <w:rPr>
                <w:rFonts w:asciiTheme="majorBidi" w:hAnsiTheme="majorBidi" w:cstheme="majorBidi"/>
              </w:rPr>
            </w:pPr>
          </w:p>
        </w:tc>
        <w:tc>
          <w:tcPr>
            <w:tcW w:w="459" w:type="pct"/>
          </w:tcPr>
          <w:p w14:paraId="7CEB5F2C" w14:textId="77777777" w:rsidR="005976AB" w:rsidRPr="005635E7" w:rsidRDefault="005976AB" w:rsidP="009E2F41">
            <w:pPr>
              <w:rPr>
                <w:rFonts w:asciiTheme="majorBidi" w:hAnsiTheme="majorBidi" w:cstheme="majorBidi"/>
              </w:rPr>
            </w:pPr>
          </w:p>
        </w:tc>
        <w:tc>
          <w:tcPr>
            <w:tcW w:w="457" w:type="pct"/>
          </w:tcPr>
          <w:p w14:paraId="6CAF1D35" w14:textId="77777777" w:rsidR="005976AB" w:rsidRPr="005635E7" w:rsidRDefault="005976AB" w:rsidP="009E2F41">
            <w:pPr>
              <w:rPr>
                <w:rFonts w:asciiTheme="majorBidi" w:hAnsiTheme="majorBidi" w:cstheme="majorBidi"/>
              </w:rPr>
            </w:pPr>
          </w:p>
        </w:tc>
      </w:tr>
      <w:tr w:rsidR="005976AB" w:rsidRPr="005635E7" w14:paraId="75D803B9" w14:textId="77777777" w:rsidTr="009E2F41">
        <w:trPr>
          <w:trHeight w:val="431"/>
        </w:trPr>
        <w:tc>
          <w:tcPr>
            <w:tcW w:w="263" w:type="pct"/>
            <w:vAlign w:val="center"/>
          </w:tcPr>
          <w:p w14:paraId="4CA6406D"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21026CAB"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غالبًا ما تبيع شركتنا التراخيص، مثل براءات الاختراع أو حقوق التأليف والنشر أو العلامات التجارية، لشركات أخرى للاستفادة بشكل أفضل من جهودنا الإبداعية</w:t>
            </w:r>
          </w:p>
        </w:tc>
        <w:tc>
          <w:tcPr>
            <w:tcW w:w="460" w:type="pct"/>
          </w:tcPr>
          <w:p w14:paraId="750F9224" w14:textId="77777777" w:rsidR="005976AB" w:rsidRPr="005635E7" w:rsidRDefault="005976AB" w:rsidP="009E2F41">
            <w:pPr>
              <w:rPr>
                <w:rFonts w:asciiTheme="majorBidi" w:hAnsiTheme="majorBidi" w:cstheme="majorBidi"/>
              </w:rPr>
            </w:pPr>
          </w:p>
        </w:tc>
        <w:tc>
          <w:tcPr>
            <w:tcW w:w="459" w:type="pct"/>
          </w:tcPr>
          <w:p w14:paraId="71666DDB" w14:textId="77777777" w:rsidR="005976AB" w:rsidRPr="005635E7" w:rsidRDefault="005976AB" w:rsidP="009E2F41">
            <w:pPr>
              <w:rPr>
                <w:rFonts w:asciiTheme="majorBidi" w:hAnsiTheme="majorBidi" w:cstheme="majorBidi"/>
              </w:rPr>
            </w:pPr>
          </w:p>
        </w:tc>
        <w:tc>
          <w:tcPr>
            <w:tcW w:w="459" w:type="pct"/>
          </w:tcPr>
          <w:p w14:paraId="0191514A" w14:textId="77777777" w:rsidR="005976AB" w:rsidRPr="005635E7" w:rsidRDefault="005976AB" w:rsidP="009E2F41">
            <w:pPr>
              <w:rPr>
                <w:rFonts w:asciiTheme="majorBidi" w:hAnsiTheme="majorBidi" w:cstheme="majorBidi"/>
              </w:rPr>
            </w:pPr>
          </w:p>
        </w:tc>
        <w:tc>
          <w:tcPr>
            <w:tcW w:w="459" w:type="pct"/>
          </w:tcPr>
          <w:p w14:paraId="3EE8388F" w14:textId="77777777" w:rsidR="005976AB" w:rsidRPr="005635E7" w:rsidRDefault="005976AB" w:rsidP="009E2F41">
            <w:pPr>
              <w:rPr>
                <w:rFonts w:asciiTheme="majorBidi" w:hAnsiTheme="majorBidi" w:cstheme="majorBidi"/>
              </w:rPr>
            </w:pPr>
          </w:p>
        </w:tc>
        <w:tc>
          <w:tcPr>
            <w:tcW w:w="459" w:type="pct"/>
          </w:tcPr>
          <w:p w14:paraId="6DCE9406" w14:textId="77777777" w:rsidR="005976AB" w:rsidRPr="005635E7" w:rsidRDefault="005976AB" w:rsidP="009E2F41">
            <w:pPr>
              <w:rPr>
                <w:rFonts w:asciiTheme="majorBidi" w:hAnsiTheme="majorBidi" w:cstheme="majorBidi"/>
              </w:rPr>
            </w:pPr>
          </w:p>
        </w:tc>
        <w:tc>
          <w:tcPr>
            <w:tcW w:w="459" w:type="pct"/>
          </w:tcPr>
          <w:p w14:paraId="291199D3" w14:textId="77777777" w:rsidR="005976AB" w:rsidRPr="005635E7" w:rsidRDefault="005976AB" w:rsidP="009E2F41">
            <w:pPr>
              <w:rPr>
                <w:rFonts w:asciiTheme="majorBidi" w:hAnsiTheme="majorBidi" w:cstheme="majorBidi"/>
              </w:rPr>
            </w:pPr>
          </w:p>
        </w:tc>
        <w:tc>
          <w:tcPr>
            <w:tcW w:w="457" w:type="pct"/>
          </w:tcPr>
          <w:p w14:paraId="23470002" w14:textId="77777777" w:rsidR="005976AB" w:rsidRPr="005635E7" w:rsidRDefault="005976AB" w:rsidP="009E2F41">
            <w:pPr>
              <w:rPr>
                <w:rFonts w:asciiTheme="majorBidi" w:hAnsiTheme="majorBidi" w:cstheme="majorBidi"/>
              </w:rPr>
            </w:pPr>
          </w:p>
        </w:tc>
      </w:tr>
      <w:tr w:rsidR="005976AB" w:rsidRPr="005635E7" w14:paraId="1B26A62D" w14:textId="77777777" w:rsidTr="009E2F41">
        <w:trPr>
          <w:trHeight w:val="406"/>
        </w:trPr>
        <w:tc>
          <w:tcPr>
            <w:tcW w:w="263" w:type="pct"/>
            <w:vAlign w:val="center"/>
          </w:tcPr>
          <w:p w14:paraId="7B13B67B"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3E4C8AA3"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غالبًا ما تقدم شركتنا اتفاقيات حقوق ملكية للشركات الأخرى للاستفادة بشكل أفضل من جهودنا الإبداعية</w:t>
            </w:r>
          </w:p>
        </w:tc>
        <w:tc>
          <w:tcPr>
            <w:tcW w:w="460" w:type="pct"/>
          </w:tcPr>
          <w:p w14:paraId="196F7618" w14:textId="77777777" w:rsidR="005976AB" w:rsidRPr="005635E7" w:rsidRDefault="005976AB" w:rsidP="009E2F41">
            <w:pPr>
              <w:rPr>
                <w:rFonts w:asciiTheme="majorBidi" w:hAnsiTheme="majorBidi" w:cstheme="majorBidi"/>
              </w:rPr>
            </w:pPr>
          </w:p>
        </w:tc>
        <w:tc>
          <w:tcPr>
            <w:tcW w:w="459" w:type="pct"/>
          </w:tcPr>
          <w:p w14:paraId="64123941" w14:textId="77777777" w:rsidR="005976AB" w:rsidRPr="005635E7" w:rsidRDefault="005976AB" w:rsidP="009E2F41">
            <w:pPr>
              <w:rPr>
                <w:rFonts w:asciiTheme="majorBidi" w:hAnsiTheme="majorBidi" w:cstheme="majorBidi"/>
              </w:rPr>
            </w:pPr>
          </w:p>
        </w:tc>
        <w:tc>
          <w:tcPr>
            <w:tcW w:w="459" w:type="pct"/>
          </w:tcPr>
          <w:p w14:paraId="2A2B57D8" w14:textId="77777777" w:rsidR="005976AB" w:rsidRPr="005635E7" w:rsidRDefault="005976AB" w:rsidP="009E2F41">
            <w:pPr>
              <w:rPr>
                <w:rFonts w:asciiTheme="majorBidi" w:hAnsiTheme="majorBidi" w:cstheme="majorBidi"/>
              </w:rPr>
            </w:pPr>
          </w:p>
        </w:tc>
        <w:tc>
          <w:tcPr>
            <w:tcW w:w="459" w:type="pct"/>
          </w:tcPr>
          <w:p w14:paraId="5BD5BC27" w14:textId="77777777" w:rsidR="005976AB" w:rsidRPr="005635E7" w:rsidRDefault="005976AB" w:rsidP="009E2F41">
            <w:pPr>
              <w:rPr>
                <w:rFonts w:asciiTheme="majorBidi" w:hAnsiTheme="majorBidi" w:cstheme="majorBidi"/>
              </w:rPr>
            </w:pPr>
          </w:p>
        </w:tc>
        <w:tc>
          <w:tcPr>
            <w:tcW w:w="459" w:type="pct"/>
          </w:tcPr>
          <w:p w14:paraId="31A01755" w14:textId="77777777" w:rsidR="005976AB" w:rsidRPr="005635E7" w:rsidRDefault="005976AB" w:rsidP="009E2F41">
            <w:pPr>
              <w:rPr>
                <w:rFonts w:asciiTheme="majorBidi" w:hAnsiTheme="majorBidi" w:cstheme="majorBidi"/>
              </w:rPr>
            </w:pPr>
          </w:p>
        </w:tc>
        <w:tc>
          <w:tcPr>
            <w:tcW w:w="459" w:type="pct"/>
          </w:tcPr>
          <w:p w14:paraId="65ABF8AF" w14:textId="77777777" w:rsidR="005976AB" w:rsidRPr="005635E7" w:rsidRDefault="005976AB" w:rsidP="009E2F41">
            <w:pPr>
              <w:rPr>
                <w:rFonts w:asciiTheme="majorBidi" w:hAnsiTheme="majorBidi" w:cstheme="majorBidi"/>
              </w:rPr>
            </w:pPr>
          </w:p>
        </w:tc>
        <w:tc>
          <w:tcPr>
            <w:tcW w:w="457" w:type="pct"/>
          </w:tcPr>
          <w:p w14:paraId="1170457E" w14:textId="77777777" w:rsidR="005976AB" w:rsidRPr="005635E7" w:rsidRDefault="005976AB" w:rsidP="009E2F41">
            <w:pPr>
              <w:rPr>
                <w:rFonts w:asciiTheme="majorBidi" w:hAnsiTheme="majorBidi" w:cstheme="majorBidi"/>
              </w:rPr>
            </w:pPr>
          </w:p>
        </w:tc>
      </w:tr>
      <w:tr w:rsidR="005976AB" w:rsidRPr="005635E7" w14:paraId="7E18E214" w14:textId="77777777" w:rsidTr="009E2F41">
        <w:trPr>
          <w:trHeight w:val="431"/>
        </w:trPr>
        <w:tc>
          <w:tcPr>
            <w:tcW w:w="263" w:type="pct"/>
            <w:vAlign w:val="center"/>
          </w:tcPr>
          <w:p w14:paraId="34C1D70D"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0B63EB3D"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تعزز شركتنا كل استخدام ممكن لممتلكاتنا الفكرية لتحقيق فائدة أفضل لشركتنا</w:t>
            </w:r>
          </w:p>
        </w:tc>
        <w:tc>
          <w:tcPr>
            <w:tcW w:w="460" w:type="pct"/>
          </w:tcPr>
          <w:p w14:paraId="13442AA7" w14:textId="77777777" w:rsidR="005976AB" w:rsidRPr="005635E7" w:rsidRDefault="005976AB" w:rsidP="009E2F41">
            <w:pPr>
              <w:rPr>
                <w:rFonts w:asciiTheme="majorBidi" w:hAnsiTheme="majorBidi" w:cstheme="majorBidi"/>
              </w:rPr>
            </w:pPr>
          </w:p>
        </w:tc>
        <w:tc>
          <w:tcPr>
            <w:tcW w:w="459" w:type="pct"/>
          </w:tcPr>
          <w:p w14:paraId="3924F194" w14:textId="77777777" w:rsidR="005976AB" w:rsidRPr="005635E7" w:rsidRDefault="005976AB" w:rsidP="009E2F41">
            <w:pPr>
              <w:rPr>
                <w:rFonts w:asciiTheme="majorBidi" w:hAnsiTheme="majorBidi" w:cstheme="majorBidi"/>
              </w:rPr>
            </w:pPr>
          </w:p>
        </w:tc>
        <w:tc>
          <w:tcPr>
            <w:tcW w:w="459" w:type="pct"/>
          </w:tcPr>
          <w:p w14:paraId="59549B59" w14:textId="77777777" w:rsidR="005976AB" w:rsidRPr="005635E7" w:rsidRDefault="005976AB" w:rsidP="009E2F41">
            <w:pPr>
              <w:rPr>
                <w:rFonts w:asciiTheme="majorBidi" w:hAnsiTheme="majorBidi" w:cstheme="majorBidi"/>
              </w:rPr>
            </w:pPr>
          </w:p>
        </w:tc>
        <w:tc>
          <w:tcPr>
            <w:tcW w:w="459" w:type="pct"/>
          </w:tcPr>
          <w:p w14:paraId="1DD88458" w14:textId="77777777" w:rsidR="005976AB" w:rsidRPr="005635E7" w:rsidRDefault="005976AB" w:rsidP="009E2F41">
            <w:pPr>
              <w:rPr>
                <w:rFonts w:asciiTheme="majorBidi" w:hAnsiTheme="majorBidi" w:cstheme="majorBidi"/>
              </w:rPr>
            </w:pPr>
          </w:p>
        </w:tc>
        <w:tc>
          <w:tcPr>
            <w:tcW w:w="459" w:type="pct"/>
          </w:tcPr>
          <w:p w14:paraId="1659E3BC" w14:textId="77777777" w:rsidR="005976AB" w:rsidRPr="005635E7" w:rsidRDefault="005976AB" w:rsidP="009E2F41">
            <w:pPr>
              <w:rPr>
                <w:rFonts w:asciiTheme="majorBidi" w:hAnsiTheme="majorBidi" w:cstheme="majorBidi"/>
              </w:rPr>
            </w:pPr>
          </w:p>
        </w:tc>
        <w:tc>
          <w:tcPr>
            <w:tcW w:w="459" w:type="pct"/>
          </w:tcPr>
          <w:p w14:paraId="11826CE1" w14:textId="77777777" w:rsidR="005976AB" w:rsidRPr="005635E7" w:rsidRDefault="005976AB" w:rsidP="009E2F41">
            <w:pPr>
              <w:rPr>
                <w:rFonts w:asciiTheme="majorBidi" w:hAnsiTheme="majorBidi" w:cstheme="majorBidi"/>
              </w:rPr>
            </w:pPr>
          </w:p>
        </w:tc>
        <w:tc>
          <w:tcPr>
            <w:tcW w:w="457" w:type="pct"/>
          </w:tcPr>
          <w:p w14:paraId="5397B573" w14:textId="77777777" w:rsidR="005976AB" w:rsidRPr="005635E7" w:rsidRDefault="005976AB" w:rsidP="009E2F41">
            <w:pPr>
              <w:rPr>
                <w:rFonts w:asciiTheme="majorBidi" w:hAnsiTheme="majorBidi" w:cstheme="majorBidi"/>
              </w:rPr>
            </w:pPr>
          </w:p>
        </w:tc>
      </w:tr>
      <w:tr w:rsidR="005976AB" w:rsidRPr="005635E7" w14:paraId="56CEA65C" w14:textId="77777777" w:rsidTr="009E2F41">
        <w:trPr>
          <w:trHeight w:val="406"/>
        </w:trPr>
        <w:tc>
          <w:tcPr>
            <w:tcW w:w="263" w:type="pct"/>
            <w:vAlign w:val="center"/>
          </w:tcPr>
          <w:p w14:paraId="1BA60949"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4BBEFE46" w14:textId="77777777" w:rsidR="005976AB" w:rsidRPr="005635E7" w:rsidRDefault="005976AB" w:rsidP="009E2F41">
            <w:pPr>
              <w:pStyle w:val="P68B1DB1-Normal3"/>
              <w:rPr>
                <w:rFonts w:asciiTheme="majorBidi" w:hAnsiTheme="majorBidi" w:cstheme="majorBidi"/>
                <w:szCs w:val="22"/>
              </w:rPr>
            </w:pPr>
            <w:r w:rsidRPr="005635E7">
              <w:rPr>
                <w:rFonts w:asciiTheme="majorBidi" w:hAnsiTheme="majorBidi" w:cstheme="majorBidi"/>
                <w:szCs w:val="22"/>
              </w:rPr>
              <w:t>تؤسس شركتنا الشركات المنبثقة للاستفادة بشكل أفضل من جهودنا الإبداعية</w:t>
            </w:r>
          </w:p>
        </w:tc>
        <w:tc>
          <w:tcPr>
            <w:tcW w:w="460" w:type="pct"/>
          </w:tcPr>
          <w:p w14:paraId="792DAB94" w14:textId="77777777" w:rsidR="005976AB" w:rsidRPr="005635E7" w:rsidRDefault="005976AB" w:rsidP="009E2F41">
            <w:pPr>
              <w:rPr>
                <w:rFonts w:asciiTheme="majorBidi" w:hAnsiTheme="majorBidi" w:cstheme="majorBidi"/>
              </w:rPr>
            </w:pPr>
          </w:p>
        </w:tc>
        <w:tc>
          <w:tcPr>
            <w:tcW w:w="459" w:type="pct"/>
          </w:tcPr>
          <w:p w14:paraId="681C3909" w14:textId="77777777" w:rsidR="005976AB" w:rsidRPr="005635E7" w:rsidRDefault="005976AB" w:rsidP="009E2F41">
            <w:pPr>
              <w:rPr>
                <w:rFonts w:asciiTheme="majorBidi" w:hAnsiTheme="majorBidi" w:cstheme="majorBidi"/>
              </w:rPr>
            </w:pPr>
          </w:p>
        </w:tc>
        <w:tc>
          <w:tcPr>
            <w:tcW w:w="459" w:type="pct"/>
          </w:tcPr>
          <w:p w14:paraId="1DC4FA3E" w14:textId="77777777" w:rsidR="005976AB" w:rsidRPr="005635E7" w:rsidRDefault="005976AB" w:rsidP="009E2F41">
            <w:pPr>
              <w:rPr>
                <w:rFonts w:asciiTheme="majorBidi" w:hAnsiTheme="majorBidi" w:cstheme="majorBidi"/>
              </w:rPr>
            </w:pPr>
          </w:p>
        </w:tc>
        <w:tc>
          <w:tcPr>
            <w:tcW w:w="459" w:type="pct"/>
          </w:tcPr>
          <w:p w14:paraId="28C0EC8C" w14:textId="77777777" w:rsidR="005976AB" w:rsidRPr="005635E7" w:rsidRDefault="005976AB" w:rsidP="009E2F41">
            <w:pPr>
              <w:rPr>
                <w:rFonts w:asciiTheme="majorBidi" w:hAnsiTheme="majorBidi" w:cstheme="majorBidi"/>
              </w:rPr>
            </w:pPr>
          </w:p>
        </w:tc>
        <w:tc>
          <w:tcPr>
            <w:tcW w:w="459" w:type="pct"/>
          </w:tcPr>
          <w:p w14:paraId="0C3F9067" w14:textId="77777777" w:rsidR="005976AB" w:rsidRPr="005635E7" w:rsidRDefault="005976AB" w:rsidP="009E2F41">
            <w:pPr>
              <w:rPr>
                <w:rFonts w:asciiTheme="majorBidi" w:hAnsiTheme="majorBidi" w:cstheme="majorBidi"/>
              </w:rPr>
            </w:pPr>
          </w:p>
        </w:tc>
        <w:tc>
          <w:tcPr>
            <w:tcW w:w="459" w:type="pct"/>
          </w:tcPr>
          <w:p w14:paraId="7D937537" w14:textId="77777777" w:rsidR="005976AB" w:rsidRPr="005635E7" w:rsidRDefault="005976AB" w:rsidP="009E2F41">
            <w:pPr>
              <w:rPr>
                <w:rFonts w:asciiTheme="majorBidi" w:hAnsiTheme="majorBidi" w:cstheme="majorBidi"/>
              </w:rPr>
            </w:pPr>
          </w:p>
        </w:tc>
        <w:tc>
          <w:tcPr>
            <w:tcW w:w="457" w:type="pct"/>
          </w:tcPr>
          <w:p w14:paraId="1D04A8DB" w14:textId="77777777" w:rsidR="005976AB" w:rsidRPr="005635E7" w:rsidRDefault="005976AB" w:rsidP="009E2F41">
            <w:pPr>
              <w:rPr>
                <w:rFonts w:asciiTheme="majorBidi" w:hAnsiTheme="majorBidi" w:cstheme="majorBidi"/>
              </w:rPr>
            </w:pPr>
          </w:p>
        </w:tc>
      </w:tr>
    </w:tbl>
    <w:p w14:paraId="50D0F83B" w14:textId="77777777" w:rsidR="005976AB" w:rsidRPr="005635E7" w:rsidRDefault="005976AB" w:rsidP="005976AB">
      <w:pPr>
        <w:rPr>
          <w:rFonts w:asciiTheme="majorBidi" w:hAnsiTheme="majorBidi" w:cstheme="majorBidi"/>
        </w:rPr>
      </w:pPr>
    </w:p>
    <w:p w14:paraId="7BCFBCFB" w14:textId="77777777" w:rsidR="005976AB" w:rsidRPr="005635E7" w:rsidRDefault="005976AB" w:rsidP="005976AB">
      <w:pPr>
        <w:pStyle w:val="P68B1DB1-Normal9"/>
        <w:rPr>
          <w:rFonts w:asciiTheme="majorBidi" w:hAnsiTheme="majorBidi" w:cstheme="majorBidi"/>
          <w:szCs w:val="22"/>
        </w:rPr>
      </w:pPr>
      <w:r w:rsidRPr="005635E7">
        <w:rPr>
          <w:rFonts w:asciiTheme="majorBidi" w:hAnsiTheme="majorBidi" w:cstheme="majorBidi"/>
          <w:noProof/>
          <w:szCs w:val="22"/>
        </w:rPr>
        <mc:AlternateContent>
          <mc:Choice Requires="wps">
            <w:drawing>
              <wp:anchor distT="0" distB="0" distL="114300" distR="114300" simplePos="0" relativeHeight="251686912" behindDoc="0" locked="0" layoutInCell="1" allowOverlap="1" wp14:anchorId="70B52715" wp14:editId="70A95506">
                <wp:simplePos x="0" y="0"/>
                <wp:positionH relativeFrom="margin">
                  <wp:align>center</wp:align>
                </wp:positionH>
                <wp:positionV relativeFrom="paragraph">
                  <wp:posOffset>-66675</wp:posOffset>
                </wp:positionV>
                <wp:extent cx="6276975" cy="333375"/>
                <wp:effectExtent l="0" t="0" r="28575" b="28575"/>
                <wp:wrapNone/>
                <wp:docPr id="13" name="Rounded Rectangle 1"/>
                <wp:cNvGraphicFramePr/>
                <a:graphic xmlns:a="http://schemas.openxmlformats.org/drawingml/2006/main">
                  <a:graphicData uri="http://schemas.microsoft.com/office/word/2010/wordprocessingShape">
                    <wps:wsp>
                      <wps:cNvSpPr/>
                      <wps:spPr>
                        <a:xfrm>
                          <a:off x="0" y="0"/>
                          <a:ext cx="6276975" cy="333375"/>
                        </a:xfrm>
                        <a:prstGeom prst="roundRect">
                          <a:avLst/>
                        </a:prstGeom>
                        <a:solidFill>
                          <a:sysClr val="window" lastClr="FFFFFF">
                            <a:lumMod val="95000"/>
                          </a:sysClr>
                        </a:solidFill>
                        <a:ln w="6350">
                          <a:solidFill>
                            <a:srgbClr val="4F81BD">
                              <a:shade val="50000"/>
                            </a:srgbClr>
                          </a:solidFill>
                          <a:prstDash val="solid"/>
                        </a:ln>
                        <a:effectLst/>
                      </wps:spPr>
                      <wps:txbx>
                        <w:txbxContent>
                          <w:p w14:paraId="526D67B5" w14:textId="77777777" w:rsidR="005976AB" w:rsidRDefault="005976AB" w:rsidP="005976AB">
                            <w:pPr>
                              <w:pStyle w:val="P68B1DB1-Normal6"/>
                              <w:spacing w:after="160" w:line="259" w:lineRule="auto"/>
                              <w:jc w:val="center"/>
                              <w:rPr>
                                <w:sz w:val="32"/>
                              </w:rPr>
                            </w:pPr>
                            <w:r>
                              <w:t xml:space="preserve">القسم </w:t>
                            </w:r>
                            <w:r>
                              <w:rPr>
                                <w:rtl w:val="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70B52715" id="_x0000_s1074" style="position:absolute;left:0;text-align:left;margin-left:0;margin-top:-5.25pt;width:494.25pt;height:26.25pt;z-index:2516869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" fillcolor="#f2f2f2" strokecolor="#385d8a" strokeweight=".5pt">
                <v:textbox>
                  <w:txbxContent>
                    <w:p w14:paraId="526D67B5" w14:textId="77777777" w:rsidR="005976AB" w:rsidRDefault="005976AB" w:rsidP="005976AB">
                      <w:pPr>
                        <w:pStyle w:val="P68B1DB1-Normal6"/>
                        <w:spacing w:after="160" w:line="259" w:lineRule="auto"/>
                        <w:jc w:val="center"/>
                        <w:rPr>
                          <w:sz w:val="32"/>
                        </w:rPr>
                      </w:pPr>
                      <w:r>
                        <w:t xml:space="preserve">القسم </w:t>
                      </w:r>
                      <w:r>
                        <w:rPr>
                          <w:rtl w:val="0"/>
                        </w:rPr>
                        <w:t>C</w:t>
                      </w:r>
                    </w:p>
                  </w:txbxContent>
                </v:textbox>
                <w10:wrap anchorx="margin"/>
              </v:roundrect>
            </w:pict>
          </mc:Fallback>
        </mc:AlternateContent>
      </w:r>
    </w:p>
    <w:p w14:paraId="6B91E94F" w14:textId="77777777" w:rsidR="005976AB" w:rsidRPr="005635E7" w:rsidRDefault="005976AB" w:rsidP="005976AB">
      <w:pPr>
        <w:rPr>
          <w:rFonts w:asciiTheme="majorBidi" w:hAnsiTheme="majorBidi" w:cstheme="majorBidi"/>
        </w:rPr>
      </w:pPr>
    </w:p>
    <w:p w14:paraId="57B06CEA" w14:textId="77777777" w:rsidR="005976AB" w:rsidRPr="005635E7" w:rsidRDefault="005976AB" w:rsidP="005976AB">
      <w:pPr>
        <w:rPr>
          <w:rFonts w:asciiTheme="majorBidi" w:hAnsiTheme="majorBidi" w:cstheme="majorBidi"/>
        </w:rPr>
      </w:pPr>
      <w:r w:rsidRPr="005635E7">
        <w:rPr>
          <w:rFonts w:asciiTheme="majorBidi" w:hAnsiTheme="majorBidi" w:cstheme="majorBidi"/>
        </w:rPr>
        <w:t>يتضمن هذا القسم بيانات مختلفة فيما يتعلق بأداء الشركة، والذي يتم تعريفه على أنه عمل الشركة بالإشارة إلى النتائج المحددة لعملياتها. من فضلك، ضع علامة تحقق على العبارات التالية، مع الإشارة إلى رأيك حول أداء شركتك.</w:t>
      </w:r>
    </w:p>
    <w:tbl>
      <w:tblPr>
        <w:tblStyle w:val="TableGrid"/>
        <w:bidiVisual/>
        <w:tblW w:w="5000" w:type="pct"/>
        <w:tblInd w:w="-113" w:type="dxa"/>
        <w:tblLayout w:type="fixed"/>
        <w:tblLook w:val="04A0" w:firstRow="1" w:lastRow="0" w:firstColumn="1" w:lastColumn="0" w:noHBand="0" w:noVBand="1"/>
      </w:tblPr>
      <w:tblGrid>
        <w:gridCol w:w="473"/>
        <w:gridCol w:w="2750"/>
        <w:gridCol w:w="829"/>
        <w:gridCol w:w="828"/>
        <w:gridCol w:w="828"/>
        <w:gridCol w:w="828"/>
        <w:gridCol w:w="828"/>
        <w:gridCol w:w="828"/>
        <w:gridCol w:w="824"/>
      </w:tblGrid>
      <w:tr w:rsidR="005976AB" w:rsidRPr="005635E7" w14:paraId="1C507868" w14:textId="77777777" w:rsidTr="009E2F41">
        <w:trPr>
          <w:trHeight w:val="820"/>
        </w:trPr>
        <w:tc>
          <w:tcPr>
            <w:tcW w:w="263" w:type="pct"/>
            <w:shd w:val="clear" w:color="auto" w:fill="ACB9CA" w:themeFill="text2" w:themeFillTint="66"/>
            <w:vAlign w:val="center"/>
          </w:tcPr>
          <w:p w14:paraId="264F3888"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الرقم المسلسل</w:t>
            </w:r>
          </w:p>
        </w:tc>
        <w:tc>
          <w:tcPr>
            <w:tcW w:w="1525" w:type="pct"/>
            <w:shd w:val="clear" w:color="auto" w:fill="ACB9CA" w:themeFill="text2" w:themeFillTint="66"/>
            <w:vAlign w:val="center"/>
          </w:tcPr>
          <w:p w14:paraId="483885FC"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الأسئلة</w:t>
            </w:r>
          </w:p>
        </w:tc>
        <w:tc>
          <w:tcPr>
            <w:tcW w:w="460" w:type="pct"/>
            <w:shd w:val="clear" w:color="auto" w:fill="ACB9CA" w:themeFill="text2" w:themeFillTint="66"/>
          </w:tcPr>
          <w:p w14:paraId="3B78E073"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غير موافق بشدّة</w:t>
            </w:r>
          </w:p>
        </w:tc>
        <w:tc>
          <w:tcPr>
            <w:tcW w:w="459" w:type="pct"/>
            <w:shd w:val="clear" w:color="auto" w:fill="ACB9CA" w:themeFill="text2" w:themeFillTint="66"/>
          </w:tcPr>
          <w:p w14:paraId="274775B1"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لا أوافق</w:t>
            </w:r>
          </w:p>
        </w:tc>
        <w:tc>
          <w:tcPr>
            <w:tcW w:w="459" w:type="pct"/>
            <w:shd w:val="clear" w:color="auto" w:fill="ACB9CA" w:themeFill="text2" w:themeFillTint="66"/>
          </w:tcPr>
          <w:p w14:paraId="7B7ADFF0"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لا أوافق إلى حد ما</w:t>
            </w:r>
          </w:p>
        </w:tc>
        <w:tc>
          <w:tcPr>
            <w:tcW w:w="459" w:type="pct"/>
            <w:shd w:val="clear" w:color="auto" w:fill="ACB9CA" w:themeFill="text2" w:themeFillTint="66"/>
          </w:tcPr>
          <w:p w14:paraId="33EDF5D2"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محايد</w:t>
            </w:r>
          </w:p>
          <w:p w14:paraId="4AFC480A" w14:textId="77777777" w:rsidR="005976AB" w:rsidRPr="005635E7" w:rsidRDefault="005976AB" w:rsidP="009E2F41">
            <w:pPr>
              <w:rPr>
                <w:rFonts w:asciiTheme="majorBidi" w:hAnsiTheme="majorBidi" w:cstheme="majorBidi"/>
              </w:rPr>
            </w:pPr>
          </w:p>
        </w:tc>
        <w:tc>
          <w:tcPr>
            <w:tcW w:w="459" w:type="pct"/>
            <w:shd w:val="clear" w:color="auto" w:fill="ACB9CA" w:themeFill="text2" w:themeFillTint="66"/>
          </w:tcPr>
          <w:p w14:paraId="4B647DCD"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أوافق إلى حد ما</w:t>
            </w:r>
          </w:p>
        </w:tc>
        <w:tc>
          <w:tcPr>
            <w:tcW w:w="459" w:type="pct"/>
            <w:shd w:val="clear" w:color="auto" w:fill="ACB9CA" w:themeFill="text2" w:themeFillTint="66"/>
          </w:tcPr>
          <w:p w14:paraId="693AF6F7"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أوافق</w:t>
            </w:r>
          </w:p>
          <w:p w14:paraId="1621453D" w14:textId="77777777" w:rsidR="005976AB" w:rsidRPr="005635E7" w:rsidRDefault="005976AB" w:rsidP="009E2F41">
            <w:pPr>
              <w:rPr>
                <w:rFonts w:asciiTheme="majorBidi" w:hAnsiTheme="majorBidi" w:cstheme="majorBidi"/>
              </w:rPr>
            </w:pPr>
          </w:p>
        </w:tc>
        <w:tc>
          <w:tcPr>
            <w:tcW w:w="457" w:type="pct"/>
            <w:shd w:val="clear" w:color="auto" w:fill="ACB9CA" w:themeFill="text2" w:themeFillTint="66"/>
          </w:tcPr>
          <w:p w14:paraId="1569F108" w14:textId="77777777" w:rsidR="005976AB" w:rsidRPr="005635E7" w:rsidRDefault="005976AB" w:rsidP="009E2F41">
            <w:pPr>
              <w:pStyle w:val="P68B1DB1-Normal11"/>
              <w:jc w:val="center"/>
              <w:rPr>
                <w:rFonts w:asciiTheme="majorBidi" w:hAnsiTheme="majorBidi" w:cstheme="majorBidi"/>
                <w:sz w:val="22"/>
                <w:szCs w:val="22"/>
              </w:rPr>
            </w:pPr>
            <w:r w:rsidRPr="005635E7">
              <w:rPr>
                <w:rFonts w:asciiTheme="majorBidi" w:hAnsiTheme="majorBidi" w:cstheme="majorBidi"/>
                <w:sz w:val="22"/>
                <w:szCs w:val="22"/>
              </w:rPr>
              <w:t>موافق بشدة</w:t>
            </w:r>
          </w:p>
        </w:tc>
      </w:tr>
      <w:tr w:rsidR="005976AB" w:rsidRPr="005635E7" w14:paraId="29C8EF85" w14:textId="77777777" w:rsidTr="009E2F41">
        <w:trPr>
          <w:trHeight w:val="431"/>
        </w:trPr>
        <w:tc>
          <w:tcPr>
            <w:tcW w:w="263" w:type="pct"/>
            <w:vAlign w:val="center"/>
          </w:tcPr>
          <w:p w14:paraId="5627DF9C"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52BA357E"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نمو الحصة السوقية مقارنة بالمنافسة</w:t>
            </w:r>
          </w:p>
        </w:tc>
        <w:tc>
          <w:tcPr>
            <w:tcW w:w="460" w:type="pct"/>
          </w:tcPr>
          <w:p w14:paraId="4CA30A19" w14:textId="77777777" w:rsidR="005976AB" w:rsidRPr="005635E7" w:rsidRDefault="005976AB" w:rsidP="009E2F41">
            <w:pPr>
              <w:rPr>
                <w:rFonts w:asciiTheme="majorBidi" w:hAnsiTheme="majorBidi" w:cstheme="majorBidi"/>
              </w:rPr>
            </w:pPr>
          </w:p>
        </w:tc>
        <w:tc>
          <w:tcPr>
            <w:tcW w:w="459" w:type="pct"/>
          </w:tcPr>
          <w:p w14:paraId="25C74D6E" w14:textId="77777777" w:rsidR="005976AB" w:rsidRPr="005635E7" w:rsidRDefault="005976AB" w:rsidP="009E2F41">
            <w:pPr>
              <w:rPr>
                <w:rFonts w:asciiTheme="majorBidi" w:hAnsiTheme="majorBidi" w:cstheme="majorBidi"/>
              </w:rPr>
            </w:pPr>
          </w:p>
        </w:tc>
        <w:tc>
          <w:tcPr>
            <w:tcW w:w="459" w:type="pct"/>
          </w:tcPr>
          <w:p w14:paraId="69F24176" w14:textId="77777777" w:rsidR="005976AB" w:rsidRPr="005635E7" w:rsidRDefault="005976AB" w:rsidP="009E2F41">
            <w:pPr>
              <w:rPr>
                <w:rFonts w:asciiTheme="majorBidi" w:hAnsiTheme="majorBidi" w:cstheme="majorBidi"/>
              </w:rPr>
            </w:pPr>
          </w:p>
        </w:tc>
        <w:tc>
          <w:tcPr>
            <w:tcW w:w="459" w:type="pct"/>
          </w:tcPr>
          <w:p w14:paraId="0DC6372B" w14:textId="77777777" w:rsidR="005976AB" w:rsidRPr="005635E7" w:rsidRDefault="005976AB" w:rsidP="009E2F41">
            <w:pPr>
              <w:rPr>
                <w:rFonts w:asciiTheme="majorBidi" w:hAnsiTheme="majorBidi" w:cstheme="majorBidi"/>
              </w:rPr>
            </w:pPr>
          </w:p>
        </w:tc>
        <w:tc>
          <w:tcPr>
            <w:tcW w:w="459" w:type="pct"/>
          </w:tcPr>
          <w:p w14:paraId="083F244C" w14:textId="77777777" w:rsidR="005976AB" w:rsidRPr="005635E7" w:rsidRDefault="005976AB" w:rsidP="009E2F41">
            <w:pPr>
              <w:rPr>
                <w:rFonts w:asciiTheme="majorBidi" w:hAnsiTheme="majorBidi" w:cstheme="majorBidi"/>
              </w:rPr>
            </w:pPr>
          </w:p>
        </w:tc>
        <w:tc>
          <w:tcPr>
            <w:tcW w:w="459" w:type="pct"/>
          </w:tcPr>
          <w:p w14:paraId="79602982" w14:textId="77777777" w:rsidR="005976AB" w:rsidRPr="005635E7" w:rsidRDefault="005976AB" w:rsidP="009E2F41">
            <w:pPr>
              <w:rPr>
                <w:rFonts w:asciiTheme="majorBidi" w:hAnsiTheme="majorBidi" w:cstheme="majorBidi"/>
              </w:rPr>
            </w:pPr>
          </w:p>
        </w:tc>
        <w:tc>
          <w:tcPr>
            <w:tcW w:w="457" w:type="pct"/>
          </w:tcPr>
          <w:p w14:paraId="79255F60" w14:textId="77777777" w:rsidR="005976AB" w:rsidRPr="005635E7" w:rsidRDefault="005976AB" w:rsidP="009E2F41">
            <w:pPr>
              <w:rPr>
                <w:rFonts w:asciiTheme="majorBidi" w:hAnsiTheme="majorBidi" w:cstheme="majorBidi"/>
              </w:rPr>
            </w:pPr>
          </w:p>
        </w:tc>
      </w:tr>
      <w:tr w:rsidR="005976AB" w:rsidRPr="005635E7" w14:paraId="09760009" w14:textId="77777777" w:rsidTr="009E2F41">
        <w:trPr>
          <w:trHeight w:val="406"/>
        </w:trPr>
        <w:tc>
          <w:tcPr>
            <w:tcW w:w="263" w:type="pct"/>
            <w:vAlign w:val="center"/>
          </w:tcPr>
          <w:p w14:paraId="1C998EB8"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4A04F4AC"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اكتساب عملاء جدد</w:t>
            </w:r>
          </w:p>
        </w:tc>
        <w:tc>
          <w:tcPr>
            <w:tcW w:w="460" w:type="pct"/>
          </w:tcPr>
          <w:p w14:paraId="3B2B3D6E" w14:textId="77777777" w:rsidR="005976AB" w:rsidRPr="005635E7" w:rsidRDefault="005976AB" w:rsidP="009E2F41">
            <w:pPr>
              <w:rPr>
                <w:rFonts w:asciiTheme="majorBidi" w:hAnsiTheme="majorBidi" w:cstheme="majorBidi"/>
              </w:rPr>
            </w:pPr>
          </w:p>
        </w:tc>
        <w:tc>
          <w:tcPr>
            <w:tcW w:w="459" w:type="pct"/>
          </w:tcPr>
          <w:p w14:paraId="04E081BA" w14:textId="77777777" w:rsidR="005976AB" w:rsidRPr="005635E7" w:rsidRDefault="005976AB" w:rsidP="009E2F41">
            <w:pPr>
              <w:rPr>
                <w:rFonts w:asciiTheme="majorBidi" w:hAnsiTheme="majorBidi" w:cstheme="majorBidi"/>
              </w:rPr>
            </w:pPr>
          </w:p>
        </w:tc>
        <w:tc>
          <w:tcPr>
            <w:tcW w:w="459" w:type="pct"/>
          </w:tcPr>
          <w:p w14:paraId="33DD6B1A" w14:textId="77777777" w:rsidR="005976AB" w:rsidRPr="005635E7" w:rsidRDefault="005976AB" w:rsidP="009E2F41">
            <w:pPr>
              <w:rPr>
                <w:rFonts w:asciiTheme="majorBidi" w:hAnsiTheme="majorBidi" w:cstheme="majorBidi"/>
              </w:rPr>
            </w:pPr>
          </w:p>
        </w:tc>
        <w:tc>
          <w:tcPr>
            <w:tcW w:w="459" w:type="pct"/>
          </w:tcPr>
          <w:p w14:paraId="50629691" w14:textId="77777777" w:rsidR="005976AB" w:rsidRPr="005635E7" w:rsidRDefault="005976AB" w:rsidP="009E2F41">
            <w:pPr>
              <w:rPr>
                <w:rFonts w:asciiTheme="majorBidi" w:hAnsiTheme="majorBidi" w:cstheme="majorBidi"/>
              </w:rPr>
            </w:pPr>
          </w:p>
        </w:tc>
        <w:tc>
          <w:tcPr>
            <w:tcW w:w="459" w:type="pct"/>
          </w:tcPr>
          <w:p w14:paraId="71371582" w14:textId="77777777" w:rsidR="005976AB" w:rsidRPr="005635E7" w:rsidRDefault="005976AB" w:rsidP="009E2F41">
            <w:pPr>
              <w:rPr>
                <w:rFonts w:asciiTheme="majorBidi" w:hAnsiTheme="majorBidi" w:cstheme="majorBidi"/>
              </w:rPr>
            </w:pPr>
          </w:p>
        </w:tc>
        <w:tc>
          <w:tcPr>
            <w:tcW w:w="459" w:type="pct"/>
          </w:tcPr>
          <w:p w14:paraId="69411E73" w14:textId="77777777" w:rsidR="005976AB" w:rsidRPr="005635E7" w:rsidRDefault="005976AB" w:rsidP="009E2F41">
            <w:pPr>
              <w:rPr>
                <w:rFonts w:asciiTheme="majorBidi" w:hAnsiTheme="majorBidi" w:cstheme="majorBidi"/>
              </w:rPr>
            </w:pPr>
          </w:p>
        </w:tc>
        <w:tc>
          <w:tcPr>
            <w:tcW w:w="457" w:type="pct"/>
          </w:tcPr>
          <w:p w14:paraId="023A164C" w14:textId="77777777" w:rsidR="005976AB" w:rsidRPr="005635E7" w:rsidRDefault="005976AB" w:rsidP="009E2F41">
            <w:pPr>
              <w:rPr>
                <w:rFonts w:asciiTheme="majorBidi" w:hAnsiTheme="majorBidi" w:cstheme="majorBidi"/>
              </w:rPr>
            </w:pPr>
          </w:p>
        </w:tc>
      </w:tr>
      <w:tr w:rsidR="005976AB" w:rsidRPr="005635E7" w14:paraId="5B2D350F" w14:textId="77777777" w:rsidTr="009E2F41">
        <w:trPr>
          <w:trHeight w:val="431"/>
        </w:trPr>
        <w:tc>
          <w:tcPr>
            <w:tcW w:w="263" w:type="pct"/>
            <w:vAlign w:val="center"/>
          </w:tcPr>
          <w:p w14:paraId="0EEC0303"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0F3C34DE"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زيادة المبيعات للعملاء الحاليين</w:t>
            </w:r>
          </w:p>
        </w:tc>
        <w:tc>
          <w:tcPr>
            <w:tcW w:w="460" w:type="pct"/>
          </w:tcPr>
          <w:p w14:paraId="13C4E861" w14:textId="77777777" w:rsidR="005976AB" w:rsidRPr="005635E7" w:rsidRDefault="005976AB" w:rsidP="009E2F41">
            <w:pPr>
              <w:rPr>
                <w:rFonts w:asciiTheme="majorBidi" w:hAnsiTheme="majorBidi" w:cstheme="majorBidi"/>
              </w:rPr>
            </w:pPr>
          </w:p>
        </w:tc>
        <w:tc>
          <w:tcPr>
            <w:tcW w:w="459" w:type="pct"/>
          </w:tcPr>
          <w:p w14:paraId="04138428" w14:textId="77777777" w:rsidR="005976AB" w:rsidRPr="005635E7" w:rsidRDefault="005976AB" w:rsidP="009E2F41">
            <w:pPr>
              <w:rPr>
                <w:rFonts w:asciiTheme="majorBidi" w:hAnsiTheme="majorBidi" w:cstheme="majorBidi"/>
              </w:rPr>
            </w:pPr>
          </w:p>
        </w:tc>
        <w:tc>
          <w:tcPr>
            <w:tcW w:w="459" w:type="pct"/>
          </w:tcPr>
          <w:p w14:paraId="7BC1A31E" w14:textId="77777777" w:rsidR="005976AB" w:rsidRPr="005635E7" w:rsidRDefault="005976AB" w:rsidP="009E2F41">
            <w:pPr>
              <w:rPr>
                <w:rFonts w:asciiTheme="majorBidi" w:hAnsiTheme="majorBidi" w:cstheme="majorBidi"/>
              </w:rPr>
            </w:pPr>
          </w:p>
        </w:tc>
        <w:tc>
          <w:tcPr>
            <w:tcW w:w="459" w:type="pct"/>
          </w:tcPr>
          <w:p w14:paraId="4E9BC160" w14:textId="77777777" w:rsidR="005976AB" w:rsidRPr="005635E7" w:rsidRDefault="005976AB" w:rsidP="009E2F41">
            <w:pPr>
              <w:rPr>
                <w:rFonts w:asciiTheme="majorBidi" w:hAnsiTheme="majorBidi" w:cstheme="majorBidi"/>
              </w:rPr>
            </w:pPr>
          </w:p>
        </w:tc>
        <w:tc>
          <w:tcPr>
            <w:tcW w:w="459" w:type="pct"/>
          </w:tcPr>
          <w:p w14:paraId="485671B1" w14:textId="77777777" w:rsidR="005976AB" w:rsidRPr="005635E7" w:rsidRDefault="005976AB" w:rsidP="009E2F41">
            <w:pPr>
              <w:rPr>
                <w:rFonts w:asciiTheme="majorBidi" w:hAnsiTheme="majorBidi" w:cstheme="majorBidi"/>
              </w:rPr>
            </w:pPr>
          </w:p>
        </w:tc>
        <w:tc>
          <w:tcPr>
            <w:tcW w:w="459" w:type="pct"/>
          </w:tcPr>
          <w:p w14:paraId="375469C5" w14:textId="77777777" w:rsidR="005976AB" w:rsidRPr="005635E7" w:rsidRDefault="005976AB" w:rsidP="009E2F41">
            <w:pPr>
              <w:rPr>
                <w:rFonts w:asciiTheme="majorBidi" w:hAnsiTheme="majorBidi" w:cstheme="majorBidi"/>
              </w:rPr>
            </w:pPr>
          </w:p>
        </w:tc>
        <w:tc>
          <w:tcPr>
            <w:tcW w:w="457" w:type="pct"/>
          </w:tcPr>
          <w:p w14:paraId="3C6A7592" w14:textId="77777777" w:rsidR="005976AB" w:rsidRPr="005635E7" w:rsidRDefault="005976AB" w:rsidP="009E2F41">
            <w:pPr>
              <w:rPr>
                <w:rFonts w:asciiTheme="majorBidi" w:hAnsiTheme="majorBidi" w:cstheme="majorBidi"/>
              </w:rPr>
            </w:pPr>
          </w:p>
        </w:tc>
      </w:tr>
      <w:tr w:rsidR="005976AB" w:rsidRPr="005635E7" w14:paraId="4ADDC347" w14:textId="77777777" w:rsidTr="009E2F41">
        <w:trPr>
          <w:trHeight w:val="406"/>
        </w:trPr>
        <w:tc>
          <w:tcPr>
            <w:tcW w:w="263" w:type="pct"/>
            <w:vAlign w:val="center"/>
          </w:tcPr>
          <w:p w14:paraId="7059642D"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3065097C"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نمو عائدات المبيعات</w:t>
            </w:r>
          </w:p>
        </w:tc>
        <w:tc>
          <w:tcPr>
            <w:tcW w:w="460" w:type="pct"/>
          </w:tcPr>
          <w:p w14:paraId="2F29ACB2" w14:textId="77777777" w:rsidR="005976AB" w:rsidRPr="005635E7" w:rsidRDefault="005976AB" w:rsidP="009E2F41">
            <w:pPr>
              <w:rPr>
                <w:rFonts w:asciiTheme="majorBidi" w:hAnsiTheme="majorBidi" w:cstheme="majorBidi"/>
              </w:rPr>
            </w:pPr>
          </w:p>
        </w:tc>
        <w:tc>
          <w:tcPr>
            <w:tcW w:w="459" w:type="pct"/>
          </w:tcPr>
          <w:p w14:paraId="6CD2E98D" w14:textId="77777777" w:rsidR="005976AB" w:rsidRPr="005635E7" w:rsidRDefault="005976AB" w:rsidP="009E2F41">
            <w:pPr>
              <w:rPr>
                <w:rFonts w:asciiTheme="majorBidi" w:hAnsiTheme="majorBidi" w:cstheme="majorBidi"/>
              </w:rPr>
            </w:pPr>
          </w:p>
        </w:tc>
        <w:tc>
          <w:tcPr>
            <w:tcW w:w="459" w:type="pct"/>
          </w:tcPr>
          <w:p w14:paraId="7256AB99" w14:textId="77777777" w:rsidR="005976AB" w:rsidRPr="005635E7" w:rsidRDefault="005976AB" w:rsidP="009E2F41">
            <w:pPr>
              <w:rPr>
                <w:rFonts w:asciiTheme="majorBidi" w:hAnsiTheme="majorBidi" w:cstheme="majorBidi"/>
              </w:rPr>
            </w:pPr>
          </w:p>
        </w:tc>
        <w:tc>
          <w:tcPr>
            <w:tcW w:w="459" w:type="pct"/>
          </w:tcPr>
          <w:p w14:paraId="020203A6" w14:textId="77777777" w:rsidR="005976AB" w:rsidRPr="005635E7" w:rsidRDefault="005976AB" w:rsidP="009E2F41">
            <w:pPr>
              <w:rPr>
                <w:rFonts w:asciiTheme="majorBidi" w:hAnsiTheme="majorBidi" w:cstheme="majorBidi"/>
              </w:rPr>
            </w:pPr>
          </w:p>
        </w:tc>
        <w:tc>
          <w:tcPr>
            <w:tcW w:w="459" w:type="pct"/>
          </w:tcPr>
          <w:p w14:paraId="22529C8C" w14:textId="77777777" w:rsidR="005976AB" w:rsidRPr="005635E7" w:rsidRDefault="005976AB" w:rsidP="009E2F41">
            <w:pPr>
              <w:rPr>
                <w:rFonts w:asciiTheme="majorBidi" w:hAnsiTheme="majorBidi" w:cstheme="majorBidi"/>
              </w:rPr>
            </w:pPr>
          </w:p>
        </w:tc>
        <w:tc>
          <w:tcPr>
            <w:tcW w:w="459" w:type="pct"/>
          </w:tcPr>
          <w:p w14:paraId="564C64E7" w14:textId="77777777" w:rsidR="005976AB" w:rsidRPr="005635E7" w:rsidRDefault="005976AB" w:rsidP="009E2F41">
            <w:pPr>
              <w:rPr>
                <w:rFonts w:asciiTheme="majorBidi" w:hAnsiTheme="majorBidi" w:cstheme="majorBidi"/>
              </w:rPr>
            </w:pPr>
          </w:p>
        </w:tc>
        <w:tc>
          <w:tcPr>
            <w:tcW w:w="457" w:type="pct"/>
          </w:tcPr>
          <w:p w14:paraId="4BC7CBAF" w14:textId="77777777" w:rsidR="005976AB" w:rsidRPr="005635E7" w:rsidRDefault="005976AB" w:rsidP="009E2F41">
            <w:pPr>
              <w:rPr>
                <w:rFonts w:asciiTheme="majorBidi" w:hAnsiTheme="majorBidi" w:cstheme="majorBidi"/>
              </w:rPr>
            </w:pPr>
          </w:p>
        </w:tc>
      </w:tr>
      <w:tr w:rsidR="005976AB" w:rsidRPr="005635E7" w14:paraId="5CF15B53" w14:textId="77777777" w:rsidTr="009E2F41">
        <w:trPr>
          <w:trHeight w:val="431"/>
        </w:trPr>
        <w:tc>
          <w:tcPr>
            <w:tcW w:w="263" w:type="pct"/>
            <w:vAlign w:val="center"/>
          </w:tcPr>
          <w:p w14:paraId="3899584E"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6DDD762F"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ربحية وحدة الأعمال</w:t>
            </w:r>
          </w:p>
        </w:tc>
        <w:tc>
          <w:tcPr>
            <w:tcW w:w="460" w:type="pct"/>
          </w:tcPr>
          <w:p w14:paraId="640BDEB6" w14:textId="77777777" w:rsidR="005976AB" w:rsidRPr="005635E7" w:rsidRDefault="005976AB" w:rsidP="009E2F41">
            <w:pPr>
              <w:rPr>
                <w:rFonts w:asciiTheme="majorBidi" w:hAnsiTheme="majorBidi" w:cstheme="majorBidi"/>
              </w:rPr>
            </w:pPr>
          </w:p>
        </w:tc>
        <w:tc>
          <w:tcPr>
            <w:tcW w:w="459" w:type="pct"/>
          </w:tcPr>
          <w:p w14:paraId="366BCCDA" w14:textId="77777777" w:rsidR="005976AB" w:rsidRPr="005635E7" w:rsidRDefault="005976AB" w:rsidP="009E2F41">
            <w:pPr>
              <w:rPr>
                <w:rFonts w:asciiTheme="majorBidi" w:hAnsiTheme="majorBidi" w:cstheme="majorBidi"/>
              </w:rPr>
            </w:pPr>
          </w:p>
        </w:tc>
        <w:tc>
          <w:tcPr>
            <w:tcW w:w="459" w:type="pct"/>
          </w:tcPr>
          <w:p w14:paraId="609E8DC7" w14:textId="77777777" w:rsidR="005976AB" w:rsidRPr="005635E7" w:rsidRDefault="005976AB" w:rsidP="009E2F41">
            <w:pPr>
              <w:rPr>
                <w:rFonts w:asciiTheme="majorBidi" w:hAnsiTheme="majorBidi" w:cstheme="majorBidi"/>
              </w:rPr>
            </w:pPr>
          </w:p>
        </w:tc>
        <w:tc>
          <w:tcPr>
            <w:tcW w:w="459" w:type="pct"/>
          </w:tcPr>
          <w:p w14:paraId="3DB1E92E" w14:textId="77777777" w:rsidR="005976AB" w:rsidRPr="005635E7" w:rsidRDefault="005976AB" w:rsidP="009E2F41">
            <w:pPr>
              <w:rPr>
                <w:rFonts w:asciiTheme="majorBidi" w:hAnsiTheme="majorBidi" w:cstheme="majorBidi"/>
              </w:rPr>
            </w:pPr>
          </w:p>
        </w:tc>
        <w:tc>
          <w:tcPr>
            <w:tcW w:w="459" w:type="pct"/>
          </w:tcPr>
          <w:p w14:paraId="6D4B540A" w14:textId="77777777" w:rsidR="005976AB" w:rsidRPr="005635E7" w:rsidRDefault="005976AB" w:rsidP="009E2F41">
            <w:pPr>
              <w:rPr>
                <w:rFonts w:asciiTheme="majorBidi" w:hAnsiTheme="majorBidi" w:cstheme="majorBidi"/>
              </w:rPr>
            </w:pPr>
          </w:p>
        </w:tc>
        <w:tc>
          <w:tcPr>
            <w:tcW w:w="459" w:type="pct"/>
          </w:tcPr>
          <w:p w14:paraId="7DE3E4A9" w14:textId="77777777" w:rsidR="005976AB" w:rsidRPr="005635E7" w:rsidRDefault="005976AB" w:rsidP="009E2F41">
            <w:pPr>
              <w:rPr>
                <w:rFonts w:asciiTheme="majorBidi" w:hAnsiTheme="majorBidi" w:cstheme="majorBidi"/>
              </w:rPr>
            </w:pPr>
          </w:p>
        </w:tc>
        <w:tc>
          <w:tcPr>
            <w:tcW w:w="457" w:type="pct"/>
          </w:tcPr>
          <w:p w14:paraId="2AC8304A" w14:textId="77777777" w:rsidR="005976AB" w:rsidRPr="005635E7" w:rsidRDefault="005976AB" w:rsidP="009E2F41">
            <w:pPr>
              <w:rPr>
                <w:rFonts w:asciiTheme="majorBidi" w:hAnsiTheme="majorBidi" w:cstheme="majorBidi"/>
              </w:rPr>
            </w:pPr>
          </w:p>
        </w:tc>
      </w:tr>
      <w:tr w:rsidR="005976AB" w:rsidRPr="005635E7" w14:paraId="40DA8946" w14:textId="77777777" w:rsidTr="009E2F41">
        <w:trPr>
          <w:trHeight w:val="406"/>
        </w:trPr>
        <w:tc>
          <w:tcPr>
            <w:tcW w:w="263" w:type="pct"/>
            <w:vAlign w:val="center"/>
          </w:tcPr>
          <w:p w14:paraId="32497431"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46FB4B00"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العائد على الاستثمار (ROI)</w:t>
            </w:r>
          </w:p>
        </w:tc>
        <w:tc>
          <w:tcPr>
            <w:tcW w:w="460" w:type="pct"/>
          </w:tcPr>
          <w:p w14:paraId="3179189E" w14:textId="77777777" w:rsidR="005976AB" w:rsidRPr="005635E7" w:rsidRDefault="005976AB" w:rsidP="009E2F41">
            <w:pPr>
              <w:rPr>
                <w:rFonts w:asciiTheme="majorBidi" w:hAnsiTheme="majorBidi" w:cstheme="majorBidi"/>
              </w:rPr>
            </w:pPr>
          </w:p>
        </w:tc>
        <w:tc>
          <w:tcPr>
            <w:tcW w:w="459" w:type="pct"/>
          </w:tcPr>
          <w:p w14:paraId="0DB2222B" w14:textId="77777777" w:rsidR="005976AB" w:rsidRPr="005635E7" w:rsidRDefault="005976AB" w:rsidP="009E2F41">
            <w:pPr>
              <w:rPr>
                <w:rFonts w:asciiTheme="majorBidi" w:hAnsiTheme="majorBidi" w:cstheme="majorBidi"/>
              </w:rPr>
            </w:pPr>
          </w:p>
        </w:tc>
        <w:tc>
          <w:tcPr>
            <w:tcW w:w="459" w:type="pct"/>
          </w:tcPr>
          <w:p w14:paraId="05D58B04" w14:textId="77777777" w:rsidR="005976AB" w:rsidRPr="005635E7" w:rsidRDefault="005976AB" w:rsidP="009E2F41">
            <w:pPr>
              <w:rPr>
                <w:rFonts w:asciiTheme="majorBidi" w:hAnsiTheme="majorBidi" w:cstheme="majorBidi"/>
              </w:rPr>
            </w:pPr>
          </w:p>
        </w:tc>
        <w:tc>
          <w:tcPr>
            <w:tcW w:w="459" w:type="pct"/>
          </w:tcPr>
          <w:p w14:paraId="6C42BF30" w14:textId="77777777" w:rsidR="005976AB" w:rsidRPr="005635E7" w:rsidRDefault="005976AB" w:rsidP="009E2F41">
            <w:pPr>
              <w:rPr>
                <w:rFonts w:asciiTheme="majorBidi" w:hAnsiTheme="majorBidi" w:cstheme="majorBidi"/>
              </w:rPr>
            </w:pPr>
          </w:p>
        </w:tc>
        <w:tc>
          <w:tcPr>
            <w:tcW w:w="459" w:type="pct"/>
          </w:tcPr>
          <w:p w14:paraId="57AD911E" w14:textId="77777777" w:rsidR="005976AB" w:rsidRPr="005635E7" w:rsidRDefault="005976AB" w:rsidP="009E2F41">
            <w:pPr>
              <w:rPr>
                <w:rFonts w:asciiTheme="majorBidi" w:hAnsiTheme="majorBidi" w:cstheme="majorBidi"/>
              </w:rPr>
            </w:pPr>
          </w:p>
        </w:tc>
        <w:tc>
          <w:tcPr>
            <w:tcW w:w="459" w:type="pct"/>
          </w:tcPr>
          <w:p w14:paraId="38A50F54" w14:textId="77777777" w:rsidR="005976AB" w:rsidRPr="005635E7" w:rsidRDefault="005976AB" w:rsidP="009E2F41">
            <w:pPr>
              <w:rPr>
                <w:rFonts w:asciiTheme="majorBidi" w:hAnsiTheme="majorBidi" w:cstheme="majorBidi"/>
              </w:rPr>
            </w:pPr>
          </w:p>
        </w:tc>
        <w:tc>
          <w:tcPr>
            <w:tcW w:w="457" w:type="pct"/>
          </w:tcPr>
          <w:p w14:paraId="2F49E4C8" w14:textId="77777777" w:rsidR="005976AB" w:rsidRPr="005635E7" w:rsidRDefault="005976AB" w:rsidP="009E2F41">
            <w:pPr>
              <w:rPr>
                <w:rFonts w:asciiTheme="majorBidi" w:hAnsiTheme="majorBidi" w:cstheme="majorBidi"/>
              </w:rPr>
            </w:pPr>
          </w:p>
        </w:tc>
      </w:tr>
      <w:tr w:rsidR="005976AB" w:rsidRPr="005635E7" w14:paraId="6E8A8987" w14:textId="77777777" w:rsidTr="009E2F41">
        <w:trPr>
          <w:trHeight w:val="431"/>
        </w:trPr>
        <w:tc>
          <w:tcPr>
            <w:tcW w:w="263" w:type="pct"/>
            <w:vAlign w:val="center"/>
          </w:tcPr>
          <w:p w14:paraId="1AD11A40"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62E8B83A"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العائد على المبيعات (ROS)</w:t>
            </w:r>
          </w:p>
        </w:tc>
        <w:tc>
          <w:tcPr>
            <w:tcW w:w="460" w:type="pct"/>
          </w:tcPr>
          <w:p w14:paraId="14F08501" w14:textId="77777777" w:rsidR="005976AB" w:rsidRPr="005635E7" w:rsidRDefault="005976AB" w:rsidP="009E2F41">
            <w:pPr>
              <w:rPr>
                <w:rFonts w:asciiTheme="majorBidi" w:hAnsiTheme="majorBidi" w:cstheme="majorBidi"/>
              </w:rPr>
            </w:pPr>
          </w:p>
        </w:tc>
        <w:tc>
          <w:tcPr>
            <w:tcW w:w="459" w:type="pct"/>
          </w:tcPr>
          <w:p w14:paraId="6A2B3B79" w14:textId="77777777" w:rsidR="005976AB" w:rsidRPr="005635E7" w:rsidRDefault="005976AB" w:rsidP="009E2F41">
            <w:pPr>
              <w:rPr>
                <w:rFonts w:asciiTheme="majorBidi" w:hAnsiTheme="majorBidi" w:cstheme="majorBidi"/>
              </w:rPr>
            </w:pPr>
          </w:p>
        </w:tc>
        <w:tc>
          <w:tcPr>
            <w:tcW w:w="459" w:type="pct"/>
          </w:tcPr>
          <w:p w14:paraId="17956F12" w14:textId="77777777" w:rsidR="005976AB" w:rsidRPr="005635E7" w:rsidRDefault="005976AB" w:rsidP="009E2F41">
            <w:pPr>
              <w:rPr>
                <w:rFonts w:asciiTheme="majorBidi" w:hAnsiTheme="majorBidi" w:cstheme="majorBidi"/>
              </w:rPr>
            </w:pPr>
          </w:p>
        </w:tc>
        <w:tc>
          <w:tcPr>
            <w:tcW w:w="459" w:type="pct"/>
          </w:tcPr>
          <w:p w14:paraId="5AD2BE69" w14:textId="77777777" w:rsidR="005976AB" w:rsidRPr="005635E7" w:rsidRDefault="005976AB" w:rsidP="009E2F41">
            <w:pPr>
              <w:rPr>
                <w:rFonts w:asciiTheme="majorBidi" w:hAnsiTheme="majorBidi" w:cstheme="majorBidi"/>
              </w:rPr>
            </w:pPr>
          </w:p>
        </w:tc>
        <w:tc>
          <w:tcPr>
            <w:tcW w:w="459" w:type="pct"/>
          </w:tcPr>
          <w:p w14:paraId="61DF96D0" w14:textId="77777777" w:rsidR="005976AB" w:rsidRPr="005635E7" w:rsidRDefault="005976AB" w:rsidP="009E2F41">
            <w:pPr>
              <w:rPr>
                <w:rFonts w:asciiTheme="majorBidi" w:hAnsiTheme="majorBidi" w:cstheme="majorBidi"/>
              </w:rPr>
            </w:pPr>
          </w:p>
        </w:tc>
        <w:tc>
          <w:tcPr>
            <w:tcW w:w="459" w:type="pct"/>
          </w:tcPr>
          <w:p w14:paraId="59A98D24" w14:textId="77777777" w:rsidR="005976AB" w:rsidRPr="005635E7" w:rsidRDefault="005976AB" w:rsidP="009E2F41">
            <w:pPr>
              <w:rPr>
                <w:rFonts w:asciiTheme="majorBidi" w:hAnsiTheme="majorBidi" w:cstheme="majorBidi"/>
              </w:rPr>
            </w:pPr>
          </w:p>
        </w:tc>
        <w:tc>
          <w:tcPr>
            <w:tcW w:w="457" w:type="pct"/>
          </w:tcPr>
          <w:p w14:paraId="58988747" w14:textId="77777777" w:rsidR="005976AB" w:rsidRPr="005635E7" w:rsidRDefault="005976AB" w:rsidP="009E2F41">
            <w:pPr>
              <w:rPr>
                <w:rFonts w:asciiTheme="majorBidi" w:hAnsiTheme="majorBidi" w:cstheme="majorBidi"/>
              </w:rPr>
            </w:pPr>
          </w:p>
        </w:tc>
      </w:tr>
      <w:tr w:rsidR="005976AB" w:rsidRPr="005635E7" w14:paraId="0505E6BD" w14:textId="77777777" w:rsidTr="009E2F41">
        <w:trPr>
          <w:trHeight w:val="406"/>
        </w:trPr>
        <w:tc>
          <w:tcPr>
            <w:tcW w:w="263" w:type="pct"/>
            <w:vAlign w:val="center"/>
          </w:tcPr>
          <w:p w14:paraId="53CAFEF8" w14:textId="77777777" w:rsidR="005976AB" w:rsidRPr="005635E7" w:rsidRDefault="005976AB" w:rsidP="009E2F41">
            <w:pPr>
              <w:pStyle w:val="ListParagraph"/>
              <w:numPr>
                <w:ilvl w:val="0"/>
                <w:numId w:val="19"/>
              </w:numPr>
              <w:bidi/>
              <w:ind w:left="0" w:firstLine="0"/>
              <w:rPr>
                <w:rFonts w:asciiTheme="majorBidi" w:hAnsiTheme="majorBidi" w:cstheme="majorBidi"/>
              </w:rPr>
            </w:pPr>
          </w:p>
        </w:tc>
        <w:tc>
          <w:tcPr>
            <w:tcW w:w="1525" w:type="pct"/>
            <w:vAlign w:val="bottom"/>
          </w:tcPr>
          <w:p w14:paraId="2DA464E9" w14:textId="77777777" w:rsidR="005976AB" w:rsidRPr="005635E7" w:rsidRDefault="005976AB" w:rsidP="009E2F41">
            <w:pPr>
              <w:pStyle w:val="P68B1DB1-Normal12"/>
              <w:rPr>
                <w:rFonts w:asciiTheme="majorBidi" w:hAnsiTheme="majorBidi" w:cstheme="majorBidi"/>
                <w:color w:val="auto"/>
                <w:szCs w:val="22"/>
              </w:rPr>
            </w:pPr>
            <w:r w:rsidRPr="005635E7">
              <w:rPr>
                <w:rFonts w:asciiTheme="majorBidi" w:hAnsiTheme="majorBidi" w:cstheme="majorBidi"/>
                <w:color w:val="auto"/>
                <w:szCs w:val="22"/>
              </w:rPr>
              <w:t>تحقيق الأهداف المالية</w:t>
            </w:r>
          </w:p>
        </w:tc>
        <w:tc>
          <w:tcPr>
            <w:tcW w:w="460" w:type="pct"/>
          </w:tcPr>
          <w:p w14:paraId="16BFF8F1" w14:textId="77777777" w:rsidR="005976AB" w:rsidRPr="005635E7" w:rsidRDefault="005976AB" w:rsidP="009E2F41">
            <w:pPr>
              <w:rPr>
                <w:rFonts w:asciiTheme="majorBidi" w:hAnsiTheme="majorBidi" w:cstheme="majorBidi"/>
              </w:rPr>
            </w:pPr>
          </w:p>
        </w:tc>
        <w:tc>
          <w:tcPr>
            <w:tcW w:w="459" w:type="pct"/>
          </w:tcPr>
          <w:p w14:paraId="5DBDF52A" w14:textId="77777777" w:rsidR="005976AB" w:rsidRPr="005635E7" w:rsidRDefault="005976AB" w:rsidP="009E2F41">
            <w:pPr>
              <w:rPr>
                <w:rFonts w:asciiTheme="majorBidi" w:hAnsiTheme="majorBidi" w:cstheme="majorBidi"/>
              </w:rPr>
            </w:pPr>
          </w:p>
        </w:tc>
        <w:tc>
          <w:tcPr>
            <w:tcW w:w="459" w:type="pct"/>
          </w:tcPr>
          <w:p w14:paraId="5B732E43" w14:textId="77777777" w:rsidR="005976AB" w:rsidRPr="005635E7" w:rsidRDefault="005976AB" w:rsidP="009E2F41">
            <w:pPr>
              <w:rPr>
                <w:rFonts w:asciiTheme="majorBidi" w:hAnsiTheme="majorBidi" w:cstheme="majorBidi"/>
              </w:rPr>
            </w:pPr>
          </w:p>
        </w:tc>
        <w:tc>
          <w:tcPr>
            <w:tcW w:w="459" w:type="pct"/>
          </w:tcPr>
          <w:p w14:paraId="6CC2B0A8" w14:textId="77777777" w:rsidR="005976AB" w:rsidRPr="005635E7" w:rsidRDefault="005976AB" w:rsidP="009E2F41">
            <w:pPr>
              <w:rPr>
                <w:rFonts w:asciiTheme="majorBidi" w:hAnsiTheme="majorBidi" w:cstheme="majorBidi"/>
              </w:rPr>
            </w:pPr>
          </w:p>
        </w:tc>
        <w:tc>
          <w:tcPr>
            <w:tcW w:w="459" w:type="pct"/>
          </w:tcPr>
          <w:p w14:paraId="04000197" w14:textId="77777777" w:rsidR="005976AB" w:rsidRPr="005635E7" w:rsidRDefault="005976AB" w:rsidP="009E2F41">
            <w:pPr>
              <w:rPr>
                <w:rFonts w:asciiTheme="majorBidi" w:hAnsiTheme="majorBidi" w:cstheme="majorBidi"/>
              </w:rPr>
            </w:pPr>
          </w:p>
        </w:tc>
        <w:tc>
          <w:tcPr>
            <w:tcW w:w="459" w:type="pct"/>
          </w:tcPr>
          <w:p w14:paraId="0F49A858" w14:textId="77777777" w:rsidR="005976AB" w:rsidRPr="005635E7" w:rsidRDefault="005976AB" w:rsidP="009E2F41">
            <w:pPr>
              <w:rPr>
                <w:rFonts w:asciiTheme="majorBidi" w:hAnsiTheme="majorBidi" w:cstheme="majorBidi"/>
              </w:rPr>
            </w:pPr>
          </w:p>
        </w:tc>
        <w:tc>
          <w:tcPr>
            <w:tcW w:w="457" w:type="pct"/>
          </w:tcPr>
          <w:p w14:paraId="17CBEB13" w14:textId="77777777" w:rsidR="005976AB" w:rsidRPr="005635E7" w:rsidRDefault="005976AB" w:rsidP="009E2F41">
            <w:pPr>
              <w:rPr>
                <w:rFonts w:asciiTheme="majorBidi" w:hAnsiTheme="majorBidi" w:cstheme="majorBidi"/>
              </w:rPr>
            </w:pPr>
          </w:p>
        </w:tc>
      </w:tr>
    </w:tbl>
    <w:p w14:paraId="4E7181EE" w14:textId="77777777" w:rsidR="005976AB" w:rsidRPr="005635E7" w:rsidRDefault="005976AB" w:rsidP="005976AB">
      <w:pPr>
        <w:rPr>
          <w:rFonts w:asciiTheme="majorBidi" w:hAnsiTheme="majorBidi" w:cstheme="majorBidi"/>
        </w:rPr>
      </w:pPr>
    </w:p>
    <w:p w14:paraId="739253CF" w14:textId="77777777" w:rsidR="005976AB" w:rsidRPr="005635E7" w:rsidRDefault="005976AB" w:rsidP="005976AB">
      <w:pPr>
        <w:rPr>
          <w:rFonts w:asciiTheme="majorBidi" w:hAnsiTheme="majorBidi" w:cstheme="majorBidi"/>
        </w:rPr>
      </w:pPr>
    </w:p>
    <w:p w14:paraId="4FA62FEC" w14:textId="77777777" w:rsidR="005976AB" w:rsidRPr="005635E7" w:rsidRDefault="005976AB" w:rsidP="005976AB">
      <w:pPr>
        <w:rPr>
          <w:rFonts w:asciiTheme="majorBidi" w:hAnsiTheme="majorBidi" w:cstheme="majorBidi"/>
        </w:rPr>
      </w:pPr>
    </w:p>
    <w:p w14:paraId="3589572A" w14:textId="77777777" w:rsidR="005976AB" w:rsidRPr="005635E7" w:rsidRDefault="005976AB" w:rsidP="005976AB">
      <w:pPr>
        <w:rPr>
          <w:rFonts w:asciiTheme="majorBidi" w:hAnsiTheme="majorBidi" w:cstheme="majorBidi"/>
        </w:rPr>
      </w:pPr>
    </w:p>
    <w:p w14:paraId="70E1A558" w14:textId="77777777" w:rsidR="005976AB" w:rsidRPr="005635E7" w:rsidRDefault="005976AB" w:rsidP="005976AB">
      <w:pPr>
        <w:rPr>
          <w:rFonts w:asciiTheme="majorBidi" w:hAnsiTheme="majorBidi" w:cstheme="majorBidi"/>
        </w:rPr>
      </w:pPr>
    </w:p>
    <w:p w14:paraId="1B911EED" w14:textId="77777777" w:rsidR="005976AB" w:rsidRPr="005635E7" w:rsidRDefault="005976AB" w:rsidP="005976AB">
      <w:pPr>
        <w:rPr>
          <w:rFonts w:asciiTheme="majorBidi" w:hAnsiTheme="majorBidi" w:cstheme="majorBidi"/>
        </w:rPr>
      </w:pPr>
    </w:p>
    <w:p w14:paraId="295C2A9D" w14:textId="77777777" w:rsidR="005976AB" w:rsidRPr="005635E7" w:rsidRDefault="005976AB" w:rsidP="005976AB">
      <w:pPr>
        <w:jc w:val="both"/>
        <w:rPr>
          <w:rFonts w:asciiTheme="majorBidi" w:hAnsiTheme="majorBidi" w:cstheme="majorBidi"/>
          <w:b/>
          <w:bCs/>
        </w:rPr>
        <w:sectPr w:rsidR="005976AB" w:rsidRPr="005635E7" w:rsidSect="00C76B21">
          <w:pgSz w:w="11906" w:h="16838" w:code="9"/>
          <w:pgMar w:top="1440" w:right="1440" w:bottom="1440" w:left="1440" w:header="708" w:footer="708" w:gutter="0"/>
          <w:cols w:space="708"/>
          <w:docGrid w:linePitch="360"/>
        </w:sectPr>
      </w:pPr>
    </w:p>
    <w:p w14:paraId="4FDB8B92" w14:textId="77777777" w:rsidR="005976AB" w:rsidRPr="005635E7" w:rsidRDefault="005976AB" w:rsidP="005976AB">
      <w:pPr>
        <w:pStyle w:val="Heading2"/>
        <w:rPr>
          <w:rFonts w:asciiTheme="majorBidi" w:hAnsiTheme="majorBidi"/>
          <w:b/>
          <w:bCs/>
          <w:color w:val="auto"/>
        </w:rPr>
      </w:pPr>
      <w:bookmarkStart w:id="152" w:name="_Toc115310429"/>
      <w:r w:rsidRPr="005635E7">
        <w:rPr>
          <w:rFonts w:asciiTheme="majorBidi" w:hAnsiTheme="majorBidi"/>
          <w:b/>
          <w:bCs/>
          <w:color w:val="auto"/>
        </w:rPr>
        <w:t>Appendix D: Measurements of the Study’s Variable</w:t>
      </w:r>
      <w:bookmarkEnd w:id="152"/>
      <w:r>
        <w:rPr>
          <w:rFonts w:asciiTheme="majorBidi" w:hAnsiTheme="majorBidi"/>
          <w:b/>
          <w:bCs/>
          <w:color w:val="auto"/>
        </w:rPr>
        <w:t>s</w:t>
      </w:r>
    </w:p>
    <w:p w14:paraId="34864545" w14:textId="77777777" w:rsidR="005976AB" w:rsidRPr="005635E7" w:rsidRDefault="005976AB" w:rsidP="005976AB">
      <w:pPr>
        <w:jc w:val="both"/>
        <w:rPr>
          <w:rFonts w:asciiTheme="majorBidi" w:hAnsiTheme="majorBidi" w:cstheme="majorBidi"/>
        </w:rPr>
      </w:pPr>
    </w:p>
    <w:tbl>
      <w:tblPr>
        <w:tblW w:w="9627" w:type="dxa"/>
        <w:tblLook w:val="04A0" w:firstRow="1" w:lastRow="0" w:firstColumn="1" w:lastColumn="0" w:noHBand="0" w:noVBand="1"/>
      </w:tblPr>
      <w:tblGrid>
        <w:gridCol w:w="1643"/>
        <w:gridCol w:w="6186"/>
        <w:gridCol w:w="1798"/>
      </w:tblGrid>
      <w:tr w:rsidR="005976AB" w:rsidRPr="005635E7" w14:paraId="3752F67A" w14:textId="77777777" w:rsidTr="009E2F41">
        <w:trPr>
          <w:trHeight w:val="315"/>
        </w:trPr>
        <w:tc>
          <w:tcPr>
            <w:tcW w:w="1643" w:type="dxa"/>
            <w:tcBorders>
              <w:top w:val="single" w:sz="8" w:space="0" w:color="auto"/>
              <w:left w:val="single" w:sz="8" w:space="0" w:color="auto"/>
              <w:bottom w:val="single" w:sz="8" w:space="0" w:color="auto"/>
              <w:right w:val="single" w:sz="8" w:space="0" w:color="auto"/>
            </w:tcBorders>
            <w:noWrap/>
            <w:vAlign w:val="center"/>
            <w:hideMark/>
          </w:tcPr>
          <w:p w14:paraId="1E1C2AC1" w14:textId="77777777" w:rsidR="005976AB" w:rsidRPr="005635E7" w:rsidRDefault="005976AB" w:rsidP="009E2F41">
            <w:pPr>
              <w:rPr>
                <w:rFonts w:asciiTheme="majorBidi" w:eastAsia="Times New Roman" w:hAnsiTheme="majorBidi" w:cstheme="majorBidi"/>
                <w:b/>
                <w:bCs/>
                <w:lang w:eastAsia="en-GB"/>
              </w:rPr>
            </w:pPr>
            <w:bookmarkStart w:id="153" w:name="_Hlk125405344"/>
            <w:r w:rsidRPr="005635E7">
              <w:rPr>
                <w:rFonts w:asciiTheme="majorBidi" w:eastAsia="Times New Roman" w:hAnsiTheme="majorBidi" w:cstheme="majorBidi"/>
                <w:b/>
                <w:bCs/>
                <w:lang w:eastAsia="en-GB"/>
              </w:rPr>
              <w:t>Construct</w:t>
            </w:r>
          </w:p>
        </w:tc>
        <w:tc>
          <w:tcPr>
            <w:tcW w:w="6186" w:type="dxa"/>
            <w:tcBorders>
              <w:top w:val="single" w:sz="8" w:space="0" w:color="auto"/>
              <w:left w:val="nil"/>
              <w:bottom w:val="single" w:sz="8" w:space="0" w:color="auto"/>
              <w:right w:val="single" w:sz="8" w:space="0" w:color="auto"/>
            </w:tcBorders>
            <w:noWrap/>
            <w:vAlign w:val="center"/>
            <w:hideMark/>
          </w:tcPr>
          <w:p w14:paraId="39A0FAEA" w14:textId="77777777" w:rsidR="005976AB" w:rsidRPr="005635E7" w:rsidRDefault="005976AB" w:rsidP="009E2F41">
            <w:pPr>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 xml:space="preserve">Item Description </w:t>
            </w:r>
          </w:p>
        </w:tc>
        <w:tc>
          <w:tcPr>
            <w:tcW w:w="1798" w:type="dxa"/>
            <w:tcBorders>
              <w:top w:val="single" w:sz="8" w:space="0" w:color="auto"/>
              <w:left w:val="nil"/>
              <w:bottom w:val="single" w:sz="8" w:space="0" w:color="auto"/>
              <w:right w:val="single" w:sz="8" w:space="0" w:color="auto"/>
            </w:tcBorders>
            <w:noWrap/>
            <w:vAlign w:val="center"/>
            <w:hideMark/>
          </w:tcPr>
          <w:p w14:paraId="6FC6C3D0" w14:textId="77777777" w:rsidR="005976AB" w:rsidRPr="005635E7" w:rsidRDefault="005976AB" w:rsidP="009E2F41">
            <w:pPr>
              <w:rPr>
                <w:rFonts w:asciiTheme="majorBidi" w:eastAsia="Times New Roman" w:hAnsiTheme="majorBidi" w:cstheme="majorBidi"/>
                <w:b/>
                <w:bCs/>
                <w:lang w:eastAsia="en-GB"/>
              </w:rPr>
            </w:pPr>
            <w:r w:rsidRPr="005635E7">
              <w:rPr>
                <w:rFonts w:asciiTheme="majorBidi" w:eastAsia="Times New Roman" w:hAnsiTheme="majorBidi" w:cstheme="majorBidi"/>
                <w:b/>
                <w:bCs/>
                <w:lang w:eastAsia="en-GB"/>
              </w:rPr>
              <w:t>Source</w:t>
            </w:r>
          </w:p>
        </w:tc>
      </w:tr>
      <w:tr w:rsidR="005976AB" w:rsidRPr="005635E7" w14:paraId="55936F2B"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04C6802A"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Organizational Learning Capability (OLC)</w:t>
            </w:r>
          </w:p>
        </w:tc>
        <w:tc>
          <w:tcPr>
            <w:tcW w:w="6186" w:type="dxa"/>
            <w:tcBorders>
              <w:top w:val="nil"/>
              <w:left w:val="nil"/>
              <w:bottom w:val="nil"/>
              <w:right w:val="single" w:sz="8" w:space="0" w:color="auto"/>
            </w:tcBorders>
            <w:noWrap/>
            <w:hideMark/>
          </w:tcPr>
          <w:p w14:paraId="4E2F7691"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Employee learning is viewed more as a cost than as an investment by managers, who routinely involve their personnel in key decision-making processes.</w:t>
            </w:r>
          </w:p>
          <w:p w14:paraId="0DE47212"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The firm's management is supportive of making adjustments in any area to better prepare for and/or keep up with changing environmental conditions.</w:t>
            </w:r>
          </w:p>
        </w:tc>
        <w:tc>
          <w:tcPr>
            <w:tcW w:w="1798" w:type="dxa"/>
            <w:tcBorders>
              <w:top w:val="nil"/>
              <w:left w:val="nil"/>
              <w:bottom w:val="nil"/>
              <w:right w:val="single" w:sz="8" w:space="0" w:color="auto"/>
            </w:tcBorders>
            <w:noWrap/>
            <w:vAlign w:val="center"/>
            <w:hideMark/>
          </w:tcPr>
          <w:p w14:paraId="0FF8C467"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Jerez-Gomez, Cespedes-Lorente &amp; Valle-Cabrera (2005)</w:t>
            </w:r>
          </w:p>
        </w:tc>
      </w:tr>
      <w:tr w:rsidR="005976AB" w:rsidRPr="005635E7" w14:paraId="7044F635"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141CB6F7"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2CA3DC40"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Employee learning capacity is valued highly in this company.</w:t>
            </w:r>
          </w:p>
        </w:tc>
        <w:tc>
          <w:tcPr>
            <w:tcW w:w="1798" w:type="dxa"/>
            <w:tcBorders>
              <w:top w:val="nil"/>
              <w:left w:val="nil"/>
              <w:bottom w:val="nil"/>
              <w:right w:val="single" w:sz="8" w:space="0" w:color="auto"/>
            </w:tcBorders>
            <w:noWrap/>
            <w:vAlign w:val="center"/>
            <w:hideMark/>
          </w:tcPr>
          <w:p w14:paraId="254557C5"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3C24CB9"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20A640B3"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250CC6CE"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Successful innovations are rewarded in this company.</w:t>
            </w:r>
          </w:p>
        </w:tc>
        <w:tc>
          <w:tcPr>
            <w:tcW w:w="1798" w:type="dxa"/>
            <w:tcBorders>
              <w:top w:val="nil"/>
              <w:left w:val="nil"/>
              <w:bottom w:val="nil"/>
              <w:right w:val="single" w:sz="8" w:space="0" w:color="auto"/>
            </w:tcBorders>
            <w:noWrap/>
            <w:vAlign w:val="center"/>
            <w:hideMark/>
          </w:tcPr>
          <w:p w14:paraId="76339404"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07FF8BAB"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40062502"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46C6825C"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All employees are generally aware of the goals of this company.</w:t>
            </w:r>
          </w:p>
        </w:tc>
        <w:tc>
          <w:tcPr>
            <w:tcW w:w="1798" w:type="dxa"/>
            <w:tcBorders>
              <w:top w:val="nil"/>
              <w:left w:val="nil"/>
              <w:bottom w:val="nil"/>
              <w:right w:val="single" w:sz="8" w:space="0" w:color="auto"/>
            </w:tcBorders>
            <w:noWrap/>
            <w:vAlign w:val="center"/>
            <w:hideMark/>
          </w:tcPr>
          <w:p w14:paraId="4883EBF2"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2AC239B2"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719DD00C"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4E434DA7"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Every component of this company, including the departments, sections, work teams, and individuals, is fully aware of their role in achieving the company's ultimate goals.</w:t>
            </w:r>
          </w:p>
        </w:tc>
        <w:tc>
          <w:tcPr>
            <w:tcW w:w="1798" w:type="dxa"/>
            <w:tcBorders>
              <w:top w:val="nil"/>
              <w:left w:val="nil"/>
              <w:bottom w:val="nil"/>
              <w:right w:val="single" w:sz="8" w:space="0" w:color="auto"/>
            </w:tcBorders>
            <w:noWrap/>
            <w:vAlign w:val="center"/>
            <w:hideMark/>
          </w:tcPr>
          <w:p w14:paraId="0706CBB9"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54AB392"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782C320F"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528965D4"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This company's components are all related to one another and function as a cohesive whole.</w:t>
            </w:r>
          </w:p>
        </w:tc>
        <w:tc>
          <w:tcPr>
            <w:tcW w:w="1798" w:type="dxa"/>
            <w:tcBorders>
              <w:top w:val="nil"/>
              <w:left w:val="nil"/>
              <w:bottom w:val="nil"/>
              <w:right w:val="single" w:sz="8" w:space="0" w:color="auto"/>
            </w:tcBorders>
            <w:noWrap/>
            <w:vAlign w:val="center"/>
            <w:hideMark/>
          </w:tcPr>
          <w:p w14:paraId="7C1463EF"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5A4F6215"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0DD7C9AD"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2A6098F6"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This company encourages creativity and experimentation as a strategy to enhance the working environment.</w:t>
            </w:r>
          </w:p>
        </w:tc>
        <w:tc>
          <w:tcPr>
            <w:tcW w:w="1798" w:type="dxa"/>
            <w:tcBorders>
              <w:top w:val="nil"/>
              <w:left w:val="nil"/>
              <w:bottom w:val="nil"/>
              <w:right w:val="single" w:sz="8" w:space="0" w:color="auto"/>
            </w:tcBorders>
            <w:noWrap/>
            <w:vAlign w:val="center"/>
            <w:hideMark/>
          </w:tcPr>
          <w:p w14:paraId="56D8E829"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0955C3F2"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32729CC4"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71F4DC93"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This company adopts practices and approaches that it deems to be interesting and valuable while also paying attention to what other companies in the industry are doing.</w:t>
            </w:r>
          </w:p>
        </w:tc>
        <w:tc>
          <w:tcPr>
            <w:tcW w:w="1798" w:type="dxa"/>
            <w:tcBorders>
              <w:top w:val="nil"/>
              <w:left w:val="nil"/>
              <w:bottom w:val="nil"/>
              <w:right w:val="single" w:sz="8" w:space="0" w:color="auto"/>
            </w:tcBorders>
            <w:noWrap/>
            <w:vAlign w:val="center"/>
            <w:hideMark/>
          </w:tcPr>
          <w:p w14:paraId="59BED748"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C055C3C"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3A4AC5C6"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619212DF"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External experiences and suggestions from customers, consultants, training companies, and other sources are valued learning resources for this company.</w:t>
            </w:r>
          </w:p>
        </w:tc>
        <w:tc>
          <w:tcPr>
            <w:tcW w:w="1798" w:type="dxa"/>
            <w:tcBorders>
              <w:top w:val="nil"/>
              <w:left w:val="nil"/>
              <w:bottom w:val="nil"/>
              <w:right w:val="single" w:sz="8" w:space="0" w:color="auto"/>
            </w:tcBorders>
            <w:noWrap/>
            <w:vAlign w:val="center"/>
            <w:hideMark/>
          </w:tcPr>
          <w:p w14:paraId="3BEADBF7"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5B94974"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34B04AE8"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6A366957"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Employees are encouraged to voice their thoughts and offer suggestions regarding the policies and practices used to carry out duties as part of the company culture.</w:t>
            </w:r>
          </w:p>
        </w:tc>
        <w:tc>
          <w:tcPr>
            <w:tcW w:w="1798" w:type="dxa"/>
            <w:tcBorders>
              <w:top w:val="nil"/>
              <w:left w:val="nil"/>
              <w:bottom w:val="nil"/>
              <w:right w:val="single" w:sz="8" w:space="0" w:color="auto"/>
            </w:tcBorders>
            <w:noWrap/>
            <w:vAlign w:val="center"/>
            <w:hideMark/>
          </w:tcPr>
          <w:p w14:paraId="44741E40"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6EB58C51"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2043B691"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60BFA0D4"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Failures and errors are constantly discussed and examined in this company, at all levels.</w:t>
            </w:r>
          </w:p>
        </w:tc>
        <w:tc>
          <w:tcPr>
            <w:tcW w:w="1798" w:type="dxa"/>
            <w:tcBorders>
              <w:top w:val="nil"/>
              <w:left w:val="nil"/>
              <w:bottom w:val="nil"/>
              <w:right w:val="single" w:sz="8" w:space="0" w:color="auto"/>
            </w:tcBorders>
            <w:noWrap/>
            <w:vAlign w:val="center"/>
            <w:hideMark/>
          </w:tcPr>
          <w:p w14:paraId="3289E226"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570992AF"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45D4E853"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13E19D62"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Employees are given the opportunity to discuss novel concepts, plans, and initiatives that might benefit the company among themselves.</w:t>
            </w:r>
          </w:p>
        </w:tc>
        <w:tc>
          <w:tcPr>
            <w:tcW w:w="1798" w:type="dxa"/>
            <w:tcBorders>
              <w:top w:val="nil"/>
              <w:left w:val="nil"/>
              <w:bottom w:val="nil"/>
              <w:right w:val="single" w:sz="8" w:space="0" w:color="auto"/>
            </w:tcBorders>
            <w:noWrap/>
            <w:vAlign w:val="center"/>
            <w:hideMark/>
          </w:tcPr>
          <w:p w14:paraId="515F7B49"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8C0C187"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254D2462"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1B799128"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Working as a team is not the norm at this company.</w:t>
            </w:r>
          </w:p>
        </w:tc>
        <w:tc>
          <w:tcPr>
            <w:tcW w:w="1798" w:type="dxa"/>
            <w:tcBorders>
              <w:top w:val="nil"/>
              <w:left w:val="nil"/>
              <w:bottom w:val="nil"/>
              <w:right w:val="single" w:sz="8" w:space="0" w:color="auto"/>
            </w:tcBorders>
            <w:noWrap/>
            <w:vAlign w:val="center"/>
            <w:hideMark/>
          </w:tcPr>
          <w:p w14:paraId="21C25EEF"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29091EF4"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55CD358D"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3C8C5670"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The company has tools (manuals, databases, files, organizational routines, etc.) that allow lessons learned in the past to be used even when the employees have changed.</w:t>
            </w:r>
          </w:p>
        </w:tc>
        <w:tc>
          <w:tcPr>
            <w:tcW w:w="1798" w:type="dxa"/>
            <w:tcBorders>
              <w:top w:val="nil"/>
              <w:left w:val="nil"/>
              <w:bottom w:val="nil"/>
              <w:right w:val="single" w:sz="8" w:space="0" w:color="auto"/>
            </w:tcBorders>
            <w:noWrap/>
            <w:vAlign w:val="center"/>
            <w:hideMark/>
          </w:tcPr>
          <w:p w14:paraId="6EDCD5F6"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A766C61"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5DF52F5C"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2226C985"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All of our innovation projects directly engage external partners, including clients, rivals, research institutions, consultants, suppliers, the government, or universities.</w:t>
            </w:r>
          </w:p>
        </w:tc>
        <w:tc>
          <w:tcPr>
            <w:tcW w:w="1798" w:type="dxa"/>
            <w:tcBorders>
              <w:top w:val="nil"/>
              <w:left w:val="nil"/>
              <w:bottom w:val="nil"/>
              <w:right w:val="single" w:sz="8" w:space="0" w:color="auto"/>
            </w:tcBorders>
            <w:noWrap/>
            <w:vAlign w:val="center"/>
            <w:hideMark/>
          </w:tcPr>
          <w:p w14:paraId="450DB8C6"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509B4716" w14:textId="77777777" w:rsidTr="009E2F41">
        <w:trPr>
          <w:trHeight w:val="315"/>
        </w:trPr>
        <w:tc>
          <w:tcPr>
            <w:tcW w:w="1643" w:type="dxa"/>
            <w:tcBorders>
              <w:top w:val="nil"/>
              <w:left w:val="single" w:sz="8" w:space="0" w:color="auto"/>
              <w:bottom w:val="single" w:sz="8" w:space="0" w:color="auto"/>
              <w:right w:val="single" w:sz="8" w:space="0" w:color="auto"/>
            </w:tcBorders>
            <w:noWrap/>
            <w:vAlign w:val="center"/>
            <w:hideMark/>
          </w:tcPr>
          <w:p w14:paraId="6C28A704"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single" w:sz="8" w:space="0" w:color="auto"/>
              <w:right w:val="single" w:sz="8" w:space="0" w:color="auto"/>
            </w:tcBorders>
            <w:noWrap/>
            <w:hideMark/>
          </w:tcPr>
          <w:p w14:paraId="6E9C463A"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hAnsi="Times New Roman" w:cs="Times New Roman"/>
              </w:rPr>
              <w:t>Employee learning is viewed more as a cost than as an investment by managers, who routinely involve their personnel in key decision-making processes. The firm's management is supportive of making adjustments in any area to better prepare for and/or keep up with changing environmental conditions.</w:t>
            </w:r>
          </w:p>
          <w:p w14:paraId="7C3F0FFC" w14:textId="77777777" w:rsidR="005976AB" w:rsidRPr="005635E7" w:rsidRDefault="005976AB" w:rsidP="005976AB">
            <w:pPr>
              <w:pStyle w:val="ListParagraph"/>
              <w:numPr>
                <w:ilvl w:val="0"/>
                <w:numId w:val="20"/>
              </w:numPr>
              <w:rPr>
                <w:rFonts w:ascii="Times New Roman" w:eastAsia="Times New Roman" w:hAnsi="Times New Roman" w:cs="Times New Roman"/>
                <w:lang w:eastAsia="en-GB"/>
              </w:rPr>
            </w:pPr>
            <w:r w:rsidRPr="005635E7">
              <w:rPr>
                <w:rFonts w:ascii="Times New Roman" w:eastAsia="Times New Roman" w:hAnsi="Times New Roman" w:cs="Times New Roman"/>
                <w:lang w:eastAsia="en-GB"/>
              </w:rPr>
              <w:t>This organization places a high importance on employee learning potential.</w:t>
            </w:r>
          </w:p>
        </w:tc>
        <w:tc>
          <w:tcPr>
            <w:tcW w:w="1798" w:type="dxa"/>
            <w:tcBorders>
              <w:top w:val="nil"/>
              <w:left w:val="nil"/>
              <w:bottom w:val="single" w:sz="8" w:space="0" w:color="auto"/>
              <w:right w:val="single" w:sz="8" w:space="0" w:color="auto"/>
            </w:tcBorders>
            <w:noWrap/>
            <w:vAlign w:val="center"/>
            <w:hideMark/>
          </w:tcPr>
          <w:p w14:paraId="1A552C90"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0CE01DF9" w14:textId="77777777" w:rsidTr="009E2F41">
        <w:trPr>
          <w:trHeight w:val="1084"/>
        </w:trPr>
        <w:tc>
          <w:tcPr>
            <w:tcW w:w="1643" w:type="dxa"/>
            <w:tcBorders>
              <w:top w:val="nil"/>
              <w:left w:val="single" w:sz="8" w:space="0" w:color="auto"/>
              <w:right w:val="single" w:sz="8" w:space="0" w:color="auto"/>
            </w:tcBorders>
            <w:noWrap/>
            <w:vAlign w:val="center"/>
            <w:hideMark/>
          </w:tcPr>
          <w:p w14:paraId="7002E85D"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Open Innovation (OI)</w:t>
            </w:r>
          </w:p>
          <w:p w14:paraId="3A991BAA"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right w:val="single" w:sz="8" w:space="0" w:color="auto"/>
            </w:tcBorders>
            <w:noWrap/>
          </w:tcPr>
          <w:p w14:paraId="1EC7278B" w14:textId="77777777" w:rsidR="005976AB" w:rsidRPr="005635E7" w:rsidRDefault="005976AB" w:rsidP="005976AB">
            <w:pPr>
              <w:pStyle w:val="ListParagraph"/>
              <w:numPr>
                <w:ilvl w:val="0"/>
                <w:numId w:val="21"/>
              </w:numPr>
              <w:rPr>
                <w:rFonts w:ascii="Times New Roman" w:eastAsia="Times New Roman" w:hAnsi="Times New Roman" w:cs="Times New Roman"/>
                <w:lang w:eastAsia="en-GB"/>
              </w:rPr>
            </w:pPr>
            <w:r w:rsidRPr="005635E7">
              <w:rPr>
                <w:rFonts w:ascii="Times New Roman" w:hAnsi="Times New Roman" w:cs="Times New Roman"/>
              </w:rPr>
              <w:t xml:space="preserve">All of our innovation efforts rely heavily on the assistance of outside partners, whether clients, rivals, research institutions, consultants, suppliers, the government, or universities. </w:t>
            </w:r>
          </w:p>
        </w:tc>
        <w:tc>
          <w:tcPr>
            <w:tcW w:w="1798" w:type="dxa"/>
            <w:tcBorders>
              <w:top w:val="nil"/>
              <w:left w:val="nil"/>
              <w:right w:val="single" w:sz="8" w:space="0" w:color="auto"/>
            </w:tcBorders>
            <w:noWrap/>
            <w:vAlign w:val="center"/>
            <w:hideMark/>
          </w:tcPr>
          <w:p w14:paraId="5944D0B8"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Cheng &amp; Shiu (2015)</w:t>
            </w:r>
          </w:p>
          <w:p w14:paraId="4007F8C9"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628A477F"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0CEAA2F7"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hideMark/>
          </w:tcPr>
          <w:p w14:paraId="207A987A" w14:textId="77777777" w:rsidR="005976AB" w:rsidRPr="005635E7" w:rsidRDefault="005976AB" w:rsidP="005976AB">
            <w:pPr>
              <w:pStyle w:val="ListParagraph"/>
              <w:numPr>
                <w:ilvl w:val="0"/>
                <w:numId w:val="21"/>
              </w:numPr>
              <w:rPr>
                <w:rFonts w:ascii="Times New Roman" w:eastAsia="Times New Roman" w:hAnsi="Times New Roman" w:cs="Times New Roman"/>
                <w:lang w:eastAsia="en-GB"/>
              </w:rPr>
            </w:pPr>
            <w:r w:rsidRPr="005635E7">
              <w:rPr>
                <w:rFonts w:ascii="Times New Roman" w:hAnsi="Times New Roman" w:cs="Times New Roman"/>
              </w:rPr>
              <w:t>Our company frequently purchases R&amp;D-related goods from outside vendors;</w:t>
            </w:r>
          </w:p>
          <w:p w14:paraId="1A384362" w14:textId="77777777" w:rsidR="005976AB" w:rsidRPr="005635E7" w:rsidRDefault="005976AB" w:rsidP="005976AB">
            <w:pPr>
              <w:pStyle w:val="ListParagraph"/>
              <w:numPr>
                <w:ilvl w:val="0"/>
                <w:numId w:val="21"/>
              </w:numPr>
              <w:rPr>
                <w:rFonts w:ascii="Times New Roman" w:eastAsia="Times New Roman" w:hAnsi="Times New Roman" w:cs="Times New Roman"/>
                <w:lang w:eastAsia="en-GB"/>
              </w:rPr>
            </w:pPr>
            <w:r w:rsidRPr="005635E7">
              <w:rPr>
                <w:rFonts w:ascii="Times New Roman" w:hAnsi="Times New Roman" w:cs="Times New Roman"/>
              </w:rPr>
              <w:t>Our firm frequently acquires intellectual property, such as patents, copyrights, or trademarks, from outside vendors for use in our innovation projects;</w:t>
            </w:r>
          </w:p>
          <w:p w14:paraId="7B7DCFE1" w14:textId="77777777" w:rsidR="005976AB" w:rsidRPr="005635E7" w:rsidRDefault="005976AB" w:rsidP="005976AB">
            <w:pPr>
              <w:pStyle w:val="ListParagraph"/>
              <w:numPr>
                <w:ilvl w:val="0"/>
                <w:numId w:val="21"/>
              </w:numPr>
              <w:rPr>
                <w:rFonts w:ascii="Times New Roman" w:eastAsia="Times New Roman" w:hAnsi="Times New Roman" w:cs="Times New Roman"/>
                <w:lang w:eastAsia="en-GB"/>
              </w:rPr>
            </w:pPr>
            <w:r w:rsidRPr="005635E7">
              <w:rPr>
                <w:rFonts w:ascii="Times New Roman" w:hAnsi="Times New Roman" w:cs="Times New Roman"/>
              </w:rPr>
              <w:t>Our firm frequently sells licenses, such as patents, copyrights, or trademarks, to other businesses in order to maximize the value of our innovation efforts.</w:t>
            </w:r>
          </w:p>
          <w:p w14:paraId="249CDD4E" w14:textId="77777777" w:rsidR="005976AB" w:rsidRPr="005635E7" w:rsidRDefault="005976AB" w:rsidP="005976AB">
            <w:pPr>
              <w:pStyle w:val="ListParagraph"/>
              <w:numPr>
                <w:ilvl w:val="0"/>
                <w:numId w:val="21"/>
              </w:numPr>
              <w:rPr>
                <w:rFonts w:ascii="Times New Roman" w:eastAsia="Times New Roman" w:hAnsi="Times New Roman" w:cs="Times New Roman"/>
                <w:lang w:eastAsia="en-GB"/>
              </w:rPr>
            </w:pPr>
            <w:r w:rsidRPr="005635E7">
              <w:rPr>
                <w:rFonts w:ascii="Times New Roman" w:hAnsi="Times New Roman" w:cs="Times New Roman"/>
              </w:rPr>
              <w:t>Our company frequently provides royalty agreements to other businesses.</w:t>
            </w:r>
          </w:p>
          <w:p w14:paraId="30E2C8D6" w14:textId="77777777" w:rsidR="005976AB" w:rsidRPr="005635E7" w:rsidRDefault="005976AB" w:rsidP="005976AB">
            <w:pPr>
              <w:pStyle w:val="ListParagraph"/>
              <w:numPr>
                <w:ilvl w:val="0"/>
                <w:numId w:val="21"/>
              </w:numPr>
              <w:rPr>
                <w:rFonts w:ascii="Times New Roman" w:eastAsia="Times New Roman" w:hAnsi="Times New Roman" w:cs="Times New Roman"/>
                <w:lang w:eastAsia="en-GB"/>
              </w:rPr>
            </w:pPr>
            <w:r w:rsidRPr="005635E7">
              <w:rPr>
                <w:rFonts w:ascii="Times New Roman" w:hAnsi="Times New Roman" w:cs="Times New Roman"/>
              </w:rPr>
              <w:t>We in our company also work to maximize the usage of our own intellectual property.</w:t>
            </w:r>
          </w:p>
          <w:p w14:paraId="073F88DF" w14:textId="77777777" w:rsidR="005976AB" w:rsidRPr="005635E7" w:rsidRDefault="005976AB" w:rsidP="005976AB">
            <w:pPr>
              <w:pStyle w:val="ListParagraph"/>
              <w:numPr>
                <w:ilvl w:val="0"/>
                <w:numId w:val="21"/>
              </w:numPr>
              <w:rPr>
                <w:rFonts w:ascii="Times New Roman" w:eastAsia="Times New Roman" w:hAnsi="Times New Roman" w:cs="Times New Roman"/>
                <w:lang w:eastAsia="en-GB"/>
              </w:rPr>
            </w:pPr>
            <w:r w:rsidRPr="005635E7">
              <w:rPr>
                <w:rFonts w:ascii="Times New Roman" w:hAnsi="Times New Roman" w:cs="Times New Roman"/>
              </w:rPr>
              <w:t xml:space="preserve">Our company discovered that spin-offs benefited more from our innovative initiatives. </w:t>
            </w:r>
          </w:p>
        </w:tc>
        <w:tc>
          <w:tcPr>
            <w:tcW w:w="1798" w:type="dxa"/>
            <w:tcBorders>
              <w:top w:val="nil"/>
              <w:left w:val="nil"/>
              <w:bottom w:val="nil"/>
              <w:right w:val="single" w:sz="8" w:space="0" w:color="auto"/>
            </w:tcBorders>
            <w:noWrap/>
            <w:vAlign w:val="center"/>
            <w:hideMark/>
          </w:tcPr>
          <w:p w14:paraId="2B727F4C"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0C32BB6"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6DE5B883"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vMerge w:val="restart"/>
            <w:tcBorders>
              <w:top w:val="nil"/>
              <w:left w:val="nil"/>
              <w:right w:val="single" w:sz="8" w:space="0" w:color="auto"/>
            </w:tcBorders>
            <w:noWrap/>
          </w:tcPr>
          <w:p w14:paraId="20E47094" w14:textId="77777777" w:rsidR="005976AB" w:rsidRPr="005635E7" w:rsidRDefault="005976AB" w:rsidP="009E2F41">
            <w:pPr>
              <w:rPr>
                <w:rFonts w:ascii="Times New Roman" w:eastAsia="Times New Roman" w:hAnsi="Times New Roman" w:cs="Times New Roman"/>
                <w:lang w:eastAsia="en-GB"/>
              </w:rPr>
            </w:pPr>
          </w:p>
        </w:tc>
        <w:tc>
          <w:tcPr>
            <w:tcW w:w="1798" w:type="dxa"/>
            <w:tcBorders>
              <w:top w:val="nil"/>
              <w:left w:val="nil"/>
              <w:bottom w:val="nil"/>
              <w:right w:val="single" w:sz="8" w:space="0" w:color="auto"/>
            </w:tcBorders>
            <w:noWrap/>
            <w:vAlign w:val="center"/>
            <w:hideMark/>
          </w:tcPr>
          <w:p w14:paraId="76BFA252"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732F2A79"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4A70ABC6"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vMerge/>
            <w:tcBorders>
              <w:left w:val="nil"/>
              <w:right w:val="single" w:sz="8" w:space="0" w:color="auto"/>
            </w:tcBorders>
            <w:noWrap/>
          </w:tcPr>
          <w:p w14:paraId="5F7AAFC8" w14:textId="77777777" w:rsidR="005976AB" w:rsidRPr="005635E7" w:rsidRDefault="005976AB" w:rsidP="009E2F41">
            <w:pPr>
              <w:rPr>
                <w:rFonts w:ascii="Times New Roman" w:eastAsia="Times New Roman" w:hAnsi="Times New Roman" w:cs="Times New Roman"/>
                <w:lang w:eastAsia="en-GB"/>
              </w:rPr>
            </w:pPr>
          </w:p>
        </w:tc>
        <w:tc>
          <w:tcPr>
            <w:tcW w:w="1798" w:type="dxa"/>
            <w:tcBorders>
              <w:top w:val="nil"/>
              <w:left w:val="nil"/>
              <w:bottom w:val="nil"/>
              <w:right w:val="single" w:sz="8" w:space="0" w:color="auto"/>
            </w:tcBorders>
            <w:noWrap/>
            <w:vAlign w:val="center"/>
            <w:hideMark/>
          </w:tcPr>
          <w:p w14:paraId="00B6783B"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2C95831D"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737D6941"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vMerge/>
            <w:tcBorders>
              <w:left w:val="nil"/>
              <w:right w:val="single" w:sz="8" w:space="0" w:color="auto"/>
            </w:tcBorders>
            <w:noWrap/>
          </w:tcPr>
          <w:p w14:paraId="2D3BCD63" w14:textId="77777777" w:rsidR="005976AB" w:rsidRPr="005635E7" w:rsidRDefault="005976AB" w:rsidP="009E2F41">
            <w:pPr>
              <w:rPr>
                <w:rFonts w:ascii="Times New Roman" w:eastAsia="Times New Roman" w:hAnsi="Times New Roman" w:cs="Times New Roman"/>
                <w:lang w:eastAsia="en-GB"/>
              </w:rPr>
            </w:pPr>
          </w:p>
        </w:tc>
        <w:tc>
          <w:tcPr>
            <w:tcW w:w="1798" w:type="dxa"/>
            <w:tcBorders>
              <w:top w:val="nil"/>
              <w:left w:val="nil"/>
              <w:bottom w:val="nil"/>
              <w:right w:val="single" w:sz="8" w:space="0" w:color="auto"/>
            </w:tcBorders>
            <w:noWrap/>
            <w:vAlign w:val="center"/>
            <w:hideMark/>
          </w:tcPr>
          <w:p w14:paraId="6A4322A8" w14:textId="77777777" w:rsidR="005976AB" w:rsidRPr="005635E7" w:rsidRDefault="005976AB" w:rsidP="009E2F41">
            <w:pPr>
              <w:rPr>
                <w:rFonts w:asciiTheme="majorBidi" w:eastAsia="Times New Roman" w:hAnsiTheme="majorBidi" w:cstheme="majorBidi"/>
                <w:lang w:eastAsia="en-GB"/>
              </w:rPr>
            </w:pPr>
          </w:p>
        </w:tc>
      </w:tr>
      <w:tr w:rsidR="005976AB" w:rsidRPr="005635E7" w14:paraId="68C85520"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7ED3C194"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vMerge/>
            <w:tcBorders>
              <w:left w:val="nil"/>
              <w:right w:val="single" w:sz="8" w:space="0" w:color="auto"/>
            </w:tcBorders>
            <w:noWrap/>
          </w:tcPr>
          <w:p w14:paraId="1CB64700" w14:textId="77777777" w:rsidR="005976AB" w:rsidRPr="005635E7" w:rsidRDefault="005976AB" w:rsidP="009E2F41">
            <w:pPr>
              <w:rPr>
                <w:rFonts w:ascii="Times New Roman" w:eastAsia="Times New Roman" w:hAnsi="Times New Roman" w:cs="Times New Roman"/>
                <w:lang w:eastAsia="en-GB"/>
              </w:rPr>
            </w:pPr>
          </w:p>
        </w:tc>
        <w:tc>
          <w:tcPr>
            <w:tcW w:w="1798" w:type="dxa"/>
            <w:tcBorders>
              <w:top w:val="nil"/>
              <w:left w:val="nil"/>
              <w:bottom w:val="nil"/>
              <w:right w:val="single" w:sz="8" w:space="0" w:color="auto"/>
            </w:tcBorders>
            <w:noWrap/>
            <w:vAlign w:val="center"/>
            <w:hideMark/>
          </w:tcPr>
          <w:p w14:paraId="17CE84C6"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EE29817" w14:textId="77777777" w:rsidTr="009E2F41">
        <w:trPr>
          <w:trHeight w:val="60"/>
        </w:trPr>
        <w:tc>
          <w:tcPr>
            <w:tcW w:w="1643" w:type="dxa"/>
            <w:tcBorders>
              <w:top w:val="nil"/>
              <w:left w:val="single" w:sz="8" w:space="0" w:color="auto"/>
              <w:bottom w:val="single" w:sz="8" w:space="0" w:color="auto"/>
              <w:right w:val="single" w:sz="8" w:space="0" w:color="auto"/>
            </w:tcBorders>
            <w:noWrap/>
            <w:vAlign w:val="center"/>
            <w:hideMark/>
          </w:tcPr>
          <w:p w14:paraId="6876AB7A"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vMerge/>
            <w:tcBorders>
              <w:left w:val="nil"/>
              <w:bottom w:val="single" w:sz="8" w:space="0" w:color="auto"/>
              <w:right w:val="single" w:sz="8" w:space="0" w:color="auto"/>
            </w:tcBorders>
            <w:noWrap/>
          </w:tcPr>
          <w:p w14:paraId="2B9D5504" w14:textId="77777777" w:rsidR="005976AB" w:rsidRPr="005635E7" w:rsidRDefault="005976AB" w:rsidP="009E2F41">
            <w:pPr>
              <w:rPr>
                <w:rFonts w:asciiTheme="majorBidi" w:eastAsia="Times New Roman" w:hAnsiTheme="majorBidi" w:cstheme="majorBidi"/>
                <w:lang w:eastAsia="en-GB"/>
              </w:rPr>
            </w:pPr>
          </w:p>
        </w:tc>
        <w:tc>
          <w:tcPr>
            <w:tcW w:w="1798" w:type="dxa"/>
            <w:tcBorders>
              <w:top w:val="nil"/>
              <w:left w:val="nil"/>
              <w:bottom w:val="single" w:sz="8" w:space="0" w:color="auto"/>
              <w:right w:val="single" w:sz="8" w:space="0" w:color="auto"/>
            </w:tcBorders>
            <w:noWrap/>
            <w:vAlign w:val="center"/>
            <w:hideMark/>
          </w:tcPr>
          <w:p w14:paraId="4DD3514B"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21E79E42" w14:textId="77777777" w:rsidTr="009E2F41">
        <w:trPr>
          <w:trHeight w:val="390"/>
        </w:trPr>
        <w:tc>
          <w:tcPr>
            <w:tcW w:w="1643" w:type="dxa"/>
            <w:tcBorders>
              <w:top w:val="nil"/>
              <w:left w:val="single" w:sz="8" w:space="0" w:color="auto"/>
              <w:bottom w:val="nil"/>
              <w:right w:val="single" w:sz="8" w:space="0" w:color="auto"/>
            </w:tcBorders>
            <w:vAlign w:val="center"/>
            <w:hideMark/>
          </w:tcPr>
          <w:p w14:paraId="15F18F23"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Firm Performance (FP)</w:t>
            </w:r>
          </w:p>
        </w:tc>
        <w:tc>
          <w:tcPr>
            <w:tcW w:w="6186" w:type="dxa"/>
            <w:tcBorders>
              <w:top w:val="nil"/>
              <w:left w:val="nil"/>
              <w:bottom w:val="nil"/>
              <w:right w:val="single" w:sz="8" w:space="0" w:color="auto"/>
            </w:tcBorders>
            <w:noWrap/>
            <w:vAlign w:val="center"/>
            <w:hideMark/>
          </w:tcPr>
          <w:p w14:paraId="6F0CF0F4" w14:textId="77777777" w:rsidR="005976AB" w:rsidRPr="005635E7" w:rsidRDefault="005976AB" w:rsidP="005976AB">
            <w:pPr>
              <w:pStyle w:val="ListParagraph"/>
              <w:numPr>
                <w:ilvl w:val="0"/>
                <w:numId w:val="21"/>
              </w:numPr>
              <w:rPr>
                <w:rFonts w:asciiTheme="majorBidi" w:eastAsia="Times New Roman" w:hAnsiTheme="majorBidi" w:cstheme="majorBidi"/>
                <w:lang w:eastAsia="en-GB"/>
              </w:rPr>
            </w:pPr>
            <w:r w:rsidRPr="005635E7">
              <w:rPr>
                <w:rFonts w:asciiTheme="majorBidi" w:eastAsia="Symbol" w:hAnsiTheme="majorBidi" w:cstheme="majorBidi"/>
                <w:lang w:eastAsia="en-GB"/>
              </w:rPr>
              <w:t>Market share growth relative to competition</w:t>
            </w:r>
          </w:p>
        </w:tc>
        <w:tc>
          <w:tcPr>
            <w:tcW w:w="1798" w:type="dxa"/>
            <w:tcBorders>
              <w:top w:val="nil"/>
              <w:left w:val="nil"/>
              <w:bottom w:val="nil"/>
              <w:right w:val="single" w:sz="8" w:space="0" w:color="auto"/>
            </w:tcBorders>
            <w:noWrap/>
            <w:vAlign w:val="center"/>
            <w:hideMark/>
          </w:tcPr>
          <w:p w14:paraId="5E84A62B"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Morgan, Vorhies &amp; Mason (2009)</w:t>
            </w:r>
          </w:p>
        </w:tc>
      </w:tr>
      <w:tr w:rsidR="005976AB" w:rsidRPr="005635E7" w14:paraId="1F1CE9A7"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4DAF0D43"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vAlign w:val="center"/>
            <w:hideMark/>
          </w:tcPr>
          <w:p w14:paraId="4F9CA186" w14:textId="77777777" w:rsidR="005976AB" w:rsidRPr="005635E7" w:rsidRDefault="005976AB" w:rsidP="005976AB">
            <w:pPr>
              <w:pStyle w:val="ListParagraph"/>
              <w:numPr>
                <w:ilvl w:val="0"/>
                <w:numId w:val="21"/>
              </w:numPr>
              <w:jc w:val="both"/>
              <w:rPr>
                <w:rFonts w:asciiTheme="majorBidi" w:eastAsia="Times New Roman" w:hAnsiTheme="majorBidi" w:cstheme="majorBidi"/>
                <w:lang w:eastAsia="en-GB"/>
              </w:rPr>
            </w:pPr>
            <w:r w:rsidRPr="005635E7">
              <w:rPr>
                <w:rFonts w:asciiTheme="majorBidi" w:eastAsia="Symbol" w:hAnsiTheme="majorBidi" w:cstheme="majorBidi"/>
                <w:lang w:eastAsia="en-GB"/>
              </w:rPr>
              <w:t>Acquiring new customers</w:t>
            </w:r>
          </w:p>
        </w:tc>
        <w:tc>
          <w:tcPr>
            <w:tcW w:w="1798" w:type="dxa"/>
            <w:tcBorders>
              <w:top w:val="nil"/>
              <w:left w:val="nil"/>
              <w:bottom w:val="nil"/>
              <w:right w:val="single" w:sz="8" w:space="0" w:color="auto"/>
            </w:tcBorders>
            <w:noWrap/>
            <w:vAlign w:val="center"/>
            <w:hideMark/>
          </w:tcPr>
          <w:p w14:paraId="46ED77E2"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656D4AB2"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333C6943"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vAlign w:val="center"/>
            <w:hideMark/>
          </w:tcPr>
          <w:p w14:paraId="2F9EEEA8" w14:textId="77777777" w:rsidR="005976AB" w:rsidRPr="005635E7" w:rsidRDefault="005976AB" w:rsidP="005976AB">
            <w:pPr>
              <w:pStyle w:val="ListParagraph"/>
              <w:numPr>
                <w:ilvl w:val="0"/>
                <w:numId w:val="21"/>
              </w:numPr>
              <w:jc w:val="both"/>
              <w:rPr>
                <w:rFonts w:asciiTheme="majorBidi" w:eastAsia="Times New Roman" w:hAnsiTheme="majorBidi" w:cstheme="majorBidi"/>
                <w:lang w:eastAsia="en-GB"/>
              </w:rPr>
            </w:pPr>
            <w:r w:rsidRPr="005635E7">
              <w:rPr>
                <w:rFonts w:asciiTheme="majorBidi" w:eastAsia="Symbol" w:hAnsiTheme="majorBidi" w:cstheme="majorBidi"/>
                <w:lang w:eastAsia="en-GB"/>
              </w:rPr>
              <w:t>Increasing sales to current customers</w:t>
            </w:r>
          </w:p>
        </w:tc>
        <w:tc>
          <w:tcPr>
            <w:tcW w:w="1798" w:type="dxa"/>
            <w:tcBorders>
              <w:top w:val="nil"/>
              <w:left w:val="nil"/>
              <w:bottom w:val="nil"/>
              <w:right w:val="single" w:sz="8" w:space="0" w:color="auto"/>
            </w:tcBorders>
            <w:noWrap/>
            <w:vAlign w:val="center"/>
            <w:hideMark/>
          </w:tcPr>
          <w:p w14:paraId="7F366929"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4750E743"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2CD771CC"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vAlign w:val="center"/>
            <w:hideMark/>
          </w:tcPr>
          <w:p w14:paraId="60355E7F" w14:textId="77777777" w:rsidR="005976AB" w:rsidRPr="005635E7" w:rsidRDefault="005976AB" w:rsidP="005976AB">
            <w:pPr>
              <w:pStyle w:val="ListParagraph"/>
              <w:numPr>
                <w:ilvl w:val="0"/>
                <w:numId w:val="21"/>
              </w:num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Growth in sales revenue</w:t>
            </w:r>
          </w:p>
        </w:tc>
        <w:tc>
          <w:tcPr>
            <w:tcW w:w="1798" w:type="dxa"/>
            <w:tcBorders>
              <w:top w:val="nil"/>
              <w:left w:val="nil"/>
              <w:bottom w:val="nil"/>
              <w:right w:val="single" w:sz="8" w:space="0" w:color="auto"/>
            </w:tcBorders>
            <w:noWrap/>
            <w:vAlign w:val="center"/>
            <w:hideMark/>
          </w:tcPr>
          <w:p w14:paraId="7A772199"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45F35187"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05C4D8C6"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vAlign w:val="center"/>
            <w:hideMark/>
          </w:tcPr>
          <w:p w14:paraId="6BBCD8D4" w14:textId="77777777" w:rsidR="005976AB" w:rsidRPr="005635E7" w:rsidRDefault="005976AB" w:rsidP="005976AB">
            <w:pPr>
              <w:pStyle w:val="ListParagraph"/>
              <w:numPr>
                <w:ilvl w:val="0"/>
                <w:numId w:val="21"/>
              </w:numPr>
              <w:jc w:val="both"/>
              <w:rPr>
                <w:rFonts w:asciiTheme="majorBidi" w:eastAsia="Times New Roman" w:hAnsiTheme="majorBidi" w:cstheme="majorBidi"/>
                <w:lang w:eastAsia="en-GB"/>
              </w:rPr>
            </w:pPr>
            <w:r w:rsidRPr="005635E7">
              <w:rPr>
                <w:rFonts w:asciiTheme="majorBidi" w:eastAsia="Symbol" w:hAnsiTheme="majorBidi" w:cstheme="majorBidi"/>
                <w:lang w:eastAsia="en-GB"/>
              </w:rPr>
              <w:t>Business unit profitability</w:t>
            </w:r>
          </w:p>
        </w:tc>
        <w:tc>
          <w:tcPr>
            <w:tcW w:w="1798" w:type="dxa"/>
            <w:tcBorders>
              <w:top w:val="nil"/>
              <w:left w:val="nil"/>
              <w:bottom w:val="nil"/>
              <w:right w:val="single" w:sz="8" w:space="0" w:color="auto"/>
            </w:tcBorders>
            <w:noWrap/>
            <w:vAlign w:val="center"/>
            <w:hideMark/>
          </w:tcPr>
          <w:p w14:paraId="46D71FFF"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127BABB5"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228B845B"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vAlign w:val="center"/>
            <w:hideMark/>
          </w:tcPr>
          <w:p w14:paraId="5D616881" w14:textId="77777777" w:rsidR="005976AB" w:rsidRPr="005635E7" w:rsidRDefault="005976AB" w:rsidP="005976AB">
            <w:pPr>
              <w:pStyle w:val="ListParagraph"/>
              <w:numPr>
                <w:ilvl w:val="0"/>
                <w:numId w:val="21"/>
              </w:numPr>
              <w:jc w:val="both"/>
              <w:rPr>
                <w:rFonts w:asciiTheme="majorBidi" w:eastAsia="Times New Roman" w:hAnsiTheme="majorBidi" w:cstheme="majorBidi"/>
                <w:lang w:eastAsia="en-GB"/>
              </w:rPr>
            </w:pPr>
            <w:r w:rsidRPr="005635E7">
              <w:rPr>
                <w:rFonts w:asciiTheme="majorBidi" w:eastAsia="Symbol" w:hAnsiTheme="majorBidi" w:cstheme="majorBidi"/>
                <w:lang w:eastAsia="en-GB"/>
              </w:rPr>
              <w:t>Return on investment (ROI)</w:t>
            </w:r>
          </w:p>
        </w:tc>
        <w:tc>
          <w:tcPr>
            <w:tcW w:w="1798" w:type="dxa"/>
            <w:tcBorders>
              <w:top w:val="nil"/>
              <w:left w:val="nil"/>
              <w:bottom w:val="nil"/>
              <w:right w:val="single" w:sz="8" w:space="0" w:color="auto"/>
            </w:tcBorders>
            <w:noWrap/>
            <w:vAlign w:val="center"/>
            <w:hideMark/>
          </w:tcPr>
          <w:p w14:paraId="7CF307B5"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0FC82D9D" w14:textId="77777777" w:rsidTr="009E2F41">
        <w:trPr>
          <w:trHeight w:val="300"/>
        </w:trPr>
        <w:tc>
          <w:tcPr>
            <w:tcW w:w="1643" w:type="dxa"/>
            <w:tcBorders>
              <w:top w:val="nil"/>
              <w:left w:val="single" w:sz="8" w:space="0" w:color="auto"/>
              <w:bottom w:val="nil"/>
              <w:right w:val="single" w:sz="8" w:space="0" w:color="auto"/>
            </w:tcBorders>
            <w:noWrap/>
            <w:vAlign w:val="center"/>
            <w:hideMark/>
          </w:tcPr>
          <w:p w14:paraId="2D770975"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nil"/>
              <w:right w:val="single" w:sz="8" w:space="0" w:color="auto"/>
            </w:tcBorders>
            <w:noWrap/>
            <w:vAlign w:val="center"/>
            <w:hideMark/>
          </w:tcPr>
          <w:p w14:paraId="4AB2AB04" w14:textId="77777777" w:rsidR="005976AB" w:rsidRPr="005635E7" w:rsidRDefault="005976AB" w:rsidP="005976AB">
            <w:pPr>
              <w:pStyle w:val="ListParagraph"/>
              <w:numPr>
                <w:ilvl w:val="0"/>
                <w:numId w:val="21"/>
              </w:num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Return on sales (ROS)</w:t>
            </w:r>
          </w:p>
        </w:tc>
        <w:tc>
          <w:tcPr>
            <w:tcW w:w="1798" w:type="dxa"/>
            <w:tcBorders>
              <w:top w:val="nil"/>
              <w:left w:val="nil"/>
              <w:bottom w:val="nil"/>
              <w:right w:val="single" w:sz="8" w:space="0" w:color="auto"/>
            </w:tcBorders>
            <w:noWrap/>
            <w:vAlign w:val="center"/>
            <w:hideMark/>
          </w:tcPr>
          <w:p w14:paraId="4357864E"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tr w:rsidR="005976AB" w:rsidRPr="005635E7" w14:paraId="3EEDA768" w14:textId="77777777" w:rsidTr="009E2F41">
        <w:trPr>
          <w:trHeight w:val="315"/>
        </w:trPr>
        <w:tc>
          <w:tcPr>
            <w:tcW w:w="1643" w:type="dxa"/>
            <w:tcBorders>
              <w:top w:val="nil"/>
              <w:left w:val="single" w:sz="8" w:space="0" w:color="auto"/>
              <w:bottom w:val="single" w:sz="8" w:space="0" w:color="auto"/>
              <w:right w:val="single" w:sz="8" w:space="0" w:color="auto"/>
            </w:tcBorders>
            <w:noWrap/>
            <w:vAlign w:val="center"/>
            <w:hideMark/>
          </w:tcPr>
          <w:p w14:paraId="0D8A9A42"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c>
          <w:tcPr>
            <w:tcW w:w="6186" w:type="dxa"/>
            <w:tcBorders>
              <w:top w:val="nil"/>
              <w:left w:val="nil"/>
              <w:bottom w:val="single" w:sz="8" w:space="0" w:color="auto"/>
              <w:right w:val="single" w:sz="8" w:space="0" w:color="auto"/>
            </w:tcBorders>
            <w:noWrap/>
            <w:vAlign w:val="center"/>
            <w:hideMark/>
          </w:tcPr>
          <w:p w14:paraId="194C8EA0" w14:textId="77777777" w:rsidR="005976AB" w:rsidRPr="005635E7" w:rsidRDefault="005976AB" w:rsidP="005976AB">
            <w:pPr>
              <w:pStyle w:val="ListParagraph"/>
              <w:numPr>
                <w:ilvl w:val="0"/>
                <w:numId w:val="21"/>
              </w:numPr>
              <w:jc w:val="both"/>
              <w:rPr>
                <w:rFonts w:asciiTheme="majorBidi" w:eastAsia="Times New Roman" w:hAnsiTheme="majorBidi" w:cstheme="majorBidi"/>
                <w:lang w:eastAsia="en-GB"/>
              </w:rPr>
            </w:pPr>
            <w:r w:rsidRPr="005635E7">
              <w:rPr>
                <w:rFonts w:asciiTheme="majorBidi" w:eastAsia="Times New Roman" w:hAnsiTheme="majorBidi" w:cstheme="majorBidi"/>
                <w:lang w:eastAsia="en-GB"/>
              </w:rPr>
              <w:t>Reaching financial goals</w:t>
            </w:r>
          </w:p>
        </w:tc>
        <w:tc>
          <w:tcPr>
            <w:tcW w:w="1798" w:type="dxa"/>
            <w:tcBorders>
              <w:top w:val="nil"/>
              <w:left w:val="nil"/>
              <w:bottom w:val="single" w:sz="8" w:space="0" w:color="auto"/>
              <w:right w:val="single" w:sz="8" w:space="0" w:color="auto"/>
            </w:tcBorders>
            <w:noWrap/>
            <w:vAlign w:val="center"/>
            <w:hideMark/>
          </w:tcPr>
          <w:p w14:paraId="29084FE4" w14:textId="77777777" w:rsidR="005976AB" w:rsidRPr="005635E7" w:rsidRDefault="005976AB" w:rsidP="009E2F41">
            <w:pPr>
              <w:rPr>
                <w:rFonts w:asciiTheme="majorBidi" w:eastAsia="Times New Roman" w:hAnsiTheme="majorBidi" w:cstheme="majorBidi"/>
                <w:lang w:eastAsia="en-GB"/>
              </w:rPr>
            </w:pPr>
            <w:r w:rsidRPr="005635E7">
              <w:rPr>
                <w:rFonts w:asciiTheme="majorBidi" w:eastAsia="Times New Roman" w:hAnsiTheme="majorBidi" w:cstheme="majorBidi"/>
                <w:lang w:eastAsia="en-GB"/>
              </w:rPr>
              <w:t> </w:t>
            </w:r>
          </w:p>
        </w:tc>
      </w:tr>
      <w:bookmarkEnd w:id="153"/>
    </w:tbl>
    <w:p w14:paraId="3E3C28DB" w14:textId="77777777" w:rsidR="005976AB" w:rsidRPr="005635E7" w:rsidRDefault="005976AB" w:rsidP="005976AB">
      <w:pPr>
        <w:jc w:val="both"/>
        <w:rPr>
          <w:rFonts w:asciiTheme="majorBidi" w:hAnsiTheme="majorBidi" w:cstheme="majorBidi"/>
        </w:rPr>
      </w:pPr>
    </w:p>
    <w:p w14:paraId="24F83EDD" w14:textId="77777777" w:rsidR="005976AB" w:rsidRPr="005635E7" w:rsidRDefault="005976AB" w:rsidP="005976AB">
      <w:pPr>
        <w:jc w:val="both"/>
        <w:rPr>
          <w:rFonts w:asciiTheme="majorBidi" w:hAnsiTheme="majorBidi" w:cstheme="majorBidi"/>
        </w:rPr>
      </w:pPr>
    </w:p>
    <w:p w14:paraId="62906DF0" w14:textId="77777777" w:rsidR="005976AB" w:rsidRPr="005635E7" w:rsidRDefault="005976AB" w:rsidP="005976AB">
      <w:pPr>
        <w:jc w:val="both"/>
        <w:rPr>
          <w:rFonts w:asciiTheme="majorBidi" w:hAnsiTheme="majorBidi" w:cstheme="majorBidi"/>
        </w:rPr>
      </w:pPr>
    </w:p>
    <w:p w14:paraId="59D67F3B" w14:textId="77777777" w:rsidR="005976AB" w:rsidRPr="005635E7" w:rsidRDefault="005976AB" w:rsidP="005976AB">
      <w:pPr>
        <w:jc w:val="both"/>
        <w:rPr>
          <w:rFonts w:asciiTheme="majorBidi" w:hAnsiTheme="majorBidi" w:cstheme="majorBidi"/>
        </w:rPr>
      </w:pPr>
    </w:p>
    <w:p w14:paraId="14DBDB9E" w14:textId="77777777" w:rsidR="005976AB" w:rsidRPr="005635E7" w:rsidRDefault="005976AB" w:rsidP="005976AB">
      <w:pPr>
        <w:jc w:val="both"/>
        <w:rPr>
          <w:rFonts w:asciiTheme="majorBidi" w:hAnsiTheme="majorBidi" w:cstheme="majorBidi"/>
        </w:rPr>
      </w:pPr>
    </w:p>
    <w:p w14:paraId="5185066D" w14:textId="77777777" w:rsidR="005976AB" w:rsidRPr="005635E7" w:rsidRDefault="005976AB" w:rsidP="005976AB">
      <w:pPr>
        <w:pStyle w:val="Heading2"/>
        <w:rPr>
          <w:rFonts w:asciiTheme="majorBidi" w:hAnsiTheme="majorBidi"/>
          <w:b/>
          <w:bCs/>
          <w:color w:val="auto"/>
        </w:rPr>
      </w:pPr>
      <w:bookmarkStart w:id="154" w:name="_Toc115310430"/>
    </w:p>
    <w:p w14:paraId="77546F1E" w14:textId="77777777" w:rsidR="005976AB" w:rsidRPr="005635E7" w:rsidRDefault="005976AB" w:rsidP="005976AB">
      <w:pPr>
        <w:pStyle w:val="Heading2"/>
        <w:rPr>
          <w:rFonts w:asciiTheme="majorBidi" w:hAnsiTheme="majorBidi"/>
          <w:b/>
          <w:bCs/>
          <w:color w:val="auto"/>
        </w:rPr>
      </w:pPr>
      <w:r w:rsidRPr="005635E7">
        <w:rPr>
          <w:rFonts w:asciiTheme="majorBidi" w:hAnsiTheme="majorBidi"/>
          <w:b/>
          <w:bCs/>
          <w:color w:val="auto"/>
        </w:rPr>
        <w:t>Appendix E: Reframed Questions after the Pilot Study</w:t>
      </w:r>
      <w:bookmarkEnd w:id="154"/>
    </w:p>
    <w:p w14:paraId="7D37C4D6" w14:textId="77777777" w:rsidR="005976AB" w:rsidRPr="005635E7" w:rsidRDefault="005976AB" w:rsidP="005976AB"/>
    <w:tbl>
      <w:tblPr>
        <w:tblStyle w:val="TableGrid"/>
        <w:tblW w:w="5189" w:type="pct"/>
        <w:tblLayout w:type="fixed"/>
        <w:tblLook w:val="04A0" w:firstRow="1" w:lastRow="0" w:firstColumn="1" w:lastColumn="0" w:noHBand="0" w:noVBand="1"/>
      </w:tblPr>
      <w:tblGrid>
        <w:gridCol w:w="4957"/>
        <w:gridCol w:w="425"/>
        <w:gridCol w:w="425"/>
        <w:gridCol w:w="426"/>
        <w:gridCol w:w="425"/>
        <w:gridCol w:w="426"/>
        <w:gridCol w:w="344"/>
        <w:gridCol w:w="318"/>
        <w:gridCol w:w="318"/>
        <w:gridCol w:w="318"/>
        <w:gridCol w:w="318"/>
        <w:gridCol w:w="651"/>
      </w:tblGrid>
      <w:tr w:rsidR="005976AB" w:rsidRPr="005635E7" w14:paraId="4CA1A5CD" w14:textId="77777777" w:rsidTr="009E2F41">
        <w:trPr>
          <w:trHeight w:val="255"/>
        </w:trPr>
        <w:tc>
          <w:tcPr>
            <w:tcW w:w="2651" w:type="pct"/>
            <w:noWrap/>
            <w:hideMark/>
          </w:tcPr>
          <w:p w14:paraId="5F873828"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 xml:space="preserve"> Participant Number </w:t>
            </w:r>
          </w:p>
        </w:tc>
        <w:tc>
          <w:tcPr>
            <w:tcW w:w="227" w:type="pct"/>
            <w:noWrap/>
          </w:tcPr>
          <w:p w14:paraId="61823E74"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1</w:t>
            </w:r>
          </w:p>
        </w:tc>
        <w:tc>
          <w:tcPr>
            <w:tcW w:w="227" w:type="pct"/>
            <w:noWrap/>
          </w:tcPr>
          <w:p w14:paraId="5CA2E5DE"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2</w:t>
            </w:r>
          </w:p>
        </w:tc>
        <w:tc>
          <w:tcPr>
            <w:tcW w:w="228" w:type="pct"/>
            <w:noWrap/>
          </w:tcPr>
          <w:p w14:paraId="70596DE8"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227" w:type="pct"/>
            <w:noWrap/>
          </w:tcPr>
          <w:p w14:paraId="31DA4B94"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8" w:type="pct"/>
            <w:noWrap/>
          </w:tcPr>
          <w:p w14:paraId="1E922EA1"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tcPr>
          <w:p w14:paraId="6913A35D"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tcPr>
          <w:p w14:paraId="316F0E90"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tcPr>
          <w:p w14:paraId="0C8E73BF"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tcPr>
          <w:p w14:paraId="4FFB1A29"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9</w:t>
            </w:r>
          </w:p>
        </w:tc>
        <w:tc>
          <w:tcPr>
            <w:tcW w:w="170" w:type="pct"/>
            <w:noWrap/>
          </w:tcPr>
          <w:p w14:paraId="6F278470"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10</w:t>
            </w:r>
          </w:p>
        </w:tc>
        <w:tc>
          <w:tcPr>
            <w:tcW w:w="348" w:type="pct"/>
            <w:noWrap/>
            <w:hideMark/>
          </w:tcPr>
          <w:p w14:paraId="5A10ABF4"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 Avg.</w:t>
            </w:r>
          </w:p>
        </w:tc>
      </w:tr>
      <w:tr w:rsidR="005976AB" w:rsidRPr="005635E7" w14:paraId="45810121" w14:textId="77777777" w:rsidTr="009E2F41">
        <w:trPr>
          <w:trHeight w:val="255"/>
        </w:trPr>
        <w:tc>
          <w:tcPr>
            <w:tcW w:w="2651" w:type="pct"/>
            <w:noWrap/>
            <w:hideMark/>
          </w:tcPr>
          <w:p w14:paraId="70629478"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Employees in my company have jobs that regularly allow them to alter the way they carry out their duties.</w:t>
            </w:r>
          </w:p>
        </w:tc>
        <w:tc>
          <w:tcPr>
            <w:tcW w:w="227" w:type="pct"/>
            <w:noWrap/>
            <w:hideMark/>
          </w:tcPr>
          <w:p w14:paraId="10E6A81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7BCC6FB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10</w:t>
            </w:r>
          </w:p>
        </w:tc>
        <w:tc>
          <w:tcPr>
            <w:tcW w:w="228" w:type="pct"/>
            <w:noWrap/>
            <w:hideMark/>
          </w:tcPr>
          <w:p w14:paraId="6CE6EA7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71BDC48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182A2FA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2573498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52D87F6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569D926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9</w:t>
            </w:r>
          </w:p>
        </w:tc>
        <w:tc>
          <w:tcPr>
            <w:tcW w:w="170" w:type="pct"/>
            <w:noWrap/>
            <w:hideMark/>
          </w:tcPr>
          <w:p w14:paraId="760735E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0DAC357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228AE50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6.8</w:t>
            </w:r>
          </w:p>
        </w:tc>
      </w:tr>
      <w:tr w:rsidR="005976AB" w:rsidRPr="005635E7" w14:paraId="7ED01EF2" w14:textId="77777777" w:rsidTr="009E2F41">
        <w:trPr>
          <w:trHeight w:val="255"/>
        </w:trPr>
        <w:tc>
          <w:tcPr>
            <w:tcW w:w="2651" w:type="pct"/>
            <w:noWrap/>
            <w:hideMark/>
          </w:tcPr>
          <w:p w14:paraId="011522B0"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In my company, employees have jobs that provide them the authority to make decisions.</w:t>
            </w:r>
          </w:p>
        </w:tc>
        <w:tc>
          <w:tcPr>
            <w:tcW w:w="227" w:type="pct"/>
            <w:noWrap/>
            <w:hideMark/>
          </w:tcPr>
          <w:p w14:paraId="22E0694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1634344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6BC7029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7" w:type="pct"/>
            <w:noWrap/>
            <w:hideMark/>
          </w:tcPr>
          <w:p w14:paraId="4CBC2FA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8" w:type="pct"/>
            <w:noWrap/>
            <w:hideMark/>
          </w:tcPr>
          <w:p w14:paraId="6A7D814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6BD51F3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6A1B511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35024CD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344AFFD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3C45C13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348" w:type="pct"/>
            <w:noWrap/>
            <w:hideMark/>
          </w:tcPr>
          <w:p w14:paraId="5B12E46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6.3</w:t>
            </w:r>
          </w:p>
        </w:tc>
      </w:tr>
      <w:tr w:rsidR="005976AB" w:rsidRPr="005635E7" w14:paraId="1A45AE7B" w14:textId="77777777" w:rsidTr="009E2F41">
        <w:trPr>
          <w:trHeight w:val="255"/>
        </w:trPr>
        <w:tc>
          <w:tcPr>
            <w:tcW w:w="2651" w:type="pct"/>
            <w:noWrap/>
            <w:hideMark/>
          </w:tcPr>
          <w:p w14:paraId="11403595"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In my company, employees work in positions with a high level of job security.</w:t>
            </w:r>
          </w:p>
        </w:tc>
        <w:tc>
          <w:tcPr>
            <w:tcW w:w="227" w:type="pct"/>
            <w:noWrap/>
            <w:hideMark/>
          </w:tcPr>
          <w:p w14:paraId="67545EC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2AC50DB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8" w:type="pct"/>
            <w:noWrap/>
            <w:hideMark/>
          </w:tcPr>
          <w:p w14:paraId="64AB6D3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1F897AA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7832F77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84" w:type="pct"/>
            <w:noWrap/>
            <w:hideMark/>
          </w:tcPr>
          <w:p w14:paraId="564C5CC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A913D4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40E7A81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1228BDD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007DD7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08C8CBF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6.2</w:t>
            </w:r>
          </w:p>
        </w:tc>
      </w:tr>
      <w:tr w:rsidR="005976AB" w:rsidRPr="005635E7" w14:paraId="122D0879" w14:textId="77777777" w:rsidTr="009E2F41">
        <w:trPr>
          <w:trHeight w:val="255"/>
        </w:trPr>
        <w:tc>
          <w:tcPr>
            <w:tcW w:w="2651" w:type="pct"/>
            <w:noWrap/>
            <w:hideMark/>
          </w:tcPr>
          <w:p w14:paraId="7E435FCC"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In my company, workers are responsible for a wide range of duties.</w:t>
            </w:r>
          </w:p>
        </w:tc>
        <w:tc>
          <w:tcPr>
            <w:tcW w:w="227" w:type="pct"/>
            <w:noWrap/>
            <w:hideMark/>
          </w:tcPr>
          <w:p w14:paraId="79BF215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34703AE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5090F12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638076A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255C14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3EE5D43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120ACD4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4372A07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1F83F15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23CE823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4465D87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r>
      <w:tr w:rsidR="005976AB" w:rsidRPr="005635E7" w14:paraId="2CAA74CE" w14:textId="77777777" w:rsidTr="009E2F41">
        <w:trPr>
          <w:trHeight w:val="255"/>
        </w:trPr>
        <w:tc>
          <w:tcPr>
            <w:tcW w:w="2651" w:type="pct"/>
            <w:noWrap/>
            <w:hideMark/>
          </w:tcPr>
          <w:p w14:paraId="64AABDE1"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Employees in my organization rotate between several job tasks.</w:t>
            </w:r>
          </w:p>
        </w:tc>
        <w:tc>
          <w:tcPr>
            <w:tcW w:w="227" w:type="pct"/>
            <w:noWrap/>
            <w:hideMark/>
          </w:tcPr>
          <w:p w14:paraId="05435C3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0435B76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1BC887F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7715AB8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15626A3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7B91390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0D45060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170" w:type="pct"/>
            <w:noWrap/>
            <w:hideMark/>
          </w:tcPr>
          <w:p w14:paraId="2C05F22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7B28467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5324442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348" w:type="pct"/>
            <w:noWrap/>
            <w:hideMark/>
          </w:tcPr>
          <w:p w14:paraId="315889C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5.4</w:t>
            </w:r>
          </w:p>
        </w:tc>
      </w:tr>
      <w:tr w:rsidR="005976AB" w:rsidRPr="005635E7" w14:paraId="18C75415" w14:textId="77777777" w:rsidTr="009E2F41">
        <w:trPr>
          <w:trHeight w:val="255"/>
        </w:trPr>
        <w:tc>
          <w:tcPr>
            <w:tcW w:w="2651" w:type="pct"/>
            <w:noWrap/>
            <w:hideMark/>
          </w:tcPr>
          <w:p w14:paraId="224FD0B0"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Employees in my company carry out tasks that require networks and teams.</w:t>
            </w:r>
          </w:p>
        </w:tc>
        <w:tc>
          <w:tcPr>
            <w:tcW w:w="227" w:type="pct"/>
            <w:noWrap/>
            <w:hideMark/>
          </w:tcPr>
          <w:p w14:paraId="6B05BF3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7" w:type="pct"/>
            <w:noWrap/>
            <w:hideMark/>
          </w:tcPr>
          <w:p w14:paraId="56855B3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5508929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44ED57C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604CE60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01215CA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7EB6E4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1DF2287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6E07CCC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3C47BCD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2723858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6.7</w:t>
            </w:r>
          </w:p>
        </w:tc>
      </w:tr>
      <w:tr w:rsidR="005976AB" w:rsidRPr="005635E7" w14:paraId="4C24B9AD" w14:textId="77777777" w:rsidTr="009E2F41">
        <w:trPr>
          <w:trHeight w:val="255"/>
        </w:trPr>
        <w:tc>
          <w:tcPr>
            <w:tcW w:w="2651" w:type="pct"/>
            <w:noWrap/>
            <w:hideMark/>
          </w:tcPr>
          <w:p w14:paraId="31F165A6"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 xml:space="preserve">The employee recruitment/selection process in my organization emphasizes career promotion within the company </w:t>
            </w:r>
          </w:p>
        </w:tc>
        <w:tc>
          <w:tcPr>
            <w:tcW w:w="227" w:type="pct"/>
            <w:noWrap/>
            <w:hideMark/>
          </w:tcPr>
          <w:p w14:paraId="14D557B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5793BD9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9DDDC3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2F5716C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3B12C65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5A4FA17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BF326D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7A266F5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2F8AE10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7DE8BE9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64E54F6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5.9</w:t>
            </w:r>
          </w:p>
        </w:tc>
      </w:tr>
      <w:tr w:rsidR="005976AB" w:rsidRPr="005635E7" w14:paraId="4C55D6E0" w14:textId="77777777" w:rsidTr="009E2F41">
        <w:trPr>
          <w:trHeight w:val="255"/>
        </w:trPr>
        <w:tc>
          <w:tcPr>
            <w:tcW w:w="2651" w:type="pct"/>
            <w:noWrap/>
            <w:hideMark/>
          </w:tcPr>
          <w:p w14:paraId="37F3FAB7"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The hiring/selection process for employees is focused on finding the greatest applicant overall, who is not merely confined to a single role.</w:t>
            </w:r>
          </w:p>
        </w:tc>
        <w:tc>
          <w:tcPr>
            <w:tcW w:w="227" w:type="pct"/>
            <w:noWrap/>
            <w:hideMark/>
          </w:tcPr>
          <w:p w14:paraId="25E6024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03F2B97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8" w:type="pct"/>
            <w:noWrap/>
            <w:hideMark/>
          </w:tcPr>
          <w:p w14:paraId="11C2936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709DA99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8" w:type="pct"/>
            <w:noWrap/>
            <w:hideMark/>
          </w:tcPr>
          <w:p w14:paraId="6B7FD12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2187DA8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73D63AC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7C9A2C7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1AA118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46F389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29DADCD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5.9</w:t>
            </w:r>
          </w:p>
        </w:tc>
      </w:tr>
      <w:tr w:rsidR="005976AB" w:rsidRPr="005635E7" w14:paraId="5A7AF5E5" w14:textId="77777777" w:rsidTr="009E2F41">
        <w:trPr>
          <w:trHeight w:val="255"/>
        </w:trPr>
        <w:tc>
          <w:tcPr>
            <w:tcW w:w="2651" w:type="pct"/>
            <w:noWrap/>
            <w:hideMark/>
          </w:tcPr>
          <w:p w14:paraId="14213BE0"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The ability of potential personnel to further our strategic goals is a key consideration during the hiring/selection process.</w:t>
            </w:r>
          </w:p>
        </w:tc>
        <w:tc>
          <w:tcPr>
            <w:tcW w:w="227" w:type="pct"/>
            <w:noWrap/>
            <w:hideMark/>
          </w:tcPr>
          <w:p w14:paraId="5A02B47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34D182D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6495042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7" w:type="pct"/>
            <w:noWrap/>
            <w:hideMark/>
          </w:tcPr>
          <w:p w14:paraId="43CD907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8" w:type="pct"/>
            <w:noWrap/>
            <w:hideMark/>
          </w:tcPr>
          <w:p w14:paraId="402C94A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094EA51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291FB9C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1269BA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012EFEE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02F5F9E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3181C54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6.8</w:t>
            </w:r>
          </w:p>
        </w:tc>
      </w:tr>
      <w:tr w:rsidR="005976AB" w:rsidRPr="005635E7" w14:paraId="2CFFA25E" w14:textId="77777777" w:rsidTr="009E2F41">
        <w:trPr>
          <w:trHeight w:val="255"/>
        </w:trPr>
        <w:tc>
          <w:tcPr>
            <w:tcW w:w="2651" w:type="pct"/>
            <w:noWrap/>
            <w:hideMark/>
          </w:tcPr>
          <w:p w14:paraId="3A38385B"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The ability to learn (such as aptitude) is given attention during the hiring and selection processes for personnel.</w:t>
            </w:r>
          </w:p>
        </w:tc>
        <w:tc>
          <w:tcPr>
            <w:tcW w:w="227" w:type="pct"/>
            <w:noWrap/>
            <w:hideMark/>
          </w:tcPr>
          <w:p w14:paraId="19D6DB4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9</w:t>
            </w:r>
          </w:p>
        </w:tc>
        <w:tc>
          <w:tcPr>
            <w:tcW w:w="227" w:type="pct"/>
            <w:noWrap/>
            <w:hideMark/>
          </w:tcPr>
          <w:p w14:paraId="62A6A23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2DAAAC2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079BB55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7B882AD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84" w:type="pct"/>
            <w:noWrap/>
            <w:hideMark/>
          </w:tcPr>
          <w:p w14:paraId="31E02CF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002A7FE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979E89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54DD6FC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4E161C0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413F1B1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6.3</w:t>
            </w:r>
          </w:p>
        </w:tc>
      </w:tr>
      <w:tr w:rsidR="005976AB" w:rsidRPr="005635E7" w14:paraId="2B20641E" w14:textId="77777777" w:rsidTr="009E2F41">
        <w:trPr>
          <w:trHeight w:val="255"/>
        </w:trPr>
        <w:tc>
          <w:tcPr>
            <w:tcW w:w="2651" w:type="pct"/>
            <w:noWrap/>
            <w:hideMark/>
          </w:tcPr>
          <w:p w14:paraId="6604B588"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Our employee training program</w:t>
            </w:r>
            <w:r>
              <w:rPr>
                <w:rFonts w:ascii="Times New Roman" w:eastAsia="Times New Roman" w:hAnsi="Times New Roman" w:cs="Times New Roman"/>
                <w:sz w:val="20"/>
                <w:szCs w:val="20"/>
                <w:lang w:eastAsia="en-GB"/>
              </w:rPr>
              <w:t>s</w:t>
            </w:r>
            <w:r w:rsidRPr="005635E7">
              <w:rPr>
                <w:rFonts w:ascii="Times New Roman" w:eastAsia="Times New Roman" w:hAnsi="Times New Roman" w:cs="Times New Roman"/>
                <w:sz w:val="20"/>
                <w:szCs w:val="20"/>
                <w:lang w:eastAsia="en-GB"/>
              </w:rPr>
              <w:t xml:space="preserve"> are thorough and all-inclusive.</w:t>
            </w:r>
          </w:p>
        </w:tc>
        <w:tc>
          <w:tcPr>
            <w:tcW w:w="227" w:type="pct"/>
            <w:noWrap/>
            <w:hideMark/>
          </w:tcPr>
          <w:p w14:paraId="5DB503E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0463015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65384E2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3C1C558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260966C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51B867C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2A726A2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025F35B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199D1F6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BCB5FE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042C1B4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5.4</w:t>
            </w:r>
          </w:p>
        </w:tc>
      </w:tr>
      <w:tr w:rsidR="005976AB" w:rsidRPr="005635E7" w14:paraId="5081063E" w14:textId="77777777" w:rsidTr="009E2F41">
        <w:trPr>
          <w:trHeight w:val="255"/>
        </w:trPr>
        <w:tc>
          <w:tcPr>
            <w:tcW w:w="2651" w:type="pct"/>
            <w:noWrap/>
            <w:hideMark/>
          </w:tcPr>
          <w:p w14:paraId="14AD9224"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We constantly engage in employee training program</w:t>
            </w:r>
            <w:r>
              <w:rPr>
                <w:rFonts w:ascii="Times New Roman" w:eastAsia="Times New Roman" w:hAnsi="Times New Roman" w:cs="Times New Roman"/>
                <w:sz w:val="20"/>
                <w:szCs w:val="20"/>
                <w:lang w:eastAsia="en-GB"/>
              </w:rPr>
              <w:t>s</w:t>
            </w:r>
            <w:r w:rsidRPr="005635E7">
              <w:rPr>
                <w:rFonts w:ascii="Times New Roman" w:eastAsia="Times New Roman" w:hAnsi="Times New Roman" w:cs="Times New Roman"/>
                <w:sz w:val="20"/>
                <w:szCs w:val="20"/>
                <w:lang w:eastAsia="en-GB"/>
              </w:rPr>
              <w:t>.</w:t>
            </w:r>
          </w:p>
        </w:tc>
        <w:tc>
          <w:tcPr>
            <w:tcW w:w="227" w:type="pct"/>
            <w:noWrap/>
            <w:hideMark/>
          </w:tcPr>
          <w:p w14:paraId="61CC2E3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7116DF1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15790B5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5FB3B81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0CA9C41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67D369C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348D306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27870C6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02F49B1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CEEDE5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72D42AF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6.6</w:t>
            </w:r>
          </w:p>
        </w:tc>
      </w:tr>
      <w:tr w:rsidR="005976AB" w:rsidRPr="005635E7" w14:paraId="2A7FF2BA" w14:textId="77777777" w:rsidTr="009E2F41">
        <w:trPr>
          <w:trHeight w:val="255"/>
        </w:trPr>
        <w:tc>
          <w:tcPr>
            <w:tcW w:w="2651" w:type="pct"/>
            <w:noWrap/>
            <w:hideMark/>
          </w:tcPr>
          <w:p w14:paraId="00D96181"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Our employee training initiatives aim to boost productivity over the long run.</w:t>
            </w:r>
          </w:p>
        </w:tc>
        <w:tc>
          <w:tcPr>
            <w:tcW w:w="227" w:type="pct"/>
            <w:noWrap/>
            <w:hideMark/>
          </w:tcPr>
          <w:p w14:paraId="2E7E315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7" w:type="pct"/>
            <w:noWrap/>
            <w:hideMark/>
          </w:tcPr>
          <w:p w14:paraId="3A376EC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7BA2D3E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30A7244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17275A7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5BC724B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01D80F8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58D90E8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1A0F326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540C7BD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7DF7E7A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6.6</w:t>
            </w:r>
          </w:p>
        </w:tc>
      </w:tr>
      <w:tr w:rsidR="005976AB" w:rsidRPr="005635E7" w14:paraId="0FA0CE8E" w14:textId="77777777" w:rsidTr="009E2F41">
        <w:trPr>
          <w:trHeight w:val="255"/>
        </w:trPr>
        <w:tc>
          <w:tcPr>
            <w:tcW w:w="2651" w:type="pct"/>
            <w:noWrap/>
            <w:hideMark/>
          </w:tcPr>
          <w:p w14:paraId="098F8E6F"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Our employee training program</w:t>
            </w:r>
            <w:r>
              <w:rPr>
                <w:rFonts w:ascii="Times New Roman" w:eastAsia="Times New Roman" w:hAnsi="Times New Roman" w:cs="Times New Roman"/>
                <w:sz w:val="20"/>
                <w:szCs w:val="20"/>
                <w:lang w:eastAsia="en-GB"/>
              </w:rPr>
              <w:t xml:space="preserve">s </w:t>
            </w:r>
            <w:r w:rsidRPr="005635E7">
              <w:rPr>
                <w:rFonts w:ascii="Times New Roman" w:eastAsia="Times New Roman" w:hAnsi="Times New Roman" w:cs="Times New Roman"/>
                <w:sz w:val="20"/>
                <w:szCs w:val="20"/>
                <w:lang w:eastAsia="en-GB"/>
              </w:rPr>
              <w:t>demand a significant time and financial commitment.</w:t>
            </w:r>
          </w:p>
        </w:tc>
        <w:tc>
          <w:tcPr>
            <w:tcW w:w="227" w:type="pct"/>
            <w:noWrap/>
            <w:hideMark/>
          </w:tcPr>
          <w:p w14:paraId="6357E90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3E938DE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3DB8BBE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730C671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3DDC2B6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427A226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286994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60B39DD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5BB723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31A50E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039F418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5.3</w:t>
            </w:r>
          </w:p>
        </w:tc>
      </w:tr>
      <w:tr w:rsidR="005976AB" w:rsidRPr="005635E7" w14:paraId="3A1BA6F8" w14:textId="77777777" w:rsidTr="009E2F41">
        <w:trPr>
          <w:trHeight w:val="255"/>
        </w:trPr>
        <w:tc>
          <w:tcPr>
            <w:tcW w:w="2651" w:type="pct"/>
            <w:noWrap/>
            <w:hideMark/>
          </w:tcPr>
          <w:p w14:paraId="2720C526"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Our training programs are designed to give staff members business operations-related skills and knowledge.</w:t>
            </w:r>
          </w:p>
        </w:tc>
        <w:tc>
          <w:tcPr>
            <w:tcW w:w="227" w:type="pct"/>
            <w:noWrap/>
            <w:hideMark/>
          </w:tcPr>
          <w:p w14:paraId="2F38190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2</w:t>
            </w:r>
          </w:p>
        </w:tc>
        <w:tc>
          <w:tcPr>
            <w:tcW w:w="227" w:type="pct"/>
            <w:noWrap/>
            <w:hideMark/>
          </w:tcPr>
          <w:p w14:paraId="1625BDD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40F000A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5256A91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8" w:type="pct"/>
            <w:noWrap/>
            <w:hideMark/>
          </w:tcPr>
          <w:p w14:paraId="61A1B2B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13511A4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170" w:type="pct"/>
            <w:noWrap/>
            <w:hideMark/>
          </w:tcPr>
          <w:p w14:paraId="2968DCF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6F105A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5771E9E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826F26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192EF93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5.4</w:t>
            </w:r>
          </w:p>
        </w:tc>
      </w:tr>
      <w:tr w:rsidR="005976AB" w:rsidRPr="005635E7" w14:paraId="5CC94F77" w14:textId="77777777" w:rsidTr="009E2F41">
        <w:trPr>
          <w:trHeight w:val="255"/>
        </w:trPr>
        <w:tc>
          <w:tcPr>
            <w:tcW w:w="2651" w:type="pct"/>
            <w:noWrap/>
            <w:hideMark/>
          </w:tcPr>
          <w:p w14:paraId="51E158D3"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Employees in my organization receive input from a variety of sources (peers, superiors, etc.) to help determine their performance evaluations.</w:t>
            </w:r>
          </w:p>
        </w:tc>
        <w:tc>
          <w:tcPr>
            <w:tcW w:w="227" w:type="pct"/>
            <w:noWrap/>
            <w:hideMark/>
          </w:tcPr>
          <w:p w14:paraId="4D19839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66DA627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63005FE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7" w:type="pct"/>
            <w:noWrap/>
            <w:hideMark/>
          </w:tcPr>
          <w:p w14:paraId="206CC1C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07525EA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7E0646C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170" w:type="pct"/>
            <w:noWrap/>
            <w:hideMark/>
          </w:tcPr>
          <w:p w14:paraId="51D6CBF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85A892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044BBA1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682FBF6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0ACFB11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5.1</w:t>
            </w:r>
          </w:p>
        </w:tc>
      </w:tr>
      <w:tr w:rsidR="005976AB" w:rsidRPr="005635E7" w14:paraId="3A1546A1" w14:textId="77777777" w:rsidTr="009E2F41">
        <w:trPr>
          <w:trHeight w:val="255"/>
        </w:trPr>
        <w:tc>
          <w:tcPr>
            <w:tcW w:w="2651" w:type="pct"/>
            <w:noWrap/>
            <w:hideMark/>
          </w:tcPr>
          <w:p w14:paraId="31FA6418"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Employee learning is prioritized in the performance reviews given to employees in my organization.</w:t>
            </w:r>
          </w:p>
        </w:tc>
        <w:tc>
          <w:tcPr>
            <w:tcW w:w="227" w:type="pct"/>
            <w:noWrap/>
            <w:hideMark/>
          </w:tcPr>
          <w:p w14:paraId="6DDEBAB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7" w:type="pct"/>
            <w:noWrap/>
            <w:hideMark/>
          </w:tcPr>
          <w:p w14:paraId="14AE020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7291AB6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596A545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5F33064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43853FE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9F1D79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7DE87EB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5B51270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5353834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45DFE9B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6.6</w:t>
            </w:r>
          </w:p>
        </w:tc>
      </w:tr>
      <w:tr w:rsidR="005976AB" w:rsidRPr="005635E7" w14:paraId="0924A919" w14:textId="77777777" w:rsidTr="009E2F41">
        <w:trPr>
          <w:trHeight w:val="255"/>
        </w:trPr>
        <w:tc>
          <w:tcPr>
            <w:tcW w:w="2651" w:type="pct"/>
            <w:noWrap/>
            <w:hideMark/>
          </w:tcPr>
          <w:p w14:paraId="5D4356B8"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Performance appraisals for the employees in my organization focus on their contribution to our long-term objectives (strategic objectives)</w:t>
            </w:r>
          </w:p>
        </w:tc>
        <w:tc>
          <w:tcPr>
            <w:tcW w:w="227" w:type="pct"/>
            <w:noWrap/>
            <w:hideMark/>
          </w:tcPr>
          <w:p w14:paraId="7B62AE9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13D0468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382E45B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7" w:type="pct"/>
            <w:noWrap/>
            <w:hideMark/>
          </w:tcPr>
          <w:p w14:paraId="6236534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926A38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3A5CB48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170" w:type="pct"/>
            <w:noWrap/>
            <w:hideMark/>
          </w:tcPr>
          <w:p w14:paraId="11879A1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1A2FD49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7FAF24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170" w:type="pct"/>
            <w:noWrap/>
            <w:hideMark/>
          </w:tcPr>
          <w:p w14:paraId="312D76B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382F498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4.8</w:t>
            </w:r>
          </w:p>
        </w:tc>
      </w:tr>
      <w:tr w:rsidR="005976AB" w:rsidRPr="005635E7" w14:paraId="45A1DA90" w14:textId="77777777" w:rsidTr="009E2F41">
        <w:trPr>
          <w:trHeight w:val="255"/>
        </w:trPr>
        <w:tc>
          <w:tcPr>
            <w:tcW w:w="2651" w:type="pct"/>
            <w:noWrap/>
            <w:hideMark/>
          </w:tcPr>
          <w:p w14:paraId="5E77CA85"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Performance appraisals for the employees in my organization include feedback for developing employees</w:t>
            </w:r>
          </w:p>
        </w:tc>
        <w:tc>
          <w:tcPr>
            <w:tcW w:w="227" w:type="pct"/>
            <w:noWrap/>
            <w:hideMark/>
          </w:tcPr>
          <w:p w14:paraId="34A1312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7" w:type="pct"/>
            <w:noWrap/>
            <w:hideMark/>
          </w:tcPr>
          <w:p w14:paraId="26E6662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6FEAA61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17F3713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714C0EB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0DDE8A3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2D68DE6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2B291CB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3405A2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36CF355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463DA2F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5.8</w:t>
            </w:r>
          </w:p>
        </w:tc>
      </w:tr>
      <w:tr w:rsidR="005976AB" w:rsidRPr="005635E7" w14:paraId="7C960140" w14:textId="77777777" w:rsidTr="009E2F41">
        <w:trPr>
          <w:trHeight w:val="255"/>
        </w:trPr>
        <w:tc>
          <w:tcPr>
            <w:tcW w:w="2651" w:type="pct"/>
            <w:noWrap/>
            <w:hideMark/>
          </w:tcPr>
          <w:p w14:paraId="6D4A9150"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Compensation/rewards for the employees in my organization focuses primarily on their long-term performance</w:t>
            </w:r>
          </w:p>
        </w:tc>
        <w:tc>
          <w:tcPr>
            <w:tcW w:w="227" w:type="pct"/>
            <w:noWrap/>
            <w:hideMark/>
          </w:tcPr>
          <w:p w14:paraId="60B5A37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334C302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8" w:type="pct"/>
            <w:noWrap/>
            <w:hideMark/>
          </w:tcPr>
          <w:p w14:paraId="0CDFCC3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00AA2C7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1B791DA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1072BD7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1CDBA65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3188E52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6BCB07C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66F73FB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36552C6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6.8</w:t>
            </w:r>
          </w:p>
        </w:tc>
      </w:tr>
      <w:tr w:rsidR="005976AB" w:rsidRPr="005635E7" w14:paraId="28DC359D" w14:textId="77777777" w:rsidTr="009E2F41">
        <w:trPr>
          <w:trHeight w:val="255"/>
        </w:trPr>
        <w:tc>
          <w:tcPr>
            <w:tcW w:w="2651" w:type="pct"/>
            <w:noWrap/>
            <w:hideMark/>
          </w:tcPr>
          <w:p w14:paraId="21BAE22C"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Compensation/rewards for the employees in my organization includes an extensive benefits package</w:t>
            </w:r>
          </w:p>
        </w:tc>
        <w:tc>
          <w:tcPr>
            <w:tcW w:w="227" w:type="pct"/>
            <w:noWrap/>
            <w:hideMark/>
          </w:tcPr>
          <w:p w14:paraId="1983777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638A128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42F49A4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3CCF979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02F6869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469644C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0DD9F5D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7DB91EA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1D90B6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E979DF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599449B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6.5</w:t>
            </w:r>
          </w:p>
        </w:tc>
      </w:tr>
      <w:tr w:rsidR="005976AB" w:rsidRPr="005635E7" w14:paraId="6E99EAB8" w14:textId="77777777" w:rsidTr="009E2F41">
        <w:trPr>
          <w:trHeight w:val="255"/>
        </w:trPr>
        <w:tc>
          <w:tcPr>
            <w:tcW w:w="2651" w:type="pct"/>
            <w:noWrap/>
            <w:hideMark/>
          </w:tcPr>
          <w:p w14:paraId="23019CDB"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 xml:space="preserve">Compensation/rewards system of the firm provides employees incentives for their new ideas and novel applications </w:t>
            </w:r>
          </w:p>
        </w:tc>
        <w:tc>
          <w:tcPr>
            <w:tcW w:w="227" w:type="pct"/>
            <w:noWrap/>
            <w:hideMark/>
          </w:tcPr>
          <w:p w14:paraId="0FEB48B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50514F1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A53676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4CB238D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6C3BCEA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4D738CC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4EC531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593C2D9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74ADAEF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461EA4B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20A17F3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5.9</w:t>
            </w:r>
          </w:p>
        </w:tc>
      </w:tr>
      <w:tr w:rsidR="005976AB" w:rsidRPr="005635E7" w14:paraId="3F6263FC" w14:textId="77777777" w:rsidTr="009E2F41">
        <w:trPr>
          <w:trHeight w:val="255"/>
        </w:trPr>
        <w:tc>
          <w:tcPr>
            <w:tcW w:w="2651" w:type="pct"/>
            <w:noWrap/>
            <w:hideMark/>
          </w:tcPr>
          <w:p w14:paraId="21CE8636"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The employees are involved in important decision-making process</w:t>
            </w:r>
          </w:p>
        </w:tc>
        <w:tc>
          <w:tcPr>
            <w:tcW w:w="227" w:type="pct"/>
            <w:noWrap/>
            <w:hideMark/>
          </w:tcPr>
          <w:p w14:paraId="0AFF98B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0A9268D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2DCBE69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02598EA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40C1D90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67AEFAB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ED633C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3A8D0A3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FCDF7A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2BA1F44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7F24BC8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5.7</w:t>
            </w:r>
          </w:p>
        </w:tc>
      </w:tr>
      <w:tr w:rsidR="005976AB" w:rsidRPr="005635E7" w14:paraId="0EC2BDE9" w14:textId="77777777" w:rsidTr="009E2F41">
        <w:trPr>
          <w:trHeight w:val="255"/>
        </w:trPr>
        <w:tc>
          <w:tcPr>
            <w:tcW w:w="2651" w:type="pct"/>
            <w:noWrap/>
            <w:hideMark/>
          </w:tcPr>
          <w:p w14:paraId="3CA290A4"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Employee learning (e.g. training and development) is an expense than a future investment</w:t>
            </w:r>
          </w:p>
        </w:tc>
        <w:tc>
          <w:tcPr>
            <w:tcW w:w="227" w:type="pct"/>
            <w:noWrap/>
            <w:hideMark/>
          </w:tcPr>
          <w:p w14:paraId="4393B21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1424771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5F8CF6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4539381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3F28F75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21A56E3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281205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0EC3BCC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062EA14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45ECBE2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26470CC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5.5</w:t>
            </w:r>
          </w:p>
        </w:tc>
      </w:tr>
      <w:tr w:rsidR="005976AB" w:rsidRPr="005635E7" w14:paraId="24B0FECB" w14:textId="77777777" w:rsidTr="009E2F41">
        <w:trPr>
          <w:trHeight w:val="255"/>
        </w:trPr>
        <w:tc>
          <w:tcPr>
            <w:tcW w:w="2651" w:type="pct"/>
            <w:noWrap/>
            <w:hideMark/>
          </w:tcPr>
          <w:p w14:paraId="5FFC5847"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The business plans to adjust to and/or anticipate new environmental changes.</w:t>
            </w:r>
          </w:p>
        </w:tc>
        <w:tc>
          <w:tcPr>
            <w:tcW w:w="227" w:type="pct"/>
            <w:noWrap/>
            <w:hideMark/>
          </w:tcPr>
          <w:p w14:paraId="6ED3845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7" w:type="pct"/>
            <w:noWrap/>
            <w:hideMark/>
          </w:tcPr>
          <w:p w14:paraId="4388002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37B95C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472E3F3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43D3E0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4C82AE0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4C5BF21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E62BC6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2CE3DFF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3D14DBE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644420F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5.9</w:t>
            </w:r>
          </w:p>
        </w:tc>
      </w:tr>
      <w:tr w:rsidR="005976AB" w:rsidRPr="005635E7" w14:paraId="171F6B37" w14:textId="77777777" w:rsidTr="009E2F41">
        <w:trPr>
          <w:trHeight w:val="255"/>
        </w:trPr>
        <w:tc>
          <w:tcPr>
            <w:tcW w:w="2651" w:type="pct"/>
            <w:noWrap/>
            <w:hideMark/>
          </w:tcPr>
          <w:p w14:paraId="352B7688"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Employee learning capacity is a crucial component for knowledge creation, acquisition, transfer, and usage as well as for changing employee behavior.</w:t>
            </w:r>
          </w:p>
        </w:tc>
        <w:tc>
          <w:tcPr>
            <w:tcW w:w="227" w:type="pct"/>
            <w:noWrap/>
            <w:hideMark/>
          </w:tcPr>
          <w:p w14:paraId="5F6F0F8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7" w:type="pct"/>
            <w:noWrap/>
            <w:hideMark/>
          </w:tcPr>
          <w:p w14:paraId="42B2A85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AF21C8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153E377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0EE2E62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31A49E7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2</w:t>
            </w:r>
          </w:p>
        </w:tc>
        <w:tc>
          <w:tcPr>
            <w:tcW w:w="170" w:type="pct"/>
            <w:noWrap/>
            <w:hideMark/>
          </w:tcPr>
          <w:p w14:paraId="13611B5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0F61E09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8F11B5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14B23AA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348" w:type="pct"/>
            <w:noWrap/>
            <w:hideMark/>
          </w:tcPr>
          <w:p w14:paraId="14803FE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4.7</w:t>
            </w:r>
          </w:p>
        </w:tc>
      </w:tr>
      <w:tr w:rsidR="005976AB" w:rsidRPr="005635E7" w14:paraId="78D497FA" w14:textId="77777777" w:rsidTr="009E2F41">
        <w:trPr>
          <w:trHeight w:val="255"/>
        </w:trPr>
        <w:tc>
          <w:tcPr>
            <w:tcW w:w="2651" w:type="pct"/>
            <w:noWrap/>
            <w:hideMark/>
          </w:tcPr>
          <w:p w14:paraId="2B60D39B"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Innovative concepts that succeed are rewarded in this company.</w:t>
            </w:r>
          </w:p>
        </w:tc>
        <w:tc>
          <w:tcPr>
            <w:tcW w:w="227" w:type="pct"/>
            <w:noWrap/>
            <w:hideMark/>
          </w:tcPr>
          <w:p w14:paraId="3CA2A4B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4696F92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28E0DE6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55C0E6B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8" w:type="pct"/>
            <w:noWrap/>
            <w:hideMark/>
          </w:tcPr>
          <w:p w14:paraId="645FD76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184" w:type="pct"/>
            <w:noWrap/>
            <w:hideMark/>
          </w:tcPr>
          <w:p w14:paraId="4BD6FA2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1147C0C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08BB498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140021C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41C741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329E2A9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6.5</w:t>
            </w:r>
          </w:p>
        </w:tc>
      </w:tr>
      <w:tr w:rsidR="005976AB" w:rsidRPr="005635E7" w14:paraId="3BD6A87E" w14:textId="77777777" w:rsidTr="009E2F41">
        <w:trPr>
          <w:trHeight w:val="255"/>
        </w:trPr>
        <w:tc>
          <w:tcPr>
            <w:tcW w:w="2651" w:type="pct"/>
            <w:noWrap/>
            <w:hideMark/>
          </w:tcPr>
          <w:p w14:paraId="0ED749B5"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The goals of this company are generally known to all of the personnel.</w:t>
            </w:r>
          </w:p>
        </w:tc>
        <w:tc>
          <w:tcPr>
            <w:tcW w:w="227" w:type="pct"/>
            <w:noWrap/>
            <w:hideMark/>
          </w:tcPr>
          <w:p w14:paraId="7433703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746477B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4D51BF5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54270D7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793BFD9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0D7CA3F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01ABC67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35E903B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73F75F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689C8AD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5886862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r>
      <w:tr w:rsidR="005976AB" w:rsidRPr="005635E7" w14:paraId="732F7D13" w14:textId="77777777" w:rsidTr="009E2F41">
        <w:trPr>
          <w:trHeight w:val="255"/>
        </w:trPr>
        <w:tc>
          <w:tcPr>
            <w:tcW w:w="2651" w:type="pct"/>
            <w:noWrap/>
            <w:hideMark/>
          </w:tcPr>
          <w:p w14:paraId="350AC76F"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It is conveyed how each department, organization, and segment inside this company contributes to the overarching goals.</w:t>
            </w:r>
          </w:p>
        </w:tc>
        <w:tc>
          <w:tcPr>
            <w:tcW w:w="227" w:type="pct"/>
            <w:noWrap/>
            <w:hideMark/>
          </w:tcPr>
          <w:p w14:paraId="7991C91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2</w:t>
            </w:r>
          </w:p>
        </w:tc>
        <w:tc>
          <w:tcPr>
            <w:tcW w:w="227" w:type="pct"/>
            <w:noWrap/>
            <w:hideMark/>
          </w:tcPr>
          <w:p w14:paraId="68DD249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06D0B00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227" w:type="pct"/>
            <w:noWrap/>
            <w:hideMark/>
          </w:tcPr>
          <w:p w14:paraId="0EFD14B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1E0FAD9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5A82FA7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2</w:t>
            </w:r>
          </w:p>
        </w:tc>
        <w:tc>
          <w:tcPr>
            <w:tcW w:w="170" w:type="pct"/>
            <w:noWrap/>
            <w:hideMark/>
          </w:tcPr>
          <w:p w14:paraId="6DCF1F5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3DF309D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170" w:type="pct"/>
            <w:noWrap/>
            <w:hideMark/>
          </w:tcPr>
          <w:p w14:paraId="2FCDCCB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170" w:type="pct"/>
            <w:noWrap/>
            <w:hideMark/>
          </w:tcPr>
          <w:p w14:paraId="0534084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382EB70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4.3</w:t>
            </w:r>
          </w:p>
        </w:tc>
      </w:tr>
      <w:tr w:rsidR="005976AB" w:rsidRPr="005635E7" w14:paraId="5331330E" w14:textId="77777777" w:rsidTr="009E2F41">
        <w:trPr>
          <w:trHeight w:val="255"/>
        </w:trPr>
        <w:tc>
          <w:tcPr>
            <w:tcW w:w="2651" w:type="pct"/>
            <w:noWrap/>
            <w:hideMark/>
          </w:tcPr>
          <w:p w14:paraId="7FDE2853"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Each component of this business is connected to the others and functions as a whole in unison.</w:t>
            </w:r>
          </w:p>
        </w:tc>
        <w:tc>
          <w:tcPr>
            <w:tcW w:w="227" w:type="pct"/>
            <w:noWrap/>
            <w:hideMark/>
          </w:tcPr>
          <w:p w14:paraId="08BE040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7CADF8A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3928222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53B2770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008DFB8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61F625C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3B15348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378D7C3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9E3C51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420BEAA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5E35DB7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6.5</w:t>
            </w:r>
          </w:p>
        </w:tc>
      </w:tr>
      <w:tr w:rsidR="005976AB" w:rsidRPr="005635E7" w14:paraId="101EE79C" w14:textId="77777777" w:rsidTr="009E2F41">
        <w:trPr>
          <w:trHeight w:val="255"/>
        </w:trPr>
        <w:tc>
          <w:tcPr>
            <w:tcW w:w="2651" w:type="pct"/>
            <w:noWrap/>
            <w:hideMark/>
          </w:tcPr>
          <w:p w14:paraId="21807D39"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This company promotes innovation and experimentation to enhance work processes.</w:t>
            </w:r>
          </w:p>
        </w:tc>
        <w:tc>
          <w:tcPr>
            <w:tcW w:w="227" w:type="pct"/>
            <w:noWrap/>
            <w:hideMark/>
          </w:tcPr>
          <w:p w14:paraId="5950C51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7" w:type="pct"/>
            <w:noWrap/>
            <w:hideMark/>
          </w:tcPr>
          <w:p w14:paraId="0AA5742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08658E2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3B0B386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3880614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3021873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114C097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2D13E99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FF4BA5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1A9C905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035933A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5.4</w:t>
            </w:r>
          </w:p>
        </w:tc>
      </w:tr>
      <w:tr w:rsidR="005976AB" w:rsidRPr="005635E7" w14:paraId="49C77202" w14:textId="77777777" w:rsidTr="009E2F41">
        <w:trPr>
          <w:trHeight w:val="255"/>
        </w:trPr>
        <w:tc>
          <w:tcPr>
            <w:tcW w:w="2651" w:type="pct"/>
            <w:noWrap/>
            <w:hideMark/>
          </w:tcPr>
          <w:p w14:paraId="0CA7F4A9"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By embracing those strategies and methods that are engaging and helpful, this company mimics what its rivals are doing.</w:t>
            </w:r>
          </w:p>
        </w:tc>
        <w:tc>
          <w:tcPr>
            <w:tcW w:w="227" w:type="pct"/>
            <w:noWrap/>
            <w:hideMark/>
          </w:tcPr>
          <w:p w14:paraId="2261B89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7" w:type="pct"/>
            <w:noWrap/>
            <w:hideMark/>
          </w:tcPr>
          <w:p w14:paraId="19F3070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8" w:type="pct"/>
            <w:noWrap/>
            <w:hideMark/>
          </w:tcPr>
          <w:p w14:paraId="1B610AF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74EE1F0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6E2A7C4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6EEEBD7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57E8041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7AF2535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D7491D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C0BBF8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29C01A8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5.7</w:t>
            </w:r>
          </w:p>
        </w:tc>
      </w:tr>
      <w:tr w:rsidR="005976AB" w:rsidRPr="005635E7" w14:paraId="311BD858" w14:textId="77777777" w:rsidTr="009E2F41">
        <w:trPr>
          <w:trHeight w:val="255"/>
        </w:trPr>
        <w:tc>
          <w:tcPr>
            <w:tcW w:w="2651" w:type="pct"/>
            <w:noWrap/>
            <w:hideMark/>
          </w:tcPr>
          <w:p w14:paraId="036D87F4"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For this company's learning, the experiences and suggestions of external stakeholders (advisors, clients, training organizations, etc.) are helpful.</w:t>
            </w:r>
          </w:p>
        </w:tc>
        <w:tc>
          <w:tcPr>
            <w:tcW w:w="227" w:type="pct"/>
            <w:noWrap/>
            <w:hideMark/>
          </w:tcPr>
          <w:p w14:paraId="1C054B3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12238A4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787D4F1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7A50ECA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0D93390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63FEA4B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B01FA0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55E136C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3BFE790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170" w:type="pct"/>
            <w:noWrap/>
            <w:hideMark/>
          </w:tcPr>
          <w:p w14:paraId="2C7514F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22B266B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5.4</w:t>
            </w:r>
          </w:p>
        </w:tc>
      </w:tr>
      <w:tr w:rsidR="005976AB" w:rsidRPr="005635E7" w14:paraId="77E77302" w14:textId="77777777" w:rsidTr="009E2F41">
        <w:trPr>
          <w:trHeight w:val="255"/>
        </w:trPr>
        <w:tc>
          <w:tcPr>
            <w:tcW w:w="2651" w:type="pct"/>
            <w:noWrap/>
            <w:hideMark/>
          </w:tcPr>
          <w:p w14:paraId="14477B97"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Because of the company's culture, employees are allowed to voice their opinions and recommend improvements to existing procedures and working practices.</w:t>
            </w:r>
          </w:p>
        </w:tc>
        <w:tc>
          <w:tcPr>
            <w:tcW w:w="227" w:type="pct"/>
            <w:noWrap/>
            <w:hideMark/>
          </w:tcPr>
          <w:p w14:paraId="155D1E9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306BF67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38DB7BD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5729BE1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776D746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3D1798A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4D47A3E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50684E2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C8A271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6B09CAA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71AF94A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5.8</w:t>
            </w:r>
          </w:p>
        </w:tc>
      </w:tr>
      <w:tr w:rsidR="005976AB" w:rsidRPr="005635E7" w14:paraId="4B76CDB3" w14:textId="77777777" w:rsidTr="009E2F41">
        <w:trPr>
          <w:trHeight w:val="255"/>
        </w:trPr>
        <w:tc>
          <w:tcPr>
            <w:tcW w:w="2651" w:type="pct"/>
            <w:noWrap/>
            <w:hideMark/>
          </w:tcPr>
          <w:p w14:paraId="0533FC8E"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In this company, failures and errors are constantly discussed and analyzed at all levels.</w:t>
            </w:r>
          </w:p>
        </w:tc>
        <w:tc>
          <w:tcPr>
            <w:tcW w:w="227" w:type="pct"/>
            <w:noWrap/>
            <w:hideMark/>
          </w:tcPr>
          <w:p w14:paraId="366C8B8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7" w:type="pct"/>
            <w:noWrap/>
            <w:hideMark/>
          </w:tcPr>
          <w:p w14:paraId="7D32BAB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8" w:type="pct"/>
            <w:noWrap/>
            <w:hideMark/>
          </w:tcPr>
          <w:p w14:paraId="1E3239E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07E32B2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30FB5CC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84" w:type="pct"/>
            <w:noWrap/>
            <w:hideMark/>
          </w:tcPr>
          <w:p w14:paraId="3622D71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1A2924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04D2907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1CFD545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3D99540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3E39D39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6.2</w:t>
            </w:r>
          </w:p>
        </w:tc>
      </w:tr>
      <w:tr w:rsidR="005976AB" w:rsidRPr="005635E7" w14:paraId="0C52C34A" w14:textId="77777777" w:rsidTr="009E2F41">
        <w:trPr>
          <w:trHeight w:val="255"/>
        </w:trPr>
        <w:tc>
          <w:tcPr>
            <w:tcW w:w="2651" w:type="pct"/>
            <w:noWrap/>
            <w:hideMark/>
          </w:tcPr>
          <w:p w14:paraId="27BE2C50"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The opportunity exists for employees to discuss novel concepts, plans, and initiatives that might benefit the company among themselves.</w:t>
            </w:r>
          </w:p>
        </w:tc>
        <w:tc>
          <w:tcPr>
            <w:tcW w:w="227" w:type="pct"/>
            <w:noWrap/>
            <w:hideMark/>
          </w:tcPr>
          <w:p w14:paraId="45B6BC3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0E5EC0C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64165A5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4895E4A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3972857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7977A83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E7CE20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17F717C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7D5912C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5D32271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6811C22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6.1</w:t>
            </w:r>
          </w:p>
        </w:tc>
      </w:tr>
      <w:tr w:rsidR="005976AB" w:rsidRPr="005635E7" w14:paraId="7C97C3E7" w14:textId="77777777" w:rsidTr="009E2F41">
        <w:trPr>
          <w:trHeight w:val="255"/>
        </w:trPr>
        <w:tc>
          <w:tcPr>
            <w:tcW w:w="2651" w:type="pct"/>
            <w:noWrap/>
            <w:hideMark/>
          </w:tcPr>
          <w:p w14:paraId="5E1AB54A"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Working as a team is not the norm at this company.</w:t>
            </w:r>
          </w:p>
        </w:tc>
        <w:tc>
          <w:tcPr>
            <w:tcW w:w="227" w:type="pct"/>
            <w:noWrap/>
            <w:hideMark/>
          </w:tcPr>
          <w:p w14:paraId="41A9B5B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7" w:type="pct"/>
            <w:noWrap/>
            <w:hideMark/>
          </w:tcPr>
          <w:p w14:paraId="26AC310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36E1985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079DD6F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4D4C6C4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07E3335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32347B8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2272A58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2344350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0AB4493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348" w:type="pct"/>
            <w:noWrap/>
            <w:hideMark/>
          </w:tcPr>
          <w:p w14:paraId="4169380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6.7</w:t>
            </w:r>
          </w:p>
        </w:tc>
      </w:tr>
      <w:tr w:rsidR="005976AB" w:rsidRPr="005635E7" w14:paraId="63066CD3" w14:textId="77777777" w:rsidTr="009E2F41">
        <w:trPr>
          <w:trHeight w:val="255"/>
        </w:trPr>
        <w:tc>
          <w:tcPr>
            <w:tcW w:w="2651" w:type="pct"/>
            <w:noWrap/>
            <w:hideMark/>
          </w:tcPr>
          <w:p w14:paraId="654360D0"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Although the personnel have changed, the company maintains tools (manuals, databases, files, organizational routines, etc.) that maintain relevant information learned in previous scenarios.</w:t>
            </w:r>
          </w:p>
        </w:tc>
        <w:tc>
          <w:tcPr>
            <w:tcW w:w="227" w:type="pct"/>
            <w:noWrap/>
            <w:hideMark/>
          </w:tcPr>
          <w:p w14:paraId="64E5FAF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65DA4CD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02C2D64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07A2690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8" w:type="pct"/>
            <w:noWrap/>
            <w:hideMark/>
          </w:tcPr>
          <w:p w14:paraId="7CA3530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20B6556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0DF7682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67634CD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7871E6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45A5666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348" w:type="pct"/>
            <w:noWrap/>
            <w:hideMark/>
          </w:tcPr>
          <w:p w14:paraId="7555435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5.1</w:t>
            </w:r>
          </w:p>
        </w:tc>
      </w:tr>
      <w:tr w:rsidR="005976AB" w:rsidRPr="005635E7" w14:paraId="02170AF6" w14:textId="77777777" w:rsidTr="009E2F41">
        <w:trPr>
          <w:trHeight w:val="255"/>
        </w:trPr>
        <w:tc>
          <w:tcPr>
            <w:tcW w:w="2651" w:type="pct"/>
            <w:noWrap/>
            <w:hideMark/>
          </w:tcPr>
          <w:p w14:paraId="0889C847"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At my company, all of our innovation projects directly engage external partners, such as clients, rival businesses, research institutions, consultants, suppliers, the government, or universities.</w:t>
            </w:r>
          </w:p>
        </w:tc>
        <w:tc>
          <w:tcPr>
            <w:tcW w:w="227" w:type="pct"/>
            <w:noWrap/>
            <w:hideMark/>
          </w:tcPr>
          <w:p w14:paraId="28D4F54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7" w:type="pct"/>
            <w:noWrap/>
            <w:hideMark/>
          </w:tcPr>
          <w:p w14:paraId="0CD37CF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286CE79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74FD74F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8" w:type="pct"/>
            <w:noWrap/>
            <w:hideMark/>
          </w:tcPr>
          <w:p w14:paraId="3A7D94F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7EC8317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611EF12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7B17663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4BB983D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270438C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6804254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6.7</w:t>
            </w:r>
          </w:p>
        </w:tc>
      </w:tr>
      <w:tr w:rsidR="005976AB" w:rsidRPr="005635E7" w14:paraId="1F49270B" w14:textId="77777777" w:rsidTr="009E2F41">
        <w:trPr>
          <w:trHeight w:val="255"/>
        </w:trPr>
        <w:tc>
          <w:tcPr>
            <w:tcW w:w="2651" w:type="pct"/>
            <w:noWrap/>
            <w:hideMark/>
          </w:tcPr>
          <w:p w14:paraId="490C1DA3"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All of our innovation initiatives/projects rely heavily on contributions from other parties, such as clients, rivals, research institutions, consultants, suppliers, governments, or universities.</w:t>
            </w:r>
          </w:p>
        </w:tc>
        <w:tc>
          <w:tcPr>
            <w:tcW w:w="227" w:type="pct"/>
            <w:noWrap/>
            <w:hideMark/>
          </w:tcPr>
          <w:p w14:paraId="70D9DEB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7142F86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8" w:type="pct"/>
            <w:noWrap/>
            <w:hideMark/>
          </w:tcPr>
          <w:p w14:paraId="3140C8C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1D647FF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338F287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84" w:type="pct"/>
            <w:noWrap/>
            <w:hideMark/>
          </w:tcPr>
          <w:p w14:paraId="1610140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01DC3BB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78EC7F2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23D7C01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26EFE0C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5B8F309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6.5</w:t>
            </w:r>
          </w:p>
        </w:tc>
      </w:tr>
      <w:tr w:rsidR="005976AB" w:rsidRPr="005635E7" w14:paraId="23C24C3B" w14:textId="77777777" w:rsidTr="009E2F41">
        <w:trPr>
          <w:trHeight w:val="255"/>
        </w:trPr>
        <w:tc>
          <w:tcPr>
            <w:tcW w:w="2651" w:type="pct"/>
            <w:noWrap/>
            <w:hideMark/>
          </w:tcPr>
          <w:p w14:paraId="546B9E52"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My company frequently purchases goods linked to research and development (R&amp;D) from outside vendors.</w:t>
            </w:r>
          </w:p>
        </w:tc>
        <w:tc>
          <w:tcPr>
            <w:tcW w:w="227" w:type="pct"/>
            <w:noWrap/>
            <w:hideMark/>
          </w:tcPr>
          <w:p w14:paraId="3FA59B0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4F38992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8" w:type="pct"/>
            <w:noWrap/>
            <w:hideMark/>
          </w:tcPr>
          <w:p w14:paraId="49586FE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60CA62C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4F3C9FB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2</w:t>
            </w:r>
          </w:p>
        </w:tc>
        <w:tc>
          <w:tcPr>
            <w:tcW w:w="184" w:type="pct"/>
            <w:noWrap/>
            <w:hideMark/>
          </w:tcPr>
          <w:p w14:paraId="63C93D5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3A436CC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47B1DCC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0D6F6BC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06866E9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348" w:type="pct"/>
            <w:noWrap/>
            <w:hideMark/>
          </w:tcPr>
          <w:p w14:paraId="6E4D3A4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5.4</w:t>
            </w:r>
          </w:p>
        </w:tc>
      </w:tr>
      <w:tr w:rsidR="005976AB" w:rsidRPr="005635E7" w14:paraId="1A991AFE" w14:textId="77777777" w:rsidTr="009E2F41">
        <w:trPr>
          <w:trHeight w:val="255"/>
        </w:trPr>
        <w:tc>
          <w:tcPr>
            <w:tcW w:w="2651" w:type="pct"/>
            <w:noWrap/>
            <w:hideMark/>
          </w:tcPr>
          <w:p w14:paraId="6FF32602"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My company frequently purchases intellectual property (such as patents, copyrights, or trademarks) from outside partners as part of its innovative operations.</w:t>
            </w:r>
          </w:p>
        </w:tc>
        <w:tc>
          <w:tcPr>
            <w:tcW w:w="227" w:type="pct"/>
            <w:noWrap/>
            <w:hideMark/>
          </w:tcPr>
          <w:p w14:paraId="5E060BD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2902284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2D0037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11218D4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4F35943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5584D1E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374B04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170" w:type="pct"/>
            <w:noWrap/>
            <w:hideMark/>
          </w:tcPr>
          <w:p w14:paraId="0E9A8FB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5A87709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18F70AE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348" w:type="pct"/>
            <w:noWrap/>
            <w:hideMark/>
          </w:tcPr>
          <w:p w14:paraId="586AF72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4.9</w:t>
            </w:r>
          </w:p>
        </w:tc>
      </w:tr>
      <w:tr w:rsidR="005976AB" w:rsidRPr="005635E7" w14:paraId="68DDDDE1" w14:textId="77777777" w:rsidTr="009E2F41">
        <w:trPr>
          <w:trHeight w:val="255"/>
        </w:trPr>
        <w:tc>
          <w:tcPr>
            <w:tcW w:w="2651" w:type="pct"/>
            <w:noWrap/>
            <w:hideMark/>
          </w:tcPr>
          <w:p w14:paraId="7EAD4B1A"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My company frequently sells licenses originating from our ideas to other businesses (such as patents, copyrights, or trademarks).</w:t>
            </w:r>
          </w:p>
        </w:tc>
        <w:tc>
          <w:tcPr>
            <w:tcW w:w="227" w:type="pct"/>
            <w:noWrap/>
            <w:hideMark/>
          </w:tcPr>
          <w:p w14:paraId="5927139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4B26638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1AC5720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23B39E8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3CD4844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3FE40B6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2A959C2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489426B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69DE3D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223A932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3C2B6C1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5.9</w:t>
            </w:r>
          </w:p>
        </w:tc>
      </w:tr>
      <w:tr w:rsidR="005976AB" w:rsidRPr="005635E7" w14:paraId="631E1834" w14:textId="77777777" w:rsidTr="009E2F41">
        <w:trPr>
          <w:trHeight w:val="270"/>
        </w:trPr>
        <w:tc>
          <w:tcPr>
            <w:tcW w:w="2651" w:type="pct"/>
            <w:noWrap/>
            <w:hideMark/>
          </w:tcPr>
          <w:p w14:paraId="2295FDCC"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My company frequently provides other businesses with royalty agreements so they can more fully profit from our creative efforts.</w:t>
            </w:r>
          </w:p>
        </w:tc>
        <w:tc>
          <w:tcPr>
            <w:tcW w:w="227" w:type="pct"/>
            <w:noWrap/>
            <w:hideMark/>
          </w:tcPr>
          <w:p w14:paraId="6F3634A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0D8ED7B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3BF55FD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4F6B94D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6D393FF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4856B97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421718C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0B1E436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230C168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21C9835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4AC0D7A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6.6</w:t>
            </w:r>
          </w:p>
        </w:tc>
      </w:tr>
      <w:tr w:rsidR="005976AB" w:rsidRPr="005635E7" w14:paraId="54BB3854" w14:textId="77777777" w:rsidTr="009E2F41">
        <w:trPr>
          <w:trHeight w:val="270"/>
        </w:trPr>
        <w:tc>
          <w:tcPr>
            <w:tcW w:w="2651" w:type="pct"/>
            <w:noWrap/>
            <w:hideMark/>
          </w:tcPr>
          <w:p w14:paraId="14936A5F"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My company makes money by using its own intellectual property, such as patents, copyrights, or trademarks, to further its business.</w:t>
            </w:r>
          </w:p>
        </w:tc>
        <w:tc>
          <w:tcPr>
            <w:tcW w:w="227" w:type="pct"/>
            <w:noWrap/>
            <w:hideMark/>
          </w:tcPr>
          <w:p w14:paraId="76646C1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0592B2C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228" w:type="pct"/>
            <w:noWrap/>
            <w:hideMark/>
          </w:tcPr>
          <w:p w14:paraId="67E2283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6A2E3D6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8" w:type="pct"/>
            <w:noWrap/>
            <w:hideMark/>
          </w:tcPr>
          <w:p w14:paraId="0AF61CF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1EC2F2D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2</w:t>
            </w:r>
          </w:p>
        </w:tc>
        <w:tc>
          <w:tcPr>
            <w:tcW w:w="170" w:type="pct"/>
            <w:noWrap/>
            <w:hideMark/>
          </w:tcPr>
          <w:p w14:paraId="37EA451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316A802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2</w:t>
            </w:r>
          </w:p>
        </w:tc>
        <w:tc>
          <w:tcPr>
            <w:tcW w:w="170" w:type="pct"/>
            <w:noWrap/>
            <w:hideMark/>
          </w:tcPr>
          <w:p w14:paraId="5DC2C2A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13B2C89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348" w:type="pct"/>
            <w:noWrap/>
            <w:hideMark/>
          </w:tcPr>
          <w:p w14:paraId="4CC5A0E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5.2</w:t>
            </w:r>
          </w:p>
        </w:tc>
      </w:tr>
      <w:tr w:rsidR="005976AB" w:rsidRPr="005635E7" w14:paraId="604B9EA6" w14:textId="77777777" w:rsidTr="009E2F41">
        <w:trPr>
          <w:trHeight w:val="270"/>
        </w:trPr>
        <w:tc>
          <w:tcPr>
            <w:tcW w:w="2651" w:type="pct"/>
            <w:noWrap/>
            <w:hideMark/>
          </w:tcPr>
          <w:p w14:paraId="2D6CCA01"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My company creates spin-offs, which are independent firms, to profit from our innovative initiatives.</w:t>
            </w:r>
          </w:p>
        </w:tc>
        <w:tc>
          <w:tcPr>
            <w:tcW w:w="227" w:type="pct"/>
            <w:noWrap/>
            <w:hideMark/>
          </w:tcPr>
          <w:p w14:paraId="418E59E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0D1B24E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228" w:type="pct"/>
            <w:noWrap/>
            <w:hideMark/>
          </w:tcPr>
          <w:p w14:paraId="656421D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4D73001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228" w:type="pct"/>
            <w:noWrap/>
            <w:hideMark/>
          </w:tcPr>
          <w:p w14:paraId="4FD8053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2D4C0C8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59898E2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0D204D3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2</w:t>
            </w:r>
          </w:p>
        </w:tc>
        <w:tc>
          <w:tcPr>
            <w:tcW w:w="170" w:type="pct"/>
            <w:noWrap/>
            <w:hideMark/>
          </w:tcPr>
          <w:p w14:paraId="2B3EC39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21E17F4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62DD567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r>
      <w:tr w:rsidR="005976AB" w:rsidRPr="005635E7" w14:paraId="2E82081B" w14:textId="77777777" w:rsidTr="009E2F41">
        <w:trPr>
          <w:trHeight w:val="270"/>
        </w:trPr>
        <w:tc>
          <w:tcPr>
            <w:tcW w:w="2651" w:type="pct"/>
            <w:noWrap/>
            <w:hideMark/>
          </w:tcPr>
          <w:p w14:paraId="50122AB5"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The increase in the company's market share in comparison to the competition.</w:t>
            </w:r>
          </w:p>
        </w:tc>
        <w:tc>
          <w:tcPr>
            <w:tcW w:w="227" w:type="pct"/>
            <w:noWrap/>
            <w:hideMark/>
          </w:tcPr>
          <w:p w14:paraId="63FD4AE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072E6D8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8" w:type="pct"/>
            <w:noWrap/>
            <w:hideMark/>
          </w:tcPr>
          <w:p w14:paraId="1B2BF0E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7FC60EE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6C37BD1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315D11B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5A7D598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15E10EF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170" w:type="pct"/>
            <w:noWrap/>
            <w:hideMark/>
          </w:tcPr>
          <w:p w14:paraId="760757D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12C2C67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348" w:type="pct"/>
            <w:noWrap/>
            <w:hideMark/>
          </w:tcPr>
          <w:p w14:paraId="55440BB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5.5</w:t>
            </w:r>
          </w:p>
        </w:tc>
      </w:tr>
      <w:tr w:rsidR="005976AB" w:rsidRPr="005635E7" w14:paraId="46038D3D" w14:textId="77777777" w:rsidTr="009E2F41">
        <w:trPr>
          <w:trHeight w:val="270"/>
        </w:trPr>
        <w:tc>
          <w:tcPr>
            <w:tcW w:w="2651" w:type="pct"/>
            <w:noWrap/>
            <w:hideMark/>
          </w:tcPr>
          <w:p w14:paraId="4D7DB61F"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Acquiring new customers</w:t>
            </w:r>
          </w:p>
        </w:tc>
        <w:tc>
          <w:tcPr>
            <w:tcW w:w="227" w:type="pct"/>
            <w:noWrap/>
            <w:hideMark/>
          </w:tcPr>
          <w:p w14:paraId="6AC0939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78EAB08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8" w:type="pct"/>
            <w:noWrap/>
            <w:hideMark/>
          </w:tcPr>
          <w:p w14:paraId="5E83902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10</w:t>
            </w:r>
          </w:p>
        </w:tc>
        <w:tc>
          <w:tcPr>
            <w:tcW w:w="227" w:type="pct"/>
            <w:noWrap/>
            <w:hideMark/>
          </w:tcPr>
          <w:p w14:paraId="783ED38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228" w:type="pct"/>
            <w:noWrap/>
            <w:hideMark/>
          </w:tcPr>
          <w:p w14:paraId="1D44EEC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788A20E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61C8C5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703FCFF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5B1A676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10</w:t>
            </w:r>
          </w:p>
        </w:tc>
        <w:tc>
          <w:tcPr>
            <w:tcW w:w="170" w:type="pct"/>
            <w:noWrap/>
            <w:hideMark/>
          </w:tcPr>
          <w:p w14:paraId="1EFE0CF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1344808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7.3</w:t>
            </w:r>
          </w:p>
        </w:tc>
      </w:tr>
      <w:tr w:rsidR="005976AB" w:rsidRPr="005635E7" w14:paraId="76027E80" w14:textId="77777777" w:rsidTr="009E2F41">
        <w:trPr>
          <w:trHeight w:val="270"/>
        </w:trPr>
        <w:tc>
          <w:tcPr>
            <w:tcW w:w="2651" w:type="pct"/>
            <w:noWrap/>
            <w:hideMark/>
          </w:tcPr>
          <w:p w14:paraId="114E40F8"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Higher revenue from previous year's customers.</w:t>
            </w:r>
          </w:p>
        </w:tc>
        <w:tc>
          <w:tcPr>
            <w:tcW w:w="227" w:type="pct"/>
            <w:noWrap/>
            <w:hideMark/>
          </w:tcPr>
          <w:p w14:paraId="021F1B7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7" w:type="pct"/>
            <w:noWrap/>
            <w:hideMark/>
          </w:tcPr>
          <w:p w14:paraId="7E6DBF5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5351F99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0AE030C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228" w:type="pct"/>
            <w:noWrap/>
            <w:hideMark/>
          </w:tcPr>
          <w:p w14:paraId="55BC1AD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84" w:type="pct"/>
            <w:noWrap/>
            <w:hideMark/>
          </w:tcPr>
          <w:p w14:paraId="2C5F383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170" w:type="pct"/>
            <w:noWrap/>
            <w:hideMark/>
          </w:tcPr>
          <w:p w14:paraId="5BFCB56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08C904D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22CAA72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537C871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348" w:type="pct"/>
            <w:noWrap/>
            <w:hideMark/>
          </w:tcPr>
          <w:p w14:paraId="6B56A4F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5.8</w:t>
            </w:r>
          </w:p>
        </w:tc>
      </w:tr>
      <w:tr w:rsidR="005976AB" w:rsidRPr="005635E7" w14:paraId="79005E4E" w14:textId="77777777" w:rsidTr="009E2F41">
        <w:trPr>
          <w:trHeight w:val="270"/>
        </w:trPr>
        <w:tc>
          <w:tcPr>
            <w:tcW w:w="2651" w:type="pct"/>
            <w:noWrap/>
            <w:hideMark/>
          </w:tcPr>
          <w:p w14:paraId="58BBE351"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Growth in sales revenue</w:t>
            </w:r>
          </w:p>
        </w:tc>
        <w:tc>
          <w:tcPr>
            <w:tcW w:w="227" w:type="pct"/>
            <w:noWrap/>
            <w:hideMark/>
          </w:tcPr>
          <w:p w14:paraId="3B0C8D2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9</w:t>
            </w:r>
          </w:p>
        </w:tc>
        <w:tc>
          <w:tcPr>
            <w:tcW w:w="227" w:type="pct"/>
            <w:noWrap/>
            <w:hideMark/>
          </w:tcPr>
          <w:p w14:paraId="6B8F7B7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7A7F5DF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0344A45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9</w:t>
            </w:r>
          </w:p>
        </w:tc>
        <w:tc>
          <w:tcPr>
            <w:tcW w:w="228" w:type="pct"/>
            <w:noWrap/>
            <w:hideMark/>
          </w:tcPr>
          <w:p w14:paraId="7B60C4AA"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9</w:t>
            </w:r>
          </w:p>
        </w:tc>
        <w:tc>
          <w:tcPr>
            <w:tcW w:w="184" w:type="pct"/>
            <w:noWrap/>
            <w:hideMark/>
          </w:tcPr>
          <w:p w14:paraId="4A6596A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3651A75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58D753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9</w:t>
            </w:r>
          </w:p>
        </w:tc>
        <w:tc>
          <w:tcPr>
            <w:tcW w:w="170" w:type="pct"/>
            <w:noWrap/>
            <w:hideMark/>
          </w:tcPr>
          <w:p w14:paraId="4ED5C8AB"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A80294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348" w:type="pct"/>
            <w:noWrap/>
            <w:hideMark/>
          </w:tcPr>
          <w:p w14:paraId="21BD5F5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7.8</w:t>
            </w:r>
          </w:p>
        </w:tc>
      </w:tr>
      <w:tr w:rsidR="005976AB" w:rsidRPr="005635E7" w14:paraId="65DE7226" w14:textId="77777777" w:rsidTr="009E2F41">
        <w:trPr>
          <w:trHeight w:val="270"/>
        </w:trPr>
        <w:tc>
          <w:tcPr>
            <w:tcW w:w="2651" w:type="pct"/>
            <w:noWrap/>
            <w:hideMark/>
          </w:tcPr>
          <w:p w14:paraId="1E2EC947"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The profitability of business segments is increasing</w:t>
            </w:r>
          </w:p>
        </w:tc>
        <w:tc>
          <w:tcPr>
            <w:tcW w:w="227" w:type="pct"/>
            <w:noWrap/>
            <w:hideMark/>
          </w:tcPr>
          <w:p w14:paraId="03EC74D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214B6A5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8" w:type="pct"/>
            <w:noWrap/>
            <w:hideMark/>
          </w:tcPr>
          <w:p w14:paraId="653A9C2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7" w:type="pct"/>
            <w:noWrap/>
            <w:hideMark/>
          </w:tcPr>
          <w:p w14:paraId="1486B37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228" w:type="pct"/>
            <w:noWrap/>
            <w:hideMark/>
          </w:tcPr>
          <w:p w14:paraId="0E9F571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184" w:type="pct"/>
            <w:noWrap/>
            <w:hideMark/>
          </w:tcPr>
          <w:p w14:paraId="11DBC63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374F4DA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786298D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798E718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68A5566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348" w:type="pct"/>
            <w:noWrap/>
            <w:hideMark/>
          </w:tcPr>
          <w:p w14:paraId="29EF8C1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5.7</w:t>
            </w:r>
          </w:p>
        </w:tc>
      </w:tr>
      <w:tr w:rsidR="005976AB" w:rsidRPr="005635E7" w14:paraId="72A877DB" w14:textId="77777777" w:rsidTr="009E2F41">
        <w:trPr>
          <w:trHeight w:val="270"/>
        </w:trPr>
        <w:tc>
          <w:tcPr>
            <w:tcW w:w="2651" w:type="pct"/>
            <w:noWrap/>
            <w:hideMark/>
          </w:tcPr>
          <w:p w14:paraId="21CDF832"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 xml:space="preserve">Return on investment (ROI) is improving </w:t>
            </w:r>
          </w:p>
        </w:tc>
        <w:tc>
          <w:tcPr>
            <w:tcW w:w="227" w:type="pct"/>
            <w:noWrap/>
            <w:hideMark/>
          </w:tcPr>
          <w:p w14:paraId="75B7483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135A4CB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228" w:type="pct"/>
            <w:noWrap/>
            <w:hideMark/>
          </w:tcPr>
          <w:p w14:paraId="0A3D96C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7" w:type="pct"/>
            <w:noWrap/>
            <w:hideMark/>
          </w:tcPr>
          <w:p w14:paraId="77CEB7D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506ED77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474CEAE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6CDBED9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8</w:t>
            </w:r>
          </w:p>
        </w:tc>
        <w:tc>
          <w:tcPr>
            <w:tcW w:w="170" w:type="pct"/>
            <w:noWrap/>
            <w:hideMark/>
          </w:tcPr>
          <w:p w14:paraId="4C35AB1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3</w:t>
            </w:r>
          </w:p>
        </w:tc>
        <w:tc>
          <w:tcPr>
            <w:tcW w:w="170" w:type="pct"/>
            <w:noWrap/>
            <w:hideMark/>
          </w:tcPr>
          <w:p w14:paraId="41F276D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0DC5E0E3"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348" w:type="pct"/>
            <w:noWrap/>
            <w:hideMark/>
          </w:tcPr>
          <w:p w14:paraId="7B512294"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5.4</w:t>
            </w:r>
          </w:p>
        </w:tc>
      </w:tr>
      <w:tr w:rsidR="005976AB" w:rsidRPr="005635E7" w14:paraId="6F813812" w14:textId="77777777" w:rsidTr="009E2F41">
        <w:trPr>
          <w:trHeight w:val="270"/>
        </w:trPr>
        <w:tc>
          <w:tcPr>
            <w:tcW w:w="2651" w:type="pct"/>
            <w:noWrap/>
            <w:hideMark/>
          </w:tcPr>
          <w:p w14:paraId="440B0292"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Return on sales (ROS)</w:t>
            </w:r>
          </w:p>
        </w:tc>
        <w:tc>
          <w:tcPr>
            <w:tcW w:w="227" w:type="pct"/>
            <w:noWrap/>
            <w:hideMark/>
          </w:tcPr>
          <w:p w14:paraId="756E782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2A0527B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8" w:type="pct"/>
            <w:noWrap/>
            <w:hideMark/>
          </w:tcPr>
          <w:p w14:paraId="22D1A1E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227" w:type="pct"/>
            <w:noWrap/>
            <w:hideMark/>
          </w:tcPr>
          <w:p w14:paraId="5F3BD4A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155A1969"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3C8D859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1C4AF7C1"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030F714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10</w:t>
            </w:r>
          </w:p>
        </w:tc>
        <w:tc>
          <w:tcPr>
            <w:tcW w:w="170" w:type="pct"/>
            <w:noWrap/>
            <w:hideMark/>
          </w:tcPr>
          <w:p w14:paraId="027A1D5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70" w:type="pct"/>
            <w:noWrap/>
            <w:hideMark/>
          </w:tcPr>
          <w:p w14:paraId="21C47D4F"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10</w:t>
            </w:r>
          </w:p>
        </w:tc>
        <w:tc>
          <w:tcPr>
            <w:tcW w:w="348" w:type="pct"/>
            <w:noWrap/>
            <w:hideMark/>
          </w:tcPr>
          <w:p w14:paraId="0A07FCFD"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6.7</w:t>
            </w:r>
          </w:p>
        </w:tc>
      </w:tr>
      <w:tr w:rsidR="005976AB" w:rsidRPr="005635E7" w14:paraId="398C5242" w14:textId="77777777" w:rsidTr="009E2F41">
        <w:trPr>
          <w:trHeight w:val="270"/>
        </w:trPr>
        <w:tc>
          <w:tcPr>
            <w:tcW w:w="2651" w:type="pct"/>
            <w:noWrap/>
            <w:hideMark/>
          </w:tcPr>
          <w:p w14:paraId="4B50F34A" w14:textId="77777777" w:rsidR="005976AB" w:rsidRPr="005635E7" w:rsidRDefault="005976AB" w:rsidP="009E2F41">
            <w:pPr>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Achieving financial targets within the budgeted time frame</w:t>
            </w:r>
          </w:p>
        </w:tc>
        <w:tc>
          <w:tcPr>
            <w:tcW w:w="227" w:type="pct"/>
            <w:noWrap/>
            <w:hideMark/>
          </w:tcPr>
          <w:p w14:paraId="7B923552"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33148A05"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228" w:type="pct"/>
            <w:noWrap/>
            <w:hideMark/>
          </w:tcPr>
          <w:p w14:paraId="35FFA5C7"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7" w:type="pct"/>
            <w:noWrap/>
            <w:hideMark/>
          </w:tcPr>
          <w:p w14:paraId="2B87937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228" w:type="pct"/>
            <w:noWrap/>
            <w:hideMark/>
          </w:tcPr>
          <w:p w14:paraId="0B3123B6"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w:t>
            </w:r>
          </w:p>
        </w:tc>
        <w:tc>
          <w:tcPr>
            <w:tcW w:w="184" w:type="pct"/>
            <w:noWrap/>
            <w:hideMark/>
          </w:tcPr>
          <w:p w14:paraId="7733AAA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4</w:t>
            </w:r>
          </w:p>
        </w:tc>
        <w:tc>
          <w:tcPr>
            <w:tcW w:w="170" w:type="pct"/>
            <w:noWrap/>
            <w:hideMark/>
          </w:tcPr>
          <w:p w14:paraId="1427731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4877BEEE"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7</w:t>
            </w:r>
          </w:p>
        </w:tc>
        <w:tc>
          <w:tcPr>
            <w:tcW w:w="170" w:type="pct"/>
            <w:noWrap/>
            <w:hideMark/>
          </w:tcPr>
          <w:p w14:paraId="34E48E6C"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6</w:t>
            </w:r>
          </w:p>
        </w:tc>
        <w:tc>
          <w:tcPr>
            <w:tcW w:w="170" w:type="pct"/>
            <w:noWrap/>
            <w:hideMark/>
          </w:tcPr>
          <w:p w14:paraId="3F389688"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9</w:t>
            </w:r>
          </w:p>
        </w:tc>
        <w:tc>
          <w:tcPr>
            <w:tcW w:w="348" w:type="pct"/>
            <w:noWrap/>
            <w:hideMark/>
          </w:tcPr>
          <w:p w14:paraId="78F3BC50" w14:textId="77777777" w:rsidR="005976AB" w:rsidRPr="005635E7" w:rsidRDefault="005976AB" w:rsidP="009E2F41">
            <w:pPr>
              <w:jc w:val="right"/>
              <w:rPr>
                <w:rFonts w:ascii="Times New Roman" w:eastAsia="Times New Roman" w:hAnsi="Times New Roman" w:cs="Times New Roman"/>
                <w:sz w:val="20"/>
                <w:szCs w:val="20"/>
                <w:lang w:eastAsia="en-GB"/>
              </w:rPr>
            </w:pPr>
            <w:r w:rsidRPr="005635E7">
              <w:rPr>
                <w:rFonts w:ascii="Times New Roman" w:eastAsia="Times New Roman" w:hAnsi="Times New Roman" w:cs="Times New Roman"/>
                <w:sz w:val="20"/>
                <w:szCs w:val="20"/>
                <w:lang w:eastAsia="en-GB"/>
              </w:rPr>
              <w:t>5.6</w:t>
            </w:r>
          </w:p>
        </w:tc>
      </w:tr>
    </w:tbl>
    <w:p w14:paraId="573C77EE" w14:textId="77777777" w:rsidR="005976AB" w:rsidRPr="005635E7" w:rsidRDefault="005976AB" w:rsidP="005976AB">
      <w:pPr>
        <w:jc w:val="both"/>
        <w:rPr>
          <w:rFonts w:asciiTheme="majorBidi" w:eastAsia="Times New Roman" w:hAnsiTheme="majorBidi" w:cstheme="majorBidi"/>
          <w:i/>
          <w:iCs/>
          <w:sz w:val="22"/>
          <w:szCs w:val="22"/>
          <w:lang w:eastAsia="en-GB"/>
        </w:rPr>
      </w:pPr>
      <w:r w:rsidRPr="005635E7">
        <w:rPr>
          <w:rFonts w:asciiTheme="majorBidi" w:eastAsia="Times New Roman" w:hAnsiTheme="majorBidi" w:cstheme="majorBidi"/>
          <w:i/>
          <w:iCs/>
          <w:sz w:val="22"/>
          <w:szCs w:val="22"/>
          <w:lang w:eastAsia="en-GB"/>
        </w:rPr>
        <w:t>Note: Blue color fonts statements are reframed questions as they were unclear in the early version of pilot study</w:t>
      </w:r>
    </w:p>
    <w:p w14:paraId="45D1CA04" w14:textId="77777777" w:rsidR="005976AB" w:rsidRPr="005635E7" w:rsidRDefault="005976AB" w:rsidP="005976AB">
      <w:pPr>
        <w:rPr>
          <w:rFonts w:asciiTheme="majorBidi" w:eastAsia="Times New Roman" w:hAnsiTheme="majorBidi" w:cstheme="majorBidi"/>
          <w:lang w:eastAsia="en-GB"/>
        </w:rPr>
      </w:pPr>
      <w:r w:rsidRPr="005635E7">
        <w:rPr>
          <w:rFonts w:asciiTheme="majorBidi" w:eastAsia="Times New Roman" w:hAnsiTheme="majorBidi" w:cstheme="majorBidi"/>
          <w:lang w:eastAsia="en-GB"/>
        </w:rPr>
        <w:br w:type="page"/>
      </w:r>
    </w:p>
    <w:p w14:paraId="1C3FCC27" w14:textId="77777777" w:rsidR="005976AB" w:rsidRPr="005635E7" w:rsidRDefault="005976AB" w:rsidP="005976AB">
      <w:pPr>
        <w:pStyle w:val="Heading2"/>
        <w:rPr>
          <w:rFonts w:asciiTheme="majorBidi" w:hAnsiTheme="majorBidi"/>
          <w:b/>
          <w:bCs/>
          <w:color w:val="auto"/>
        </w:rPr>
      </w:pPr>
      <w:bookmarkStart w:id="155" w:name="_Toc115310431"/>
      <w:r w:rsidRPr="005635E7">
        <w:rPr>
          <w:rFonts w:asciiTheme="majorBidi" w:hAnsiTheme="majorBidi"/>
          <w:b/>
          <w:bCs/>
          <w:color w:val="auto"/>
        </w:rPr>
        <w:t>Appendix F: Ethical Approval Form ADU IRB</w:t>
      </w:r>
      <w:bookmarkEnd w:id="155"/>
    </w:p>
    <w:p w14:paraId="5687BFB2" w14:textId="77777777" w:rsidR="005976AB" w:rsidRPr="005635E7" w:rsidRDefault="005976AB" w:rsidP="005976AB">
      <w:pPr>
        <w:jc w:val="both"/>
        <w:rPr>
          <w:rFonts w:asciiTheme="majorBidi" w:hAnsiTheme="majorBidi" w:cstheme="majorBidi"/>
          <w:shd w:val="clear" w:color="auto" w:fill="FFFFFF"/>
        </w:rPr>
      </w:pPr>
    </w:p>
    <w:p w14:paraId="0D7BFAEA" w14:textId="0062FF42" w:rsidR="005976AB" w:rsidRPr="00100A5B" w:rsidRDefault="005976AB" w:rsidP="00100A5B">
      <w:pPr>
        <w:jc w:val="both"/>
        <w:rPr>
          <w:rFonts w:asciiTheme="majorBidi" w:hAnsiTheme="majorBidi" w:cstheme="majorBidi"/>
          <w:shd w:val="clear" w:color="auto" w:fill="FFFFFF"/>
        </w:rPr>
      </w:pPr>
      <w:r w:rsidRPr="005635E7">
        <w:rPr>
          <w:rFonts w:asciiTheme="majorBidi" w:hAnsiTheme="majorBidi" w:cstheme="majorBidi"/>
          <w:noProof/>
          <w:shd w:val="clear" w:color="auto" w:fill="FFFFFF"/>
        </w:rPr>
        <w:drawing>
          <wp:inline distT="0" distB="0" distL="0" distR="0" wp14:anchorId="2B2FC5E3" wp14:editId="62C74EEF">
            <wp:extent cx="5730875" cy="8108315"/>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730875" cy="8108315"/>
                    </a:xfrm>
                    <a:prstGeom prst="rect">
                      <a:avLst/>
                    </a:prstGeom>
                    <a:noFill/>
                  </pic:spPr>
                </pic:pic>
              </a:graphicData>
            </a:graphic>
          </wp:inline>
        </w:drawing>
      </w:r>
    </w:p>
    <w:p w14:paraId="6DE64C5B" w14:textId="77777777" w:rsidR="006C6E56" w:rsidRDefault="006C6E56"/>
    <w:sectPr w:rsidR="006C6E56" w:rsidSect="00BC5A1E">
      <w:headerReference w:type="even" r:id="rId47"/>
      <w:headerReference w:type="default" r:id="rId48"/>
      <w:headerReference w:type="first" r:id="rId49"/>
      <w:footerReference w:type="first" r:id="rId50"/>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B32B6" w14:textId="77777777" w:rsidR="007B4460" w:rsidRDefault="007B4460">
      <w:r>
        <w:separator/>
      </w:r>
    </w:p>
  </w:endnote>
  <w:endnote w:type="continuationSeparator" w:id="0">
    <w:p w14:paraId="120B30E9" w14:textId="77777777" w:rsidR="007B4460" w:rsidRDefault="007B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HCI-Bellflower-Identity-H">
    <w:altName w:val="Yu Gothic"/>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854"/>
      <w:docPartObj>
        <w:docPartGallery w:val="Page Numbers (Bottom of Page)"/>
        <w:docPartUnique/>
      </w:docPartObj>
    </w:sdtPr>
    <w:sdtEndPr>
      <w:rPr>
        <w:noProof/>
      </w:rPr>
    </w:sdtEndPr>
    <w:sdtContent>
      <w:p w14:paraId="1330D671" w14:textId="77777777" w:rsidR="0013651B" w:rsidRDefault="007B44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9F6A6B" w14:textId="77777777" w:rsidR="0013651B" w:rsidRDefault="001365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340096"/>
      <w:docPartObj>
        <w:docPartGallery w:val="Page Numbers (Bottom of Page)"/>
        <w:docPartUnique/>
      </w:docPartObj>
    </w:sdtPr>
    <w:sdtEndPr>
      <w:rPr>
        <w:noProof/>
      </w:rPr>
    </w:sdtEndPr>
    <w:sdtContent>
      <w:p w14:paraId="6C977A9E" w14:textId="77777777" w:rsidR="0013651B" w:rsidRDefault="007B44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47F5A4" w14:textId="77777777" w:rsidR="0013651B" w:rsidRDefault="001365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658826"/>
      <w:docPartObj>
        <w:docPartGallery w:val="Page Numbers (Bottom of Page)"/>
        <w:docPartUnique/>
      </w:docPartObj>
    </w:sdtPr>
    <w:sdtEndPr>
      <w:rPr>
        <w:noProof/>
      </w:rPr>
    </w:sdtEndPr>
    <w:sdtContent>
      <w:p w14:paraId="0994EFAD" w14:textId="77777777" w:rsidR="0013651B" w:rsidRDefault="007B44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BB82D6" w14:textId="77777777" w:rsidR="0013651B" w:rsidRDefault="00136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2800F" w14:textId="77777777" w:rsidR="007B4460" w:rsidRDefault="007B4460">
      <w:r>
        <w:separator/>
      </w:r>
    </w:p>
  </w:footnote>
  <w:footnote w:type="continuationSeparator" w:id="0">
    <w:p w14:paraId="7C158F41" w14:textId="77777777" w:rsidR="007B4460" w:rsidRDefault="007B4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401B2" w14:textId="77777777" w:rsidR="0013651B" w:rsidRDefault="007B4460">
    <w:pPr>
      <w:pStyle w:val="Header"/>
    </w:pPr>
    <w:r>
      <w:rPr>
        <w:noProof/>
      </w:rPr>
      <mc:AlternateContent>
        <mc:Choice Requires="wps">
          <w:drawing>
            <wp:anchor distT="0" distB="0" distL="114300" distR="114300" simplePos="0" relativeHeight="251656192" behindDoc="0" locked="0" layoutInCell="0" allowOverlap="1" wp14:anchorId="7B67AB11" wp14:editId="531AB26C">
              <wp:simplePos x="0" y="0"/>
              <wp:positionH relativeFrom="page">
                <wp:align>left</wp:align>
              </wp:positionH>
              <wp:positionV relativeFrom="page">
                <wp:align>top</wp:align>
              </wp:positionV>
              <wp:extent cx="7772400" cy="442595"/>
              <wp:effectExtent l="0" t="0" r="0" b="14605"/>
              <wp:wrapNone/>
              <wp:docPr id="3" name="MSIPCMe9af40c7a60b8cc5c59fb83f" descr="{&quot;HashCode&quot;:1518919030,&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924C79" w14:textId="77777777" w:rsidR="0013651B" w:rsidRPr="00122428" w:rsidRDefault="0013651B" w:rsidP="00122428">
                          <w:pPr>
                            <w:rPr>
                              <w:rFonts w:ascii="Arial" w:hAnsi="Arial" w:cs="Arial"/>
                              <w:color w:val="737373"/>
                              <w:sz w:val="20"/>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67AB11" id="_x0000_t202" coordsize="21600,21600" o:spt="202" path="m,l,21600r21600,l21600,xe">
              <v:stroke joinstyle="miter"/>
              <v:path gradientshapeok="t" o:connecttype="rect"/>
            </v:shapetype>
            <v:shape id="MSIPCMe9af40c7a60b8cc5c59fb83f" o:spid="_x0000_s1075" type="#_x0000_t202" alt="{&quot;HashCode&quot;:1518919030,&quot;Height&quot;:9999999.0,&quot;Width&quot;:9999999.0,&quot;Placement&quot;:&quot;Header&quot;,&quot;Index&quot;:&quot;Primary&quot;,&quot;Section&quot;:1,&quot;Top&quot;:0.0,&quot;Left&quot;:0.0}" style="position:absolute;margin-left:0;margin-top:0;width:612pt;height:34.85pt;z-index:251656192;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" o:allowincell="f" filled="f" stroked="f" strokeweight=".5pt">
              <v:textbox inset="20pt,0,,0">
                <w:txbxContent>
                  <w:p w14:paraId="6E924C79" w14:textId="77777777" w:rsidR="0013651B" w:rsidRPr="00122428" w:rsidRDefault="0013651B" w:rsidP="00122428">
                    <w:pPr>
                      <w:rPr>
                        <w:rFonts w:ascii="Arial" w:hAnsi="Arial" w:cs="Arial"/>
                        <w:color w:val="737373"/>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29B70" w14:textId="77777777" w:rsidR="0013651B" w:rsidRDefault="007B4460">
    <w:pPr>
      <w:pStyle w:val="Header"/>
    </w:pPr>
    <w:r>
      <w:rPr>
        <w:noProof/>
      </w:rPr>
      <mc:AlternateContent>
        <mc:Choice Requires="wps">
          <w:drawing>
            <wp:anchor distT="0" distB="0" distL="114300" distR="114300" simplePos="0" relativeHeight="251658240" behindDoc="0" locked="0" layoutInCell="0" allowOverlap="1" wp14:anchorId="423BADD4" wp14:editId="06887AA1">
              <wp:simplePos x="0" y="0"/>
              <wp:positionH relativeFrom="page">
                <wp:align>left</wp:align>
              </wp:positionH>
              <wp:positionV relativeFrom="page">
                <wp:align>top</wp:align>
              </wp:positionV>
              <wp:extent cx="7772400" cy="442595"/>
              <wp:effectExtent l="0" t="0" r="0" b="14605"/>
              <wp:wrapNone/>
              <wp:docPr id="6" name="MSIPCM15ed423ea8cd72b341335966" descr="{&quot;HashCode&quot;:1518919030,&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7F52A1" w14:textId="77777777" w:rsidR="0013651B" w:rsidRPr="00122428" w:rsidRDefault="007B4460" w:rsidP="00122428">
                          <w:pPr>
                            <w:rPr>
                              <w:rFonts w:ascii="Arial" w:hAnsi="Arial" w:cs="Arial"/>
                              <w:color w:val="737373"/>
                              <w:sz w:val="20"/>
                            </w:rPr>
                          </w:pPr>
                          <w:r w:rsidRPr="00122428">
                            <w:rPr>
                              <w:rFonts w:ascii="Arial" w:hAnsi="Arial" w:cs="Arial"/>
                              <w:color w:val="737373"/>
                              <w:sz w:val="20"/>
                            </w:rPr>
                            <w:t>ADNOC Classification: Need-To-Know</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23BADD4" id="_x0000_t202" coordsize="21600,21600" o:spt="202" path="m,l,21600r21600,l21600,xe">
              <v:stroke joinstyle="miter"/>
              <v:path gradientshapeok="t" o:connecttype="rect"/>
            </v:shapetype>
            <v:shape id="MSIPCM15ed423ea8cd72b341335966" o:spid="_x0000_s1076" type="#_x0000_t202" alt="{&quot;HashCode&quot;:1518919030,&quot;Height&quot;:9999999.0,&quot;Width&quot;:9999999.0,&quot;Placement&quot;:&quot;Header&quot;,&quot;Index&quot;:&quot;FirstPage&quot;,&quot;Section&quot;:1,&quot;Top&quot;:0.0,&quot;Left&quot;:0.0}" style="position:absolute;margin-left:0;margin-top:0;width:612pt;height:34.85pt;z-index:251658240;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" o:allowincell="f" filled="f" stroked="f" strokeweight=".5pt">
              <v:textbox inset="20pt,0,,0">
                <w:txbxContent>
                  <w:p w14:paraId="197F52A1" w14:textId="77777777" w:rsidR="0013651B" w:rsidRPr="00122428" w:rsidRDefault="00000000" w:rsidP="00122428">
                    <w:pPr>
                      <w:rPr>
                        <w:rFonts w:ascii="Arial" w:hAnsi="Arial" w:cs="Arial"/>
                        <w:color w:val="737373"/>
                        <w:sz w:val="20"/>
                      </w:rPr>
                    </w:pPr>
                    <w:r w:rsidRPr="00122428">
                      <w:rPr>
                        <w:rFonts w:ascii="Arial" w:hAnsi="Arial" w:cs="Arial"/>
                        <w:color w:val="737373"/>
                        <w:sz w:val="20"/>
                      </w:rPr>
                      <w:t>ADNOC Classification: Need-To-Know</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23046601"/>
      <w:docPartObj>
        <w:docPartGallery w:val="Page Numbers (Top of Page)"/>
        <w:docPartUnique/>
      </w:docPartObj>
    </w:sdtPr>
    <w:sdtEndPr>
      <w:rPr>
        <w:rStyle w:val="PageNumber"/>
      </w:rPr>
    </w:sdtEndPr>
    <w:sdtContent>
      <w:p w14:paraId="2A596A4A" w14:textId="77777777" w:rsidR="0013651B" w:rsidRDefault="007B4460" w:rsidP="00C80A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4F7259" w14:textId="77777777" w:rsidR="0013651B" w:rsidRDefault="0013651B" w:rsidP="00BC5A1E">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F23AC" w14:textId="77777777" w:rsidR="0013651B" w:rsidRPr="00BC5A1E" w:rsidRDefault="007B4460" w:rsidP="00C80A14">
    <w:pPr>
      <w:pStyle w:val="Header"/>
      <w:framePr w:wrap="none" w:vAnchor="text" w:hAnchor="margin" w:xAlign="right" w:y="1"/>
      <w:rPr>
        <w:rStyle w:val="PageNumbe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7216" behindDoc="0" locked="0" layoutInCell="0" allowOverlap="1" wp14:anchorId="1B02FF69" wp14:editId="5D0D2E32">
              <wp:simplePos x="0" y="0"/>
              <wp:positionH relativeFrom="page">
                <wp:align>left</wp:align>
              </wp:positionH>
              <wp:positionV relativeFrom="page">
                <wp:align>top</wp:align>
              </wp:positionV>
              <wp:extent cx="7772400" cy="442595"/>
              <wp:effectExtent l="0" t="0" r="0" b="14605"/>
              <wp:wrapNone/>
              <wp:docPr id="8" name="MSIPCM563441afb5c9afe4282ea1b1" descr="{&quot;HashCode&quot;:1518919030,&quot;Height&quot;:9999999.0,&quot;Width&quot;:9999999.0,&quot;Placement&quot;:&quot;Header&quot;,&quot;Index&quot;:&quot;Primary&quot;,&quot;Section&quot;:16,&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D53972" w14:textId="77777777" w:rsidR="0013651B" w:rsidRPr="00122428" w:rsidRDefault="007B4460" w:rsidP="00122428">
                          <w:pPr>
                            <w:rPr>
                              <w:rFonts w:ascii="Arial" w:hAnsi="Arial" w:cs="Arial"/>
                              <w:color w:val="737373"/>
                              <w:sz w:val="20"/>
                            </w:rPr>
                          </w:pPr>
                          <w:r w:rsidRPr="00122428">
                            <w:rPr>
                              <w:rFonts w:ascii="Arial" w:hAnsi="Arial" w:cs="Arial"/>
                              <w:color w:val="737373"/>
                              <w:sz w:val="20"/>
                            </w:rPr>
                            <w:t>ADNOC Classification: Need-To-Know</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B02FF69" id="_x0000_t202" coordsize="21600,21600" o:spt="202" path="m,l,21600r21600,l21600,xe">
              <v:stroke joinstyle="miter"/>
              <v:path gradientshapeok="t" o:connecttype="rect"/>
            </v:shapetype>
            <v:shape id="MSIPCM563441afb5c9afe4282ea1b1" o:spid="_x0000_s1077" type="#_x0000_t202" alt="{&quot;HashCode&quot;:1518919030,&quot;Height&quot;:9999999.0,&quot;Width&quot;:9999999.0,&quot;Placement&quot;:&quot;Header&quot;,&quot;Index&quot;:&quot;Primary&quot;,&quot;Section&quot;:16,&quot;Top&quot;:0.0,&quot;Left&quot;:0.0}" style="position:absolute;margin-left:0;margin-top:0;width:612pt;height:34.85pt;z-index:251657216;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" o:allowincell="f" filled="f" stroked="f" strokeweight=".5pt">
              <v:textbox inset="20pt,0,,0">
                <w:txbxContent>
                  <w:p w14:paraId="3CD53972" w14:textId="77777777" w:rsidR="0013651B" w:rsidRPr="00122428" w:rsidRDefault="00000000" w:rsidP="00122428">
                    <w:pPr>
                      <w:rPr>
                        <w:rFonts w:ascii="Arial" w:hAnsi="Arial" w:cs="Arial"/>
                        <w:color w:val="737373"/>
                        <w:sz w:val="20"/>
                      </w:rPr>
                    </w:pPr>
                    <w:r w:rsidRPr="00122428">
                      <w:rPr>
                        <w:rFonts w:ascii="Arial" w:hAnsi="Arial" w:cs="Arial"/>
                        <w:color w:val="737373"/>
                        <w:sz w:val="20"/>
                      </w:rPr>
                      <w:t>ADNOC Classification: Need-To-Know</w:t>
                    </w:r>
                  </w:p>
                </w:txbxContent>
              </v:textbox>
              <w10:wrap anchorx="page" anchory="page"/>
            </v:shape>
          </w:pict>
        </mc:Fallback>
      </mc:AlternateContent>
    </w:r>
  </w:p>
  <w:p w14:paraId="62587033" w14:textId="77777777" w:rsidR="0013651B" w:rsidRPr="00BC5A1E" w:rsidRDefault="0013651B" w:rsidP="00BC5A1E">
    <w:pPr>
      <w:pStyle w:val="Header"/>
      <w:ind w:right="360"/>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7B7BF" w14:textId="77777777" w:rsidR="0013651B" w:rsidRPr="00BC5A1E" w:rsidRDefault="007B4460" w:rsidP="00C80A14">
    <w:pPr>
      <w:pStyle w:val="Header"/>
      <w:framePr w:wrap="none" w:vAnchor="text" w:hAnchor="margin" w:xAlign="right" w:y="1"/>
      <w:rPr>
        <w:rStyle w:val="PageNumbe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0" allowOverlap="1" wp14:anchorId="5DB20B57" wp14:editId="126A0298">
              <wp:simplePos x="0" y="0"/>
              <wp:positionH relativeFrom="page">
                <wp:align>left</wp:align>
              </wp:positionH>
              <wp:positionV relativeFrom="page">
                <wp:align>top</wp:align>
              </wp:positionV>
              <wp:extent cx="7772400" cy="442595"/>
              <wp:effectExtent l="0" t="0" r="0" b="14605"/>
              <wp:wrapNone/>
              <wp:docPr id="10" name="MSIPCMace94c4e84fecde1af51471c" descr="{&quot;HashCode&quot;:1518919030,&quot;Height&quot;:9999999.0,&quot;Width&quot;:9999999.0,&quot;Placement&quot;:&quot;Header&quot;,&quot;Index&quot;:&quot;FirstPage&quot;,&quot;Section&quot;:16,&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034262" w14:textId="77777777" w:rsidR="0013651B" w:rsidRPr="00122428" w:rsidRDefault="007B4460" w:rsidP="00122428">
                          <w:pPr>
                            <w:rPr>
                              <w:rFonts w:ascii="Arial" w:hAnsi="Arial" w:cs="Arial"/>
                              <w:color w:val="737373"/>
                              <w:sz w:val="20"/>
                            </w:rPr>
                          </w:pPr>
                          <w:r w:rsidRPr="00122428">
                            <w:rPr>
                              <w:rFonts w:ascii="Arial" w:hAnsi="Arial" w:cs="Arial"/>
                              <w:color w:val="737373"/>
                              <w:sz w:val="20"/>
                            </w:rPr>
                            <w:t>ADNOC Classification: Need-To-Know</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0B57" id="_x0000_t202" coordsize="21600,21600" o:spt="202" path="m,l,21600r21600,l21600,xe">
              <v:stroke joinstyle="miter"/>
              <v:path gradientshapeok="t" o:connecttype="rect"/>
            </v:shapetype>
            <v:shape id="MSIPCMace94c4e84fecde1af51471c" o:spid="_x0000_s1078" type="#_x0000_t202" alt="{&quot;HashCode&quot;:1518919030,&quot;Height&quot;:9999999.0,&quot;Width&quot;:9999999.0,&quot;Placement&quot;:&quot;Header&quot;,&quot;Index&quot;:&quot;FirstPage&quot;,&quot;Section&quot;:16,&quot;Top&quot;:0.0,&quot;Left&quot;:0.0}" style="position:absolute;margin-left:0;margin-top:0;width:612pt;height:34.85pt;z-index:251659264;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" o:allowincell="f" filled="f" stroked="f" strokeweight=".5pt">
              <v:textbox inset="20pt,0,,0">
                <w:txbxContent>
                  <w:p w14:paraId="1C034262" w14:textId="77777777" w:rsidR="0013651B" w:rsidRPr="00122428" w:rsidRDefault="00000000" w:rsidP="00122428">
                    <w:pPr>
                      <w:rPr>
                        <w:rFonts w:ascii="Arial" w:hAnsi="Arial" w:cs="Arial"/>
                        <w:color w:val="737373"/>
                        <w:sz w:val="20"/>
                      </w:rPr>
                    </w:pPr>
                    <w:r w:rsidRPr="00122428">
                      <w:rPr>
                        <w:rFonts w:ascii="Arial" w:hAnsi="Arial" w:cs="Arial"/>
                        <w:color w:val="737373"/>
                        <w:sz w:val="20"/>
                      </w:rPr>
                      <w:t>ADNOC Classification: Need-To-Know</w:t>
                    </w:r>
                  </w:p>
                </w:txbxContent>
              </v:textbox>
              <w10:wrap anchorx="page" anchory="page"/>
            </v:shape>
          </w:pict>
        </mc:Fallback>
      </mc:AlternateContent>
    </w:r>
  </w:p>
  <w:p w14:paraId="6A80CB9D" w14:textId="77777777" w:rsidR="0013651B" w:rsidRDefault="001365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8CC"/>
    <w:multiLevelType w:val="hybridMultilevel"/>
    <w:tmpl w:val="5DD07502"/>
    <w:lvl w:ilvl="0" w:tplc="80F4B10A">
      <w:start w:val="1"/>
      <w:numFmt w:val="bullet"/>
      <w:lvlText w:val=""/>
      <w:lvlJc w:val="left"/>
      <w:pPr>
        <w:ind w:left="720" w:hanging="360"/>
      </w:pPr>
      <w:rPr>
        <w:rFonts w:ascii="Symbol" w:hAnsi="Symbol" w:hint="default"/>
      </w:rPr>
    </w:lvl>
    <w:lvl w:ilvl="1" w:tplc="63F4F042" w:tentative="1">
      <w:start w:val="1"/>
      <w:numFmt w:val="bullet"/>
      <w:lvlText w:val="o"/>
      <w:lvlJc w:val="left"/>
      <w:pPr>
        <w:ind w:left="1440" w:hanging="360"/>
      </w:pPr>
      <w:rPr>
        <w:rFonts w:ascii="Courier New" w:hAnsi="Courier New" w:cs="Courier New" w:hint="default"/>
      </w:rPr>
    </w:lvl>
    <w:lvl w:ilvl="2" w:tplc="B89858F6" w:tentative="1">
      <w:start w:val="1"/>
      <w:numFmt w:val="bullet"/>
      <w:lvlText w:val=""/>
      <w:lvlJc w:val="left"/>
      <w:pPr>
        <w:ind w:left="2160" w:hanging="360"/>
      </w:pPr>
      <w:rPr>
        <w:rFonts w:ascii="Wingdings" w:hAnsi="Wingdings" w:hint="default"/>
      </w:rPr>
    </w:lvl>
    <w:lvl w:ilvl="3" w:tplc="42DC68E6" w:tentative="1">
      <w:start w:val="1"/>
      <w:numFmt w:val="bullet"/>
      <w:lvlText w:val=""/>
      <w:lvlJc w:val="left"/>
      <w:pPr>
        <w:ind w:left="2880" w:hanging="360"/>
      </w:pPr>
      <w:rPr>
        <w:rFonts w:ascii="Symbol" w:hAnsi="Symbol" w:hint="default"/>
      </w:rPr>
    </w:lvl>
    <w:lvl w:ilvl="4" w:tplc="C0309C3A" w:tentative="1">
      <w:start w:val="1"/>
      <w:numFmt w:val="bullet"/>
      <w:lvlText w:val="o"/>
      <w:lvlJc w:val="left"/>
      <w:pPr>
        <w:ind w:left="3600" w:hanging="360"/>
      </w:pPr>
      <w:rPr>
        <w:rFonts w:ascii="Courier New" w:hAnsi="Courier New" w:cs="Courier New" w:hint="default"/>
      </w:rPr>
    </w:lvl>
    <w:lvl w:ilvl="5" w:tplc="D5B8A880" w:tentative="1">
      <w:start w:val="1"/>
      <w:numFmt w:val="bullet"/>
      <w:lvlText w:val=""/>
      <w:lvlJc w:val="left"/>
      <w:pPr>
        <w:ind w:left="4320" w:hanging="360"/>
      </w:pPr>
      <w:rPr>
        <w:rFonts w:ascii="Wingdings" w:hAnsi="Wingdings" w:hint="default"/>
      </w:rPr>
    </w:lvl>
    <w:lvl w:ilvl="6" w:tplc="D52477F2" w:tentative="1">
      <w:start w:val="1"/>
      <w:numFmt w:val="bullet"/>
      <w:lvlText w:val=""/>
      <w:lvlJc w:val="left"/>
      <w:pPr>
        <w:ind w:left="5040" w:hanging="360"/>
      </w:pPr>
      <w:rPr>
        <w:rFonts w:ascii="Symbol" w:hAnsi="Symbol" w:hint="default"/>
      </w:rPr>
    </w:lvl>
    <w:lvl w:ilvl="7" w:tplc="DE1442A6" w:tentative="1">
      <w:start w:val="1"/>
      <w:numFmt w:val="bullet"/>
      <w:lvlText w:val="o"/>
      <w:lvlJc w:val="left"/>
      <w:pPr>
        <w:ind w:left="5760" w:hanging="360"/>
      </w:pPr>
      <w:rPr>
        <w:rFonts w:ascii="Courier New" w:hAnsi="Courier New" w:cs="Courier New" w:hint="default"/>
      </w:rPr>
    </w:lvl>
    <w:lvl w:ilvl="8" w:tplc="338CF480" w:tentative="1">
      <w:start w:val="1"/>
      <w:numFmt w:val="bullet"/>
      <w:lvlText w:val=""/>
      <w:lvlJc w:val="left"/>
      <w:pPr>
        <w:ind w:left="6480" w:hanging="360"/>
      </w:pPr>
      <w:rPr>
        <w:rFonts w:ascii="Wingdings" w:hAnsi="Wingdings" w:hint="default"/>
      </w:rPr>
    </w:lvl>
  </w:abstractNum>
  <w:abstractNum w:abstractNumId="1" w15:restartNumberingAfterBreak="0">
    <w:nsid w:val="111D3762"/>
    <w:multiLevelType w:val="multilevel"/>
    <w:tmpl w:val="09401D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CC7E11"/>
    <w:multiLevelType w:val="hybridMultilevel"/>
    <w:tmpl w:val="8D2E9E1C"/>
    <w:lvl w:ilvl="0" w:tplc="3ACC2F4A">
      <w:start w:val="1"/>
      <w:numFmt w:val="bullet"/>
      <w:lvlText w:val=""/>
      <w:lvlJc w:val="left"/>
      <w:pPr>
        <w:ind w:left="720" w:hanging="360"/>
      </w:pPr>
      <w:rPr>
        <w:rFonts w:ascii="Symbol" w:hAnsi="Symbol" w:hint="default"/>
      </w:rPr>
    </w:lvl>
    <w:lvl w:ilvl="1" w:tplc="A7DC1E9A" w:tentative="1">
      <w:start w:val="1"/>
      <w:numFmt w:val="bullet"/>
      <w:lvlText w:val="o"/>
      <w:lvlJc w:val="left"/>
      <w:pPr>
        <w:ind w:left="1440" w:hanging="360"/>
      </w:pPr>
      <w:rPr>
        <w:rFonts w:ascii="Courier New" w:hAnsi="Courier New" w:cs="Courier New" w:hint="default"/>
      </w:rPr>
    </w:lvl>
    <w:lvl w:ilvl="2" w:tplc="579C6BF6" w:tentative="1">
      <w:start w:val="1"/>
      <w:numFmt w:val="bullet"/>
      <w:lvlText w:val=""/>
      <w:lvlJc w:val="left"/>
      <w:pPr>
        <w:ind w:left="2160" w:hanging="360"/>
      </w:pPr>
      <w:rPr>
        <w:rFonts w:ascii="Wingdings" w:hAnsi="Wingdings" w:hint="default"/>
      </w:rPr>
    </w:lvl>
    <w:lvl w:ilvl="3" w:tplc="517C72A0" w:tentative="1">
      <w:start w:val="1"/>
      <w:numFmt w:val="bullet"/>
      <w:lvlText w:val=""/>
      <w:lvlJc w:val="left"/>
      <w:pPr>
        <w:ind w:left="2880" w:hanging="360"/>
      </w:pPr>
      <w:rPr>
        <w:rFonts w:ascii="Symbol" w:hAnsi="Symbol" w:hint="default"/>
      </w:rPr>
    </w:lvl>
    <w:lvl w:ilvl="4" w:tplc="DCC297A2" w:tentative="1">
      <w:start w:val="1"/>
      <w:numFmt w:val="bullet"/>
      <w:lvlText w:val="o"/>
      <w:lvlJc w:val="left"/>
      <w:pPr>
        <w:ind w:left="3600" w:hanging="360"/>
      </w:pPr>
      <w:rPr>
        <w:rFonts w:ascii="Courier New" w:hAnsi="Courier New" w:cs="Courier New" w:hint="default"/>
      </w:rPr>
    </w:lvl>
    <w:lvl w:ilvl="5" w:tplc="8C60EB0E" w:tentative="1">
      <w:start w:val="1"/>
      <w:numFmt w:val="bullet"/>
      <w:lvlText w:val=""/>
      <w:lvlJc w:val="left"/>
      <w:pPr>
        <w:ind w:left="4320" w:hanging="360"/>
      </w:pPr>
      <w:rPr>
        <w:rFonts w:ascii="Wingdings" w:hAnsi="Wingdings" w:hint="default"/>
      </w:rPr>
    </w:lvl>
    <w:lvl w:ilvl="6" w:tplc="FD0C4CF0" w:tentative="1">
      <w:start w:val="1"/>
      <w:numFmt w:val="bullet"/>
      <w:lvlText w:val=""/>
      <w:lvlJc w:val="left"/>
      <w:pPr>
        <w:ind w:left="5040" w:hanging="360"/>
      </w:pPr>
      <w:rPr>
        <w:rFonts w:ascii="Symbol" w:hAnsi="Symbol" w:hint="default"/>
      </w:rPr>
    </w:lvl>
    <w:lvl w:ilvl="7" w:tplc="ED9E6068" w:tentative="1">
      <w:start w:val="1"/>
      <w:numFmt w:val="bullet"/>
      <w:lvlText w:val="o"/>
      <w:lvlJc w:val="left"/>
      <w:pPr>
        <w:ind w:left="5760" w:hanging="360"/>
      </w:pPr>
      <w:rPr>
        <w:rFonts w:ascii="Courier New" w:hAnsi="Courier New" w:cs="Courier New" w:hint="default"/>
      </w:rPr>
    </w:lvl>
    <w:lvl w:ilvl="8" w:tplc="E46EE12A" w:tentative="1">
      <w:start w:val="1"/>
      <w:numFmt w:val="bullet"/>
      <w:lvlText w:val=""/>
      <w:lvlJc w:val="left"/>
      <w:pPr>
        <w:ind w:left="6480" w:hanging="360"/>
      </w:pPr>
      <w:rPr>
        <w:rFonts w:ascii="Wingdings" w:hAnsi="Wingdings" w:hint="default"/>
      </w:rPr>
    </w:lvl>
  </w:abstractNum>
  <w:abstractNum w:abstractNumId="3" w15:restartNumberingAfterBreak="0">
    <w:nsid w:val="1A4B5B8C"/>
    <w:multiLevelType w:val="hybridMultilevel"/>
    <w:tmpl w:val="CB04FEA4"/>
    <w:lvl w:ilvl="0" w:tplc="BF909E0A">
      <w:start w:val="1"/>
      <w:numFmt w:val="decimal"/>
      <w:lvlText w:val="%1."/>
      <w:lvlJc w:val="left"/>
      <w:pPr>
        <w:ind w:left="720" w:hanging="360"/>
      </w:pPr>
      <w:rPr>
        <w:rFonts w:hint="default"/>
      </w:rPr>
    </w:lvl>
    <w:lvl w:ilvl="1" w:tplc="6FC41082" w:tentative="1">
      <w:start w:val="1"/>
      <w:numFmt w:val="lowerLetter"/>
      <w:lvlText w:val="%2."/>
      <w:lvlJc w:val="left"/>
      <w:pPr>
        <w:ind w:left="1440" w:hanging="360"/>
      </w:pPr>
    </w:lvl>
    <w:lvl w:ilvl="2" w:tplc="96A47A6C" w:tentative="1">
      <w:start w:val="1"/>
      <w:numFmt w:val="lowerRoman"/>
      <w:lvlText w:val="%3."/>
      <w:lvlJc w:val="right"/>
      <w:pPr>
        <w:ind w:left="2160" w:hanging="180"/>
      </w:pPr>
    </w:lvl>
    <w:lvl w:ilvl="3" w:tplc="0A4687F8" w:tentative="1">
      <w:start w:val="1"/>
      <w:numFmt w:val="decimal"/>
      <w:lvlText w:val="%4."/>
      <w:lvlJc w:val="left"/>
      <w:pPr>
        <w:ind w:left="2880" w:hanging="360"/>
      </w:pPr>
    </w:lvl>
    <w:lvl w:ilvl="4" w:tplc="C63EE4AC" w:tentative="1">
      <w:start w:val="1"/>
      <w:numFmt w:val="lowerLetter"/>
      <w:lvlText w:val="%5."/>
      <w:lvlJc w:val="left"/>
      <w:pPr>
        <w:ind w:left="3600" w:hanging="360"/>
      </w:pPr>
    </w:lvl>
    <w:lvl w:ilvl="5" w:tplc="5D329CC2" w:tentative="1">
      <w:start w:val="1"/>
      <w:numFmt w:val="lowerRoman"/>
      <w:lvlText w:val="%6."/>
      <w:lvlJc w:val="right"/>
      <w:pPr>
        <w:ind w:left="4320" w:hanging="180"/>
      </w:pPr>
    </w:lvl>
    <w:lvl w:ilvl="6" w:tplc="3328CC5A" w:tentative="1">
      <w:start w:val="1"/>
      <w:numFmt w:val="decimal"/>
      <w:lvlText w:val="%7."/>
      <w:lvlJc w:val="left"/>
      <w:pPr>
        <w:ind w:left="5040" w:hanging="360"/>
      </w:pPr>
    </w:lvl>
    <w:lvl w:ilvl="7" w:tplc="263296BA" w:tentative="1">
      <w:start w:val="1"/>
      <w:numFmt w:val="lowerLetter"/>
      <w:lvlText w:val="%8."/>
      <w:lvlJc w:val="left"/>
      <w:pPr>
        <w:ind w:left="5760" w:hanging="360"/>
      </w:pPr>
    </w:lvl>
    <w:lvl w:ilvl="8" w:tplc="F8C4436E" w:tentative="1">
      <w:start w:val="1"/>
      <w:numFmt w:val="lowerRoman"/>
      <w:lvlText w:val="%9."/>
      <w:lvlJc w:val="right"/>
      <w:pPr>
        <w:ind w:left="6480" w:hanging="180"/>
      </w:pPr>
    </w:lvl>
  </w:abstractNum>
  <w:abstractNum w:abstractNumId="4" w15:restartNumberingAfterBreak="0">
    <w:nsid w:val="1AE3329B"/>
    <w:multiLevelType w:val="hybridMultilevel"/>
    <w:tmpl w:val="337226AE"/>
    <w:lvl w:ilvl="0" w:tplc="FF4E1D6C">
      <w:start w:val="1"/>
      <w:numFmt w:val="bullet"/>
      <w:lvlText w:val=""/>
      <w:lvlJc w:val="left"/>
      <w:pPr>
        <w:ind w:left="720" w:hanging="360"/>
      </w:pPr>
      <w:rPr>
        <w:rFonts w:ascii="Symbol" w:hAnsi="Symbol" w:hint="default"/>
      </w:rPr>
    </w:lvl>
    <w:lvl w:ilvl="1" w:tplc="333A9EDE" w:tentative="1">
      <w:start w:val="1"/>
      <w:numFmt w:val="bullet"/>
      <w:lvlText w:val="o"/>
      <w:lvlJc w:val="left"/>
      <w:pPr>
        <w:ind w:left="1440" w:hanging="360"/>
      </w:pPr>
      <w:rPr>
        <w:rFonts w:ascii="Courier New" w:hAnsi="Courier New" w:cs="Courier New" w:hint="default"/>
      </w:rPr>
    </w:lvl>
    <w:lvl w:ilvl="2" w:tplc="3C18C554" w:tentative="1">
      <w:start w:val="1"/>
      <w:numFmt w:val="bullet"/>
      <w:lvlText w:val=""/>
      <w:lvlJc w:val="left"/>
      <w:pPr>
        <w:ind w:left="2160" w:hanging="360"/>
      </w:pPr>
      <w:rPr>
        <w:rFonts w:ascii="Wingdings" w:hAnsi="Wingdings" w:hint="default"/>
      </w:rPr>
    </w:lvl>
    <w:lvl w:ilvl="3" w:tplc="D60071DA" w:tentative="1">
      <w:start w:val="1"/>
      <w:numFmt w:val="bullet"/>
      <w:lvlText w:val=""/>
      <w:lvlJc w:val="left"/>
      <w:pPr>
        <w:ind w:left="2880" w:hanging="360"/>
      </w:pPr>
      <w:rPr>
        <w:rFonts w:ascii="Symbol" w:hAnsi="Symbol" w:hint="default"/>
      </w:rPr>
    </w:lvl>
    <w:lvl w:ilvl="4" w:tplc="350A456E" w:tentative="1">
      <w:start w:val="1"/>
      <w:numFmt w:val="bullet"/>
      <w:lvlText w:val="o"/>
      <w:lvlJc w:val="left"/>
      <w:pPr>
        <w:ind w:left="3600" w:hanging="360"/>
      </w:pPr>
      <w:rPr>
        <w:rFonts w:ascii="Courier New" w:hAnsi="Courier New" w:cs="Courier New" w:hint="default"/>
      </w:rPr>
    </w:lvl>
    <w:lvl w:ilvl="5" w:tplc="F9224F20" w:tentative="1">
      <w:start w:val="1"/>
      <w:numFmt w:val="bullet"/>
      <w:lvlText w:val=""/>
      <w:lvlJc w:val="left"/>
      <w:pPr>
        <w:ind w:left="4320" w:hanging="360"/>
      </w:pPr>
      <w:rPr>
        <w:rFonts w:ascii="Wingdings" w:hAnsi="Wingdings" w:hint="default"/>
      </w:rPr>
    </w:lvl>
    <w:lvl w:ilvl="6" w:tplc="D0201A10" w:tentative="1">
      <w:start w:val="1"/>
      <w:numFmt w:val="bullet"/>
      <w:lvlText w:val=""/>
      <w:lvlJc w:val="left"/>
      <w:pPr>
        <w:ind w:left="5040" w:hanging="360"/>
      </w:pPr>
      <w:rPr>
        <w:rFonts w:ascii="Symbol" w:hAnsi="Symbol" w:hint="default"/>
      </w:rPr>
    </w:lvl>
    <w:lvl w:ilvl="7" w:tplc="45F0820C" w:tentative="1">
      <w:start w:val="1"/>
      <w:numFmt w:val="bullet"/>
      <w:lvlText w:val="o"/>
      <w:lvlJc w:val="left"/>
      <w:pPr>
        <w:ind w:left="5760" w:hanging="360"/>
      </w:pPr>
      <w:rPr>
        <w:rFonts w:ascii="Courier New" w:hAnsi="Courier New" w:cs="Courier New" w:hint="default"/>
      </w:rPr>
    </w:lvl>
    <w:lvl w:ilvl="8" w:tplc="8758BD78" w:tentative="1">
      <w:start w:val="1"/>
      <w:numFmt w:val="bullet"/>
      <w:lvlText w:val=""/>
      <w:lvlJc w:val="left"/>
      <w:pPr>
        <w:ind w:left="6480" w:hanging="360"/>
      </w:pPr>
      <w:rPr>
        <w:rFonts w:ascii="Wingdings" w:hAnsi="Wingdings" w:hint="default"/>
      </w:rPr>
    </w:lvl>
  </w:abstractNum>
  <w:abstractNum w:abstractNumId="5" w15:restartNumberingAfterBreak="0">
    <w:nsid w:val="1D2A1894"/>
    <w:multiLevelType w:val="hybridMultilevel"/>
    <w:tmpl w:val="1D3AA7E8"/>
    <w:lvl w:ilvl="0" w:tplc="5B60C3D2">
      <w:start w:val="1"/>
      <w:numFmt w:val="bullet"/>
      <w:lvlText w:val=""/>
      <w:lvlJc w:val="left"/>
      <w:pPr>
        <w:ind w:left="720" w:hanging="360"/>
      </w:pPr>
      <w:rPr>
        <w:rFonts w:ascii="Symbol" w:hAnsi="Symbol" w:hint="default"/>
      </w:rPr>
    </w:lvl>
    <w:lvl w:ilvl="1" w:tplc="F7B0AE94" w:tentative="1">
      <w:start w:val="1"/>
      <w:numFmt w:val="bullet"/>
      <w:lvlText w:val="o"/>
      <w:lvlJc w:val="left"/>
      <w:pPr>
        <w:ind w:left="1440" w:hanging="360"/>
      </w:pPr>
      <w:rPr>
        <w:rFonts w:ascii="Courier New" w:hAnsi="Courier New" w:cs="Courier New" w:hint="default"/>
      </w:rPr>
    </w:lvl>
    <w:lvl w:ilvl="2" w:tplc="E286B25E" w:tentative="1">
      <w:start w:val="1"/>
      <w:numFmt w:val="bullet"/>
      <w:lvlText w:val=""/>
      <w:lvlJc w:val="left"/>
      <w:pPr>
        <w:ind w:left="2160" w:hanging="360"/>
      </w:pPr>
      <w:rPr>
        <w:rFonts w:ascii="Wingdings" w:hAnsi="Wingdings" w:hint="default"/>
      </w:rPr>
    </w:lvl>
    <w:lvl w:ilvl="3" w:tplc="71D6A916" w:tentative="1">
      <w:start w:val="1"/>
      <w:numFmt w:val="bullet"/>
      <w:lvlText w:val=""/>
      <w:lvlJc w:val="left"/>
      <w:pPr>
        <w:ind w:left="2880" w:hanging="360"/>
      </w:pPr>
      <w:rPr>
        <w:rFonts w:ascii="Symbol" w:hAnsi="Symbol" w:hint="default"/>
      </w:rPr>
    </w:lvl>
    <w:lvl w:ilvl="4" w:tplc="562AEBFC" w:tentative="1">
      <w:start w:val="1"/>
      <w:numFmt w:val="bullet"/>
      <w:lvlText w:val="o"/>
      <w:lvlJc w:val="left"/>
      <w:pPr>
        <w:ind w:left="3600" w:hanging="360"/>
      </w:pPr>
      <w:rPr>
        <w:rFonts w:ascii="Courier New" w:hAnsi="Courier New" w:cs="Courier New" w:hint="default"/>
      </w:rPr>
    </w:lvl>
    <w:lvl w:ilvl="5" w:tplc="AF9A482E" w:tentative="1">
      <w:start w:val="1"/>
      <w:numFmt w:val="bullet"/>
      <w:lvlText w:val=""/>
      <w:lvlJc w:val="left"/>
      <w:pPr>
        <w:ind w:left="4320" w:hanging="360"/>
      </w:pPr>
      <w:rPr>
        <w:rFonts w:ascii="Wingdings" w:hAnsi="Wingdings" w:hint="default"/>
      </w:rPr>
    </w:lvl>
    <w:lvl w:ilvl="6" w:tplc="72C6A8DC" w:tentative="1">
      <w:start w:val="1"/>
      <w:numFmt w:val="bullet"/>
      <w:lvlText w:val=""/>
      <w:lvlJc w:val="left"/>
      <w:pPr>
        <w:ind w:left="5040" w:hanging="360"/>
      </w:pPr>
      <w:rPr>
        <w:rFonts w:ascii="Symbol" w:hAnsi="Symbol" w:hint="default"/>
      </w:rPr>
    </w:lvl>
    <w:lvl w:ilvl="7" w:tplc="AA32ADBC" w:tentative="1">
      <w:start w:val="1"/>
      <w:numFmt w:val="bullet"/>
      <w:lvlText w:val="o"/>
      <w:lvlJc w:val="left"/>
      <w:pPr>
        <w:ind w:left="5760" w:hanging="360"/>
      </w:pPr>
      <w:rPr>
        <w:rFonts w:ascii="Courier New" w:hAnsi="Courier New" w:cs="Courier New" w:hint="default"/>
      </w:rPr>
    </w:lvl>
    <w:lvl w:ilvl="8" w:tplc="A9D61178" w:tentative="1">
      <w:start w:val="1"/>
      <w:numFmt w:val="bullet"/>
      <w:lvlText w:val=""/>
      <w:lvlJc w:val="left"/>
      <w:pPr>
        <w:ind w:left="6480" w:hanging="360"/>
      </w:pPr>
      <w:rPr>
        <w:rFonts w:ascii="Wingdings" w:hAnsi="Wingdings" w:hint="default"/>
      </w:rPr>
    </w:lvl>
  </w:abstractNum>
  <w:abstractNum w:abstractNumId="6" w15:restartNumberingAfterBreak="0">
    <w:nsid w:val="1F830EF5"/>
    <w:multiLevelType w:val="multilevel"/>
    <w:tmpl w:val="15500508"/>
    <w:lvl w:ilvl="0">
      <w:start w:val="1"/>
      <w:numFmt w:val="decimal"/>
      <w:suff w:val="space"/>
      <w:lvlText w:val="Chapter %1"/>
      <w:lvlJc w:val="left"/>
      <w:pPr>
        <w:ind w:left="0" w:firstLine="0"/>
      </w:pPr>
      <w:rPr>
        <w:rFonts w:ascii="Times New Roman" w:hAnsi="Times New Roman" w:cs="Times New Roman" w:hint="default"/>
        <w:b/>
        <w:i w:val="0"/>
        <w:caps/>
        <w:strike w:val="0"/>
        <w:dstrike w:val="0"/>
        <w:vanish w:val="0"/>
        <w:webHidden w:val="0"/>
        <w:sz w:val="28"/>
        <w:u w:val="none"/>
        <w:effect w:val="none"/>
        <w:vertAlign w:val="baseline"/>
        <w:specVanish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73302D4"/>
    <w:multiLevelType w:val="hybridMultilevel"/>
    <w:tmpl w:val="68D4EF1C"/>
    <w:lvl w:ilvl="0" w:tplc="29E4918A">
      <w:start w:val="1"/>
      <w:numFmt w:val="bullet"/>
      <w:lvlText w:val=""/>
      <w:lvlJc w:val="left"/>
      <w:pPr>
        <w:ind w:left="720" w:hanging="360"/>
      </w:pPr>
      <w:rPr>
        <w:rFonts w:ascii="Symbol" w:hAnsi="Symbol" w:hint="default"/>
      </w:rPr>
    </w:lvl>
    <w:lvl w:ilvl="1" w:tplc="DAF6B09C" w:tentative="1">
      <w:start w:val="1"/>
      <w:numFmt w:val="bullet"/>
      <w:lvlText w:val="o"/>
      <w:lvlJc w:val="left"/>
      <w:pPr>
        <w:ind w:left="1440" w:hanging="360"/>
      </w:pPr>
      <w:rPr>
        <w:rFonts w:ascii="Courier New" w:hAnsi="Courier New" w:cs="Courier New" w:hint="default"/>
      </w:rPr>
    </w:lvl>
    <w:lvl w:ilvl="2" w:tplc="BF246B1E" w:tentative="1">
      <w:start w:val="1"/>
      <w:numFmt w:val="bullet"/>
      <w:lvlText w:val=""/>
      <w:lvlJc w:val="left"/>
      <w:pPr>
        <w:ind w:left="2160" w:hanging="360"/>
      </w:pPr>
      <w:rPr>
        <w:rFonts w:ascii="Wingdings" w:hAnsi="Wingdings" w:hint="default"/>
      </w:rPr>
    </w:lvl>
    <w:lvl w:ilvl="3" w:tplc="C27CB194" w:tentative="1">
      <w:start w:val="1"/>
      <w:numFmt w:val="bullet"/>
      <w:lvlText w:val=""/>
      <w:lvlJc w:val="left"/>
      <w:pPr>
        <w:ind w:left="2880" w:hanging="360"/>
      </w:pPr>
      <w:rPr>
        <w:rFonts w:ascii="Symbol" w:hAnsi="Symbol" w:hint="default"/>
      </w:rPr>
    </w:lvl>
    <w:lvl w:ilvl="4" w:tplc="EA845498" w:tentative="1">
      <w:start w:val="1"/>
      <w:numFmt w:val="bullet"/>
      <w:lvlText w:val="o"/>
      <w:lvlJc w:val="left"/>
      <w:pPr>
        <w:ind w:left="3600" w:hanging="360"/>
      </w:pPr>
      <w:rPr>
        <w:rFonts w:ascii="Courier New" w:hAnsi="Courier New" w:cs="Courier New" w:hint="default"/>
      </w:rPr>
    </w:lvl>
    <w:lvl w:ilvl="5" w:tplc="AEB4C334" w:tentative="1">
      <w:start w:val="1"/>
      <w:numFmt w:val="bullet"/>
      <w:lvlText w:val=""/>
      <w:lvlJc w:val="left"/>
      <w:pPr>
        <w:ind w:left="4320" w:hanging="360"/>
      </w:pPr>
      <w:rPr>
        <w:rFonts w:ascii="Wingdings" w:hAnsi="Wingdings" w:hint="default"/>
      </w:rPr>
    </w:lvl>
    <w:lvl w:ilvl="6" w:tplc="20B66BDC" w:tentative="1">
      <w:start w:val="1"/>
      <w:numFmt w:val="bullet"/>
      <w:lvlText w:val=""/>
      <w:lvlJc w:val="left"/>
      <w:pPr>
        <w:ind w:left="5040" w:hanging="360"/>
      </w:pPr>
      <w:rPr>
        <w:rFonts w:ascii="Symbol" w:hAnsi="Symbol" w:hint="default"/>
      </w:rPr>
    </w:lvl>
    <w:lvl w:ilvl="7" w:tplc="47167DD6" w:tentative="1">
      <w:start w:val="1"/>
      <w:numFmt w:val="bullet"/>
      <w:lvlText w:val="o"/>
      <w:lvlJc w:val="left"/>
      <w:pPr>
        <w:ind w:left="5760" w:hanging="360"/>
      </w:pPr>
      <w:rPr>
        <w:rFonts w:ascii="Courier New" w:hAnsi="Courier New" w:cs="Courier New" w:hint="default"/>
      </w:rPr>
    </w:lvl>
    <w:lvl w:ilvl="8" w:tplc="0A88851A" w:tentative="1">
      <w:start w:val="1"/>
      <w:numFmt w:val="bullet"/>
      <w:lvlText w:val=""/>
      <w:lvlJc w:val="left"/>
      <w:pPr>
        <w:ind w:left="6480" w:hanging="360"/>
      </w:pPr>
      <w:rPr>
        <w:rFonts w:ascii="Wingdings" w:hAnsi="Wingdings" w:hint="default"/>
      </w:rPr>
    </w:lvl>
  </w:abstractNum>
  <w:abstractNum w:abstractNumId="8" w15:restartNumberingAfterBreak="0">
    <w:nsid w:val="28580120"/>
    <w:multiLevelType w:val="hybridMultilevel"/>
    <w:tmpl w:val="9DA8E40E"/>
    <w:lvl w:ilvl="0" w:tplc="37F669FA">
      <w:start w:val="1"/>
      <w:numFmt w:val="bullet"/>
      <w:lvlText w:val=""/>
      <w:lvlJc w:val="left"/>
      <w:pPr>
        <w:ind w:left="720" w:hanging="360"/>
      </w:pPr>
      <w:rPr>
        <w:rFonts w:ascii="Symbol" w:hAnsi="Symbol" w:hint="default"/>
      </w:rPr>
    </w:lvl>
    <w:lvl w:ilvl="1" w:tplc="0876F75E">
      <w:start w:val="1"/>
      <w:numFmt w:val="bullet"/>
      <w:lvlText w:val="o"/>
      <w:lvlJc w:val="left"/>
      <w:pPr>
        <w:ind w:left="1440" w:hanging="360"/>
      </w:pPr>
      <w:rPr>
        <w:rFonts w:ascii="Courier New" w:hAnsi="Courier New" w:cs="Courier New" w:hint="default"/>
      </w:rPr>
    </w:lvl>
    <w:lvl w:ilvl="2" w:tplc="95FEAE58">
      <w:start w:val="1"/>
      <w:numFmt w:val="bullet"/>
      <w:lvlText w:val=""/>
      <w:lvlJc w:val="left"/>
      <w:pPr>
        <w:ind w:left="2160" w:hanging="360"/>
      </w:pPr>
      <w:rPr>
        <w:rFonts w:ascii="Wingdings" w:hAnsi="Wingdings" w:hint="default"/>
      </w:rPr>
    </w:lvl>
    <w:lvl w:ilvl="3" w:tplc="0DAE1E5E">
      <w:start w:val="1"/>
      <w:numFmt w:val="bullet"/>
      <w:lvlText w:val=""/>
      <w:lvlJc w:val="left"/>
      <w:pPr>
        <w:ind w:left="2880" w:hanging="360"/>
      </w:pPr>
      <w:rPr>
        <w:rFonts w:ascii="Symbol" w:hAnsi="Symbol" w:hint="default"/>
      </w:rPr>
    </w:lvl>
    <w:lvl w:ilvl="4" w:tplc="5374FDE4">
      <w:start w:val="1"/>
      <w:numFmt w:val="bullet"/>
      <w:lvlText w:val="o"/>
      <w:lvlJc w:val="left"/>
      <w:pPr>
        <w:ind w:left="3600" w:hanging="360"/>
      </w:pPr>
      <w:rPr>
        <w:rFonts w:ascii="Courier New" w:hAnsi="Courier New" w:cs="Courier New" w:hint="default"/>
      </w:rPr>
    </w:lvl>
    <w:lvl w:ilvl="5" w:tplc="B15EFB66">
      <w:start w:val="1"/>
      <w:numFmt w:val="bullet"/>
      <w:lvlText w:val=""/>
      <w:lvlJc w:val="left"/>
      <w:pPr>
        <w:ind w:left="4320" w:hanging="360"/>
      </w:pPr>
      <w:rPr>
        <w:rFonts w:ascii="Wingdings" w:hAnsi="Wingdings" w:hint="default"/>
      </w:rPr>
    </w:lvl>
    <w:lvl w:ilvl="6" w:tplc="290C1ACC">
      <w:start w:val="1"/>
      <w:numFmt w:val="bullet"/>
      <w:lvlText w:val=""/>
      <w:lvlJc w:val="left"/>
      <w:pPr>
        <w:ind w:left="5040" w:hanging="360"/>
      </w:pPr>
      <w:rPr>
        <w:rFonts w:ascii="Symbol" w:hAnsi="Symbol" w:hint="default"/>
      </w:rPr>
    </w:lvl>
    <w:lvl w:ilvl="7" w:tplc="6E1E0584">
      <w:start w:val="1"/>
      <w:numFmt w:val="bullet"/>
      <w:lvlText w:val="o"/>
      <w:lvlJc w:val="left"/>
      <w:pPr>
        <w:ind w:left="5760" w:hanging="360"/>
      </w:pPr>
      <w:rPr>
        <w:rFonts w:ascii="Courier New" w:hAnsi="Courier New" w:cs="Courier New" w:hint="default"/>
      </w:rPr>
    </w:lvl>
    <w:lvl w:ilvl="8" w:tplc="17127284">
      <w:start w:val="1"/>
      <w:numFmt w:val="bullet"/>
      <w:lvlText w:val=""/>
      <w:lvlJc w:val="left"/>
      <w:pPr>
        <w:ind w:left="6480" w:hanging="360"/>
      </w:pPr>
      <w:rPr>
        <w:rFonts w:ascii="Wingdings" w:hAnsi="Wingdings" w:hint="default"/>
      </w:rPr>
    </w:lvl>
  </w:abstractNum>
  <w:abstractNum w:abstractNumId="9" w15:restartNumberingAfterBreak="0">
    <w:nsid w:val="2F330535"/>
    <w:multiLevelType w:val="hybridMultilevel"/>
    <w:tmpl w:val="BF20D5B4"/>
    <w:lvl w:ilvl="0" w:tplc="151E6FF2">
      <w:start w:val="1"/>
      <w:numFmt w:val="decimal"/>
      <w:lvlText w:val="%1."/>
      <w:lvlJc w:val="left"/>
      <w:pPr>
        <w:ind w:left="720" w:hanging="360"/>
      </w:pPr>
    </w:lvl>
    <w:lvl w:ilvl="1" w:tplc="31587BFC" w:tentative="1">
      <w:start w:val="1"/>
      <w:numFmt w:val="lowerLetter"/>
      <w:lvlText w:val="%2."/>
      <w:lvlJc w:val="left"/>
      <w:pPr>
        <w:ind w:left="1440" w:hanging="360"/>
      </w:pPr>
    </w:lvl>
    <w:lvl w:ilvl="2" w:tplc="CE4A9070" w:tentative="1">
      <w:start w:val="1"/>
      <w:numFmt w:val="lowerRoman"/>
      <w:lvlText w:val="%3."/>
      <w:lvlJc w:val="right"/>
      <w:pPr>
        <w:ind w:left="2160" w:hanging="180"/>
      </w:pPr>
    </w:lvl>
    <w:lvl w:ilvl="3" w:tplc="8C8EB236" w:tentative="1">
      <w:start w:val="1"/>
      <w:numFmt w:val="decimal"/>
      <w:lvlText w:val="%4."/>
      <w:lvlJc w:val="left"/>
      <w:pPr>
        <w:ind w:left="2880" w:hanging="360"/>
      </w:pPr>
    </w:lvl>
    <w:lvl w:ilvl="4" w:tplc="50207152" w:tentative="1">
      <w:start w:val="1"/>
      <w:numFmt w:val="lowerLetter"/>
      <w:lvlText w:val="%5."/>
      <w:lvlJc w:val="left"/>
      <w:pPr>
        <w:ind w:left="3600" w:hanging="360"/>
      </w:pPr>
    </w:lvl>
    <w:lvl w:ilvl="5" w:tplc="E13AF5A2" w:tentative="1">
      <w:start w:val="1"/>
      <w:numFmt w:val="lowerRoman"/>
      <w:lvlText w:val="%6."/>
      <w:lvlJc w:val="right"/>
      <w:pPr>
        <w:ind w:left="4320" w:hanging="180"/>
      </w:pPr>
    </w:lvl>
    <w:lvl w:ilvl="6" w:tplc="EA2E978E" w:tentative="1">
      <w:start w:val="1"/>
      <w:numFmt w:val="decimal"/>
      <w:lvlText w:val="%7."/>
      <w:lvlJc w:val="left"/>
      <w:pPr>
        <w:ind w:left="5040" w:hanging="360"/>
      </w:pPr>
    </w:lvl>
    <w:lvl w:ilvl="7" w:tplc="B00C6840" w:tentative="1">
      <w:start w:val="1"/>
      <w:numFmt w:val="lowerLetter"/>
      <w:lvlText w:val="%8."/>
      <w:lvlJc w:val="left"/>
      <w:pPr>
        <w:ind w:left="5760" w:hanging="360"/>
      </w:pPr>
    </w:lvl>
    <w:lvl w:ilvl="8" w:tplc="FF7A95F4" w:tentative="1">
      <w:start w:val="1"/>
      <w:numFmt w:val="lowerRoman"/>
      <w:lvlText w:val="%9."/>
      <w:lvlJc w:val="right"/>
      <w:pPr>
        <w:ind w:left="6480" w:hanging="180"/>
      </w:pPr>
    </w:lvl>
  </w:abstractNum>
  <w:abstractNum w:abstractNumId="10" w15:restartNumberingAfterBreak="0">
    <w:nsid w:val="370903CF"/>
    <w:multiLevelType w:val="hybridMultilevel"/>
    <w:tmpl w:val="7D50D0A6"/>
    <w:lvl w:ilvl="0" w:tplc="75B2AEA6">
      <w:start w:val="1"/>
      <w:numFmt w:val="bullet"/>
      <w:lvlText w:val=""/>
      <w:lvlJc w:val="left"/>
      <w:pPr>
        <w:ind w:left="720" w:hanging="360"/>
      </w:pPr>
      <w:rPr>
        <w:rFonts w:ascii="Symbol" w:hAnsi="Symbol" w:hint="default"/>
      </w:rPr>
    </w:lvl>
    <w:lvl w:ilvl="1" w:tplc="C7441638">
      <w:start w:val="1"/>
      <w:numFmt w:val="bullet"/>
      <w:lvlText w:val="o"/>
      <w:lvlJc w:val="left"/>
      <w:pPr>
        <w:ind w:left="1440" w:hanging="360"/>
      </w:pPr>
      <w:rPr>
        <w:rFonts w:ascii="Courier New" w:hAnsi="Courier New" w:cs="Courier New" w:hint="default"/>
      </w:rPr>
    </w:lvl>
    <w:lvl w:ilvl="2" w:tplc="C69849D2">
      <w:start w:val="1"/>
      <w:numFmt w:val="bullet"/>
      <w:lvlText w:val=""/>
      <w:lvlJc w:val="left"/>
      <w:pPr>
        <w:ind w:left="2160" w:hanging="360"/>
      </w:pPr>
      <w:rPr>
        <w:rFonts w:ascii="Wingdings" w:hAnsi="Wingdings" w:hint="default"/>
      </w:rPr>
    </w:lvl>
    <w:lvl w:ilvl="3" w:tplc="829C0F68">
      <w:start w:val="1"/>
      <w:numFmt w:val="bullet"/>
      <w:lvlText w:val=""/>
      <w:lvlJc w:val="left"/>
      <w:pPr>
        <w:ind w:left="2880" w:hanging="360"/>
      </w:pPr>
      <w:rPr>
        <w:rFonts w:ascii="Symbol" w:hAnsi="Symbol" w:hint="default"/>
      </w:rPr>
    </w:lvl>
    <w:lvl w:ilvl="4" w:tplc="5A9A4D5A">
      <w:start w:val="1"/>
      <w:numFmt w:val="bullet"/>
      <w:lvlText w:val="o"/>
      <w:lvlJc w:val="left"/>
      <w:pPr>
        <w:ind w:left="3600" w:hanging="360"/>
      </w:pPr>
      <w:rPr>
        <w:rFonts w:ascii="Courier New" w:hAnsi="Courier New" w:cs="Courier New" w:hint="default"/>
      </w:rPr>
    </w:lvl>
    <w:lvl w:ilvl="5" w:tplc="CE80AF80">
      <w:start w:val="1"/>
      <w:numFmt w:val="bullet"/>
      <w:lvlText w:val=""/>
      <w:lvlJc w:val="left"/>
      <w:pPr>
        <w:ind w:left="4320" w:hanging="360"/>
      </w:pPr>
      <w:rPr>
        <w:rFonts w:ascii="Wingdings" w:hAnsi="Wingdings" w:hint="default"/>
      </w:rPr>
    </w:lvl>
    <w:lvl w:ilvl="6" w:tplc="6014676C">
      <w:start w:val="1"/>
      <w:numFmt w:val="bullet"/>
      <w:lvlText w:val=""/>
      <w:lvlJc w:val="left"/>
      <w:pPr>
        <w:ind w:left="5040" w:hanging="360"/>
      </w:pPr>
      <w:rPr>
        <w:rFonts w:ascii="Symbol" w:hAnsi="Symbol" w:hint="default"/>
      </w:rPr>
    </w:lvl>
    <w:lvl w:ilvl="7" w:tplc="1F7ADAA2">
      <w:start w:val="1"/>
      <w:numFmt w:val="bullet"/>
      <w:lvlText w:val="o"/>
      <w:lvlJc w:val="left"/>
      <w:pPr>
        <w:ind w:left="5760" w:hanging="360"/>
      </w:pPr>
      <w:rPr>
        <w:rFonts w:ascii="Courier New" w:hAnsi="Courier New" w:cs="Courier New" w:hint="default"/>
      </w:rPr>
    </w:lvl>
    <w:lvl w:ilvl="8" w:tplc="1F322B20">
      <w:start w:val="1"/>
      <w:numFmt w:val="bullet"/>
      <w:lvlText w:val=""/>
      <w:lvlJc w:val="left"/>
      <w:pPr>
        <w:ind w:left="6480" w:hanging="360"/>
      </w:pPr>
      <w:rPr>
        <w:rFonts w:ascii="Wingdings" w:hAnsi="Wingdings" w:hint="default"/>
      </w:rPr>
    </w:lvl>
  </w:abstractNum>
  <w:abstractNum w:abstractNumId="11" w15:restartNumberingAfterBreak="0">
    <w:nsid w:val="3F782D85"/>
    <w:multiLevelType w:val="hybridMultilevel"/>
    <w:tmpl w:val="1098DBC8"/>
    <w:lvl w:ilvl="0" w:tplc="7EEEF90E">
      <w:start w:val="1"/>
      <w:numFmt w:val="bullet"/>
      <w:lvlText w:val=""/>
      <w:lvlJc w:val="left"/>
      <w:pPr>
        <w:ind w:left="720" w:hanging="360"/>
      </w:pPr>
      <w:rPr>
        <w:rFonts w:ascii="Symbol" w:hAnsi="Symbol" w:hint="default"/>
      </w:rPr>
    </w:lvl>
    <w:lvl w:ilvl="1" w:tplc="147057BC" w:tentative="1">
      <w:start w:val="1"/>
      <w:numFmt w:val="bullet"/>
      <w:lvlText w:val="o"/>
      <w:lvlJc w:val="left"/>
      <w:pPr>
        <w:ind w:left="1440" w:hanging="360"/>
      </w:pPr>
      <w:rPr>
        <w:rFonts w:ascii="Courier New" w:hAnsi="Courier New" w:cs="Courier New" w:hint="default"/>
      </w:rPr>
    </w:lvl>
    <w:lvl w:ilvl="2" w:tplc="2AE0188A" w:tentative="1">
      <w:start w:val="1"/>
      <w:numFmt w:val="bullet"/>
      <w:lvlText w:val=""/>
      <w:lvlJc w:val="left"/>
      <w:pPr>
        <w:ind w:left="2160" w:hanging="360"/>
      </w:pPr>
      <w:rPr>
        <w:rFonts w:ascii="Wingdings" w:hAnsi="Wingdings" w:hint="default"/>
      </w:rPr>
    </w:lvl>
    <w:lvl w:ilvl="3" w:tplc="DFC2A1DE" w:tentative="1">
      <w:start w:val="1"/>
      <w:numFmt w:val="bullet"/>
      <w:lvlText w:val=""/>
      <w:lvlJc w:val="left"/>
      <w:pPr>
        <w:ind w:left="2880" w:hanging="360"/>
      </w:pPr>
      <w:rPr>
        <w:rFonts w:ascii="Symbol" w:hAnsi="Symbol" w:hint="default"/>
      </w:rPr>
    </w:lvl>
    <w:lvl w:ilvl="4" w:tplc="591C215C" w:tentative="1">
      <w:start w:val="1"/>
      <w:numFmt w:val="bullet"/>
      <w:lvlText w:val="o"/>
      <w:lvlJc w:val="left"/>
      <w:pPr>
        <w:ind w:left="3600" w:hanging="360"/>
      </w:pPr>
      <w:rPr>
        <w:rFonts w:ascii="Courier New" w:hAnsi="Courier New" w:cs="Courier New" w:hint="default"/>
      </w:rPr>
    </w:lvl>
    <w:lvl w:ilvl="5" w:tplc="49D4BB66" w:tentative="1">
      <w:start w:val="1"/>
      <w:numFmt w:val="bullet"/>
      <w:lvlText w:val=""/>
      <w:lvlJc w:val="left"/>
      <w:pPr>
        <w:ind w:left="4320" w:hanging="360"/>
      </w:pPr>
      <w:rPr>
        <w:rFonts w:ascii="Wingdings" w:hAnsi="Wingdings" w:hint="default"/>
      </w:rPr>
    </w:lvl>
    <w:lvl w:ilvl="6" w:tplc="D250C0D8" w:tentative="1">
      <w:start w:val="1"/>
      <w:numFmt w:val="bullet"/>
      <w:lvlText w:val=""/>
      <w:lvlJc w:val="left"/>
      <w:pPr>
        <w:ind w:left="5040" w:hanging="360"/>
      </w:pPr>
      <w:rPr>
        <w:rFonts w:ascii="Symbol" w:hAnsi="Symbol" w:hint="default"/>
      </w:rPr>
    </w:lvl>
    <w:lvl w:ilvl="7" w:tplc="BAA01A0A" w:tentative="1">
      <w:start w:val="1"/>
      <w:numFmt w:val="bullet"/>
      <w:lvlText w:val="o"/>
      <w:lvlJc w:val="left"/>
      <w:pPr>
        <w:ind w:left="5760" w:hanging="360"/>
      </w:pPr>
      <w:rPr>
        <w:rFonts w:ascii="Courier New" w:hAnsi="Courier New" w:cs="Courier New" w:hint="default"/>
      </w:rPr>
    </w:lvl>
    <w:lvl w:ilvl="8" w:tplc="37E4A3CE" w:tentative="1">
      <w:start w:val="1"/>
      <w:numFmt w:val="bullet"/>
      <w:lvlText w:val=""/>
      <w:lvlJc w:val="left"/>
      <w:pPr>
        <w:ind w:left="6480" w:hanging="360"/>
      </w:pPr>
      <w:rPr>
        <w:rFonts w:ascii="Wingdings" w:hAnsi="Wingdings" w:hint="default"/>
      </w:rPr>
    </w:lvl>
  </w:abstractNum>
  <w:abstractNum w:abstractNumId="12" w15:restartNumberingAfterBreak="0">
    <w:nsid w:val="467A0CC9"/>
    <w:multiLevelType w:val="hybridMultilevel"/>
    <w:tmpl w:val="9668873C"/>
    <w:lvl w:ilvl="0" w:tplc="33C42C08">
      <w:start w:val="1"/>
      <w:numFmt w:val="decimal"/>
      <w:lvlText w:val="%1."/>
      <w:lvlJc w:val="left"/>
      <w:pPr>
        <w:ind w:left="720" w:hanging="360"/>
      </w:pPr>
      <w:rPr>
        <w:rFonts w:hint="default"/>
      </w:rPr>
    </w:lvl>
    <w:lvl w:ilvl="1" w:tplc="A2284314" w:tentative="1">
      <w:start w:val="1"/>
      <w:numFmt w:val="bullet"/>
      <w:lvlText w:val="o"/>
      <w:lvlJc w:val="left"/>
      <w:pPr>
        <w:ind w:left="1440" w:hanging="360"/>
      </w:pPr>
      <w:rPr>
        <w:rFonts w:ascii="Courier New" w:hAnsi="Courier New" w:cs="Courier New" w:hint="default"/>
      </w:rPr>
    </w:lvl>
    <w:lvl w:ilvl="2" w:tplc="DE44960A" w:tentative="1">
      <w:start w:val="1"/>
      <w:numFmt w:val="bullet"/>
      <w:lvlText w:val=""/>
      <w:lvlJc w:val="left"/>
      <w:pPr>
        <w:ind w:left="2160" w:hanging="360"/>
      </w:pPr>
      <w:rPr>
        <w:rFonts w:ascii="Wingdings" w:hAnsi="Wingdings" w:hint="default"/>
      </w:rPr>
    </w:lvl>
    <w:lvl w:ilvl="3" w:tplc="66E26F2E" w:tentative="1">
      <w:start w:val="1"/>
      <w:numFmt w:val="bullet"/>
      <w:lvlText w:val=""/>
      <w:lvlJc w:val="left"/>
      <w:pPr>
        <w:ind w:left="2880" w:hanging="360"/>
      </w:pPr>
      <w:rPr>
        <w:rFonts w:ascii="Symbol" w:hAnsi="Symbol" w:hint="default"/>
      </w:rPr>
    </w:lvl>
    <w:lvl w:ilvl="4" w:tplc="D0C23AC8" w:tentative="1">
      <w:start w:val="1"/>
      <w:numFmt w:val="bullet"/>
      <w:lvlText w:val="o"/>
      <w:lvlJc w:val="left"/>
      <w:pPr>
        <w:ind w:left="3600" w:hanging="360"/>
      </w:pPr>
      <w:rPr>
        <w:rFonts w:ascii="Courier New" w:hAnsi="Courier New" w:cs="Courier New" w:hint="default"/>
      </w:rPr>
    </w:lvl>
    <w:lvl w:ilvl="5" w:tplc="87902C66" w:tentative="1">
      <w:start w:val="1"/>
      <w:numFmt w:val="bullet"/>
      <w:lvlText w:val=""/>
      <w:lvlJc w:val="left"/>
      <w:pPr>
        <w:ind w:left="4320" w:hanging="360"/>
      </w:pPr>
      <w:rPr>
        <w:rFonts w:ascii="Wingdings" w:hAnsi="Wingdings" w:hint="default"/>
      </w:rPr>
    </w:lvl>
    <w:lvl w:ilvl="6" w:tplc="C4D6E34A" w:tentative="1">
      <w:start w:val="1"/>
      <w:numFmt w:val="bullet"/>
      <w:lvlText w:val=""/>
      <w:lvlJc w:val="left"/>
      <w:pPr>
        <w:ind w:left="5040" w:hanging="360"/>
      </w:pPr>
      <w:rPr>
        <w:rFonts w:ascii="Symbol" w:hAnsi="Symbol" w:hint="default"/>
      </w:rPr>
    </w:lvl>
    <w:lvl w:ilvl="7" w:tplc="1E0AECE4" w:tentative="1">
      <w:start w:val="1"/>
      <w:numFmt w:val="bullet"/>
      <w:lvlText w:val="o"/>
      <w:lvlJc w:val="left"/>
      <w:pPr>
        <w:ind w:left="5760" w:hanging="360"/>
      </w:pPr>
      <w:rPr>
        <w:rFonts w:ascii="Courier New" w:hAnsi="Courier New" w:cs="Courier New" w:hint="default"/>
      </w:rPr>
    </w:lvl>
    <w:lvl w:ilvl="8" w:tplc="A25E70CC" w:tentative="1">
      <w:start w:val="1"/>
      <w:numFmt w:val="bullet"/>
      <w:lvlText w:val=""/>
      <w:lvlJc w:val="left"/>
      <w:pPr>
        <w:ind w:left="6480" w:hanging="360"/>
      </w:pPr>
      <w:rPr>
        <w:rFonts w:ascii="Wingdings" w:hAnsi="Wingdings" w:hint="default"/>
      </w:rPr>
    </w:lvl>
  </w:abstractNum>
  <w:abstractNum w:abstractNumId="13" w15:restartNumberingAfterBreak="0">
    <w:nsid w:val="4C406701"/>
    <w:multiLevelType w:val="hybridMultilevel"/>
    <w:tmpl w:val="BFB880A0"/>
    <w:lvl w:ilvl="0" w:tplc="3B32365E">
      <w:start w:val="1"/>
      <w:numFmt w:val="bullet"/>
      <w:lvlText w:val=""/>
      <w:lvlJc w:val="left"/>
      <w:pPr>
        <w:ind w:left="720" w:hanging="360"/>
      </w:pPr>
      <w:rPr>
        <w:rFonts w:ascii="Symbol" w:hAnsi="Symbol" w:hint="default"/>
      </w:rPr>
    </w:lvl>
    <w:lvl w:ilvl="1" w:tplc="29A2B884" w:tentative="1">
      <w:start w:val="1"/>
      <w:numFmt w:val="bullet"/>
      <w:lvlText w:val="o"/>
      <w:lvlJc w:val="left"/>
      <w:pPr>
        <w:ind w:left="1440" w:hanging="360"/>
      </w:pPr>
      <w:rPr>
        <w:rFonts w:ascii="Courier New" w:hAnsi="Courier New" w:cs="Courier New" w:hint="default"/>
      </w:rPr>
    </w:lvl>
    <w:lvl w:ilvl="2" w:tplc="390E5928" w:tentative="1">
      <w:start w:val="1"/>
      <w:numFmt w:val="bullet"/>
      <w:lvlText w:val=""/>
      <w:lvlJc w:val="left"/>
      <w:pPr>
        <w:ind w:left="2160" w:hanging="360"/>
      </w:pPr>
      <w:rPr>
        <w:rFonts w:ascii="Wingdings" w:hAnsi="Wingdings" w:hint="default"/>
      </w:rPr>
    </w:lvl>
    <w:lvl w:ilvl="3" w:tplc="EA94B31C" w:tentative="1">
      <w:start w:val="1"/>
      <w:numFmt w:val="bullet"/>
      <w:lvlText w:val=""/>
      <w:lvlJc w:val="left"/>
      <w:pPr>
        <w:ind w:left="2880" w:hanging="360"/>
      </w:pPr>
      <w:rPr>
        <w:rFonts w:ascii="Symbol" w:hAnsi="Symbol" w:hint="default"/>
      </w:rPr>
    </w:lvl>
    <w:lvl w:ilvl="4" w:tplc="C586290C" w:tentative="1">
      <w:start w:val="1"/>
      <w:numFmt w:val="bullet"/>
      <w:lvlText w:val="o"/>
      <w:lvlJc w:val="left"/>
      <w:pPr>
        <w:ind w:left="3600" w:hanging="360"/>
      </w:pPr>
      <w:rPr>
        <w:rFonts w:ascii="Courier New" w:hAnsi="Courier New" w:cs="Courier New" w:hint="default"/>
      </w:rPr>
    </w:lvl>
    <w:lvl w:ilvl="5" w:tplc="1848F550" w:tentative="1">
      <w:start w:val="1"/>
      <w:numFmt w:val="bullet"/>
      <w:lvlText w:val=""/>
      <w:lvlJc w:val="left"/>
      <w:pPr>
        <w:ind w:left="4320" w:hanging="360"/>
      </w:pPr>
      <w:rPr>
        <w:rFonts w:ascii="Wingdings" w:hAnsi="Wingdings" w:hint="default"/>
      </w:rPr>
    </w:lvl>
    <w:lvl w:ilvl="6" w:tplc="8076CDEA" w:tentative="1">
      <w:start w:val="1"/>
      <w:numFmt w:val="bullet"/>
      <w:lvlText w:val=""/>
      <w:lvlJc w:val="left"/>
      <w:pPr>
        <w:ind w:left="5040" w:hanging="360"/>
      </w:pPr>
      <w:rPr>
        <w:rFonts w:ascii="Symbol" w:hAnsi="Symbol" w:hint="default"/>
      </w:rPr>
    </w:lvl>
    <w:lvl w:ilvl="7" w:tplc="2DF8E6F2" w:tentative="1">
      <w:start w:val="1"/>
      <w:numFmt w:val="bullet"/>
      <w:lvlText w:val="o"/>
      <w:lvlJc w:val="left"/>
      <w:pPr>
        <w:ind w:left="5760" w:hanging="360"/>
      </w:pPr>
      <w:rPr>
        <w:rFonts w:ascii="Courier New" w:hAnsi="Courier New" w:cs="Courier New" w:hint="default"/>
      </w:rPr>
    </w:lvl>
    <w:lvl w:ilvl="8" w:tplc="55B0BEEA" w:tentative="1">
      <w:start w:val="1"/>
      <w:numFmt w:val="bullet"/>
      <w:lvlText w:val=""/>
      <w:lvlJc w:val="left"/>
      <w:pPr>
        <w:ind w:left="6480" w:hanging="360"/>
      </w:pPr>
      <w:rPr>
        <w:rFonts w:ascii="Wingdings" w:hAnsi="Wingdings" w:hint="default"/>
      </w:rPr>
    </w:lvl>
  </w:abstractNum>
  <w:abstractNum w:abstractNumId="14" w15:restartNumberingAfterBreak="0">
    <w:nsid w:val="531F1139"/>
    <w:multiLevelType w:val="hybridMultilevel"/>
    <w:tmpl w:val="FC224A80"/>
    <w:lvl w:ilvl="0" w:tplc="306C1B3C">
      <w:start w:val="1"/>
      <w:numFmt w:val="bullet"/>
      <w:lvlText w:val=""/>
      <w:lvlJc w:val="left"/>
      <w:pPr>
        <w:ind w:left="720" w:hanging="360"/>
      </w:pPr>
      <w:rPr>
        <w:rFonts w:ascii="Wingdings" w:hAnsi="Wingdings" w:hint="default"/>
      </w:rPr>
    </w:lvl>
    <w:lvl w:ilvl="1" w:tplc="19F87DEC" w:tentative="1">
      <w:start w:val="1"/>
      <w:numFmt w:val="bullet"/>
      <w:lvlText w:val="o"/>
      <w:lvlJc w:val="left"/>
      <w:pPr>
        <w:ind w:left="1440" w:hanging="360"/>
      </w:pPr>
      <w:rPr>
        <w:rFonts w:ascii="Courier New" w:hAnsi="Courier New" w:cs="Courier New" w:hint="default"/>
      </w:rPr>
    </w:lvl>
    <w:lvl w:ilvl="2" w:tplc="30CC724C" w:tentative="1">
      <w:start w:val="1"/>
      <w:numFmt w:val="bullet"/>
      <w:lvlText w:val=""/>
      <w:lvlJc w:val="left"/>
      <w:pPr>
        <w:ind w:left="2160" w:hanging="360"/>
      </w:pPr>
      <w:rPr>
        <w:rFonts w:ascii="Wingdings" w:hAnsi="Wingdings" w:hint="default"/>
      </w:rPr>
    </w:lvl>
    <w:lvl w:ilvl="3" w:tplc="30B04564" w:tentative="1">
      <w:start w:val="1"/>
      <w:numFmt w:val="bullet"/>
      <w:lvlText w:val=""/>
      <w:lvlJc w:val="left"/>
      <w:pPr>
        <w:ind w:left="2880" w:hanging="360"/>
      </w:pPr>
      <w:rPr>
        <w:rFonts w:ascii="Symbol" w:hAnsi="Symbol" w:hint="default"/>
      </w:rPr>
    </w:lvl>
    <w:lvl w:ilvl="4" w:tplc="A3E88580" w:tentative="1">
      <w:start w:val="1"/>
      <w:numFmt w:val="bullet"/>
      <w:lvlText w:val="o"/>
      <w:lvlJc w:val="left"/>
      <w:pPr>
        <w:ind w:left="3600" w:hanging="360"/>
      </w:pPr>
      <w:rPr>
        <w:rFonts w:ascii="Courier New" w:hAnsi="Courier New" w:cs="Courier New" w:hint="default"/>
      </w:rPr>
    </w:lvl>
    <w:lvl w:ilvl="5" w:tplc="F1640A52" w:tentative="1">
      <w:start w:val="1"/>
      <w:numFmt w:val="bullet"/>
      <w:lvlText w:val=""/>
      <w:lvlJc w:val="left"/>
      <w:pPr>
        <w:ind w:left="4320" w:hanging="360"/>
      </w:pPr>
      <w:rPr>
        <w:rFonts w:ascii="Wingdings" w:hAnsi="Wingdings" w:hint="default"/>
      </w:rPr>
    </w:lvl>
    <w:lvl w:ilvl="6" w:tplc="6F72D650" w:tentative="1">
      <w:start w:val="1"/>
      <w:numFmt w:val="bullet"/>
      <w:lvlText w:val=""/>
      <w:lvlJc w:val="left"/>
      <w:pPr>
        <w:ind w:left="5040" w:hanging="360"/>
      </w:pPr>
      <w:rPr>
        <w:rFonts w:ascii="Symbol" w:hAnsi="Symbol" w:hint="default"/>
      </w:rPr>
    </w:lvl>
    <w:lvl w:ilvl="7" w:tplc="498CFE26" w:tentative="1">
      <w:start w:val="1"/>
      <w:numFmt w:val="bullet"/>
      <w:lvlText w:val="o"/>
      <w:lvlJc w:val="left"/>
      <w:pPr>
        <w:ind w:left="5760" w:hanging="360"/>
      </w:pPr>
      <w:rPr>
        <w:rFonts w:ascii="Courier New" w:hAnsi="Courier New" w:cs="Courier New" w:hint="default"/>
      </w:rPr>
    </w:lvl>
    <w:lvl w:ilvl="8" w:tplc="91F4CD26" w:tentative="1">
      <w:start w:val="1"/>
      <w:numFmt w:val="bullet"/>
      <w:lvlText w:val=""/>
      <w:lvlJc w:val="left"/>
      <w:pPr>
        <w:ind w:left="6480" w:hanging="360"/>
      </w:pPr>
      <w:rPr>
        <w:rFonts w:ascii="Wingdings" w:hAnsi="Wingdings" w:hint="default"/>
      </w:rPr>
    </w:lvl>
  </w:abstractNum>
  <w:abstractNum w:abstractNumId="15" w15:restartNumberingAfterBreak="0">
    <w:nsid w:val="549A59CF"/>
    <w:multiLevelType w:val="hybridMultilevel"/>
    <w:tmpl w:val="272AE68E"/>
    <w:lvl w:ilvl="0" w:tplc="7FD6C91E">
      <w:start w:val="1"/>
      <w:numFmt w:val="bullet"/>
      <w:lvlText w:val=""/>
      <w:lvlJc w:val="left"/>
      <w:pPr>
        <w:ind w:left="720" w:hanging="360"/>
      </w:pPr>
      <w:rPr>
        <w:rFonts w:ascii="Symbol" w:hAnsi="Symbol" w:hint="default"/>
      </w:rPr>
    </w:lvl>
    <w:lvl w:ilvl="1" w:tplc="42AC3FAE">
      <w:start w:val="1"/>
      <w:numFmt w:val="bullet"/>
      <w:lvlText w:val="o"/>
      <w:lvlJc w:val="left"/>
      <w:pPr>
        <w:ind w:left="1440" w:hanging="360"/>
      </w:pPr>
      <w:rPr>
        <w:rFonts w:ascii="Courier New" w:hAnsi="Courier New" w:cs="Courier New" w:hint="default"/>
      </w:rPr>
    </w:lvl>
    <w:lvl w:ilvl="2" w:tplc="7B70079A">
      <w:start w:val="1"/>
      <w:numFmt w:val="bullet"/>
      <w:lvlText w:val=""/>
      <w:lvlJc w:val="left"/>
      <w:pPr>
        <w:ind w:left="2160" w:hanging="360"/>
      </w:pPr>
      <w:rPr>
        <w:rFonts w:ascii="Wingdings" w:hAnsi="Wingdings" w:hint="default"/>
      </w:rPr>
    </w:lvl>
    <w:lvl w:ilvl="3" w:tplc="DBB651DA">
      <w:start w:val="1"/>
      <w:numFmt w:val="bullet"/>
      <w:lvlText w:val=""/>
      <w:lvlJc w:val="left"/>
      <w:pPr>
        <w:ind w:left="2880" w:hanging="360"/>
      </w:pPr>
      <w:rPr>
        <w:rFonts w:ascii="Symbol" w:hAnsi="Symbol" w:hint="default"/>
      </w:rPr>
    </w:lvl>
    <w:lvl w:ilvl="4" w:tplc="916AF5E8">
      <w:start w:val="1"/>
      <w:numFmt w:val="bullet"/>
      <w:lvlText w:val="o"/>
      <w:lvlJc w:val="left"/>
      <w:pPr>
        <w:ind w:left="3600" w:hanging="360"/>
      </w:pPr>
      <w:rPr>
        <w:rFonts w:ascii="Courier New" w:hAnsi="Courier New" w:cs="Courier New" w:hint="default"/>
      </w:rPr>
    </w:lvl>
    <w:lvl w:ilvl="5" w:tplc="5B52C6A0">
      <w:start w:val="1"/>
      <w:numFmt w:val="bullet"/>
      <w:lvlText w:val=""/>
      <w:lvlJc w:val="left"/>
      <w:pPr>
        <w:ind w:left="4320" w:hanging="360"/>
      </w:pPr>
      <w:rPr>
        <w:rFonts w:ascii="Wingdings" w:hAnsi="Wingdings" w:hint="default"/>
      </w:rPr>
    </w:lvl>
    <w:lvl w:ilvl="6" w:tplc="9BCA4072">
      <w:start w:val="1"/>
      <w:numFmt w:val="bullet"/>
      <w:lvlText w:val=""/>
      <w:lvlJc w:val="left"/>
      <w:pPr>
        <w:ind w:left="5040" w:hanging="360"/>
      </w:pPr>
      <w:rPr>
        <w:rFonts w:ascii="Symbol" w:hAnsi="Symbol" w:hint="default"/>
      </w:rPr>
    </w:lvl>
    <w:lvl w:ilvl="7" w:tplc="A93E29F6">
      <w:start w:val="1"/>
      <w:numFmt w:val="bullet"/>
      <w:lvlText w:val="o"/>
      <w:lvlJc w:val="left"/>
      <w:pPr>
        <w:ind w:left="5760" w:hanging="360"/>
      </w:pPr>
      <w:rPr>
        <w:rFonts w:ascii="Courier New" w:hAnsi="Courier New" w:cs="Courier New" w:hint="default"/>
      </w:rPr>
    </w:lvl>
    <w:lvl w:ilvl="8" w:tplc="48207980">
      <w:start w:val="1"/>
      <w:numFmt w:val="bullet"/>
      <w:lvlText w:val=""/>
      <w:lvlJc w:val="left"/>
      <w:pPr>
        <w:ind w:left="6480" w:hanging="360"/>
      </w:pPr>
      <w:rPr>
        <w:rFonts w:ascii="Wingdings" w:hAnsi="Wingdings" w:hint="default"/>
      </w:rPr>
    </w:lvl>
  </w:abstractNum>
  <w:abstractNum w:abstractNumId="16" w15:restartNumberingAfterBreak="0">
    <w:nsid w:val="6AC71615"/>
    <w:multiLevelType w:val="hybridMultilevel"/>
    <w:tmpl w:val="BEEC18FE"/>
    <w:lvl w:ilvl="0" w:tplc="E20220B2">
      <w:start w:val="1"/>
      <w:numFmt w:val="bullet"/>
      <w:lvlText w:val=""/>
      <w:lvlJc w:val="left"/>
      <w:pPr>
        <w:ind w:left="294" w:hanging="360"/>
      </w:pPr>
      <w:rPr>
        <w:rFonts w:ascii="Symbol" w:hAnsi="Symbol" w:hint="default"/>
      </w:rPr>
    </w:lvl>
    <w:lvl w:ilvl="1" w:tplc="D390EBCA">
      <w:start w:val="1"/>
      <w:numFmt w:val="bullet"/>
      <w:lvlText w:val="o"/>
      <w:lvlJc w:val="left"/>
      <w:pPr>
        <w:ind w:left="1014" w:hanging="360"/>
      </w:pPr>
      <w:rPr>
        <w:rFonts w:ascii="Courier New" w:hAnsi="Courier New" w:cs="Times New Roman" w:hint="default"/>
      </w:rPr>
    </w:lvl>
    <w:lvl w:ilvl="2" w:tplc="567C2C44">
      <w:start w:val="1"/>
      <w:numFmt w:val="bullet"/>
      <w:lvlText w:val=""/>
      <w:lvlJc w:val="left"/>
      <w:pPr>
        <w:ind w:left="1734" w:hanging="360"/>
      </w:pPr>
      <w:rPr>
        <w:rFonts w:ascii="Wingdings" w:hAnsi="Wingdings" w:hint="default"/>
      </w:rPr>
    </w:lvl>
    <w:lvl w:ilvl="3" w:tplc="8EF284B0">
      <w:start w:val="1"/>
      <w:numFmt w:val="bullet"/>
      <w:lvlText w:val=""/>
      <w:lvlJc w:val="left"/>
      <w:pPr>
        <w:ind w:left="2454" w:hanging="360"/>
      </w:pPr>
      <w:rPr>
        <w:rFonts w:ascii="Symbol" w:hAnsi="Symbol" w:hint="default"/>
      </w:rPr>
    </w:lvl>
    <w:lvl w:ilvl="4" w:tplc="D5F6B8CE">
      <w:start w:val="1"/>
      <w:numFmt w:val="bullet"/>
      <w:lvlText w:val="o"/>
      <w:lvlJc w:val="left"/>
      <w:pPr>
        <w:ind w:left="3174" w:hanging="360"/>
      </w:pPr>
      <w:rPr>
        <w:rFonts w:ascii="Courier New" w:hAnsi="Courier New" w:cs="Times New Roman" w:hint="default"/>
      </w:rPr>
    </w:lvl>
    <w:lvl w:ilvl="5" w:tplc="5E541B60">
      <w:start w:val="1"/>
      <w:numFmt w:val="bullet"/>
      <w:lvlText w:val=""/>
      <w:lvlJc w:val="left"/>
      <w:pPr>
        <w:ind w:left="3894" w:hanging="360"/>
      </w:pPr>
      <w:rPr>
        <w:rFonts w:ascii="Wingdings" w:hAnsi="Wingdings" w:hint="default"/>
      </w:rPr>
    </w:lvl>
    <w:lvl w:ilvl="6" w:tplc="A92CA66E">
      <w:start w:val="1"/>
      <w:numFmt w:val="bullet"/>
      <w:lvlText w:val=""/>
      <w:lvlJc w:val="left"/>
      <w:pPr>
        <w:ind w:left="4614" w:hanging="360"/>
      </w:pPr>
      <w:rPr>
        <w:rFonts w:ascii="Symbol" w:hAnsi="Symbol" w:hint="default"/>
      </w:rPr>
    </w:lvl>
    <w:lvl w:ilvl="7" w:tplc="79D2E8BC">
      <w:start w:val="1"/>
      <w:numFmt w:val="bullet"/>
      <w:lvlText w:val="o"/>
      <w:lvlJc w:val="left"/>
      <w:pPr>
        <w:ind w:left="5334" w:hanging="360"/>
      </w:pPr>
      <w:rPr>
        <w:rFonts w:ascii="Courier New" w:hAnsi="Courier New" w:cs="Times New Roman" w:hint="default"/>
      </w:rPr>
    </w:lvl>
    <w:lvl w:ilvl="8" w:tplc="03D8AEBC">
      <w:start w:val="1"/>
      <w:numFmt w:val="bullet"/>
      <w:lvlText w:val=""/>
      <w:lvlJc w:val="left"/>
      <w:pPr>
        <w:ind w:left="6054" w:hanging="360"/>
      </w:pPr>
      <w:rPr>
        <w:rFonts w:ascii="Wingdings" w:hAnsi="Wingdings" w:hint="default"/>
      </w:rPr>
    </w:lvl>
  </w:abstractNum>
  <w:abstractNum w:abstractNumId="17" w15:restartNumberingAfterBreak="0">
    <w:nsid w:val="71884B5F"/>
    <w:multiLevelType w:val="hybridMultilevel"/>
    <w:tmpl w:val="9668873C"/>
    <w:lvl w:ilvl="0" w:tplc="9B8822C2">
      <w:start w:val="1"/>
      <w:numFmt w:val="decimal"/>
      <w:lvlText w:val="%1."/>
      <w:lvlJc w:val="left"/>
      <w:pPr>
        <w:ind w:left="720" w:hanging="360"/>
      </w:pPr>
      <w:rPr>
        <w:rFonts w:hint="default"/>
      </w:rPr>
    </w:lvl>
    <w:lvl w:ilvl="1" w:tplc="DC647972" w:tentative="1">
      <w:start w:val="1"/>
      <w:numFmt w:val="bullet"/>
      <w:lvlText w:val="o"/>
      <w:lvlJc w:val="left"/>
      <w:pPr>
        <w:ind w:left="1440" w:hanging="360"/>
      </w:pPr>
      <w:rPr>
        <w:rFonts w:ascii="Courier New" w:hAnsi="Courier New" w:cs="Courier New" w:hint="default"/>
      </w:rPr>
    </w:lvl>
    <w:lvl w:ilvl="2" w:tplc="6CA0CE10" w:tentative="1">
      <w:start w:val="1"/>
      <w:numFmt w:val="bullet"/>
      <w:lvlText w:val=""/>
      <w:lvlJc w:val="left"/>
      <w:pPr>
        <w:ind w:left="2160" w:hanging="360"/>
      </w:pPr>
      <w:rPr>
        <w:rFonts w:ascii="Wingdings" w:hAnsi="Wingdings" w:hint="default"/>
      </w:rPr>
    </w:lvl>
    <w:lvl w:ilvl="3" w:tplc="E0907F84" w:tentative="1">
      <w:start w:val="1"/>
      <w:numFmt w:val="bullet"/>
      <w:lvlText w:val=""/>
      <w:lvlJc w:val="left"/>
      <w:pPr>
        <w:ind w:left="2880" w:hanging="360"/>
      </w:pPr>
      <w:rPr>
        <w:rFonts w:ascii="Symbol" w:hAnsi="Symbol" w:hint="default"/>
      </w:rPr>
    </w:lvl>
    <w:lvl w:ilvl="4" w:tplc="7B54B08E" w:tentative="1">
      <w:start w:val="1"/>
      <w:numFmt w:val="bullet"/>
      <w:lvlText w:val="o"/>
      <w:lvlJc w:val="left"/>
      <w:pPr>
        <w:ind w:left="3600" w:hanging="360"/>
      </w:pPr>
      <w:rPr>
        <w:rFonts w:ascii="Courier New" w:hAnsi="Courier New" w:cs="Courier New" w:hint="default"/>
      </w:rPr>
    </w:lvl>
    <w:lvl w:ilvl="5" w:tplc="BDEE036C" w:tentative="1">
      <w:start w:val="1"/>
      <w:numFmt w:val="bullet"/>
      <w:lvlText w:val=""/>
      <w:lvlJc w:val="left"/>
      <w:pPr>
        <w:ind w:left="4320" w:hanging="360"/>
      </w:pPr>
      <w:rPr>
        <w:rFonts w:ascii="Wingdings" w:hAnsi="Wingdings" w:hint="default"/>
      </w:rPr>
    </w:lvl>
    <w:lvl w:ilvl="6" w:tplc="9CD62826" w:tentative="1">
      <w:start w:val="1"/>
      <w:numFmt w:val="bullet"/>
      <w:lvlText w:val=""/>
      <w:lvlJc w:val="left"/>
      <w:pPr>
        <w:ind w:left="5040" w:hanging="360"/>
      </w:pPr>
      <w:rPr>
        <w:rFonts w:ascii="Symbol" w:hAnsi="Symbol" w:hint="default"/>
      </w:rPr>
    </w:lvl>
    <w:lvl w:ilvl="7" w:tplc="8696C0B2" w:tentative="1">
      <w:start w:val="1"/>
      <w:numFmt w:val="bullet"/>
      <w:lvlText w:val="o"/>
      <w:lvlJc w:val="left"/>
      <w:pPr>
        <w:ind w:left="5760" w:hanging="360"/>
      </w:pPr>
      <w:rPr>
        <w:rFonts w:ascii="Courier New" w:hAnsi="Courier New" w:cs="Courier New" w:hint="default"/>
      </w:rPr>
    </w:lvl>
    <w:lvl w:ilvl="8" w:tplc="001803C4" w:tentative="1">
      <w:start w:val="1"/>
      <w:numFmt w:val="bullet"/>
      <w:lvlText w:val=""/>
      <w:lvlJc w:val="left"/>
      <w:pPr>
        <w:ind w:left="6480" w:hanging="360"/>
      </w:pPr>
      <w:rPr>
        <w:rFonts w:ascii="Wingdings" w:hAnsi="Wingdings" w:hint="default"/>
      </w:rPr>
    </w:lvl>
  </w:abstractNum>
  <w:abstractNum w:abstractNumId="18" w15:restartNumberingAfterBreak="0">
    <w:nsid w:val="721D06AF"/>
    <w:multiLevelType w:val="hybridMultilevel"/>
    <w:tmpl w:val="C6761C1E"/>
    <w:lvl w:ilvl="0" w:tplc="8522E792">
      <w:start w:val="1"/>
      <w:numFmt w:val="bullet"/>
      <w:lvlText w:val=""/>
      <w:lvlJc w:val="left"/>
      <w:pPr>
        <w:ind w:left="720" w:hanging="360"/>
      </w:pPr>
      <w:rPr>
        <w:rFonts w:ascii="Symbol" w:hAnsi="Symbol" w:hint="default"/>
      </w:rPr>
    </w:lvl>
    <w:lvl w:ilvl="1" w:tplc="8D0C978A" w:tentative="1">
      <w:start w:val="1"/>
      <w:numFmt w:val="bullet"/>
      <w:lvlText w:val="o"/>
      <w:lvlJc w:val="left"/>
      <w:pPr>
        <w:ind w:left="1440" w:hanging="360"/>
      </w:pPr>
      <w:rPr>
        <w:rFonts w:ascii="Courier New" w:hAnsi="Courier New" w:cs="Courier New" w:hint="default"/>
      </w:rPr>
    </w:lvl>
    <w:lvl w:ilvl="2" w:tplc="0010C7EC" w:tentative="1">
      <w:start w:val="1"/>
      <w:numFmt w:val="bullet"/>
      <w:lvlText w:val=""/>
      <w:lvlJc w:val="left"/>
      <w:pPr>
        <w:ind w:left="2160" w:hanging="360"/>
      </w:pPr>
      <w:rPr>
        <w:rFonts w:ascii="Wingdings" w:hAnsi="Wingdings" w:hint="default"/>
      </w:rPr>
    </w:lvl>
    <w:lvl w:ilvl="3" w:tplc="26DABF7E" w:tentative="1">
      <w:start w:val="1"/>
      <w:numFmt w:val="bullet"/>
      <w:lvlText w:val=""/>
      <w:lvlJc w:val="left"/>
      <w:pPr>
        <w:ind w:left="2880" w:hanging="360"/>
      </w:pPr>
      <w:rPr>
        <w:rFonts w:ascii="Symbol" w:hAnsi="Symbol" w:hint="default"/>
      </w:rPr>
    </w:lvl>
    <w:lvl w:ilvl="4" w:tplc="EA405EBC" w:tentative="1">
      <w:start w:val="1"/>
      <w:numFmt w:val="bullet"/>
      <w:lvlText w:val="o"/>
      <w:lvlJc w:val="left"/>
      <w:pPr>
        <w:ind w:left="3600" w:hanging="360"/>
      </w:pPr>
      <w:rPr>
        <w:rFonts w:ascii="Courier New" w:hAnsi="Courier New" w:cs="Courier New" w:hint="default"/>
      </w:rPr>
    </w:lvl>
    <w:lvl w:ilvl="5" w:tplc="D30C08BA" w:tentative="1">
      <w:start w:val="1"/>
      <w:numFmt w:val="bullet"/>
      <w:lvlText w:val=""/>
      <w:lvlJc w:val="left"/>
      <w:pPr>
        <w:ind w:left="4320" w:hanging="360"/>
      </w:pPr>
      <w:rPr>
        <w:rFonts w:ascii="Wingdings" w:hAnsi="Wingdings" w:hint="default"/>
      </w:rPr>
    </w:lvl>
    <w:lvl w:ilvl="6" w:tplc="2A8461FA" w:tentative="1">
      <w:start w:val="1"/>
      <w:numFmt w:val="bullet"/>
      <w:lvlText w:val=""/>
      <w:lvlJc w:val="left"/>
      <w:pPr>
        <w:ind w:left="5040" w:hanging="360"/>
      </w:pPr>
      <w:rPr>
        <w:rFonts w:ascii="Symbol" w:hAnsi="Symbol" w:hint="default"/>
      </w:rPr>
    </w:lvl>
    <w:lvl w:ilvl="7" w:tplc="07963F58" w:tentative="1">
      <w:start w:val="1"/>
      <w:numFmt w:val="bullet"/>
      <w:lvlText w:val="o"/>
      <w:lvlJc w:val="left"/>
      <w:pPr>
        <w:ind w:left="5760" w:hanging="360"/>
      </w:pPr>
      <w:rPr>
        <w:rFonts w:ascii="Courier New" w:hAnsi="Courier New" w:cs="Courier New" w:hint="default"/>
      </w:rPr>
    </w:lvl>
    <w:lvl w:ilvl="8" w:tplc="699E3100" w:tentative="1">
      <w:start w:val="1"/>
      <w:numFmt w:val="bullet"/>
      <w:lvlText w:val=""/>
      <w:lvlJc w:val="left"/>
      <w:pPr>
        <w:ind w:left="6480" w:hanging="360"/>
      </w:pPr>
      <w:rPr>
        <w:rFonts w:ascii="Wingdings" w:hAnsi="Wingdings" w:hint="default"/>
      </w:rPr>
    </w:lvl>
  </w:abstractNum>
  <w:abstractNum w:abstractNumId="19" w15:restartNumberingAfterBreak="0">
    <w:nsid w:val="737B04AF"/>
    <w:multiLevelType w:val="hybridMultilevel"/>
    <w:tmpl w:val="9668873C"/>
    <w:lvl w:ilvl="0" w:tplc="2CDA113E">
      <w:start w:val="1"/>
      <w:numFmt w:val="decimal"/>
      <w:lvlText w:val="%1."/>
      <w:lvlJc w:val="left"/>
      <w:pPr>
        <w:ind w:left="720" w:hanging="360"/>
      </w:pPr>
      <w:rPr>
        <w:rFonts w:hint="default"/>
      </w:rPr>
    </w:lvl>
    <w:lvl w:ilvl="1" w:tplc="C338C688" w:tentative="1">
      <w:start w:val="1"/>
      <w:numFmt w:val="bullet"/>
      <w:lvlText w:val="o"/>
      <w:lvlJc w:val="left"/>
      <w:pPr>
        <w:ind w:left="1440" w:hanging="360"/>
      </w:pPr>
      <w:rPr>
        <w:rFonts w:ascii="Courier New" w:hAnsi="Courier New" w:cs="Courier New" w:hint="default"/>
      </w:rPr>
    </w:lvl>
    <w:lvl w:ilvl="2" w:tplc="E90E6228" w:tentative="1">
      <w:start w:val="1"/>
      <w:numFmt w:val="bullet"/>
      <w:lvlText w:val=""/>
      <w:lvlJc w:val="left"/>
      <w:pPr>
        <w:ind w:left="2160" w:hanging="360"/>
      </w:pPr>
      <w:rPr>
        <w:rFonts w:ascii="Wingdings" w:hAnsi="Wingdings" w:hint="default"/>
      </w:rPr>
    </w:lvl>
    <w:lvl w:ilvl="3" w:tplc="F580C5C0" w:tentative="1">
      <w:start w:val="1"/>
      <w:numFmt w:val="bullet"/>
      <w:lvlText w:val=""/>
      <w:lvlJc w:val="left"/>
      <w:pPr>
        <w:ind w:left="2880" w:hanging="360"/>
      </w:pPr>
      <w:rPr>
        <w:rFonts w:ascii="Symbol" w:hAnsi="Symbol" w:hint="default"/>
      </w:rPr>
    </w:lvl>
    <w:lvl w:ilvl="4" w:tplc="F6304F28" w:tentative="1">
      <w:start w:val="1"/>
      <w:numFmt w:val="bullet"/>
      <w:lvlText w:val="o"/>
      <w:lvlJc w:val="left"/>
      <w:pPr>
        <w:ind w:left="3600" w:hanging="360"/>
      </w:pPr>
      <w:rPr>
        <w:rFonts w:ascii="Courier New" w:hAnsi="Courier New" w:cs="Courier New" w:hint="default"/>
      </w:rPr>
    </w:lvl>
    <w:lvl w:ilvl="5" w:tplc="08063270" w:tentative="1">
      <w:start w:val="1"/>
      <w:numFmt w:val="bullet"/>
      <w:lvlText w:val=""/>
      <w:lvlJc w:val="left"/>
      <w:pPr>
        <w:ind w:left="4320" w:hanging="360"/>
      </w:pPr>
      <w:rPr>
        <w:rFonts w:ascii="Wingdings" w:hAnsi="Wingdings" w:hint="default"/>
      </w:rPr>
    </w:lvl>
    <w:lvl w:ilvl="6" w:tplc="69D6AD9A" w:tentative="1">
      <w:start w:val="1"/>
      <w:numFmt w:val="bullet"/>
      <w:lvlText w:val=""/>
      <w:lvlJc w:val="left"/>
      <w:pPr>
        <w:ind w:left="5040" w:hanging="360"/>
      </w:pPr>
      <w:rPr>
        <w:rFonts w:ascii="Symbol" w:hAnsi="Symbol" w:hint="default"/>
      </w:rPr>
    </w:lvl>
    <w:lvl w:ilvl="7" w:tplc="97947F66" w:tentative="1">
      <w:start w:val="1"/>
      <w:numFmt w:val="bullet"/>
      <w:lvlText w:val="o"/>
      <w:lvlJc w:val="left"/>
      <w:pPr>
        <w:ind w:left="5760" w:hanging="360"/>
      </w:pPr>
      <w:rPr>
        <w:rFonts w:ascii="Courier New" w:hAnsi="Courier New" w:cs="Courier New" w:hint="default"/>
      </w:rPr>
    </w:lvl>
    <w:lvl w:ilvl="8" w:tplc="EC2E51A8" w:tentative="1">
      <w:start w:val="1"/>
      <w:numFmt w:val="bullet"/>
      <w:lvlText w:val=""/>
      <w:lvlJc w:val="left"/>
      <w:pPr>
        <w:ind w:left="6480" w:hanging="360"/>
      </w:pPr>
      <w:rPr>
        <w:rFonts w:ascii="Wingdings" w:hAnsi="Wingdings" w:hint="default"/>
      </w:rPr>
    </w:lvl>
  </w:abstractNum>
  <w:abstractNum w:abstractNumId="20" w15:restartNumberingAfterBreak="0">
    <w:nsid w:val="7D2F5106"/>
    <w:multiLevelType w:val="hybridMultilevel"/>
    <w:tmpl w:val="BF20D5B4"/>
    <w:lvl w:ilvl="0" w:tplc="26526944">
      <w:start w:val="1"/>
      <w:numFmt w:val="decimal"/>
      <w:lvlText w:val="%1."/>
      <w:lvlJc w:val="left"/>
      <w:pPr>
        <w:ind w:left="720" w:hanging="360"/>
      </w:pPr>
    </w:lvl>
    <w:lvl w:ilvl="1" w:tplc="E0F481A0" w:tentative="1">
      <w:start w:val="1"/>
      <w:numFmt w:val="lowerLetter"/>
      <w:lvlText w:val="%2."/>
      <w:lvlJc w:val="left"/>
      <w:pPr>
        <w:ind w:left="1440" w:hanging="360"/>
      </w:pPr>
    </w:lvl>
    <w:lvl w:ilvl="2" w:tplc="7C1CAD08" w:tentative="1">
      <w:start w:val="1"/>
      <w:numFmt w:val="lowerRoman"/>
      <w:lvlText w:val="%3."/>
      <w:lvlJc w:val="right"/>
      <w:pPr>
        <w:ind w:left="2160" w:hanging="180"/>
      </w:pPr>
    </w:lvl>
    <w:lvl w:ilvl="3" w:tplc="B7B8B5C6" w:tentative="1">
      <w:start w:val="1"/>
      <w:numFmt w:val="decimal"/>
      <w:lvlText w:val="%4."/>
      <w:lvlJc w:val="left"/>
      <w:pPr>
        <w:ind w:left="2880" w:hanging="360"/>
      </w:pPr>
    </w:lvl>
    <w:lvl w:ilvl="4" w:tplc="14A0BBA0" w:tentative="1">
      <w:start w:val="1"/>
      <w:numFmt w:val="lowerLetter"/>
      <w:lvlText w:val="%5."/>
      <w:lvlJc w:val="left"/>
      <w:pPr>
        <w:ind w:left="3600" w:hanging="360"/>
      </w:pPr>
    </w:lvl>
    <w:lvl w:ilvl="5" w:tplc="5B6EFB8A" w:tentative="1">
      <w:start w:val="1"/>
      <w:numFmt w:val="lowerRoman"/>
      <w:lvlText w:val="%6."/>
      <w:lvlJc w:val="right"/>
      <w:pPr>
        <w:ind w:left="4320" w:hanging="180"/>
      </w:pPr>
    </w:lvl>
    <w:lvl w:ilvl="6" w:tplc="753CD80E" w:tentative="1">
      <w:start w:val="1"/>
      <w:numFmt w:val="decimal"/>
      <w:lvlText w:val="%7."/>
      <w:lvlJc w:val="left"/>
      <w:pPr>
        <w:ind w:left="5040" w:hanging="360"/>
      </w:pPr>
    </w:lvl>
    <w:lvl w:ilvl="7" w:tplc="22404114" w:tentative="1">
      <w:start w:val="1"/>
      <w:numFmt w:val="lowerLetter"/>
      <w:lvlText w:val="%8."/>
      <w:lvlJc w:val="left"/>
      <w:pPr>
        <w:ind w:left="5760" w:hanging="360"/>
      </w:pPr>
    </w:lvl>
    <w:lvl w:ilvl="8" w:tplc="2F04FB90" w:tentative="1">
      <w:start w:val="1"/>
      <w:numFmt w:val="lowerRoman"/>
      <w:lvlText w:val="%9."/>
      <w:lvlJc w:val="right"/>
      <w:pPr>
        <w:ind w:left="6480" w:hanging="180"/>
      </w:pPr>
    </w:lvl>
  </w:abstractNum>
  <w:num w:numId="1">
    <w:abstractNumId w:val="14"/>
  </w:num>
  <w:num w:numId="2">
    <w:abstractNumId w:val="17"/>
  </w:num>
  <w:num w:numId="3">
    <w:abstractNumId w:val="12"/>
  </w:num>
  <w:num w:numId="4">
    <w:abstractNumId w:val="19"/>
  </w:num>
  <w:num w:numId="5">
    <w:abstractNumId w:val="3"/>
  </w:num>
  <w:num w:numId="6">
    <w:abstractNumId w:val="7"/>
  </w:num>
  <w:num w:numId="7">
    <w:abstractNumId w:val="18"/>
  </w:num>
  <w:num w:numId="8">
    <w:abstractNumId w:val="0"/>
  </w:num>
  <w:num w:numId="9">
    <w:abstractNumId w:val="11"/>
  </w:num>
  <w:num w:numId="10">
    <w:abstractNumId w:val="8"/>
  </w:num>
  <w:num w:numId="11">
    <w:abstractNumId w:val="10"/>
  </w:num>
  <w:num w:numId="12">
    <w:abstractNumId w:val="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
  </w:num>
  <w:num w:numId="16">
    <w:abstractNumId w:val="15"/>
  </w:num>
  <w:num w:numId="17">
    <w:abstractNumId w:val="2"/>
  </w:num>
  <w:num w:numId="18">
    <w:abstractNumId w:val="20"/>
  </w:num>
  <w:num w:numId="19">
    <w:abstractNumId w:val="9"/>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6AB"/>
    <w:rsid w:val="000320D1"/>
    <w:rsid w:val="000836B0"/>
    <w:rsid w:val="000B589E"/>
    <w:rsid w:val="000F63C3"/>
    <w:rsid w:val="00100A5B"/>
    <w:rsid w:val="0013651B"/>
    <w:rsid w:val="00175025"/>
    <w:rsid w:val="00183975"/>
    <w:rsid w:val="001B4901"/>
    <w:rsid w:val="001D48CA"/>
    <w:rsid w:val="001E2E62"/>
    <w:rsid w:val="001E6B8C"/>
    <w:rsid w:val="001F3129"/>
    <w:rsid w:val="00236EFD"/>
    <w:rsid w:val="0028091F"/>
    <w:rsid w:val="002F48E8"/>
    <w:rsid w:val="00351933"/>
    <w:rsid w:val="00400428"/>
    <w:rsid w:val="004B0BE6"/>
    <w:rsid w:val="00516831"/>
    <w:rsid w:val="00533914"/>
    <w:rsid w:val="005652A1"/>
    <w:rsid w:val="005772ED"/>
    <w:rsid w:val="005976AB"/>
    <w:rsid w:val="005C4D38"/>
    <w:rsid w:val="006130F2"/>
    <w:rsid w:val="00634164"/>
    <w:rsid w:val="00641534"/>
    <w:rsid w:val="0065605C"/>
    <w:rsid w:val="00695C59"/>
    <w:rsid w:val="006B7157"/>
    <w:rsid w:val="006C6E56"/>
    <w:rsid w:val="006D6DEA"/>
    <w:rsid w:val="006D7B0A"/>
    <w:rsid w:val="006E5500"/>
    <w:rsid w:val="0070715D"/>
    <w:rsid w:val="00745B88"/>
    <w:rsid w:val="00772E15"/>
    <w:rsid w:val="007A3C39"/>
    <w:rsid w:val="007A4C75"/>
    <w:rsid w:val="007B4460"/>
    <w:rsid w:val="007D6E31"/>
    <w:rsid w:val="00800FDA"/>
    <w:rsid w:val="0081057A"/>
    <w:rsid w:val="00812035"/>
    <w:rsid w:val="008B555A"/>
    <w:rsid w:val="008F5672"/>
    <w:rsid w:val="00910E95"/>
    <w:rsid w:val="00911208"/>
    <w:rsid w:val="0092151E"/>
    <w:rsid w:val="00922F27"/>
    <w:rsid w:val="00954321"/>
    <w:rsid w:val="0099505E"/>
    <w:rsid w:val="009D6857"/>
    <w:rsid w:val="00A156D6"/>
    <w:rsid w:val="00A218C1"/>
    <w:rsid w:val="00A64C37"/>
    <w:rsid w:val="00A82302"/>
    <w:rsid w:val="00AC023D"/>
    <w:rsid w:val="00AC37AF"/>
    <w:rsid w:val="00AD6E14"/>
    <w:rsid w:val="00B431FC"/>
    <w:rsid w:val="00B907B5"/>
    <w:rsid w:val="00C23918"/>
    <w:rsid w:val="00C703C9"/>
    <w:rsid w:val="00C7231A"/>
    <w:rsid w:val="00C76B7A"/>
    <w:rsid w:val="00CE44E7"/>
    <w:rsid w:val="00D37F84"/>
    <w:rsid w:val="00D417BB"/>
    <w:rsid w:val="00D73F8E"/>
    <w:rsid w:val="00E62A89"/>
    <w:rsid w:val="00EA3EB5"/>
    <w:rsid w:val="00F25757"/>
    <w:rsid w:val="00F50021"/>
    <w:rsid w:val="00F63770"/>
    <w:rsid w:val="00F73D5D"/>
    <w:rsid w:val="00F97A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E666"/>
  <w15:chartTrackingRefBased/>
  <w15:docId w15:val="{85AE8143-B2DD-46A0-9BD3-96DDE63D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6AB"/>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5976A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76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76A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976AB"/>
    <w:pPr>
      <w:keepNext/>
      <w:keepLines/>
      <w:spacing w:before="40" w:line="256"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5976A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976AB"/>
    <w:pPr>
      <w:keepNext/>
      <w:keepLines/>
      <w:spacing w:before="40" w:line="256" w:lineRule="auto"/>
      <w:outlineLvl w:val="5"/>
    </w:pPr>
    <w:rPr>
      <w:rFonts w:asciiTheme="majorHAnsi" w:eastAsiaTheme="majorEastAsia" w:hAnsiTheme="majorHAnsi" w:cstheme="majorBidi"/>
      <w:color w:val="1F3763" w:themeColor="accent1" w:themeShade="7F"/>
      <w:sz w:val="22"/>
      <w:szCs w:val="22"/>
    </w:rPr>
  </w:style>
  <w:style w:type="paragraph" w:styleId="Heading7">
    <w:name w:val="heading 7"/>
    <w:basedOn w:val="Normal"/>
    <w:next w:val="Normal"/>
    <w:link w:val="Heading7Char"/>
    <w:uiPriority w:val="9"/>
    <w:semiHidden/>
    <w:unhideWhenUsed/>
    <w:qFormat/>
    <w:rsid w:val="005976AB"/>
    <w:pPr>
      <w:keepNext/>
      <w:keepLines/>
      <w:spacing w:before="40" w:line="256" w:lineRule="auto"/>
      <w:outlineLvl w:val="6"/>
    </w:pPr>
    <w:rPr>
      <w:rFonts w:asciiTheme="majorHAnsi" w:eastAsiaTheme="majorEastAsia" w:hAnsiTheme="majorHAnsi" w:cstheme="majorBidi"/>
      <w:i/>
      <w:iCs/>
      <w:color w:val="1F3763" w:themeColor="accent1" w:themeShade="7F"/>
      <w:sz w:val="22"/>
      <w:szCs w:val="22"/>
    </w:rPr>
  </w:style>
  <w:style w:type="paragraph" w:styleId="Heading8">
    <w:name w:val="heading 8"/>
    <w:basedOn w:val="Normal"/>
    <w:next w:val="Normal"/>
    <w:link w:val="Heading8Char"/>
    <w:uiPriority w:val="9"/>
    <w:semiHidden/>
    <w:unhideWhenUsed/>
    <w:qFormat/>
    <w:rsid w:val="005976AB"/>
    <w:pPr>
      <w:keepNext/>
      <w:keepLines/>
      <w:spacing w:before="40" w:line="25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976AB"/>
    <w:pPr>
      <w:keepNext/>
      <w:keepLines/>
      <w:spacing w:before="40" w:line="25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6AB"/>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5976AB"/>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5976AB"/>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5976AB"/>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5976AB"/>
    <w:rPr>
      <w:rFonts w:asciiTheme="majorHAnsi" w:eastAsiaTheme="majorEastAsia" w:hAnsiTheme="majorHAnsi" w:cstheme="majorBidi"/>
      <w:color w:val="2F5496" w:themeColor="accent1" w:themeShade="BF"/>
      <w:kern w:val="0"/>
      <w:sz w:val="24"/>
      <w:szCs w:val="24"/>
      <w14:ligatures w14:val="none"/>
    </w:rPr>
  </w:style>
  <w:style w:type="character" w:customStyle="1" w:styleId="Heading6Char">
    <w:name w:val="Heading 6 Char"/>
    <w:basedOn w:val="DefaultParagraphFont"/>
    <w:link w:val="Heading6"/>
    <w:uiPriority w:val="9"/>
    <w:semiHidden/>
    <w:rsid w:val="005976AB"/>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5976AB"/>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5976AB"/>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5976AB"/>
    <w:rPr>
      <w:rFonts w:asciiTheme="majorHAnsi" w:eastAsiaTheme="majorEastAsia" w:hAnsiTheme="majorHAnsi" w:cstheme="majorBidi"/>
      <w:i/>
      <w:iCs/>
      <w:color w:val="272727" w:themeColor="text1" w:themeTint="D8"/>
      <w:kern w:val="0"/>
      <w:sz w:val="21"/>
      <w:szCs w:val="21"/>
      <w14:ligatures w14:val="none"/>
    </w:rPr>
  </w:style>
  <w:style w:type="paragraph" w:styleId="Header">
    <w:name w:val="header"/>
    <w:basedOn w:val="Normal"/>
    <w:link w:val="HeaderChar"/>
    <w:uiPriority w:val="99"/>
    <w:unhideWhenUsed/>
    <w:rsid w:val="005976AB"/>
    <w:pPr>
      <w:tabs>
        <w:tab w:val="center" w:pos="4513"/>
        <w:tab w:val="right" w:pos="9026"/>
      </w:tabs>
    </w:pPr>
  </w:style>
  <w:style w:type="character" w:customStyle="1" w:styleId="HeaderChar">
    <w:name w:val="Header Char"/>
    <w:basedOn w:val="DefaultParagraphFont"/>
    <w:link w:val="Header"/>
    <w:uiPriority w:val="99"/>
    <w:rsid w:val="005976AB"/>
    <w:rPr>
      <w:kern w:val="0"/>
      <w:sz w:val="24"/>
      <w:szCs w:val="24"/>
      <w14:ligatures w14:val="none"/>
    </w:rPr>
  </w:style>
  <w:style w:type="paragraph" w:styleId="Footer">
    <w:name w:val="footer"/>
    <w:basedOn w:val="Normal"/>
    <w:link w:val="FooterChar"/>
    <w:uiPriority w:val="99"/>
    <w:unhideWhenUsed/>
    <w:rsid w:val="005976AB"/>
    <w:pPr>
      <w:tabs>
        <w:tab w:val="center" w:pos="4513"/>
        <w:tab w:val="right" w:pos="9026"/>
      </w:tabs>
    </w:pPr>
  </w:style>
  <w:style w:type="character" w:customStyle="1" w:styleId="FooterChar">
    <w:name w:val="Footer Char"/>
    <w:basedOn w:val="DefaultParagraphFont"/>
    <w:link w:val="Footer"/>
    <w:uiPriority w:val="99"/>
    <w:rsid w:val="005976AB"/>
    <w:rPr>
      <w:kern w:val="0"/>
      <w:sz w:val="24"/>
      <w:szCs w:val="24"/>
      <w14:ligatures w14:val="none"/>
    </w:rPr>
  </w:style>
  <w:style w:type="character" w:styleId="PageNumber">
    <w:name w:val="page number"/>
    <w:basedOn w:val="DefaultParagraphFont"/>
    <w:uiPriority w:val="99"/>
    <w:semiHidden/>
    <w:unhideWhenUsed/>
    <w:rsid w:val="005976AB"/>
  </w:style>
  <w:style w:type="paragraph" w:styleId="Caption">
    <w:name w:val="caption"/>
    <w:basedOn w:val="Normal"/>
    <w:next w:val="Normal"/>
    <w:uiPriority w:val="35"/>
    <w:unhideWhenUsed/>
    <w:qFormat/>
    <w:rsid w:val="005976AB"/>
    <w:pPr>
      <w:spacing w:after="200"/>
    </w:pPr>
    <w:rPr>
      <w:i/>
      <w:iCs/>
      <w:color w:val="44546A" w:themeColor="text2"/>
      <w:sz w:val="18"/>
      <w:szCs w:val="18"/>
    </w:rPr>
  </w:style>
  <w:style w:type="table" w:styleId="TableGrid">
    <w:name w:val="Table Grid"/>
    <w:basedOn w:val="TableNormal"/>
    <w:uiPriority w:val="39"/>
    <w:rsid w:val="005976AB"/>
    <w:pPr>
      <w:spacing w:after="0" w:line="240" w:lineRule="auto"/>
    </w:pPr>
    <w:rPr>
      <w:kern w:val="0"/>
      <w:sz w:val="24"/>
      <w:szCs w:val="24"/>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5976AB"/>
    <w:pPr>
      <w:spacing w:after="0" w:line="240" w:lineRule="auto"/>
    </w:pPr>
    <w:rPr>
      <w:kern w:val="0"/>
      <w:sz w:val="24"/>
      <w:szCs w:val="24"/>
      <w:lang w:val="en-IE"/>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5976AB"/>
    <w:rPr>
      <w:color w:val="0000FF"/>
      <w:u w:val="single"/>
    </w:rPr>
  </w:style>
  <w:style w:type="character" w:customStyle="1" w:styleId="UnresolvedMention1">
    <w:name w:val="Unresolved Mention1"/>
    <w:basedOn w:val="DefaultParagraphFont"/>
    <w:uiPriority w:val="99"/>
    <w:semiHidden/>
    <w:unhideWhenUsed/>
    <w:rsid w:val="005976AB"/>
    <w:rPr>
      <w:color w:val="605E5C"/>
      <w:shd w:val="clear" w:color="auto" w:fill="E1DFDD"/>
    </w:rPr>
  </w:style>
  <w:style w:type="table" w:customStyle="1" w:styleId="PlainTable21">
    <w:name w:val="Plain Table 21"/>
    <w:basedOn w:val="TableNormal"/>
    <w:uiPriority w:val="42"/>
    <w:rsid w:val="005976AB"/>
    <w:pPr>
      <w:spacing w:after="0" w:line="240" w:lineRule="auto"/>
    </w:pPr>
    <w:rPr>
      <w:kern w:val="0"/>
      <w:sz w:val="24"/>
      <w:szCs w:val="24"/>
      <w:lang w:val="en-IE"/>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5976AB"/>
    <w:pPr>
      <w:spacing w:after="0" w:line="240" w:lineRule="auto"/>
    </w:pPr>
    <w:rPr>
      <w:kern w:val="0"/>
      <w:sz w:val="24"/>
      <w:szCs w:val="24"/>
      <w:lang w:val="en-I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5976AB"/>
    <w:pPr>
      <w:spacing w:after="0" w:line="240" w:lineRule="auto"/>
    </w:pPr>
    <w:rPr>
      <w:kern w:val="0"/>
      <w:sz w:val="24"/>
      <w:szCs w:val="24"/>
      <w:lang w:val="en-IE"/>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5976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76AB"/>
    <w:rPr>
      <w:rFonts w:ascii="Times New Roman" w:hAnsi="Times New Roman" w:cs="Times New Roman"/>
      <w:kern w:val="0"/>
      <w:sz w:val="18"/>
      <w:szCs w:val="18"/>
      <w14:ligatures w14:val="none"/>
    </w:rPr>
  </w:style>
  <w:style w:type="paragraph" w:styleId="Bibliography">
    <w:name w:val="Bibliography"/>
    <w:basedOn w:val="Normal"/>
    <w:next w:val="Normal"/>
    <w:uiPriority w:val="37"/>
    <w:semiHidden/>
    <w:unhideWhenUsed/>
    <w:rsid w:val="005976AB"/>
    <w:pPr>
      <w:spacing w:after="160" w:line="259" w:lineRule="auto"/>
    </w:pPr>
    <w:rPr>
      <w:sz w:val="22"/>
      <w:szCs w:val="22"/>
    </w:rPr>
  </w:style>
  <w:style w:type="paragraph" w:styleId="NormalWeb">
    <w:name w:val="Normal (Web)"/>
    <w:basedOn w:val="Normal"/>
    <w:uiPriority w:val="99"/>
    <w:semiHidden/>
    <w:unhideWhenUsed/>
    <w:rsid w:val="005976AB"/>
    <w:pPr>
      <w:spacing w:before="100" w:beforeAutospacing="1" w:after="100" w:afterAutospacing="1"/>
    </w:pPr>
    <w:rPr>
      <w:rFonts w:ascii="Times New Roman" w:eastAsia="Times New Roman" w:hAnsi="Times New Roman" w:cs="Times New Roman"/>
    </w:rPr>
  </w:style>
  <w:style w:type="paragraph" w:styleId="ListParagraph">
    <w:name w:val="List Paragraph"/>
    <w:aliases w:val="본문1"/>
    <w:basedOn w:val="Normal"/>
    <w:link w:val="ListParagraphChar"/>
    <w:uiPriority w:val="34"/>
    <w:qFormat/>
    <w:rsid w:val="005976AB"/>
    <w:pPr>
      <w:ind w:left="720"/>
      <w:contextualSpacing/>
    </w:pPr>
  </w:style>
  <w:style w:type="character" w:styleId="Emphasis">
    <w:name w:val="Emphasis"/>
    <w:basedOn w:val="DefaultParagraphFont"/>
    <w:uiPriority w:val="20"/>
    <w:qFormat/>
    <w:rsid w:val="005976AB"/>
    <w:rPr>
      <w:i/>
      <w:iCs/>
    </w:rPr>
  </w:style>
  <w:style w:type="paragraph" w:customStyle="1" w:styleId="Heading">
    <w:name w:val="Heading"/>
    <w:basedOn w:val="Normal"/>
    <w:next w:val="BodyText"/>
    <w:qFormat/>
    <w:rsid w:val="005976AB"/>
    <w:pPr>
      <w:keepNext/>
      <w:spacing w:before="240" w:after="120"/>
    </w:pPr>
    <w:rPr>
      <w:rFonts w:ascii="Liberation Sans" w:eastAsia="Noto Sans CJK SC Regular" w:hAnsi="Liberation Sans" w:cs="FreeSans"/>
      <w:sz w:val="28"/>
      <w:szCs w:val="28"/>
      <w:lang w:val="en-GB" w:eastAsia="en-GB"/>
    </w:rPr>
  </w:style>
  <w:style w:type="paragraph" w:styleId="BodyText">
    <w:name w:val="Body Text"/>
    <w:basedOn w:val="Normal"/>
    <w:link w:val="BodyTextChar"/>
    <w:uiPriority w:val="99"/>
    <w:semiHidden/>
    <w:unhideWhenUsed/>
    <w:rsid w:val="005976AB"/>
    <w:pPr>
      <w:spacing w:after="120"/>
    </w:pPr>
  </w:style>
  <w:style w:type="character" w:customStyle="1" w:styleId="BodyTextChar">
    <w:name w:val="Body Text Char"/>
    <w:basedOn w:val="DefaultParagraphFont"/>
    <w:link w:val="BodyText"/>
    <w:uiPriority w:val="99"/>
    <w:semiHidden/>
    <w:rsid w:val="005976AB"/>
    <w:rPr>
      <w:kern w:val="0"/>
      <w:sz w:val="24"/>
      <w:szCs w:val="24"/>
      <w14:ligatures w14:val="none"/>
    </w:rPr>
  </w:style>
  <w:style w:type="character" w:customStyle="1" w:styleId="ListParagraphChar">
    <w:name w:val="List Paragraph Char"/>
    <w:aliases w:val="본문1 Char"/>
    <w:link w:val="ListParagraph"/>
    <w:uiPriority w:val="34"/>
    <w:locked/>
    <w:rsid w:val="005976AB"/>
    <w:rPr>
      <w:kern w:val="0"/>
      <w:sz w:val="24"/>
      <w:szCs w:val="24"/>
      <w14:ligatures w14:val="none"/>
    </w:rPr>
  </w:style>
  <w:style w:type="character" w:customStyle="1" w:styleId="apple-converted-space">
    <w:name w:val="apple-converted-space"/>
    <w:basedOn w:val="DefaultParagraphFont"/>
    <w:rsid w:val="005976AB"/>
  </w:style>
  <w:style w:type="table" w:styleId="GridTable1Light">
    <w:name w:val="Grid Table 1 Light"/>
    <w:basedOn w:val="TableNormal"/>
    <w:uiPriority w:val="46"/>
    <w:rsid w:val="005976AB"/>
    <w:pPr>
      <w:spacing w:after="0" w:line="240" w:lineRule="auto"/>
    </w:pPr>
    <w:rPr>
      <w:kern w:val="0"/>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5976AB"/>
    <w:rPr>
      <w:color w:val="954F72" w:themeColor="followedHyperlink"/>
      <w:u w:val="single"/>
    </w:rPr>
  </w:style>
  <w:style w:type="character" w:styleId="UnresolvedMention">
    <w:name w:val="Unresolved Mention"/>
    <w:basedOn w:val="DefaultParagraphFont"/>
    <w:uiPriority w:val="99"/>
    <w:semiHidden/>
    <w:unhideWhenUsed/>
    <w:rsid w:val="005976AB"/>
    <w:rPr>
      <w:color w:val="605E5C"/>
      <w:shd w:val="clear" w:color="auto" w:fill="E1DFDD"/>
    </w:rPr>
  </w:style>
  <w:style w:type="character" w:customStyle="1" w:styleId="t25">
    <w:name w:val="t25"/>
    <w:basedOn w:val="DefaultParagraphFont"/>
    <w:rsid w:val="005976AB"/>
  </w:style>
  <w:style w:type="character" w:customStyle="1" w:styleId="t26">
    <w:name w:val="t26"/>
    <w:basedOn w:val="DefaultParagraphFont"/>
    <w:rsid w:val="005976AB"/>
  </w:style>
  <w:style w:type="character" w:customStyle="1" w:styleId="t29">
    <w:name w:val="t29"/>
    <w:basedOn w:val="DefaultParagraphFont"/>
    <w:rsid w:val="005976AB"/>
  </w:style>
  <w:style w:type="character" w:customStyle="1" w:styleId="t40">
    <w:name w:val="t40"/>
    <w:basedOn w:val="DefaultParagraphFont"/>
    <w:rsid w:val="005976AB"/>
  </w:style>
  <w:style w:type="character" w:customStyle="1" w:styleId="t41">
    <w:name w:val="t41"/>
    <w:basedOn w:val="DefaultParagraphFont"/>
    <w:rsid w:val="005976AB"/>
  </w:style>
  <w:style w:type="character" w:customStyle="1" w:styleId="ff8">
    <w:name w:val="ff8"/>
    <w:basedOn w:val="DefaultParagraphFont"/>
    <w:rsid w:val="005976AB"/>
  </w:style>
  <w:style w:type="character" w:customStyle="1" w:styleId="ws38e">
    <w:name w:val="ws38e"/>
    <w:basedOn w:val="DefaultParagraphFont"/>
    <w:rsid w:val="005976AB"/>
  </w:style>
  <w:style w:type="character" w:customStyle="1" w:styleId="lsf1">
    <w:name w:val="lsf1"/>
    <w:basedOn w:val="DefaultParagraphFont"/>
    <w:rsid w:val="005976AB"/>
  </w:style>
  <w:style w:type="character" w:customStyle="1" w:styleId="ff7">
    <w:name w:val="ff7"/>
    <w:basedOn w:val="DefaultParagraphFont"/>
    <w:rsid w:val="005976AB"/>
  </w:style>
  <w:style w:type="character" w:customStyle="1" w:styleId="ff6">
    <w:name w:val="ff6"/>
    <w:basedOn w:val="DefaultParagraphFont"/>
    <w:rsid w:val="005976AB"/>
  </w:style>
  <w:style w:type="table" w:customStyle="1" w:styleId="TableGrid1">
    <w:name w:val="Table Grid1"/>
    <w:basedOn w:val="TableNormal"/>
    <w:next w:val="TableGrid"/>
    <w:uiPriority w:val="59"/>
    <w:rsid w:val="005976AB"/>
    <w:pPr>
      <w:spacing w:after="0" w:line="240" w:lineRule="auto"/>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Heading11">
    <w:name w:val="P68B1DB1-Heading11"/>
    <w:basedOn w:val="Heading1"/>
    <w:rsid w:val="005976AB"/>
    <w:pPr>
      <w:bidi/>
    </w:pPr>
    <w:rPr>
      <w:rFonts w:asciiTheme="minorHAnsi" w:hAnsiTheme="minorHAnsi" w:cstheme="minorHAnsi"/>
      <w:b/>
      <w:color w:val="1F4E79" w:themeColor="accent5" w:themeShade="80"/>
      <w:sz w:val="28"/>
      <w:szCs w:val="20"/>
      <w:rtl/>
    </w:rPr>
  </w:style>
  <w:style w:type="paragraph" w:customStyle="1" w:styleId="P68B1DB1-Normal2">
    <w:name w:val="P68B1DB1-Normal2"/>
    <w:basedOn w:val="Normal"/>
    <w:rsid w:val="005976AB"/>
    <w:pPr>
      <w:bidi/>
    </w:pPr>
    <w:rPr>
      <w:rFonts w:eastAsia="Times New Roman" w:cstheme="minorHAnsi"/>
      <w:color w:val="222222"/>
      <w:sz w:val="22"/>
      <w:szCs w:val="20"/>
      <w:rtl/>
    </w:rPr>
  </w:style>
  <w:style w:type="paragraph" w:customStyle="1" w:styleId="P68B1DB1-Normal3">
    <w:name w:val="P68B1DB1-Normal3"/>
    <w:basedOn w:val="Normal"/>
    <w:rsid w:val="005976AB"/>
    <w:pPr>
      <w:bidi/>
    </w:pPr>
    <w:rPr>
      <w:rFonts w:eastAsia="Times New Roman" w:cstheme="minorHAnsi"/>
      <w:sz w:val="22"/>
      <w:szCs w:val="20"/>
      <w:rtl/>
    </w:rPr>
  </w:style>
  <w:style w:type="paragraph" w:customStyle="1" w:styleId="P68B1DB1-Normal4">
    <w:name w:val="P68B1DB1-Normal4"/>
    <w:basedOn w:val="Normal"/>
    <w:rsid w:val="005976AB"/>
    <w:pPr>
      <w:bidi/>
    </w:pPr>
    <w:rPr>
      <w:rFonts w:eastAsia="Times New Roman" w:cstheme="minorHAnsi"/>
      <w:b/>
      <w:i/>
      <w:sz w:val="22"/>
      <w:szCs w:val="20"/>
      <w:rtl/>
    </w:rPr>
  </w:style>
  <w:style w:type="paragraph" w:customStyle="1" w:styleId="P68B1DB1-Normal5">
    <w:name w:val="P68B1DB1-Normal5"/>
    <w:basedOn w:val="Normal"/>
    <w:rsid w:val="005976AB"/>
    <w:pPr>
      <w:bidi/>
    </w:pPr>
    <w:rPr>
      <w:rFonts w:eastAsia="Times New Roman" w:cstheme="minorHAnsi"/>
      <w:b/>
      <w:sz w:val="22"/>
      <w:szCs w:val="20"/>
      <w:rtl/>
    </w:rPr>
  </w:style>
  <w:style w:type="paragraph" w:customStyle="1" w:styleId="P68B1DB1-Normal6">
    <w:name w:val="P68B1DB1-Normal6"/>
    <w:basedOn w:val="Normal"/>
    <w:rsid w:val="005976AB"/>
    <w:pPr>
      <w:bidi/>
    </w:pPr>
    <w:rPr>
      <w:rFonts w:eastAsia="Times New Roman" w:cstheme="minorHAnsi"/>
      <w:b/>
      <w:color w:val="000000"/>
      <w:sz w:val="28"/>
      <w:szCs w:val="20"/>
      <w:rtl/>
    </w:rPr>
  </w:style>
  <w:style w:type="paragraph" w:customStyle="1" w:styleId="P68B1DB1-Normal7">
    <w:name w:val="P68B1DB1-Normal7"/>
    <w:basedOn w:val="Normal"/>
    <w:rsid w:val="005976AB"/>
    <w:pPr>
      <w:bidi/>
    </w:pPr>
    <w:rPr>
      <w:rFonts w:cstheme="minorHAnsi"/>
      <w:sz w:val="22"/>
      <w:szCs w:val="20"/>
      <w:rtl/>
    </w:rPr>
  </w:style>
  <w:style w:type="paragraph" w:customStyle="1" w:styleId="P68B1DB1-ListParagraph8">
    <w:name w:val="P68B1DB1-ListParagraph8"/>
    <w:basedOn w:val="ListParagraph"/>
    <w:rsid w:val="005976AB"/>
    <w:pPr>
      <w:bidi/>
    </w:pPr>
    <w:rPr>
      <w:rFonts w:eastAsia="Times New Roman" w:cstheme="minorHAnsi"/>
      <w:sz w:val="22"/>
      <w:szCs w:val="20"/>
      <w:rtl/>
    </w:rPr>
  </w:style>
  <w:style w:type="paragraph" w:customStyle="1" w:styleId="P68B1DB1-Normal9">
    <w:name w:val="P68B1DB1-Normal9"/>
    <w:basedOn w:val="Normal"/>
    <w:rsid w:val="005976AB"/>
    <w:pPr>
      <w:bidi/>
    </w:pPr>
    <w:rPr>
      <w:rFonts w:eastAsia="Calibri" w:cstheme="minorHAnsi"/>
      <w:sz w:val="22"/>
      <w:szCs w:val="20"/>
      <w:rtl/>
    </w:rPr>
  </w:style>
  <w:style w:type="paragraph" w:customStyle="1" w:styleId="P68B1DB1-Normal10">
    <w:name w:val="P68B1DB1-Normal10"/>
    <w:basedOn w:val="Normal"/>
    <w:rsid w:val="005976AB"/>
    <w:pPr>
      <w:bidi/>
    </w:pPr>
    <w:rPr>
      <w:rFonts w:eastAsia="Times New Roman" w:cstheme="minorHAnsi"/>
      <w:i/>
      <w:sz w:val="22"/>
      <w:szCs w:val="20"/>
      <w:rtl/>
    </w:rPr>
  </w:style>
  <w:style w:type="paragraph" w:customStyle="1" w:styleId="P68B1DB1-Normal11">
    <w:name w:val="P68B1DB1-Normal11"/>
    <w:basedOn w:val="Normal"/>
    <w:rsid w:val="005976AB"/>
    <w:pPr>
      <w:bidi/>
    </w:pPr>
    <w:rPr>
      <w:rFonts w:eastAsia="Times New Roman" w:cstheme="minorHAnsi"/>
      <w:sz w:val="20"/>
      <w:szCs w:val="20"/>
      <w:rtl/>
    </w:rPr>
  </w:style>
  <w:style w:type="paragraph" w:customStyle="1" w:styleId="P68B1DB1-Normal12">
    <w:name w:val="P68B1DB1-Normal12"/>
    <w:basedOn w:val="Normal"/>
    <w:rsid w:val="005976AB"/>
    <w:pPr>
      <w:bidi/>
    </w:pPr>
    <w:rPr>
      <w:rFonts w:eastAsia="Times New Roman" w:cstheme="minorHAnsi"/>
      <w:color w:val="000000"/>
      <w:sz w:val="22"/>
      <w:szCs w:val="20"/>
      <w:rtl/>
    </w:rPr>
  </w:style>
  <w:style w:type="paragraph" w:customStyle="1" w:styleId="P68B1DB1-Normal13">
    <w:name w:val="P68B1DB1-Normal13"/>
    <w:basedOn w:val="Normal"/>
    <w:rsid w:val="005976AB"/>
    <w:pPr>
      <w:bidi/>
    </w:pPr>
    <w:rPr>
      <w:rFonts w:eastAsia="Times New Roman" w:cstheme="minorHAnsi"/>
      <w:i/>
      <w:szCs w:val="20"/>
      <w:rtl/>
    </w:rPr>
  </w:style>
  <w:style w:type="character" w:styleId="CommentReference">
    <w:name w:val="annotation reference"/>
    <w:basedOn w:val="DefaultParagraphFont"/>
    <w:uiPriority w:val="99"/>
    <w:semiHidden/>
    <w:unhideWhenUsed/>
    <w:rsid w:val="005976AB"/>
    <w:rPr>
      <w:sz w:val="16"/>
      <w:szCs w:val="16"/>
    </w:rPr>
  </w:style>
  <w:style w:type="paragraph" w:styleId="CommentText">
    <w:name w:val="annotation text"/>
    <w:basedOn w:val="Normal"/>
    <w:link w:val="CommentTextChar"/>
    <w:uiPriority w:val="99"/>
    <w:unhideWhenUsed/>
    <w:rsid w:val="005976AB"/>
    <w:rPr>
      <w:sz w:val="20"/>
      <w:szCs w:val="20"/>
    </w:rPr>
  </w:style>
  <w:style w:type="character" w:customStyle="1" w:styleId="CommentTextChar">
    <w:name w:val="Comment Text Char"/>
    <w:basedOn w:val="DefaultParagraphFont"/>
    <w:link w:val="CommentText"/>
    <w:uiPriority w:val="99"/>
    <w:rsid w:val="005976A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976AB"/>
    <w:rPr>
      <w:b/>
      <w:bCs/>
    </w:rPr>
  </w:style>
  <w:style w:type="character" w:customStyle="1" w:styleId="CommentSubjectChar">
    <w:name w:val="Comment Subject Char"/>
    <w:basedOn w:val="CommentTextChar"/>
    <w:link w:val="CommentSubject"/>
    <w:uiPriority w:val="99"/>
    <w:semiHidden/>
    <w:rsid w:val="005976AB"/>
    <w:rPr>
      <w:b/>
      <w:bCs/>
      <w:kern w:val="0"/>
      <w:sz w:val="20"/>
      <w:szCs w:val="20"/>
      <w14:ligatures w14:val="none"/>
    </w:rPr>
  </w:style>
  <w:style w:type="paragraph" w:customStyle="1" w:styleId="Default">
    <w:name w:val="Default"/>
    <w:rsid w:val="005976AB"/>
    <w:pPr>
      <w:autoSpaceDE w:val="0"/>
      <w:autoSpaceDN w:val="0"/>
      <w:adjustRightInd w:val="0"/>
      <w:spacing w:after="0" w:line="240" w:lineRule="auto"/>
    </w:pPr>
    <w:rPr>
      <w:rFonts w:ascii="Times New Roman" w:hAnsi="Times New Roman" w:cs="Times New Roman"/>
      <w:color w:val="000000"/>
      <w:kern w:val="0"/>
      <w:sz w:val="24"/>
      <w:szCs w:val="24"/>
      <w:lang w:val="en-GB"/>
      <w14:ligatures w14:val="none"/>
    </w:rPr>
  </w:style>
  <w:style w:type="paragraph" w:styleId="TableofFigures">
    <w:name w:val="table of figures"/>
    <w:basedOn w:val="Normal"/>
    <w:next w:val="Normal"/>
    <w:uiPriority w:val="99"/>
    <w:unhideWhenUsed/>
    <w:rsid w:val="005976AB"/>
  </w:style>
  <w:style w:type="paragraph" w:styleId="TOCHeading">
    <w:name w:val="TOC Heading"/>
    <w:basedOn w:val="Heading1"/>
    <w:next w:val="Normal"/>
    <w:uiPriority w:val="39"/>
    <w:unhideWhenUsed/>
    <w:qFormat/>
    <w:rsid w:val="005976AB"/>
    <w:pPr>
      <w:spacing w:line="259" w:lineRule="auto"/>
      <w:outlineLvl w:val="9"/>
    </w:pPr>
  </w:style>
  <w:style w:type="paragraph" w:styleId="TOC1">
    <w:name w:val="toc 1"/>
    <w:basedOn w:val="Normal"/>
    <w:next w:val="Normal"/>
    <w:autoRedefine/>
    <w:uiPriority w:val="39"/>
    <w:unhideWhenUsed/>
    <w:rsid w:val="005976AB"/>
    <w:pPr>
      <w:tabs>
        <w:tab w:val="right" w:leader="dot" w:pos="9016"/>
      </w:tabs>
      <w:spacing w:after="100"/>
    </w:pPr>
  </w:style>
  <w:style w:type="paragraph" w:styleId="TOC2">
    <w:name w:val="toc 2"/>
    <w:basedOn w:val="Normal"/>
    <w:next w:val="Normal"/>
    <w:autoRedefine/>
    <w:uiPriority w:val="39"/>
    <w:unhideWhenUsed/>
    <w:rsid w:val="005976AB"/>
    <w:pPr>
      <w:spacing w:after="100"/>
      <w:ind w:left="240"/>
    </w:pPr>
  </w:style>
  <w:style w:type="paragraph" w:styleId="TOC3">
    <w:name w:val="toc 3"/>
    <w:basedOn w:val="Normal"/>
    <w:next w:val="Normal"/>
    <w:autoRedefine/>
    <w:uiPriority w:val="39"/>
    <w:unhideWhenUsed/>
    <w:rsid w:val="005976AB"/>
    <w:pPr>
      <w:spacing w:after="100"/>
      <w:ind w:left="480"/>
    </w:pPr>
  </w:style>
  <w:style w:type="paragraph" w:styleId="Revision">
    <w:name w:val="Revision"/>
    <w:hidden/>
    <w:uiPriority w:val="99"/>
    <w:semiHidden/>
    <w:rsid w:val="005976AB"/>
    <w:pPr>
      <w:spacing w:after="0" w:line="240" w:lineRule="auto"/>
    </w:pPr>
    <w:rPr>
      <w:kern w:val="0"/>
      <w:sz w:val="24"/>
      <w:szCs w:val="24"/>
      <w:lang w:val="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merald.com/insight/search?q=Ramsha%20Zakariya" TargetMode="External"/><Relationship Id="rId26" Type="http://schemas.openxmlformats.org/officeDocument/2006/relationships/hyperlink" Target="https://www.emerald.com/insight/publication/issn/2040-8269" TargetMode="External"/><Relationship Id="rId39" Type="http://schemas.openxmlformats.org/officeDocument/2006/relationships/hyperlink" Target="https://doi.org/10.1108/14601061111174916" TargetMode="External"/><Relationship Id="rId21" Type="http://schemas.openxmlformats.org/officeDocument/2006/relationships/hyperlink" Target="https://www.emerald.com/insight/search?q=Michael%20Christofi" TargetMode="External"/><Relationship Id="rId34" Type="http://schemas.openxmlformats.org/officeDocument/2006/relationships/hyperlink" Target="https://www.emerald.com/insight/search?q=Nicola%20Del%20Sarto" TargetMode="External"/><Relationship Id="rId42" Type="http://schemas.openxmlformats.org/officeDocument/2006/relationships/hyperlink" Target="https://www.mondaq.com/corporate-and-company-law/530664/smes-in-the-uae" TargetMode="External"/><Relationship Id="rId47" Type="http://schemas.openxmlformats.org/officeDocument/2006/relationships/header" Target="header3.xml"/><Relationship Id="rId50"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www.emerald.com/insight/search?q=Tran%20Dinh%20Vinh" TargetMode="External"/><Relationship Id="rId11" Type="http://schemas.openxmlformats.org/officeDocument/2006/relationships/hyperlink" Target="https://doi.org/10.1108/JKM-11-2022-0906" TargetMode="External"/><Relationship Id="rId24" Type="http://schemas.openxmlformats.org/officeDocument/2006/relationships/hyperlink" Target="https://www.emerald.com/insight/search?q=M%C2%AA%20Cruz%20D%C3%A9niz-D%C3%A9niz" TargetMode="External"/><Relationship Id="rId32" Type="http://schemas.openxmlformats.org/officeDocument/2006/relationships/hyperlink" Target="https://www.emerald.com/insight/search?q=Jos%C3%A9%20Fern%C3%A1ndez-Serrano" TargetMode="External"/><Relationship Id="rId37" Type="http://schemas.openxmlformats.org/officeDocument/2006/relationships/hyperlink" Target="https://doi.org/10.1108/TLO-03-2021-0030" TargetMode="External"/><Relationship Id="rId40" Type="http://schemas.openxmlformats.org/officeDocument/2006/relationships/hyperlink" Target="https://www.emerald.com/insight/search?q=Zhiying%20Liu"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1177/0019793918774524" TargetMode="External"/><Relationship Id="rId28" Type="http://schemas.openxmlformats.org/officeDocument/2006/relationships/hyperlink" Target="https://www.emerald.com/insight/search?q=Vu%20Thi%20Phuong" TargetMode="External"/><Relationship Id="rId36" Type="http://schemas.openxmlformats.org/officeDocument/2006/relationships/hyperlink" Target="https://www.emerald.com/insight/search?q=Andrea%20Piccaluga" TargetMode="External"/><Relationship Id="rId49" Type="http://schemas.openxmlformats.org/officeDocument/2006/relationships/header" Target="header5.xml"/><Relationship Id="rId10" Type="http://schemas.openxmlformats.org/officeDocument/2006/relationships/hyperlink" Target="mailto:1002757@students.adu.ac.ae" TargetMode="External"/><Relationship Id="rId19" Type="http://schemas.openxmlformats.org/officeDocument/2006/relationships/hyperlink" Target="https://www.emerald.com/insight/search?q=Demetris%20Vrontis" TargetMode="External"/><Relationship Id="rId31" Type="http://schemas.openxmlformats.org/officeDocument/2006/relationships/hyperlink" Target="https://www.emerald.com/insight/publication/issn/1741-0401" TargetMode="External"/><Relationship Id="rId44" Type="http://schemas.openxmlformats.org/officeDocument/2006/relationships/image" Target="media/image4.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dulibrary@adu.ac.ae" TargetMode="External"/><Relationship Id="rId14" Type="http://schemas.openxmlformats.org/officeDocument/2006/relationships/header" Target="header2.xml"/><Relationship Id="rId22" Type="http://schemas.openxmlformats.org/officeDocument/2006/relationships/hyperlink" Target="https://www.emerald.com/insight/publication/issn/0142-5455" TargetMode="External"/><Relationship Id="rId27" Type="http://schemas.openxmlformats.org/officeDocument/2006/relationships/hyperlink" Target="https://www.emerald.com/insight/search?q=Thai%20Tri%20Dung" TargetMode="External"/><Relationship Id="rId30" Type="http://schemas.openxmlformats.org/officeDocument/2006/relationships/hyperlink" Target="https://www.emerald.com/insight/publication/issn/2515-964X" TargetMode="External"/><Relationship Id="rId35" Type="http://schemas.openxmlformats.org/officeDocument/2006/relationships/hyperlink" Target="https://www.emerald.com/insight/search?q=Valentina%20Cucino" TargetMode="External"/><Relationship Id="rId43" Type="http://schemas.openxmlformats.org/officeDocument/2006/relationships/hyperlink" Target="https://u.ae/en/information-and-services/business/small-and-medium-enterprises/small-and-medium-enterprises" TargetMode="External"/><Relationship Id="rId48" Type="http://schemas.openxmlformats.org/officeDocument/2006/relationships/header" Target="header4.xml"/><Relationship Id="rId8" Type="http://schemas.openxmlformats.org/officeDocument/2006/relationships/hyperlink" Target="http://library.adu.ac.ae"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oi.org/10.1108/JSMA-09-2020-0262" TargetMode="External"/><Relationship Id="rId25" Type="http://schemas.openxmlformats.org/officeDocument/2006/relationships/hyperlink" Target="https://www.emerald.com/insight/search?q=Antonia%20M.%20Garc%C3%ADa-Cabrera" TargetMode="External"/><Relationship Id="rId33" Type="http://schemas.openxmlformats.org/officeDocument/2006/relationships/hyperlink" Target="https://www.emerald.com/insight/search?q=Francisco%20Li%C3%B1%C3%A1n" TargetMode="External"/><Relationship Id="rId38" Type="http://schemas.openxmlformats.org/officeDocument/2006/relationships/hyperlink" Target="https://doi.org/10.1080/09537325.2018.1484442" TargetMode="External"/><Relationship Id="rId46" Type="http://schemas.openxmlformats.org/officeDocument/2006/relationships/image" Target="media/image5.png"/><Relationship Id="rId20" Type="http://schemas.openxmlformats.org/officeDocument/2006/relationships/hyperlink" Target="https://www.emerald.com/insight/search?q=Gabriele%20Santoro" TargetMode="External"/><Relationship Id="rId41" Type="http://schemas.openxmlformats.org/officeDocument/2006/relationships/hyperlink" Target="https://nbf.ae/media/114007/sme-in-depth.pdf"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35231</Words>
  <Characters>200821</Characters>
  <Application>Microsoft Office Word</Application>
  <DocSecurity>0</DocSecurity>
  <Lines>1673</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 Singh</dc:creator>
  <cp:keywords/>
  <dc:description/>
  <cp:lastModifiedBy>Sana Sayeed</cp:lastModifiedBy>
  <cp:revision>2</cp:revision>
  <dcterms:created xsi:type="dcterms:W3CDTF">2025-03-03T05:55:00Z</dcterms:created>
  <dcterms:modified xsi:type="dcterms:W3CDTF">2025-03-03T05:55:00Z</dcterms:modified>
</cp:coreProperties>
</file>