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6E32BD71" w:rsidR="00D0423F" w:rsidRPr="007642A0" w:rsidRDefault="00F30106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F30106">
              <w:t xml:space="preserve">Yusuf Arayici, Ghassan Aouad and Vian Ahmed 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10356C48" w14:textId="77777777" w:rsidR="00C44FA6" w:rsidRDefault="00C44FA6" w:rsidP="00C44FA6">
            <w:r>
              <w:t>Requirements engineering for innovative integrated ICT systems for the construction industry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1F2AA415" w:rsidR="007F35A3" w:rsidRPr="005532F9" w:rsidRDefault="002E30DA" w:rsidP="002E30D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2E30DA">
                <w:rPr>
                  <w:rStyle w:val="Hyperlink"/>
                </w:rPr>
                <w:t>https://doi.org/10.1108/14714170510815249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30106"/>
    <w:rsid w:val="00F60112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1471417051081524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</Words>
  <Characters>303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111</cp:revision>
  <dcterms:created xsi:type="dcterms:W3CDTF">2024-05-28T13:26:00Z</dcterms:created>
  <dcterms:modified xsi:type="dcterms:W3CDTF">2025-05-09T10:25:00Z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